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BB" w:rsidRPr="00AD50C7" w:rsidRDefault="00046492" w:rsidP="008A2706">
      <w:pPr>
        <w:spacing w:line="240" w:lineRule="auto"/>
        <w:rPr>
          <w:b/>
          <w:sz w:val="24"/>
          <w:szCs w:val="24"/>
        </w:rPr>
      </w:pPr>
      <w:r>
        <w:rPr>
          <w:b/>
          <w:noProof/>
          <w:sz w:val="24"/>
          <w:szCs w:val="24"/>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405.2pt;margin-top:8.8pt;width:108pt;height:234.4pt;rotation:-270;z-index:-251657216;mso-wrap-distance-right:36pt;mso-position-horizontal-relative:page;mso-position-vertical-relative:page;mso-height-relative:margin" o:allowincell="f" adj="2346" fillcolor="#4f81bd" strokecolor="#95b3d7" strokeweight="1pt">
            <v:shadow opacity=".5" offset="6pt,-6pt"/>
            <v:textbox style="mso-next-textbox:#_x0000_s1028" inset="18pt,18pt,,18pt">
              <w:txbxContent>
                <w:p w:rsidR="00AB7E17" w:rsidRPr="00785DCE" w:rsidRDefault="00AB7E17" w:rsidP="00785DCE">
                  <w:pPr>
                    <w:rPr>
                      <w:i/>
                      <w:iCs/>
                      <w:color w:val="938953"/>
                      <w:u w:val="single"/>
                    </w:rPr>
                  </w:pPr>
                  <w:r w:rsidRPr="00785DCE">
                    <w:rPr>
                      <w:i/>
                      <w:iCs/>
                      <w:color w:val="938953"/>
                      <w:u w:val="single"/>
                    </w:rPr>
                    <w:t xml:space="preserve">KEY STATISTICS FOR FY </w:t>
                  </w:r>
                  <w:r>
                    <w:rPr>
                      <w:i/>
                      <w:iCs/>
                      <w:color w:val="938953"/>
                      <w:u w:val="single"/>
                    </w:rPr>
                    <w:t>20</w:t>
                  </w:r>
                  <w:r w:rsidRPr="00785DCE">
                    <w:rPr>
                      <w:i/>
                      <w:iCs/>
                      <w:color w:val="938953"/>
                      <w:u w:val="single"/>
                    </w:rPr>
                    <w:t>0</w:t>
                  </w:r>
                  <w:r>
                    <w:rPr>
                      <w:i/>
                      <w:iCs/>
                      <w:color w:val="938953"/>
                      <w:u w:val="single"/>
                    </w:rPr>
                    <w:t>9</w:t>
                  </w:r>
                  <w:r w:rsidRPr="00785DCE">
                    <w:rPr>
                      <w:i/>
                      <w:iCs/>
                      <w:color w:val="938953"/>
                      <w:u w:val="single"/>
                    </w:rPr>
                    <w:t>-</w:t>
                  </w:r>
                  <w:r>
                    <w:rPr>
                      <w:i/>
                      <w:iCs/>
                      <w:color w:val="938953"/>
                      <w:u w:val="single"/>
                    </w:rPr>
                    <w:t>10</w:t>
                  </w:r>
                </w:p>
                <w:tbl>
                  <w:tblPr>
                    <w:tblW w:w="4410" w:type="dxa"/>
                    <w:tblInd w:w="-162" w:type="dxa"/>
                    <w:tblLook w:val="04A0"/>
                  </w:tblPr>
                  <w:tblGrid>
                    <w:gridCol w:w="3510"/>
                    <w:gridCol w:w="900"/>
                  </w:tblGrid>
                  <w:tr w:rsidR="00AB7E17" w:rsidRPr="00F56ACB" w:rsidTr="00BA5D14">
                    <w:tc>
                      <w:tcPr>
                        <w:tcW w:w="3510" w:type="dxa"/>
                        <w:vAlign w:val="center"/>
                      </w:tcPr>
                      <w:p w:rsidR="00AB7E17" w:rsidRPr="00F56ACB" w:rsidRDefault="00AB7E17" w:rsidP="00BA5D14">
                        <w:pPr>
                          <w:spacing w:after="0" w:line="240" w:lineRule="auto"/>
                          <w:rPr>
                            <w:i/>
                            <w:iCs/>
                            <w:color w:val="938953"/>
                          </w:rPr>
                        </w:pPr>
                        <w:r>
                          <w:rPr>
                            <w:i/>
                            <w:iCs/>
                            <w:color w:val="938953"/>
                          </w:rPr>
                          <w:t>FARMING OPERATIONS ENROLLED</w:t>
                        </w:r>
                        <w:r w:rsidRPr="00F56ACB">
                          <w:rPr>
                            <w:i/>
                            <w:iCs/>
                            <w:color w:val="938953"/>
                          </w:rPr>
                          <w:t>:</w:t>
                        </w:r>
                      </w:p>
                    </w:tc>
                    <w:tc>
                      <w:tcPr>
                        <w:tcW w:w="900" w:type="dxa"/>
                        <w:vAlign w:val="center"/>
                      </w:tcPr>
                      <w:p w:rsidR="00AB7E17" w:rsidRPr="00F56ACB" w:rsidRDefault="00AB7E17" w:rsidP="001D6221">
                        <w:pPr>
                          <w:spacing w:after="0" w:line="240" w:lineRule="auto"/>
                          <w:jc w:val="right"/>
                          <w:rPr>
                            <w:i/>
                            <w:iCs/>
                            <w:color w:val="938953"/>
                          </w:rPr>
                        </w:pPr>
                        <w:r>
                          <w:rPr>
                            <w:i/>
                            <w:iCs/>
                            <w:color w:val="938953"/>
                          </w:rPr>
                          <w:t>28,421</w:t>
                        </w:r>
                      </w:p>
                    </w:tc>
                  </w:tr>
                  <w:tr w:rsidR="00AB7E17" w:rsidRPr="00F56ACB" w:rsidTr="00BA5D14">
                    <w:tc>
                      <w:tcPr>
                        <w:tcW w:w="3510" w:type="dxa"/>
                        <w:vAlign w:val="center"/>
                      </w:tcPr>
                      <w:p w:rsidR="00AB7E17" w:rsidRPr="00F56ACB" w:rsidRDefault="00AB7E17" w:rsidP="00093D6E">
                        <w:pPr>
                          <w:spacing w:after="0" w:line="240" w:lineRule="auto"/>
                          <w:rPr>
                            <w:i/>
                            <w:iCs/>
                            <w:color w:val="938953"/>
                          </w:rPr>
                        </w:pPr>
                        <w:r>
                          <w:rPr>
                            <w:i/>
                            <w:iCs/>
                            <w:color w:val="938953"/>
                          </w:rPr>
                          <w:t>FARMING OPERATIONS REMAINING TO BE ENROLLED</w:t>
                        </w:r>
                        <w:r w:rsidRPr="00F56ACB">
                          <w:rPr>
                            <w:i/>
                            <w:iCs/>
                            <w:color w:val="938953"/>
                          </w:rPr>
                          <w:t>:</w:t>
                        </w:r>
                      </w:p>
                    </w:tc>
                    <w:tc>
                      <w:tcPr>
                        <w:tcW w:w="900" w:type="dxa"/>
                        <w:vAlign w:val="center"/>
                      </w:tcPr>
                      <w:p w:rsidR="00AB7E17" w:rsidRPr="00F56ACB" w:rsidRDefault="00AB7E17" w:rsidP="00093D6E">
                        <w:pPr>
                          <w:spacing w:after="0" w:line="240" w:lineRule="auto"/>
                          <w:jc w:val="right"/>
                          <w:rPr>
                            <w:i/>
                            <w:iCs/>
                            <w:color w:val="938953"/>
                          </w:rPr>
                        </w:pPr>
                        <w:r>
                          <w:rPr>
                            <w:i/>
                            <w:iCs/>
                            <w:color w:val="938953"/>
                          </w:rPr>
                          <w:t>8,281</w:t>
                        </w:r>
                      </w:p>
                    </w:tc>
                  </w:tr>
                  <w:tr w:rsidR="00AB7E17" w:rsidRPr="00F56ACB" w:rsidTr="00BA5D14">
                    <w:tc>
                      <w:tcPr>
                        <w:tcW w:w="3510" w:type="dxa"/>
                        <w:vAlign w:val="center"/>
                      </w:tcPr>
                      <w:p w:rsidR="00AB7E17" w:rsidRPr="00F56ACB" w:rsidRDefault="00AB7E17" w:rsidP="00093D6E">
                        <w:pPr>
                          <w:spacing w:after="0" w:line="240" w:lineRule="auto"/>
                          <w:rPr>
                            <w:i/>
                            <w:iCs/>
                            <w:color w:val="938953"/>
                          </w:rPr>
                        </w:pPr>
                      </w:p>
                    </w:tc>
                    <w:tc>
                      <w:tcPr>
                        <w:tcW w:w="900" w:type="dxa"/>
                        <w:vAlign w:val="center"/>
                      </w:tcPr>
                      <w:p w:rsidR="00AB7E17" w:rsidRPr="00F56ACB" w:rsidRDefault="00AB7E17" w:rsidP="00093D6E">
                        <w:pPr>
                          <w:spacing w:after="0" w:line="240" w:lineRule="auto"/>
                          <w:jc w:val="right"/>
                          <w:rPr>
                            <w:i/>
                            <w:iCs/>
                            <w:color w:val="938953"/>
                          </w:rPr>
                        </w:pPr>
                      </w:p>
                    </w:tc>
                  </w:tr>
                </w:tbl>
                <w:p w:rsidR="00AB7E17" w:rsidRPr="00E214EB" w:rsidRDefault="00AB7E17" w:rsidP="008F4628">
                  <w:pPr>
                    <w:spacing w:after="0" w:line="240" w:lineRule="auto"/>
                    <w:rPr>
                      <w:i/>
                      <w:iCs/>
                      <w:color w:val="938953"/>
                    </w:rPr>
                  </w:pPr>
                </w:p>
              </w:txbxContent>
            </v:textbox>
            <w10:wrap type="square" anchorx="margin" anchory="margin"/>
          </v:shape>
        </w:pict>
      </w:r>
      <w:r w:rsidR="003C3777" w:rsidRPr="00AD50C7">
        <w:rPr>
          <w:b/>
          <w:sz w:val="24"/>
          <w:szCs w:val="24"/>
          <w:u w:val="single"/>
        </w:rPr>
        <w:t>GROUP</w:t>
      </w:r>
      <w:r w:rsidR="003C3777" w:rsidRPr="005006F8">
        <w:rPr>
          <w:b/>
          <w:sz w:val="24"/>
          <w:szCs w:val="24"/>
        </w:rPr>
        <w:t>:</w:t>
      </w:r>
      <w:r w:rsidR="003C3777" w:rsidRPr="00AD50C7">
        <w:rPr>
          <w:b/>
          <w:sz w:val="24"/>
          <w:szCs w:val="24"/>
        </w:rPr>
        <w:tab/>
      </w:r>
      <w:r w:rsidR="00BA5D14">
        <w:rPr>
          <w:b/>
          <w:sz w:val="24"/>
          <w:szCs w:val="24"/>
        </w:rPr>
        <w:t>IRRIGATED LANDS</w:t>
      </w:r>
    </w:p>
    <w:p w:rsidR="00E77F44" w:rsidRPr="00AD50C7" w:rsidRDefault="00AD50C7" w:rsidP="00BA5D14">
      <w:pPr>
        <w:spacing w:after="0" w:line="240" w:lineRule="auto"/>
        <w:ind w:left="1440" w:hanging="1440"/>
        <w:rPr>
          <w:b/>
          <w:sz w:val="24"/>
          <w:szCs w:val="24"/>
        </w:rPr>
      </w:pPr>
      <w:r w:rsidRPr="00AD50C7">
        <w:rPr>
          <w:b/>
          <w:sz w:val="24"/>
          <w:szCs w:val="24"/>
          <w:u w:val="single"/>
        </w:rPr>
        <w:t>MEASURE</w:t>
      </w:r>
      <w:r w:rsidR="00E77F44" w:rsidRPr="005006F8">
        <w:rPr>
          <w:b/>
          <w:sz w:val="24"/>
          <w:szCs w:val="24"/>
        </w:rPr>
        <w:t>:</w:t>
      </w:r>
      <w:r w:rsidR="00E77F44" w:rsidRPr="00AD50C7">
        <w:rPr>
          <w:b/>
          <w:sz w:val="24"/>
          <w:szCs w:val="24"/>
        </w:rPr>
        <w:t xml:space="preserve"> </w:t>
      </w:r>
      <w:r w:rsidR="00E77F44" w:rsidRPr="00AD50C7">
        <w:rPr>
          <w:b/>
          <w:sz w:val="24"/>
          <w:szCs w:val="24"/>
        </w:rPr>
        <w:tab/>
      </w:r>
      <w:r w:rsidR="00BA5D14" w:rsidRPr="00D05A8D">
        <w:rPr>
          <w:b/>
          <w:color w:val="76923C"/>
          <w:sz w:val="24"/>
          <w:szCs w:val="24"/>
        </w:rPr>
        <w:t xml:space="preserve">NUMBER OF </w:t>
      </w:r>
      <w:r w:rsidR="00BA5D14">
        <w:rPr>
          <w:b/>
          <w:color w:val="76923C"/>
          <w:sz w:val="24"/>
          <w:szCs w:val="24"/>
        </w:rPr>
        <w:t xml:space="preserve">FARMING </w:t>
      </w:r>
      <w:r w:rsidR="00BA5D14" w:rsidRPr="00D05A8D">
        <w:rPr>
          <w:b/>
          <w:color w:val="76923C"/>
          <w:sz w:val="24"/>
          <w:szCs w:val="24"/>
        </w:rPr>
        <w:t>OPERATIONS ENROLLED</w:t>
      </w:r>
    </w:p>
    <w:p w:rsidR="00F176DB" w:rsidRDefault="00E77F44" w:rsidP="00F176DB">
      <w:pPr>
        <w:spacing w:after="0" w:line="240" w:lineRule="auto"/>
        <w:rPr>
          <w:b/>
          <w:color w:val="76923C"/>
          <w:sz w:val="24"/>
          <w:szCs w:val="24"/>
        </w:rPr>
      </w:pPr>
      <w:r w:rsidRPr="00AD50C7">
        <w:rPr>
          <w:b/>
          <w:sz w:val="24"/>
          <w:szCs w:val="24"/>
        </w:rPr>
        <w:tab/>
      </w:r>
      <w:r w:rsidRPr="00AD50C7">
        <w:rPr>
          <w:b/>
          <w:sz w:val="24"/>
          <w:szCs w:val="24"/>
        </w:rPr>
        <w:tab/>
      </w:r>
      <w:r w:rsidR="00B530FE" w:rsidRPr="00B530FE">
        <w:rPr>
          <w:b/>
          <w:color w:val="76923C"/>
          <w:sz w:val="24"/>
          <w:szCs w:val="24"/>
        </w:rPr>
        <w:t>SIZE OF OPERATIONS ENROLLED</w:t>
      </w:r>
    </w:p>
    <w:p w:rsidR="00B530FE" w:rsidRPr="00AD50C7" w:rsidRDefault="00B530FE" w:rsidP="00F176DB">
      <w:pPr>
        <w:spacing w:after="0" w:line="240" w:lineRule="auto"/>
        <w:rPr>
          <w:b/>
          <w:color w:val="76923C"/>
          <w:sz w:val="24"/>
          <w:szCs w:val="24"/>
        </w:rPr>
      </w:pPr>
    </w:p>
    <w:p w:rsidR="00BA5D14" w:rsidRPr="001B7CA8" w:rsidRDefault="00E77F44" w:rsidP="00BA5D14">
      <w:pPr>
        <w:spacing w:after="0" w:line="240" w:lineRule="auto"/>
        <w:ind w:left="1440" w:hanging="1440"/>
        <w:rPr>
          <w:b/>
          <w:sz w:val="24"/>
          <w:szCs w:val="24"/>
        </w:rPr>
      </w:pPr>
      <w:r w:rsidRPr="00AD50C7">
        <w:rPr>
          <w:b/>
          <w:sz w:val="24"/>
          <w:szCs w:val="24"/>
          <w:u w:val="single"/>
        </w:rPr>
        <w:t>MESSAGE</w:t>
      </w:r>
      <w:r w:rsidRPr="005006F8">
        <w:rPr>
          <w:b/>
          <w:sz w:val="24"/>
          <w:szCs w:val="24"/>
        </w:rPr>
        <w:t>:</w:t>
      </w:r>
      <w:r w:rsidR="00AD50C7" w:rsidRPr="00AD50C7">
        <w:rPr>
          <w:b/>
          <w:sz w:val="24"/>
          <w:szCs w:val="24"/>
        </w:rPr>
        <w:tab/>
      </w:r>
      <w:r w:rsidR="00BA5D14" w:rsidRPr="00BA5D14">
        <w:rPr>
          <w:b/>
          <w:i/>
          <w:sz w:val="24"/>
          <w:szCs w:val="24"/>
        </w:rPr>
        <w:t>The</w:t>
      </w:r>
      <w:r w:rsidR="00BA5D14">
        <w:rPr>
          <w:b/>
          <w:i/>
          <w:sz w:val="24"/>
          <w:szCs w:val="24"/>
        </w:rPr>
        <w:t xml:space="preserve"> three r</w:t>
      </w:r>
      <w:r w:rsidR="00BA5D14" w:rsidRPr="00170A9F">
        <w:rPr>
          <w:b/>
          <w:i/>
          <w:sz w:val="24"/>
          <w:szCs w:val="24"/>
        </w:rPr>
        <w:t xml:space="preserve">egions </w:t>
      </w:r>
      <w:r w:rsidR="009F1FCB">
        <w:rPr>
          <w:b/>
          <w:i/>
          <w:sz w:val="24"/>
          <w:szCs w:val="24"/>
        </w:rPr>
        <w:t>most</w:t>
      </w:r>
      <w:r w:rsidR="00BA5D14" w:rsidRPr="00170A9F">
        <w:rPr>
          <w:b/>
          <w:i/>
          <w:sz w:val="24"/>
          <w:szCs w:val="24"/>
        </w:rPr>
        <w:t xml:space="preserve"> </w:t>
      </w:r>
      <w:r w:rsidR="00BA5D14">
        <w:rPr>
          <w:b/>
          <w:i/>
          <w:sz w:val="24"/>
          <w:szCs w:val="24"/>
        </w:rPr>
        <w:t xml:space="preserve">active in the </w:t>
      </w:r>
      <w:r w:rsidR="00BA5D14" w:rsidRPr="00170A9F">
        <w:rPr>
          <w:b/>
          <w:i/>
          <w:sz w:val="24"/>
          <w:szCs w:val="24"/>
        </w:rPr>
        <w:t>Irrigated</w:t>
      </w:r>
      <w:r w:rsidR="00BA5D14">
        <w:rPr>
          <w:b/>
          <w:i/>
          <w:sz w:val="24"/>
          <w:szCs w:val="24"/>
        </w:rPr>
        <w:t xml:space="preserve"> Lands Regulatory Program regulated 77% of </w:t>
      </w:r>
      <w:r w:rsidR="009F1FCB">
        <w:rPr>
          <w:b/>
          <w:i/>
          <w:sz w:val="24"/>
          <w:szCs w:val="24"/>
        </w:rPr>
        <w:t xml:space="preserve">their </w:t>
      </w:r>
      <w:r w:rsidR="00BA5D14">
        <w:rPr>
          <w:b/>
          <w:i/>
          <w:sz w:val="24"/>
          <w:szCs w:val="24"/>
        </w:rPr>
        <w:t xml:space="preserve">agricultural operations </w:t>
      </w:r>
      <w:r w:rsidR="00AB7E17">
        <w:rPr>
          <w:b/>
          <w:i/>
          <w:sz w:val="24"/>
          <w:szCs w:val="24"/>
        </w:rPr>
        <w:t xml:space="preserve">and 81% of </w:t>
      </w:r>
      <w:r w:rsidR="009F1FCB">
        <w:rPr>
          <w:b/>
          <w:i/>
          <w:sz w:val="24"/>
          <w:szCs w:val="24"/>
        </w:rPr>
        <w:t xml:space="preserve">their </w:t>
      </w:r>
      <w:r w:rsidR="00AB7E17">
        <w:rPr>
          <w:b/>
          <w:i/>
          <w:sz w:val="24"/>
          <w:szCs w:val="24"/>
        </w:rPr>
        <w:t>agricultural acreage</w:t>
      </w:r>
      <w:r w:rsidR="00BA5D14" w:rsidRPr="00170A9F">
        <w:rPr>
          <w:b/>
          <w:i/>
          <w:sz w:val="24"/>
          <w:szCs w:val="24"/>
        </w:rPr>
        <w:t>.</w:t>
      </w:r>
    </w:p>
    <w:p w:rsidR="00135FD5" w:rsidRPr="00AD50C7" w:rsidRDefault="00135FD5" w:rsidP="002E5E2E">
      <w:pPr>
        <w:spacing w:after="0" w:line="240" w:lineRule="auto"/>
        <w:ind w:left="1440" w:hanging="1440"/>
        <w:rPr>
          <w:b/>
          <w:sz w:val="24"/>
          <w:szCs w:val="24"/>
        </w:rPr>
      </w:pPr>
    </w:p>
    <w:p w:rsidR="00785DCE" w:rsidRDefault="009F1FCB" w:rsidP="002E5E2E">
      <w:pPr>
        <w:spacing w:after="0" w:line="240" w:lineRule="auto"/>
        <w:rPr>
          <w:b/>
          <w:sz w:val="24"/>
          <w:szCs w:val="24"/>
        </w:rPr>
      </w:pPr>
      <w:r>
        <w:rPr>
          <w:b/>
          <w:noProof/>
          <w:sz w:val="24"/>
          <w:szCs w:val="24"/>
        </w:rPr>
        <w:pict>
          <v:shape id="_x0000_s1045" type="#_x0000_t75" style="position:absolute;margin-left:-11pt;margin-top:20.65pt;width:528.2pt;height:163.55pt;z-index:251661312;mso-position-horizontal-relative:text;mso-position-vertical-relative:text">
            <v:imagedata r:id="rId7" o:title=""/>
            <w10:wrap type="square"/>
          </v:shape>
          <o:OLEObject Type="Link" ProgID="Excel.Sheet.8" ShapeID="_x0000_s1045" DrawAspect="Content" r:id="rId8" UpdateMode="Always">
            <o:LinkType>EnhancedMetaFile</o:LinkType>
            <o:LockedField>false</o:LockedField>
          </o:OLEObject>
        </w:pict>
      </w:r>
      <w:r w:rsidR="00AD50C7" w:rsidRPr="00AD50C7">
        <w:rPr>
          <w:b/>
          <w:sz w:val="24"/>
          <w:szCs w:val="24"/>
          <w:u w:val="single"/>
        </w:rPr>
        <w:t>MEASURE</w:t>
      </w:r>
      <w:r w:rsidR="000255B4">
        <w:rPr>
          <w:b/>
          <w:sz w:val="24"/>
          <w:szCs w:val="24"/>
          <w:u w:val="single"/>
        </w:rPr>
        <w:t>MENT</w:t>
      </w:r>
      <w:r w:rsidR="005006F8">
        <w:rPr>
          <w:b/>
          <w:sz w:val="24"/>
          <w:szCs w:val="24"/>
          <w:u w:val="single"/>
        </w:rPr>
        <w:t>S</w:t>
      </w:r>
      <w:r w:rsidR="00E77F44" w:rsidRPr="005006F8">
        <w:rPr>
          <w:b/>
          <w:sz w:val="24"/>
          <w:szCs w:val="24"/>
        </w:rPr>
        <w:t>:</w:t>
      </w:r>
      <w:r w:rsidR="00E77F44" w:rsidRPr="00AD50C7">
        <w:rPr>
          <w:b/>
          <w:sz w:val="24"/>
          <w:szCs w:val="24"/>
        </w:rPr>
        <w:t xml:space="preserve"> </w:t>
      </w:r>
    </w:p>
    <w:p w:rsidR="00AB7E17" w:rsidRDefault="00046492" w:rsidP="002E5E2E">
      <w:pPr>
        <w:spacing w:after="0" w:line="240" w:lineRule="auto"/>
        <w:rPr>
          <w:b/>
          <w:sz w:val="24"/>
          <w:szCs w:val="24"/>
        </w:rPr>
      </w:pPr>
      <w:r>
        <w:rPr>
          <w:b/>
          <w:noProof/>
          <w:sz w:val="24"/>
          <w:szCs w:val="24"/>
        </w:rPr>
        <w:pict>
          <v:shape id="_x0000_s1047" type="#_x0000_t75" style="position:absolute;margin-left:193.15pt;margin-top:184.4pt;width:321pt;height:202.25pt;z-index:251665408;mso-position-horizontal-relative:text;mso-position-vertical-relative:text">
            <v:imagedata r:id="rId9" o:title=""/>
            <w10:wrap type="square"/>
          </v:shape>
          <o:OLEObject Type="Link" ProgID="Excel.Sheet.8" ShapeID="_x0000_s1047" DrawAspect="Content" r:id="rId10" UpdateMode="Always">
            <o:LinkType>EnhancedMetaFile</o:LinkType>
            <o:LockedField>false</o:LockedField>
          </o:OLEObject>
        </w:pict>
      </w:r>
      <w:r>
        <w:rPr>
          <w:b/>
          <w:noProof/>
          <w:sz w:val="24"/>
          <w:szCs w:val="24"/>
        </w:rPr>
        <w:pict>
          <v:shape id="_x0000_s1046" type="#_x0000_t75" style="position:absolute;margin-left:-46.8pt;margin-top:184.4pt;width:250.05pt;height:196.25pt;z-index:251663360;mso-position-horizontal-relative:text;mso-position-vertical-relative:text">
            <v:imagedata r:id="rId11" o:title=""/>
            <w10:wrap type="square"/>
          </v:shape>
          <o:OLEObject Type="Link" ProgID="Excel.Sheet.8" ShapeID="_x0000_s1046" DrawAspect="Content" r:id="rId12" UpdateMode="Always">
            <o:LinkType>EnhancedMetaFile</o:LinkType>
            <o:LockedField>false</o:LockedField>
          </o:OLEObject>
        </w:pict>
      </w:r>
    </w:p>
    <w:p w:rsidR="00305926" w:rsidRPr="00AD50C7" w:rsidRDefault="00305926" w:rsidP="00AB7E17">
      <w:pPr>
        <w:spacing w:after="0" w:line="240" w:lineRule="auto"/>
        <w:rPr>
          <w:b/>
          <w:noProof/>
          <w:sz w:val="24"/>
          <w:szCs w:val="24"/>
          <w:u w:val="single"/>
        </w:rPr>
      </w:pPr>
      <w:r w:rsidRPr="00AD50C7">
        <w:rPr>
          <w:b/>
          <w:noProof/>
          <w:sz w:val="24"/>
          <w:szCs w:val="24"/>
          <w:u w:val="single"/>
        </w:rPr>
        <w:t xml:space="preserve">WHAT THE </w:t>
      </w:r>
      <w:r w:rsidR="00AD50C7" w:rsidRPr="00AD50C7">
        <w:rPr>
          <w:b/>
          <w:noProof/>
          <w:sz w:val="24"/>
          <w:szCs w:val="24"/>
          <w:u w:val="single"/>
        </w:rPr>
        <w:t>MEASURE</w:t>
      </w:r>
      <w:r w:rsidRPr="00AD50C7">
        <w:rPr>
          <w:b/>
          <w:noProof/>
          <w:sz w:val="24"/>
          <w:szCs w:val="24"/>
          <w:u w:val="single"/>
        </w:rPr>
        <w:t xml:space="preserve"> </w:t>
      </w:r>
      <w:r w:rsidR="005006F8">
        <w:rPr>
          <w:b/>
          <w:noProof/>
          <w:sz w:val="24"/>
          <w:szCs w:val="24"/>
          <w:u w:val="single"/>
        </w:rPr>
        <w:t xml:space="preserve">IS </w:t>
      </w:r>
      <w:r w:rsidRPr="00AD50C7">
        <w:rPr>
          <w:b/>
          <w:noProof/>
          <w:sz w:val="24"/>
          <w:szCs w:val="24"/>
          <w:u w:val="single"/>
        </w:rPr>
        <w:t>SHOWING</w:t>
      </w:r>
      <w:r w:rsidRPr="005006F8">
        <w:rPr>
          <w:b/>
          <w:noProof/>
          <w:sz w:val="24"/>
          <w:szCs w:val="24"/>
        </w:rPr>
        <w:t>:</w:t>
      </w:r>
      <w:r w:rsidRPr="00AD50C7">
        <w:rPr>
          <w:b/>
          <w:noProof/>
          <w:sz w:val="24"/>
          <w:szCs w:val="24"/>
          <w:u w:val="single"/>
        </w:rPr>
        <w:t xml:space="preserve"> </w:t>
      </w:r>
    </w:p>
    <w:p w:rsidR="00AB7E17" w:rsidRDefault="00AB7E17" w:rsidP="00F176DB">
      <w:pPr>
        <w:spacing w:after="0" w:line="240" w:lineRule="auto"/>
        <w:rPr>
          <w:sz w:val="24"/>
          <w:szCs w:val="24"/>
        </w:rPr>
      </w:pPr>
      <w:r>
        <w:rPr>
          <w:sz w:val="24"/>
          <w:szCs w:val="24"/>
        </w:rPr>
        <w:t xml:space="preserve">In Fiscal Year (FY) 2009-10, the </w:t>
      </w:r>
      <w:r w:rsidRPr="00D42AB7">
        <w:rPr>
          <w:sz w:val="24"/>
          <w:szCs w:val="24"/>
        </w:rPr>
        <w:t>Central Coast</w:t>
      </w:r>
      <w:r>
        <w:rPr>
          <w:sz w:val="24"/>
          <w:szCs w:val="24"/>
        </w:rPr>
        <w:t xml:space="preserve"> (Region 3)</w:t>
      </w:r>
      <w:r w:rsidRPr="00D42AB7">
        <w:rPr>
          <w:sz w:val="24"/>
          <w:szCs w:val="24"/>
        </w:rPr>
        <w:t xml:space="preserve">, </w:t>
      </w:r>
      <w:r>
        <w:rPr>
          <w:sz w:val="24"/>
          <w:szCs w:val="24"/>
        </w:rPr>
        <w:t xml:space="preserve">Los Angeles (Region 4), </w:t>
      </w:r>
      <w:r w:rsidRPr="00D42AB7">
        <w:rPr>
          <w:sz w:val="24"/>
          <w:szCs w:val="24"/>
        </w:rPr>
        <w:t xml:space="preserve">and Central Valley </w:t>
      </w:r>
      <w:r>
        <w:rPr>
          <w:sz w:val="24"/>
          <w:szCs w:val="24"/>
        </w:rPr>
        <w:t xml:space="preserve">(Region 5) </w:t>
      </w:r>
      <w:r w:rsidRPr="00D42AB7">
        <w:rPr>
          <w:sz w:val="24"/>
          <w:szCs w:val="24"/>
        </w:rPr>
        <w:t>Regional Water Boards</w:t>
      </w:r>
      <w:r>
        <w:rPr>
          <w:sz w:val="24"/>
          <w:szCs w:val="24"/>
        </w:rPr>
        <w:t>,</w:t>
      </w:r>
      <w:r w:rsidRPr="00D42AB7">
        <w:rPr>
          <w:sz w:val="24"/>
          <w:szCs w:val="24"/>
        </w:rPr>
        <w:t xml:space="preserve"> </w:t>
      </w:r>
      <w:r>
        <w:rPr>
          <w:sz w:val="24"/>
          <w:szCs w:val="24"/>
        </w:rPr>
        <w:t xml:space="preserve">collectively, </w:t>
      </w:r>
      <w:r w:rsidRPr="00D42AB7">
        <w:rPr>
          <w:sz w:val="24"/>
          <w:szCs w:val="24"/>
        </w:rPr>
        <w:t>enrolled 266 irrigated agricultural operations</w:t>
      </w:r>
      <w:r>
        <w:rPr>
          <w:sz w:val="24"/>
          <w:szCs w:val="24"/>
        </w:rPr>
        <w:t xml:space="preserve">, which comprised 37,373 </w:t>
      </w:r>
      <w:r w:rsidRPr="00D42AB7">
        <w:rPr>
          <w:sz w:val="24"/>
          <w:szCs w:val="24"/>
        </w:rPr>
        <w:t>acres of irrigated agricultur</w:t>
      </w:r>
      <w:r>
        <w:rPr>
          <w:sz w:val="24"/>
          <w:szCs w:val="24"/>
        </w:rPr>
        <w:t xml:space="preserve">al land, under a general conditional waiver of Waste Discharge Requirements (WDRs).  This resulted in 77 percent of the irrigated agricultural operators and 81 percent of acreage being regulated in these three </w:t>
      </w:r>
      <w:r>
        <w:rPr>
          <w:sz w:val="24"/>
          <w:szCs w:val="24"/>
        </w:rPr>
        <w:lastRenderedPageBreak/>
        <w:t>regions.  It is evident that Region 5, which covers about 40 percent of the geographical area of the State, has 86 percent of the irrigated agricultural operators and 92 percent of acreage among these three regions.</w:t>
      </w:r>
    </w:p>
    <w:p w:rsidR="00AB7E17" w:rsidRDefault="00AB7E17" w:rsidP="00F176DB">
      <w:pPr>
        <w:spacing w:after="0" w:line="240" w:lineRule="auto"/>
        <w:rPr>
          <w:sz w:val="24"/>
          <w:szCs w:val="24"/>
        </w:rPr>
      </w:pPr>
    </w:p>
    <w:p w:rsidR="00305926" w:rsidRDefault="005006F8" w:rsidP="00F176DB">
      <w:pPr>
        <w:spacing w:after="0"/>
        <w:ind w:left="2160" w:hanging="2160"/>
        <w:rPr>
          <w:b/>
          <w:sz w:val="24"/>
          <w:szCs w:val="24"/>
          <w:u w:val="single"/>
        </w:rPr>
      </w:pPr>
      <w:r>
        <w:rPr>
          <w:b/>
          <w:sz w:val="24"/>
          <w:szCs w:val="24"/>
          <w:u w:val="single"/>
        </w:rPr>
        <w:t xml:space="preserve">WHY </w:t>
      </w:r>
      <w:r w:rsidR="00305926" w:rsidRPr="00AD50C7">
        <w:rPr>
          <w:b/>
          <w:sz w:val="24"/>
          <w:szCs w:val="24"/>
          <w:u w:val="single"/>
        </w:rPr>
        <w:t xml:space="preserve">THIS </w:t>
      </w:r>
      <w:r w:rsidR="00AD50C7" w:rsidRPr="00AD50C7">
        <w:rPr>
          <w:b/>
          <w:sz w:val="24"/>
          <w:szCs w:val="24"/>
          <w:u w:val="single"/>
        </w:rPr>
        <w:t>MEASURE</w:t>
      </w:r>
      <w:r w:rsidR="00305926" w:rsidRPr="00AD50C7">
        <w:rPr>
          <w:b/>
          <w:sz w:val="24"/>
          <w:szCs w:val="24"/>
          <w:u w:val="single"/>
        </w:rPr>
        <w:t xml:space="preserve"> </w:t>
      </w:r>
      <w:r>
        <w:rPr>
          <w:b/>
          <w:sz w:val="24"/>
          <w:szCs w:val="24"/>
          <w:u w:val="single"/>
        </w:rPr>
        <w:t xml:space="preserve">IS </w:t>
      </w:r>
      <w:r w:rsidR="00305926" w:rsidRPr="00AD50C7">
        <w:rPr>
          <w:b/>
          <w:sz w:val="24"/>
          <w:szCs w:val="24"/>
          <w:u w:val="single"/>
        </w:rPr>
        <w:t>IMPORTANT</w:t>
      </w:r>
      <w:r w:rsidR="00305926" w:rsidRPr="005006F8">
        <w:rPr>
          <w:b/>
          <w:sz w:val="24"/>
          <w:szCs w:val="24"/>
        </w:rPr>
        <w:t>:</w:t>
      </w:r>
    </w:p>
    <w:p w:rsidR="00AB7E17" w:rsidRDefault="00AB7E17" w:rsidP="00AB7E17">
      <w:pPr>
        <w:pStyle w:val="NoSpacing"/>
        <w:rPr>
          <w:sz w:val="24"/>
          <w:szCs w:val="24"/>
        </w:rPr>
      </w:pPr>
      <w:r>
        <w:rPr>
          <w:sz w:val="24"/>
          <w:szCs w:val="24"/>
        </w:rPr>
        <w:t xml:space="preserve">Many surface and groundwater bodies are impaired because of pollutants from agricultural sources.  Discharges from irrigated agricultural lands, from both irrigation flows and </w:t>
      </w:r>
      <w:proofErr w:type="spellStart"/>
      <w:r>
        <w:rPr>
          <w:sz w:val="24"/>
          <w:szCs w:val="24"/>
        </w:rPr>
        <w:t>stormwater</w:t>
      </w:r>
      <w:proofErr w:type="spellEnd"/>
      <w:r>
        <w:rPr>
          <w:sz w:val="24"/>
          <w:szCs w:val="24"/>
        </w:rPr>
        <w:t xml:space="preserve"> runoff, can affect water quality by transporting pollutants such as pesticides, nutrients, sediment, salts, heavy metals, and pathogens from cultivated fields into waters of the State.  Several Regional Water Boards have made significant progress in developing and implementing an Irrigated Lands Regulatory Program (ILRP), initiated in 2004, to work with the agricultural community to control discharges from irrigated lands.  </w:t>
      </w:r>
      <w:r w:rsidRPr="00D42AB7">
        <w:rPr>
          <w:sz w:val="24"/>
          <w:szCs w:val="24"/>
        </w:rPr>
        <w:t xml:space="preserve">Most </w:t>
      </w:r>
      <w:r>
        <w:rPr>
          <w:sz w:val="24"/>
          <w:szCs w:val="24"/>
        </w:rPr>
        <w:t xml:space="preserve">of these Regional </w:t>
      </w:r>
      <w:r w:rsidRPr="00D42AB7">
        <w:rPr>
          <w:sz w:val="24"/>
          <w:szCs w:val="24"/>
        </w:rPr>
        <w:t xml:space="preserve">Boards </w:t>
      </w:r>
      <w:r>
        <w:rPr>
          <w:sz w:val="24"/>
          <w:szCs w:val="24"/>
        </w:rPr>
        <w:t>have adopted</w:t>
      </w:r>
      <w:r w:rsidRPr="00D42AB7">
        <w:rPr>
          <w:sz w:val="24"/>
          <w:szCs w:val="24"/>
        </w:rPr>
        <w:t xml:space="preserve"> a region-wide</w:t>
      </w:r>
      <w:r>
        <w:rPr>
          <w:sz w:val="24"/>
          <w:szCs w:val="24"/>
        </w:rPr>
        <w:t xml:space="preserve">, general conditional waiver of WDRs </w:t>
      </w:r>
      <w:r w:rsidRPr="00D42AB7">
        <w:rPr>
          <w:sz w:val="24"/>
          <w:szCs w:val="24"/>
        </w:rPr>
        <w:t>to regulate ir</w:t>
      </w:r>
      <w:r>
        <w:rPr>
          <w:sz w:val="24"/>
          <w:szCs w:val="24"/>
        </w:rPr>
        <w:t xml:space="preserve">rigated agricultural discharges.  To comply with the conditions of the waiver, irrigated agricultural dischargers implement management measures, monitor water quality, and implement corrective actions as needed to protect water quality.  Because each Regional Water Board’s </w:t>
      </w:r>
      <w:r w:rsidRPr="00D42AB7">
        <w:rPr>
          <w:sz w:val="24"/>
          <w:szCs w:val="24"/>
        </w:rPr>
        <w:t>ILRP is in a different phase of development</w:t>
      </w:r>
      <w:r>
        <w:rPr>
          <w:sz w:val="24"/>
          <w:szCs w:val="24"/>
        </w:rPr>
        <w:t xml:space="preserve">, reporting on the </w:t>
      </w:r>
      <w:r w:rsidRPr="00D42AB7">
        <w:rPr>
          <w:sz w:val="24"/>
          <w:szCs w:val="24"/>
        </w:rPr>
        <w:t>number of acres</w:t>
      </w:r>
      <w:r>
        <w:rPr>
          <w:sz w:val="24"/>
          <w:szCs w:val="24"/>
        </w:rPr>
        <w:t>, as well as the corresponding</w:t>
      </w:r>
      <w:r w:rsidRPr="00D42AB7">
        <w:rPr>
          <w:sz w:val="24"/>
          <w:szCs w:val="24"/>
        </w:rPr>
        <w:t xml:space="preserve"> </w:t>
      </w:r>
      <w:r>
        <w:rPr>
          <w:sz w:val="24"/>
          <w:szCs w:val="24"/>
        </w:rPr>
        <w:t xml:space="preserve">number of </w:t>
      </w:r>
      <w:r w:rsidRPr="00D42AB7">
        <w:rPr>
          <w:sz w:val="24"/>
          <w:szCs w:val="24"/>
        </w:rPr>
        <w:t>agricultural operations</w:t>
      </w:r>
      <w:r>
        <w:rPr>
          <w:sz w:val="24"/>
          <w:szCs w:val="24"/>
        </w:rPr>
        <w:t>,</w:t>
      </w:r>
      <w:r w:rsidRPr="00D42AB7">
        <w:rPr>
          <w:sz w:val="24"/>
          <w:szCs w:val="24"/>
        </w:rPr>
        <w:t xml:space="preserve"> </w:t>
      </w:r>
      <w:r>
        <w:rPr>
          <w:sz w:val="24"/>
          <w:szCs w:val="24"/>
        </w:rPr>
        <w:t xml:space="preserve">enrolled </w:t>
      </w:r>
      <w:r w:rsidRPr="00D42AB7">
        <w:rPr>
          <w:sz w:val="24"/>
          <w:szCs w:val="24"/>
        </w:rPr>
        <w:t>will i</w:t>
      </w:r>
      <w:r>
        <w:rPr>
          <w:sz w:val="24"/>
          <w:szCs w:val="24"/>
        </w:rPr>
        <w:t xml:space="preserve">ncrease as additional Regional </w:t>
      </w:r>
      <w:r w:rsidRPr="00D42AB7">
        <w:rPr>
          <w:sz w:val="24"/>
          <w:szCs w:val="24"/>
        </w:rPr>
        <w:t xml:space="preserve">Boards adopt </w:t>
      </w:r>
      <w:r>
        <w:rPr>
          <w:sz w:val="24"/>
          <w:szCs w:val="24"/>
        </w:rPr>
        <w:t xml:space="preserve">general </w:t>
      </w:r>
      <w:r w:rsidRPr="00D42AB7">
        <w:rPr>
          <w:sz w:val="24"/>
          <w:szCs w:val="24"/>
        </w:rPr>
        <w:t xml:space="preserve">conditional waivers of </w:t>
      </w:r>
      <w:r>
        <w:rPr>
          <w:sz w:val="24"/>
          <w:szCs w:val="24"/>
        </w:rPr>
        <w:t>WDRs</w:t>
      </w:r>
      <w:r w:rsidRPr="00D42AB7">
        <w:rPr>
          <w:sz w:val="24"/>
          <w:szCs w:val="24"/>
        </w:rPr>
        <w:t xml:space="preserve"> for discharges from irrigated agricultural land.</w:t>
      </w:r>
    </w:p>
    <w:p w:rsidR="00995D8F" w:rsidRPr="00F176DB" w:rsidRDefault="00995D8F" w:rsidP="00F176DB">
      <w:pPr>
        <w:spacing w:after="0" w:line="240" w:lineRule="auto"/>
        <w:rPr>
          <w:sz w:val="24"/>
          <w:szCs w:val="24"/>
        </w:rPr>
      </w:pPr>
    </w:p>
    <w:p w:rsidR="00305926" w:rsidRPr="00AD50C7" w:rsidRDefault="00305926" w:rsidP="00F176DB">
      <w:pPr>
        <w:spacing w:after="0"/>
        <w:ind w:left="2160" w:hanging="2160"/>
        <w:rPr>
          <w:b/>
          <w:sz w:val="24"/>
          <w:szCs w:val="24"/>
          <w:u w:val="single"/>
        </w:rPr>
      </w:pPr>
      <w:r w:rsidRPr="00AD50C7">
        <w:rPr>
          <w:b/>
          <w:sz w:val="24"/>
          <w:szCs w:val="24"/>
          <w:u w:val="single"/>
        </w:rPr>
        <w:t>TECHNICAL CONSIDERATIONS</w:t>
      </w:r>
      <w:r w:rsidRPr="005006F8">
        <w:rPr>
          <w:b/>
          <w:sz w:val="24"/>
          <w:szCs w:val="24"/>
        </w:rPr>
        <w:t>:</w:t>
      </w:r>
    </w:p>
    <w:p w:rsidR="00305926" w:rsidRPr="00AB7E17" w:rsidRDefault="00305926" w:rsidP="00F176DB">
      <w:pPr>
        <w:numPr>
          <w:ilvl w:val="0"/>
          <w:numId w:val="1"/>
        </w:numPr>
        <w:spacing w:after="0" w:line="240" w:lineRule="auto"/>
      </w:pPr>
      <w:r w:rsidRPr="00E6798D">
        <w:t xml:space="preserve">Data </w:t>
      </w:r>
      <w:r w:rsidR="0031685B">
        <w:t>S</w:t>
      </w:r>
      <w:r w:rsidR="00377A7D">
        <w:t xml:space="preserve">ource: </w:t>
      </w:r>
      <w:r w:rsidR="00AB7E17" w:rsidRPr="00AB7E17">
        <w:t xml:space="preserve">Water Board ILRP Program database.  </w:t>
      </w:r>
      <w:r w:rsidR="00AB7E17" w:rsidRPr="00AB7E17">
        <w:rPr>
          <w:b/>
        </w:rPr>
        <w:t>Period:</w:t>
      </w:r>
      <w:r w:rsidR="00AB7E17" w:rsidRPr="00AB7E17">
        <w:t xml:space="preserve">  July 1, 2009-July 30, 2010.  Extracted in August 2010.</w:t>
      </w:r>
    </w:p>
    <w:p w:rsidR="00305926" w:rsidRPr="00E6798D" w:rsidRDefault="00305926" w:rsidP="00F176DB">
      <w:pPr>
        <w:numPr>
          <w:ilvl w:val="0"/>
          <w:numId w:val="1"/>
        </w:numPr>
        <w:spacing w:after="0" w:line="240" w:lineRule="auto"/>
      </w:pPr>
      <w:r w:rsidRPr="00E6798D">
        <w:t xml:space="preserve">Unit of Measure: </w:t>
      </w:r>
      <w:r w:rsidR="00AB7E17" w:rsidRPr="00AB7E17">
        <w:t>Number of acres enrolled under general conditional waivers of Waste Discharge Requirements (WDRs) at three Regional Water Boards with Irrigated Lands Regulatory Programs.</w:t>
      </w:r>
    </w:p>
    <w:p w:rsidR="008A2706" w:rsidRPr="00E6798D" w:rsidRDefault="00377A7D" w:rsidP="00F176DB">
      <w:pPr>
        <w:numPr>
          <w:ilvl w:val="0"/>
          <w:numId w:val="1"/>
        </w:numPr>
        <w:spacing w:after="0" w:line="240" w:lineRule="auto"/>
      </w:pPr>
      <w:r>
        <w:t>Data D</w:t>
      </w:r>
      <w:r w:rsidR="008A2706" w:rsidRPr="00E6798D">
        <w:t xml:space="preserve">efinitions: </w:t>
      </w:r>
      <w:r w:rsidR="00AB7E17" w:rsidRPr="00AB7E17">
        <w:rPr>
          <w:i/>
          <w:u w:val="single"/>
        </w:rPr>
        <w:t>Acres Enrolled</w:t>
      </w:r>
      <w:r w:rsidR="00AB7E17" w:rsidRPr="00AB7E17">
        <w:t>:  Agricultural acreage under the control of commercial irrigated agricultural operators enrolled under a general conditional waiver of WDRs issued by a Regional Water Board as part of their Irrigated Lands Regulatory Program</w:t>
      </w:r>
      <w:r w:rsidR="006856B7" w:rsidRPr="00AB7E17">
        <w:t>.</w:t>
      </w:r>
    </w:p>
    <w:p w:rsidR="00E6798D" w:rsidRPr="00AB7E17" w:rsidRDefault="006856B7" w:rsidP="00E6798D">
      <w:pPr>
        <w:numPr>
          <w:ilvl w:val="0"/>
          <w:numId w:val="1"/>
        </w:numPr>
        <w:spacing w:after="0" w:line="240" w:lineRule="auto"/>
      </w:pPr>
      <w:r w:rsidRPr="00E6798D">
        <w:t xml:space="preserve">References: </w:t>
      </w:r>
      <w:r w:rsidR="00AB7E17" w:rsidRPr="00AB7E17">
        <w:t xml:space="preserve">More information on the Regional Water Boards’ Irrigated Lands Regulatory Program, including the status of the ILRP at each Regional Water Board, is available at:  </w:t>
      </w:r>
      <w:hyperlink r:id="rId13" w:history="1">
        <w:r w:rsidR="00AB7E17" w:rsidRPr="00AB7E17">
          <w:rPr>
            <w:rStyle w:val="Hyperlink"/>
          </w:rPr>
          <w:t>http://www.waterboards.ca.gov/water_issues/programs/agriculture/</w:t>
        </w:r>
      </w:hyperlink>
      <w:r w:rsidR="00E6798D" w:rsidRPr="00AB7E17">
        <w:t xml:space="preserve"> </w:t>
      </w:r>
    </w:p>
    <w:p w:rsidR="00AB7E17" w:rsidRDefault="00AB7E17" w:rsidP="00F176DB">
      <w:pPr>
        <w:spacing w:after="0" w:line="240" w:lineRule="auto"/>
        <w:ind w:left="2160" w:hanging="2160"/>
      </w:pPr>
    </w:p>
    <w:p w:rsidR="00305926" w:rsidRPr="00AD50C7" w:rsidRDefault="006856B7" w:rsidP="00F176DB">
      <w:pPr>
        <w:spacing w:after="0" w:line="240" w:lineRule="auto"/>
        <w:ind w:left="2160" w:hanging="2160"/>
        <w:rPr>
          <w:b/>
          <w:sz w:val="24"/>
          <w:szCs w:val="24"/>
          <w:u w:val="single"/>
        </w:rPr>
      </w:pPr>
      <w:r>
        <w:rPr>
          <w:b/>
          <w:sz w:val="24"/>
          <w:szCs w:val="24"/>
          <w:u w:val="single"/>
        </w:rPr>
        <w:t>GLOSSARY</w:t>
      </w:r>
      <w:r w:rsidR="003B1255" w:rsidRPr="005006F8">
        <w:rPr>
          <w:b/>
          <w:sz w:val="24"/>
          <w:szCs w:val="24"/>
        </w:rPr>
        <w:t>:</w:t>
      </w:r>
    </w:p>
    <w:p w:rsidR="00AB7E17" w:rsidRPr="00AB7E17" w:rsidRDefault="00AB7E17" w:rsidP="00AB7E17">
      <w:pPr>
        <w:pStyle w:val="NoSpacing"/>
        <w:rPr>
          <w:sz w:val="20"/>
          <w:szCs w:val="20"/>
        </w:rPr>
      </w:pPr>
      <w:r w:rsidRPr="00AB7E17">
        <w:rPr>
          <w:b/>
          <w:sz w:val="20"/>
          <w:szCs w:val="20"/>
        </w:rPr>
        <w:t>Conditional Waiver of Waste Discharge Requirements:</w:t>
      </w:r>
      <w:r w:rsidRPr="00AB7E17">
        <w:rPr>
          <w:sz w:val="20"/>
          <w:szCs w:val="20"/>
        </w:rPr>
        <w:t xml:space="preserve">  A Regional Water Board can formally waive Waste Discharge Requirements (WDRs) for specific discharges to surface waters that are not subject to National Pollutant Discharge Elimination System regulations provided that certain conditions are met, including that the discharge will not cause or contribute to violations in water quality.  An </w:t>
      </w:r>
      <w:r w:rsidRPr="00AB7E17">
        <w:rPr>
          <w:sz w:val="20"/>
          <w:szCs w:val="20"/>
          <w:u w:val="single"/>
        </w:rPr>
        <w:t>individual</w:t>
      </w:r>
      <w:r w:rsidRPr="00AB7E17">
        <w:rPr>
          <w:sz w:val="20"/>
          <w:szCs w:val="20"/>
        </w:rPr>
        <w:t xml:space="preserve"> conditional waiver of WDRs can be issued directly to an individual discharger.  For discharges of a certain type, such as discharges from irrigated agricultural lands, individual or groups of dischargers may enroll under a </w:t>
      </w:r>
      <w:r w:rsidRPr="00AB7E17">
        <w:rPr>
          <w:sz w:val="20"/>
          <w:szCs w:val="20"/>
          <w:u w:val="single"/>
        </w:rPr>
        <w:t>general</w:t>
      </w:r>
      <w:r w:rsidRPr="00AB7E17">
        <w:rPr>
          <w:sz w:val="20"/>
          <w:szCs w:val="20"/>
        </w:rPr>
        <w:t xml:space="preserve"> conditional waiver of WDRs.</w:t>
      </w:r>
    </w:p>
    <w:p w:rsidR="00AB7E17" w:rsidRPr="00AB7E17" w:rsidRDefault="00AB7E17" w:rsidP="00AB7E17">
      <w:pPr>
        <w:pStyle w:val="NoSpacing"/>
        <w:rPr>
          <w:sz w:val="20"/>
          <w:szCs w:val="20"/>
        </w:rPr>
      </w:pPr>
    </w:p>
    <w:p w:rsidR="00AB7E17" w:rsidRPr="00AB7E17" w:rsidRDefault="00AB7E17" w:rsidP="00AB7E17">
      <w:pPr>
        <w:pStyle w:val="NoSpacing"/>
        <w:rPr>
          <w:rFonts w:cs="Times-Roman"/>
          <w:sz w:val="20"/>
          <w:szCs w:val="20"/>
        </w:rPr>
      </w:pPr>
      <w:r w:rsidRPr="00AB7E17">
        <w:rPr>
          <w:b/>
          <w:sz w:val="20"/>
          <w:szCs w:val="20"/>
        </w:rPr>
        <w:t>Irrigated Agricultural Lands:</w:t>
      </w:r>
      <w:r w:rsidRPr="00AB7E17">
        <w:rPr>
          <w:sz w:val="20"/>
          <w:szCs w:val="20"/>
        </w:rPr>
        <w:t xml:space="preserve">  </w:t>
      </w:r>
      <w:r w:rsidRPr="00AB7E17">
        <w:rPr>
          <w:rFonts w:cs="Times-Roman"/>
          <w:sz w:val="20"/>
          <w:szCs w:val="20"/>
        </w:rPr>
        <w:t>Lands where water is applied to produce crops such as land planted to row, vineyard, pasture, field and tree crops, commercial nurseries, nursery stock production, managed wetlands, and rice production that do not currently discharge under waste discharge requirements, National Pollutant Discharge Elimination System (NPDES) permits, Municipal Separate Storm Sewer System (MS4) permits, or other NPDES permits.</w:t>
      </w:r>
    </w:p>
    <w:sectPr w:rsidR="00AB7E17" w:rsidRPr="00AB7E17" w:rsidSect="005625B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E17" w:rsidRDefault="00AB7E17" w:rsidP="00FF75D1">
      <w:pPr>
        <w:spacing w:after="0" w:line="240" w:lineRule="auto"/>
      </w:pPr>
      <w:r>
        <w:separator/>
      </w:r>
    </w:p>
  </w:endnote>
  <w:endnote w:type="continuationSeparator" w:id="1">
    <w:p w:rsidR="00AB7E17" w:rsidRDefault="00AB7E17" w:rsidP="00FF7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17" w:rsidRPr="001C5928" w:rsidRDefault="00046492">
    <w:pPr>
      <w:pStyle w:val="Footer"/>
      <w:rPr>
        <w:sz w:val="16"/>
        <w:szCs w:val="16"/>
      </w:rPr>
    </w:pPr>
    <w:r w:rsidRPr="000464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5" type="#_x0000_t75" style="position:absolute;margin-left:-27pt;margin-top:-26.25pt;width:99pt;height:58.5pt;z-index:251657728">
          <v:imagedata r:id="rId1" o:title=""/>
          <w10:wrap type="square"/>
        </v:shape>
        <o:OLEObject Type="Embed" ProgID="MSPhotoEd.3" ShapeID="_x0000_s4105" DrawAspect="Content" ObjectID="_1344359049" r:id="rId2"/>
      </w:pict>
    </w:r>
    <w:r w:rsidR="00AB7E17">
      <w:tab/>
    </w:r>
    <w:r w:rsidR="00AB7E17">
      <w:tab/>
    </w:r>
    <w:r w:rsidR="00B530FE">
      <w:rPr>
        <w:sz w:val="16"/>
        <w:szCs w:val="16"/>
      </w:rPr>
      <w:t>IRRIGATED LANDS PROGRAM September 7, 2010</w:t>
    </w:r>
    <w:r w:rsidR="00AB7E17">
      <w:rPr>
        <w:sz w:val="16"/>
        <w:szCs w:val="16"/>
      </w:rPr>
      <w:t xml:space="preserve"> FY 09</w:t>
    </w:r>
    <w:r w:rsidR="00AB7E17" w:rsidRPr="001C5928">
      <w:rPr>
        <w:sz w:val="16"/>
        <w:szCs w:val="16"/>
      </w:rPr>
      <w:t>-</w:t>
    </w:r>
    <w:r w:rsidR="00AB7E17">
      <w:rPr>
        <w:sz w:val="16"/>
        <w:szCs w:val="16"/>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E17" w:rsidRDefault="00AB7E17" w:rsidP="00FF75D1">
      <w:pPr>
        <w:spacing w:after="0" w:line="240" w:lineRule="auto"/>
      </w:pPr>
      <w:r>
        <w:separator/>
      </w:r>
    </w:p>
  </w:footnote>
  <w:footnote w:type="continuationSeparator" w:id="1">
    <w:p w:rsidR="00AB7E17" w:rsidRDefault="00AB7E17" w:rsidP="00FF7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17" w:rsidRDefault="00AB7E17">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REGULATE</w:t>
    </w:r>
    <w:r>
      <w:rPr>
        <w:rFonts w:ascii="Cambria" w:eastAsia="Times New Roman" w:hAnsi="Cambria"/>
        <w:sz w:val="32"/>
        <w:szCs w:val="32"/>
      </w:rPr>
      <w:tab/>
    </w:r>
    <w:r>
      <w:rPr>
        <w:rFonts w:ascii="Cambria" w:eastAsia="Times New Roman" w:hAnsi="Cambria"/>
        <w:sz w:val="32"/>
        <w:szCs w:val="32"/>
      </w:rPr>
      <w:tab/>
      <w:t>IRRIGATED LANDS</w:t>
    </w:r>
  </w:p>
  <w:p w:rsidR="00AB7E17" w:rsidRDefault="00AB7E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in;height:3in" o:bullet="t"/>
    </w:pict>
  </w:numPicBullet>
  <w:numPicBullet w:numPicBulletId="1">
    <w:pict>
      <v:shape id="_x0000_i1095" type="#_x0000_t75" style="width:3in;height:3in" o:bullet="t"/>
    </w:pict>
  </w:numPicBullet>
  <w:abstractNum w:abstractNumId="0">
    <w:nsid w:val="154B07E2"/>
    <w:multiLevelType w:val="hybridMultilevel"/>
    <w:tmpl w:val="259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F906BF"/>
    <w:multiLevelType w:val="multilevel"/>
    <w:tmpl w:val="FAE4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A21AE9"/>
    <w:multiLevelType w:val="multilevel"/>
    <w:tmpl w:val="123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4106">
      <o:colormenu v:ext="edit" strokecolor="none [1940]" shadowcolor="none"/>
    </o:shapedefaults>
    <o:shapelayout v:ext="edit">
      <o:idmap v:ext="edit" data="4"/>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75D1"/>
    <w:rsid w:val="00013843"/>
    <w:rsid w:val="00023BA4"/>
    <w:rsid w:val="000255B4"/>
    <w:rsid w:val="00046492"/>
    <w:rsid w:val="000659FF"/>
    <w:rsid w:val="000707CE"/>
    <w:rsid w:val="000825E2"/>
    <w:rsid w:val="00090CEA"/>
    <w:rsid w:val="00093D6E"/>
    <w:rsid w:val="00097254"/>
    <w:rsid w:val="000B2C27"/>
    <w:rsid w:val="000D3077"/>
    <w:rsid w:val="000D595C"/>
    <w:rsid w:val="000E4DC7"/>
    <w:rsid w:val="000E60E8"/>
    <w:rsid w:val="00104E34"/>
    <w:rsid w:val="001059DD"/>
    <w:rsid w:val="00135FD5"/>
    <w:rsid w:val="00151F34"/>
    <w:rsid w:val="00156813"/>
    <w:rsid w:val="001815E3"/>
    <w:rsid w:val="00183DC8"/>
    <w:rsid w:val="00187BC6"/>
    <w:rsid w:val="001A0F77"/>
    <w:rsid w:val="001C3789"/>
    <w:rsid w:val="001C5928"/>
    <w:rsid w:val="001D1FED"/>
    <w:rsid w:val="001D6221"/>
    <w:rsid w:val="001D6C1F"/>
    <w:rsid w:val="001F34FA"/>
    <w:rsid w:val="001F738F"/>
    <w:rsid w:val="00215730"/>
    <w:rsid w:val="002213CD"/>
    <w:rsid w:val="00232532"/>
    <w:rsid w:val="002363AC"/>
    <w:rsid w:val="00265763"/>
    <w:rsid w:val="00277C8E"/>
    <w:rsid w:val="002A0AAB"/>
    <w:rsid w:val="002B0EBE"/>
    <w:rsid w:val="002D0A72"/>
    <w:rsid w:val="002D3533"/>
    <w:rsid w:val="002E0BA8"/>
    <w:rsid w:val="002E5E2E"/>
    <w:rsid w:val="002F4345"/>
    <w:rsid w:val="00300E41"/>
    <w:rsid w:val="00305926"/>
    <w:rsid w:val="00311ABE"/>
    <w:rsid w:val="0031685B"/>
    <w:rsid w:val="00346F0D"/>
    <w:rsid w:val="00352B6B"/>
    <w:rsid w:val="00367B42"/>
    <w:rsid w:val="00377A7D"/>
    <w:rsid w:val="003A3BC6"/>
    <w:rsid w:val="003A497E"/>
    <w:rsid w:val="003B1255"/>
    <w:rsid w:val="003C3777"/>
    <w:rsid w:val="003E7A04"/>
    <w:rsid w:val="003F1BC4"/>
    <w:rsid w:val="00410071"/>
    <w:rsid w:val="00413D65"/>
    <w:rsid w:val="004205C8"/>
    <w:rsid w:val="0047668F"/>
    <w:rsid w:val="00494591"/>
    <w:rsid w:val="004971A3"/>
    <w:rsid w:val="004A1078"/>
    <w:rsid w:val="004A68A5"/>
    <w:rsid w:val="004B7876"/>
    <w:rsid w:val="004C432F"/>
    <w:rsid w:val="004D6894"/>
    <w:rsid w:val="005006F8"/>
    <w:rsid w:val="00524DB3"/>
    <w:rsid w:val="00535A26"/>
    <w:rsid w:val="00547359"/>
    <w:rsid w:val="005520E1"/>
    <w:rsid w:val="00556BBF"/>
    <w:rsid w:val="005602A4"/>
    <w:rsid w:val="005625BB"/>
    <w:rsid w:val="005750A6"/>
    <w:rsid w:val="00582EDB"/>
    <w:rsid w:val="00583CA3"/>
    <w:rsid w:val="00591244"/>
    <w:rsid w:val="005A66D3"/>
    <w:rsid w:val="005B0EA7"/>
    <w:rsid w:val="005C1D9E"/>
    <w:rsid w:val="00604C21"/>
    <w:rsid w:val="00606B48"/>
    <w:rsid w:val="00621A5C"/>
    <w:rsid w:val="00635066"/>
    <w:rsid w:val="00645A38"/>
    <w:rsid w:val="00650F2E"/>
    <w:rsid w:val="006636AB"/>
    <w:rsid w:val="0066530F"/>
    <w:rsid w:val="006856B7"/>
    <w:rsid w:val="006B0B07"/>
    <w:rsid w:val="006C4F30"/>
    <w:rsid w:val="006C5471"/>
    <w:rsid w:val="006C60E7"/>
    <w:rsid w:val="006D6F25"/>
    <w:rsid w:val="006E7821"/>
    <w:rsid w:val="0070130C"/>
    <w:rsid w:val="0070665C"/>
    <w:rsid w:val="00707966"/>
    <w:rsid w:val="00720030"/>
    <w:rsid w:val="00727ACA"/>
    <w:rsid w:val="00743552"/>
    <w:rsid w:val="00750D98"/>
    <w:rsid w:val="00761986"/>
    <w:rsid w:val="007813EA"/>
    <w:rsid w:val="00785DCE"/>
    <w:rsid w:val="007909DD"/>
    <w:rsid w:val="007933B9"/>
    <w:rsid w:val="007E69F6"/>
    <w:rsid w:val="007E7B6C"/>
    <w:rsid w:val="00811380"/>
    <w:rsid w:val="00824065"/>
    <w:rsid w:val="00827C19"/>
    <w:rsid w:val="00833AFC"/>
    <w:rsid w:val="008415E8"/>
    <w:rsid w:val="00842A62"/>
    <w:rsid w:val="008739F5"/>
    <w:rsid w:val="00876358"/>
    <w:rsid w:val="008919BF"/>
    <w:rsid w:val="008A2706"/>
    <w:rsid w:val="008E5940"/>
    <w:rsid w:val="008E7F56"/>
    <w:rsid w:val="008F4628"/>
    <w:rsid w:val="00913575"/>
    <w:rsid w:val="0093010B"/>
    <w:rsid w:val="009361C5"/>
    <w:rsid w:val="009453AD"/>
    <w:rsid w:val="009677D1"/>
    <w:rsid w:val="009737A7"/>
    <w:rsid w:val="00992BA1"/>
    <w:rsid w:val="0099410C"/>
    <w:rsid w:val="00995D8F"/>
    <w:rsid w:val="009A29D4"/>
    <w:rsid w:val="009B4CAD"/>
    <w:rsid w:val="009B58A3"/>
    <w:rsid w:val="009B6BA8"/>
    <w:rsid w:val="009F1FCB"/>
    <w:rsid w:val="00A3205D"/>
    <w:rsid w:val="00A44488"/>
    <w:rsid w:val="00A52A45"/>
    <w:rsid w:val="00A570ED"/>
    <w:rsid w:val="00A57BA8"/>
    <w:rsid w:val="00A71605"/>
    <w:rsid w:val="00A719C3"/>
    <w:rsid w:val="00A75DC8"/>
    <w:rsid w:val="00A826A0"/>
    <w:rsid w:val="00A83F40"/>
    <w:rsid w:val="00A94539"/>
    <w:rsid w:val="00AA4BCE"/>
    <w:rsid w:val="00AB7E17"/>
    <w:rsid w:val="00AC150E"/>
    <w:rsid w:val="00AC7A79"/>
    <w:rsid w:val="00AD50C7"/>
    <w:rsid w:val="00AE2A5E"/>
    <w:rsid w:val="00AF36BA"/>
    <w:rsid w:val="00B026AA"/>
    <w:rsid w:val="00B0279B"/>
    <w:rsid w:val="00B10434"/>
    <w:rsid w:val="00B23A58"/>
    <w:rsid w:val="00B268AA"/>
    <w:rsid w:val="00B530FE"/>
    <w:rsid w:val="00B56D6E"/>
    <w:rsid w:val="00B7725B"/>
    <w:rsid w:val="00B83435"/>
    <w:rsid w:val="00BA5D14"/>
    <w:rsid w:val="00BB1688"/>
    <w:rsid w:val="00BB64ED"/>
    <w:rsid w:val="00BC3EB1"/>
    <w:rsid w:val="00BE102C"/>
    <w:rsid w:val="00C172C1"/>
    <w:rsid w:val="00C24EBE"/>
    <w:rsid w:val="00C255DC"/>
    <w:rsid w:val="00C334AE"/>
    <w:rsid w:val="00C35902"/>
    <w:rsid w:val="00C41007"/>
    <w:rsid w:val="00C92ADB"/>
    <w:rsid w:val="00CA2B0A"/>
    <w:rsid w:val="00CD1255"/>
    <w:rsid w:val="00CF224F"/>
    <w:rsid w:val="00CF3CC8"/>
    <w:rsid w:val="00CF3F49"/>
    <w:rsid w:val="00D13F37"/>
    <w:rsid w:val="00D30384"/>
    <w:rsid w:val="00D45075"/>
    <w:rsid w:val="00D878F1"/>
    <w:rsid w:val="00DD101B"/>
    <w:rsid w:val="00DD68A9"/>
    <w:rsid w:val="00DE03AB"/>
    <w:rsid w:val="00DE2AAA"/>
    <w:rsid w:val="00DE2EB4"/>
    <w:rsid w:val="00E214EB"/>
    <w:rsid w:val="00E5133D"/>
    <w:rsid w:val="00E62E0F"/>
    <w:rsid w:val="00E651E9"/>
    <w:rsid w:val="00E6798D"/>
    <w:rsid w:val="00E71AC2"/>
    <w:rsid w:val="00E752F3"/>
    <w:rsid w:val="00E77F44"/>
    <w:rsid w:val="00E87321"/>
    <w:rsid w:val="00EA396B"/>
    <w:rsid w:val="00EC65F9"/>
    <w:rsid w:val="00ED128C"/>
    <w:rsid w:val="00EE722C"/>
    <w:rsid w:val="00EE7C50"/>
    <w:rsid w:val="00EF2D08"/>
    <w:rsid w:val="00F1742F"/>
    <w:rsid w:val="00F176DB"/>
    <w:rsid w:val="00F204AA"/>
    <w:rsid w:val="00F32A77"/>
    <w:rsid w:val="00F3464C"/>
    <w:rsid w:val="00F56ACB"/>
    <w:rsid w:val="00F778FA"/>
    <w:rsid w:val="00F92C87"/>
    <w:rsid w:val="00F93254"/>
    <w:rsid w:val="00FA648A"/>
    <w:rsid w:val="00FC42DC"/>
    <w:rsid w:val="00FD3C09"/>
    <w:rsid w:val="00FF55A7"/>
    <w:rsid w:val="00FF75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6">
      <o:colormenu v:ext="edit" strokecolor="none [194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5D1"/>
  </w:style>
  <w:style w:type="paragraph" w:styleId="Footer">
    <w:name w:val="footer"/>
    <w:basedOn w:val="Normal"/>
    <w:link w:val="FooterChar"/>
    <w:uiPriority w:val="99"/>
    <w:unhideWhenUsed/>
    <w:rsid w:val="00FF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5D1"/>
  </w:style>
  <w:style w:type="paragraph" w:styleId="BalloonText">
    <w:name w:val="Balloon Text"/>
    <w:basedOn w:val="Normal"/>
    <w:link w:val="BalloonTextChar"/>
    <w:uiPriority w:val="99"/>
    <w:semiHidden/>
    <w:unhideWhenUsed/>
    <w:rsid w:val="00FF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D1"/>
    <w:rPr>
      <w:rFonts w:ascii="Tahoma" w:hAnsi="Tahoma" w:cs="Tahoma"/>
      <w:sz w:val="16"/>
      <w:szCs w:val="16"/>
    </w:rPr>
  </w:style>
  <w:style w:type="paragraph" w:styleId="ListParagraph">
    <w:name w:val="List Paragraph"/>
    <w:basedOn w:val="Normal"/>
    <w:uiPriority w:val="34"/>
    <w:qFormat/>
    <w:rsid w:val="003C3777"/>
    <w:pPr>
      <w:ind w:left="720"/>
      <w:contextualSpacing/>
    </w:pPr>
  </w:style>
  <w:style w:type="table" w:styleId="TableGrid">
    <w:name w:val="Table Grid"/>
    <w:basedOn w:val="TableNormal"/>
    <w:uiPriority w:val="59"/>
    <w:rsid w:val="00F56A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8F46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6798D"/>
    <w:rPr>
      <w:color w:val="0000FF"/>
      <w:u w:val="single"/>
    </w:rPr>
  </w:style>
  <w:style w:type="paragraph" w:styleId="NormalWeb">
    <w:name w:val="Normal (Web)"/>
    <w:basedOn w:val="Normal"/>
    <w:uiPriority w:val="99"/>
    <w:semiHidden/>
    <w:unhideWhenUsed/>
    <w:rsid w:val="0070130C"/>
    <w:pPr>
      <w:spacing w:before="168" w:after="216" w:line="240" w:lineRule="auto"/>
    </w:pPr>
    <w:rPr>
      <w:rFonts w:ascii="Times New Roman" w:eastAsia="Times New Roman" w:hAnsi="Times New Roman"/>
      <w:sz w:val="24"/>
      <w:szCs w:val="24"/>
    </w:rPr>
  </w:style>
  <w:style w:type="character" w:styleId="FollowedHyperlink">
    <w:name w:val="FollowedHyperlink"/>
    <w:basedOn w:val="DefaultParagraphFont"/>
    <w:rsid w:val="000E4DC7"/>
    <w:rPr>
      <w:color w:val="800080"/>
      <w:u w:val="single"/>
    </w:rPr>
  </w:style>
  <w:style w:type="paragraph" w:styleId="NoSpacing">
    <w:name w:val="No Spacing"/>
    <w:uiPriority w:val="1"/>
    <w:qFormat/>
    <w:rsid w:val="00AB7E17"/>
    <w:rPr>
      <w:sz w:val="22"/>
      <w:szCs w:val="22"/>
    </w:rPr>
  </w:style>
</w:styles>
</file>

<file path=word/webSettings.xml><?xml version="1.0" encoding="utf-8"?>
<w:webSettings xmlns:r="http://schemas.openxmlformats.org/officeDocument/2006/relationships" xmlns:w="http://schemas.openxmlformats.org/wordprocessingml/2006/main">
  <w:divs>
    <w:div w:id="91168239">
      <w:bodyDiv w:val="1"/>
      <w:marLeft w:val="0"/>
      <w:marRight w:val="0"/>
      <w:marTop w:val="0"/>
      <w:marBottom w:val="0"/>
      <w:divBdr>
        <w:top w:val="none" w:sz="0" w:space="0" w:color="auto"/>
        <w:left w:val="none" w:sz="0" w:space="0" w:color="auto"/>
        <w:bottom w:val="none" w:sz="0" w:space="0" w:color="auto"/>
        <w:right w:val="none" w:sz="0" w:space="0" w:color="auto"/>
      </w:divBdr>
    </w:div>
    <w:div w:id="163975596">
      <w:bodyDiv w:val="1"/>
      <w:marLeft w:val="0"/>
      <w:marRight w:val="0"/>
      <w:marTop w:val="0"/>
      <w:marBottom w:val="0"/>
      <w:divBdr>
        <w:top w:val="none" w:sz="0" w:space="0" w:color="auto"/>
        <w:left w:val="none" w:sz="0" w:space="0" w:color="auto"/>
        <w:bottom w:val="none" w:sz="0" w:space="0" w:color="auto"/>
        <w:right w:val="none" w:sz="0" w:space="0" w:color="auto"/>
      </w:divBdr>
    </w:div>
    <w:div w:id="572589379">
      <w:bodyDiv w:val="1"/>
      <w:marLeft w:val="0"/>
      <w:marRight w:val="0"/>
      <w:marTop w:val="0"/>
      <w:marBottom w:val="0"/>
      <w:divBdr>
        <w:top w:val="none" w:sz="0" w:space="0" w:color="auto"/>
        <w:left w:val="none" w:sz="0" w:space="0" w:color="auto"/>
        <w:bottom w:val="none" w:sz="0" w:space="0" w:color="auto"/>
        <w:right w:val="none" w:sz="0" w:space="0" w:color="auto"/>
      </w:divBdr>
      <w:divsChild>
        <w:div w:id="849218855">
          <w:marLeft w:val="0"/>
          <w:marRight w:val="0"/>
          <w:marTop w:val="0"/>
          <w:marBottom w:val="0"/>
          <w:divBdr>
            <w:top w:val="none" w:sz="0" w:space="0" w:color="auto"/>
            <w:left w:val="none" w:sz="0" w:space="0" w:color="auto"/>
            <w:bottom w:val="none" w:sz="0" w:space="0" w:color="auto"/>
            <w:right w:val="none" w:sz="0" w:space="0" w:color="auto"/>
          </w:divBdr>
          <w:divsChild>
            <w:div w:id="1658194342">
              <w:marLeft w:val="3195"/>
              <w:marRight w:val="225"/>
              <w:marTop w:val="0"/>
              <w:marBottom w:val="0"/>
              <w:divBdr>
                <w:top w:val="none" w:sz="0" w:space="0" w:color="auto"/>
                <w:left w:val="none" w:sz="0" w:space="0" w:color="auto"/>
                <w:bottom w:val="none" w:sz="0" w:space="0" w:color="auto"/>
                <w:right w:val="none" w:sz="0" w:space="0" w:color="auto"/>
              </w:divBdr>
              <w:divsChild>
                <w:div w:id="264116148">
                  <w:marLeft w:val="0"/>
                  <w:marRight w:val="0"/>
                  <w:marTop w:val="0"/>
                  <w:marBottom w:val="0"/>
                  <w:divBdr>
                    <w:top w:val="none" w:sz="0" w:space="0" w:color="auto"/>
                    <w:left w:val="none" w:sz="0" w:space="0" w:color="auto"/>
                    <w:bottom w:val="none" w:sz="0" w:space="0" w:color="auto"/>
                    <w:right w:val="none" w:sz="0" w:space="0" w:color="auto"/>
                  </w:divBdr>
                  <w:divsChild>
                    <w:div w:id="18041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259668">
      <w:bodyDiv w:val="1"/>
      <w:marLeft w:val="0"/>
      <w:marRight w:val="0"/>
      <w:marTop w:val="0"/>
      <w:marBottom w:val="0"/>
      <w:divBdr>
        <w:top w:val="none" w:sz="0" w:space="0" w:color="auto"/>
        <w:left w:val="none" w:sz="0" w:space="0" w:color="auto"/>
        <w:bottom w:val="none" w:sz="0" w:space="0" w:color="auto"/>
        <w:right w:val="none" w:sz="0" w:space="0" w:color="auto"/>
      </w:divBdr>
    </w:div>
    <w:div w:id="15468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Hqcl1_shared\wbshared\Shared\EXECUTIVE\OSI\Performance%20Management\PROJECTS\REPORTS%20AND%20EVALUATION\PERFORMANCE%20REPORT%202010\OTHER%20CARDS\ILRP%20MASTER%20PM%20CARD.XLSX!FY%2009-10%20Data!R11C4:R15C12" TargetMode="External"/><Relationship Id="rId13" Type="http://schemas.openxmlformats.org/officeDocument/2006/relationships/hyperlink" Target="http://www.waterboards.ca.gov/water_issues/programs/agricultur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file:///\\Hqcl1_shared\wbshared\Shared\EXECUTIVE\OSI\Performance%20Management\PROJECTS\REPORTS%20AND%20EVALUATION\PERFORMANCE%20REPORT%202010\OTHER%20CARDS\ILRP%20MASTER%20PM%20CARD.XLSX!FY%2009-10%20Data!%5bILRP%20MASTER%20PM%20CARD.XLSX%5dFY%2009-10%20Data%20Chart%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file:///\\Hqcl1_shared\wbshared\Shared\EXECUTIVE\OSI\Performance%20Management\PROJECTS\REPORTS%20AND%20EVALUATION\PERFORMANCE%20REPORT%202010\OTHER%20CARDS\ILRP%20MASTER%20PM%20CARD.XLSX!FY%2009-10%20Data!%5bILRP%20MASTER%20PM%20CARD.XLSX%5dFY%2009-10%20Data%20Chart%202"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608</Words>
  <Characters>3729</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REGULATE NPDES WASTEWATER</vt:lpstr>
    </vt:vector>
  </TitlesOfParts>
  <Company>SWRCB</Company>
  <LinksUpToDate>false</LinksUpToDate>
  <CharactersWithSpaces>4317</CharactersWithSpaces>
  <SharedDoc>false</SharedDoc>
  <HLinks>
    <vt:vector size="18" baseType="variant">
      <vt:variant>
        <vt:i4>7733326</vt:i4>
      </vt:variant>
      <vt:variant>
        <vt:i4>6</vt:i4>
      </vt:variant>
      <vt:variant>
        <vt:i4>0</vt:i4>
      </vt:variant>
      <vt:variant>
        <vt:i4>5</vt:i4>
      </vt:variant>
      <vt:variant>
        <vt:lpwstr>http://www.waterboards.ca.gov/water_issues/programs/enforcement/</vt:lpwstr>
      </vt:variant>
      <vt:variant>
        <vt:lpwstr/>
      </vt:variant>
      <vt:variant>
        <vt:i4>2097235</vt:i4>
      </vt:variant>
      <vt:variant>
        <vt:i4>3</vt:i4>
      </vt:variant>
      <vt:variant>
        <vt:i4>0</vt:i4>
      </vt:variant>
      <vt:variant>
        <vt:i4>5</vt:i4>
      </vt:variant>
      <vt:variant>
        <vt:lpwstr>http://www.waterboards.ca.gov/water_issues/programs/ciwqs/publicreports.shtml</vt:lpwstr>
      </vt:variant>
      <vt:variant>
        <vt:lpwstr/>
      </vt:variant>
      <vt:variant>
        <vt:i4>131122</vt:i4>
      </vt:variant>
      <vt:variant>
        <vt:i4>0</vt:i4>
      </vt:variant>
      <vt:variant>
        <vt:i4>0</vt:i4>
      </vt:variant>
      <vt:variant>
        <vt:i4>5</vt:i4>
      </vt:variant>
      <vt:variant>
        <vt:lpwstr>http://www.waterboards.ca.gov/water_issues/programs/npdes/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 NPDES WASTEWATER</dc:title>
  <dc:subject/>
  <dc:creator>Rafael Maestu</dc:creator>
  <cp:keywords/>
  <dc:description/>
  <cp:lastModifiedBy>Rafael Maestu</cp:lastModifiedBy>
  <cp:revision>5</cp:revision>
  <cp:lastPrinted>2009-08-18T20:53:00Z</cp:lastPrinted>
  <dcterms:created xsi:type="dcterms:W3CDTF">2010-08-27T02:30:00Z</dcterms:created>
  <dcterms:modified xsi:type="dcterms:W3CDTF">2010-08-27T03:16:00Z</dcterms:modified>
</cp:coreProperties>
</file>