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93A06" w14:textId="3D46A3C0" w:rsidR="001E23CE" w:rsidRPr="001E23CE" w:rsidRDefault="0063517F" w:rsidP="001E23CE">
      <w:pPr>
        <w:pStyle w:val="Heading1"/>
        <w:rPr>
          <w:rFonts w:ascii="Arial" w:hAnsi="Arial" w:cs="Arial"/>
          <w:b/>
          <w:bCs/>
          <w:color w:val="auto"/>
          <w:sz w:val="24"/>
          <w:szCs w:val="24"/>
        </w:rPr>
      </w:pPr>
      <w:r w:rsidRPr="001E23CE">
        <w:rPr>
          <w:rFonts w:ascii="Arial" w:hAnsi="Arial" w:cs="Arial"/>
          <w:b/>
          <w:bCs/>
          <w:color w:val="auto"/>
          <w:sz w:val="24"/>
          <w:szCs w:val="24"/>
        </w:rPr>
        <w:t xml:space="preserve">Proposed </w:t>
      </w:r>
      <w:r w:rsidR="00FB3C47" w:rsidRPr="001E23CE">
        <w:rPr>
          <w:rFonts w:ascii="Arial" w:hAnsi="Arial" w:cs="Arial"/>
          <w:b/>
          <w:bCs/>
          <w:color w:val="auto"/>
          <w:sz w:val="24"/>
          <w:szCs w:val="24"/>
        </w:rPr>
        <w:t xml:space="preserve">2022 </w:t>
      </w:r>
      <w:r w:rsidRPr="001E23CE">
        <w:rPr>
          <w:rFonts w:ascii="Arial" w:hAnsi="Arial" w:cs="Arial"/>
          <w:b/>
          <w:bCs/>
          <w:color w:val="auto"/>
          <w:sz w:val="24"/>
          <w:szCs w:val="24"/>
        </w:rPr>
        <w:t>Construction Stormwater General Permit</w:t>
      </w:r>
      <w:r w:rsidR="00FB3C47" w:rsidRPr="001E23CE">
        <w:rPr>
          <w:rFonts w:ascii="Arial" w:hAnsi="Arial" w:cs="Arial"/>
          <w:b/>
          <w:bCs/>
          <w:color w:val="auto"/>
          <w:sz w:val="24"/>
          <w:szCs w:val="24"/>
        </w:rPr>
        <w:t xml:space="preserve"> – Change Sheet #2</w:t>
      </w:r>
      <w:r w:rsidR="001E23CE">
        <w:rPr>
          <w:rFonts w:ascii="Arial" w:hAnsi="Arial" w:cs="Arial"/>
          <w:b/>
          <w:bCs/>
          <w:color w:val="auto"/>
          <w:sz w:val="24"/>
          <w:szCs w:val="24"/>
        </w:rPr>
        <w:br/>
      </w:r>
    </w:p>
    <w:p w14:paraId="75534A2E" w14:textId="17C78F12" w:rsidR="00673747" w:rsidRDefault="00673747" w:rsidP="00B546E4">
      <w:pPr>
        <w:spacing w:after="120"/>
        <w:ind w:left="-180"/>
      </w:pPr>
      <w:r>
        <w:t>Order, Section VI.O, page 46</w:t>
      </w:r>
      <w:r w:rsidR="003232BC">
        <w:t xml:space="preserve"> – add new section as follows:</w:t>
      </w:r>
    </w:p>
    <w:p w14:paraId="69090BC3" w14:textId="10910BF3" w:rsidR="003232BC" w:rsidRPr="003232BC" w:rsidRDefault="003232BC" w:rsidP="00E470F8">
      <w:pPr>
        <w:spacing w:after="360"/>
        <w:ind w:left="807" w:hanging="994"/>
      </w:pPr>
      <w:r>
        <w:rPr>
          <w:b/>
          <w:bCs/>
          <w:u w:val="single"/>
        </w:rPr>
        <w:t>VI.O.4.</w:t>
      </w:r>
      <w:r>
        <w:tab/>
      </w:r>
      <w:r w:rsidR="00B515D8" w:rsidRPr="00B515D8">
        <w:rPr>
          <w:b/>
          <w:bCs/>
          <w:u w:val="single"/>
        </w:rPr>
        <w:t xml:space="preserve">This General Permit may be reopened </w:t>
      </w:r>
      <w:r w:rsidR="0078303C">
        <w:rPr>
          <w:b/>
          <w:bCs/>
          <w:u w:val="single"/>
        </w:rPr>
        <w:t>before</w:t>
      </w:r>
      <w:r w:rsidR="00C478B4" w:rsidRPr="00B515D8">
        <w:rPr>
          <w:b/>
          <w:bCs/>
          <w:u w:val="single"/>
        </w:rPr>
        <w:t xml:space="preserve"> March 23, 2032</w:t>
      </w:r>
      <w:r w:rsidR="00C478B4">
        <w:rPr>
          <w:b/>
          <w:bCs/>
          <w:u w:val="single"/>
        </w:rPr>
        <w:t xml:space="preserve"> </w:t>
      </w:r>
      <w:r w:rsidR="00B515D8" w:rsidRPr="00B515D8">
        <w:rPr>
          <w:b/>
          <w:bCs/>
          <w:u w:val="single"/>
        </w:rPr>
        <w:t xml:space="preserve">to revise the </w:t>
      </w:r>
      <w:r w:rsidR="000D7D87">
        <w:rPr>
          <w:b/>
          <w:bCs/>
          <w:u w:val="single"/>
        </w:rPr>
        <w:t xml:space="preserve">requirements </w:t>
      </w:r>
      <w:r w:rsidR="005F204F">
        <w:rPr>
          <w:b/>
          <w:bCs/>
          <w:u w:val="single"/>
        </w:rPr>
        <w:t xml:space="preserve">implementing </w:t>
      </w:r>
      <w:r w:rsidR="00553C46" w:rsidRPr="00553C46">
        <w:rPr>
          <w:b/>
          <w:bCs/>
          <w:u w:val="single"/>
        </w:rPr>
        <w:t xml:space="preserve">the Los Angeles and Long Beach Harbor Waters </w:t>
      </w:r>
      <w:r w:rsidR="0015319C">
        <w:rPr>
          <w:b/>
          <w:bCs/>
          <w:u w:val="single"/>
        </w:rPr>
        <w:t xml:space="preserve">TMDL </w:t>
      </w:r>
      <w:r w:rsidR="00553C46" w:rsidRPr="00553C46">
        <w:rPr>
          <w:b/>
          <w:bCs/>
          <w:u w:val="single"/>
        </w:rPr>
        <w:t>for copper, lead, and zinc</w:t>
      </w:r>
      <w:r w:rsidR="00475BA8">
        <w:rPr>
          <w:b/>
          <w:bCs/>
          <w:u w:val="single"/>
        </w:rPr>
        <w:t>,</w:t>
      </w:r>
      <w:r w:rsidR="00FF6ADB">
        <w:rPr>
          <w:b/>
          <w:bCs/>
          <w:u w:val="single"/>
        </w:rPr>
        <w:t xml:space="preserve"> for dischargers that discharge to </w:t>
      </w:r>
      <w:r w:rsidR="00475BA8">
        <w:rPr>
          <w:b/>
          <w:bCs/>
          <w:u w:val="single"/>
        </w:rPr>
        <w:t xml:space="preserve">the </w:t>
      </w:r>
      <w:r w:rsidR="00FF6ADB" w:rsidRPr="004C289D">
        <w:rPr>
          <w:b/>
          <w:bCs/>
          <w:u w:val="single"/>
        </w:rPr>
        <w:t xml:space="preserve">Dominguez Channel or </w:t>
      </w:r>
      <w:r w:rsidR="00475BA8">
        <w:rPr>
          <w:b/>
          <w:bCs/>
          <w:u w:val="single"/>
        </w:rPr>
        <w:t xml:space="preserve">the </w:t>
      </w:r>
      <w:r w:rsidR="00FF6ADB" w:rsidRPr="004C289D">
        <w:rPr>
          <w:b/>
          <w:bCs/>
          <w:u w:val="single"/>
        </w:rPr>
        <w:t>Torrance Lateral Channel</w:t>
      </w:r>
      <w:r w:rsidR="00015531">
        <w:rPr>
          <w:b/>
          <w:bCs/>
          <w:u w:val="single"/>
        </w:rPr>
        <w:t>.</w:t>
      </w:r>
      <w:r w:rsidR="00B515D8" w:rsidRPr="00B515D8">
        <w:rPr>
          <w:b/>
          <w:bCs/>
          <w:u w:val="single"/>
        </w:rPr>
        <w:t xml:space="preserve"> State Water Board staff will work with interested stakeholders to develop a plan to collect additional data </w:t>
      </w:r>
      <w:r w:rsidR="00A5728C">
        <w:rPr>
          <w:b/>
          <w:bCs/>
          <w:u w:val="single"/>
        </w:rPr>
        <w:t>related</w:t>
      </w:r>
      <w:r w:rsidR="00B515D8" w:rsidRPr="00B515D8">
        <w:rPr>
          <w:b/>
          <w:bCs/>
          <w:u w:val="single"/>
        </w:rPr>
        <w:t xml:space="preserve"> to the forthcoming implementation of the </w:t>
      </w:r>
      <w:r w:rsidR="00342F91">
        <w:rPr>
          <w:b/>
          <w:bCs/>
          <w:u w:val="single"/>
        </w:rPr>
        <w:t>100 mg/L TSS numeric effluent limitation</w:t>
      </w:r>
      <w:r w:rsidR="00B515D8" w:rsidRPr="00B515D8">
        <w:rPr>
          <w:b/>
          <w:bCs/>
          <w:u w:val="single"/>
        </w:rPr>
        <w:t>. The State Water Board will evaluate whether th</w:t>
      </w:r>
      <w:r w:rsidR="009A03B0">
        <w:rPr>
          <w:b/>
          <w:bCs/>
          <w:u w:val="single"/>
        </w:rPr>
        <w:t>e</w:t>
      </w:r>
      <w:r w:rsidR="00B515D8" w:rsidRPr="00B515D8">
        <w:rPr>
          <w:b/>
          <w:bCs/>
          <w:u w:val="single"/>
        </w:rPr>
        <w:t xml:space="preserve"> additional data and other available information warrants </w:t>
      </w:r>
      <w:r w:rsidR="00B515D8" w:rsidRPr="2D9637A0">
        <w:rPr>
          <w:b/>
          <w:bCs/>
          <w:u w:val="single"/>
        </w:rPr>
        <w:t>revis</w:t>
      </w:r>
      <w:r w:rsidR="00DF28F0" w:rsidRPr="2D9637A0">
        <w:rPr>
          <w:b/>
          <w:bCs/>
          <w:u w:val="single"/>
        </w:rPr>
        <w:t>ing</w:t>
      </w:r>
      <w:r w:rsidR="00B515D8" w:rsidRPr="00B515D8">
        <w:rPr>
          <w:b/>
          <w:bCs/>
          <w:u w:val="single"/>
        </w:rPr>
        <w:t xml:space="preserve"> the 100 mg/L TSS </w:t>
      </w:r>
      <w:r w:rsidR="00480114">
        <w:rPr>
          <w:b/>
          <w:bCs/>
          <w:u w:val="single"/>
        </w:rPr>
        <w:t>numeric effluent limitation</w:t>
      </w:r>
      <w:r w:rsidR="00B515D8" w:rsidRPr="00B515D8">
        <w:rPr>
          <w:b/>
          <w:bCs/>
          <w:u w:val="single"/>
        </w:rPr>
        <w:t xml:space="preserve"> for </w:t>
      </w:r>
      <w:r w:rsidR="00333986">
        <w:rPr>
          <w:b/>
          <w:bCs/>
          <w:u w:val="single"/>
        </w:rPr>
        <w:t xml:space="preserve">Los Angeles and Long Beach Harbor Waters TMDL for </w:t>
      </w:r>
      <w:r w:rsidR="00B515D8" w:rsidRPr="00B515D8">
        <w:rPr>
          <w:b/>
          <w:bCs/>
          <w:u w:val="single"/>
        </w:rPr>
        <w:t xml:space="preserve">copper, lead, and zinc at a </w:t>
      </w:r>
      <w:r w:rsidR="00980B92" w:rsidRPr="00B515D8">
        <w:rPr>
          <w:b/>
          <w:bCs/>
          <w:u w:val="single"/>
        </w:rPr>
        <w:t>publicly noticed</w:t>
      </w:r>
      <w:r w:rsidR="00B515D8" w:rsidRPr="00B515D8">
        <w:rPr>
          <w:b/>
          <w:bCs/>
          <w:u w:val="single"/>
        </w:rPr>
        <w:t xml:space="preserve"> Board meeting</w:t>
      </w:r>
      <w:r w:rsidR="00D074B8">
        <w:rPr>
          <w:b/>
          <w:bCs/>
          <w:u w:val="single"/>
        </w:rPr>
        <w:t xml:space="preserve"> </w:t>
      </w:r>
      <w:r w:rsidR="005D5E99">
        <w:rPr>
          <w:b/>
          <w:bCs/>
          <w:u w:val="single"/>
        </w:rPr>
        <w:t>no later than</w:t>
      </w:r>
      <w:r w:rsidR="00D074B8">
        <w:rPr>
          <w:b/>
          <w:bCs/>
          <w:u w:val="single"/>
        </w:rPr>
        <w:t xml:space="preserve"> </w:t>
      </w:r>
      <w:r w:rsidR="00D76986">
        <w:rPr>
          <w:b/>
          <w:bCs/>
          <w:u w:val="single"/>
        </w:rPr>
        <w:t>August 31</w:t>
      </w:r>
      <w:r w:rsidR="00647781">
        <w:rPr>
          <w:b/>
          <w:bCs/>
          <w:u w:val="single"/>
        </w:rPr>
        <w:t xml:space="preserve">, </w:t>
      </w:r>
      <w:r w:rsidR="00161ECF">
        <w:rPr>
          <w:b/>
          <w:bCs/>
          <w:u w:val="single"/>
        </w:rPr>
        <w:t>2028</w:t>
      </w:r>
      <w:r w:rsidR="00B515D8" w:rsidRPr="00B515D8">
        <w:rPr>
          <w:b/>
          <w:bCs/>
          <w:u w:val="single"/>
        </w:rPr>
        <w:t>.</w:t>
      </w:r>
    </w:p>
    <w:p w14:paraId="60B9E43D" w14:textId="1F5F9503" w:rsidR="00A42E1B" w:rsidRDefault="00A42E1B" w:rsidP="00B546E4">
      <w:pPr>
        <w:spacing w:after="120"/>
        <w:ind w:left="-180"/>
      </w:pPr>
      <w:r>
        <w:t>Attachment B, page B-</w:t>
      </w:r>
      <w:r w:rsidR="00F46C8C">
        <w:t xml:space="preserve">11 </w:t>
      </w:r>
      <w:r w:rsidR="003A53C4">
        <w:t>–</w:t>
      </w:r>
      <w:r w:rsidR="00F46C8C">
        <w:t xml:space="preserve"> revise</w:t>
      </w:r>
      <w:r w:rsidR="003A53C4">
        <w:t xml:space="preserve"> the </w:t>
      </w:r>
      <w:r w:rsidR="00655B27">
        <w:t>“Qualifying Precipitation Event” definition as follows:</w:t>
      </w:r>
    </w:p>
    <w:p w14:paraId="29950B3C" w14:textId="77777777" w:rsidR="00125CD8" w:rsidRPr="00125CD8" w:rsidRDefault="00125CD8" w:rsidP="00125CD8">
      <w:pPr>
        <w:spacing w:after="120"/>
        <w:ind w:left="-180"/>
        <w:rPr>
          <w:b/>
          <w:bCs/>
        </w:rPr>
      </w:pPr>
      <w:r w:rsidRPr="00125CD8">
        <w:rPr>
          <w:b/>
          <w:bCs/>
        </w:rPr>
        <w:t>Qualifying Precipitation Event</w:t>
      </w:r>
    </w:p>
    <w:p w14:paraId="55DCBDD5" w14:textId="61EE8265" w:rsidR="00125CD8" w:rsidRPr="00125CD8" w:rsidRDefault="00125CD8" w:rsidP="007D7427">
      <w:pPr>
        <w:tabs>
          <w:tab w:val="left" w:pos="1710"/>
        </w:tabs>
        <w:spacing w:after="360"/>
        <w:ind w:left="-187"/>
      </w:pPr>
      <w:r w:rsidRPr="00125CD8">
        <w:t>Qualifying precipitation event is any weather pattern that is forecast to have a 50 percent or greater Probability of Precipitation (</w:t>
      </w:r>
      <w:proofErr w:type="spellStart"/>
      <w:r w:rsidRPr="00125CD8">
        <w:t>PoP</w:t>
      </w:r>
      <w:proofErr w:type="spellEnd"/>
      <w:r w:rsidRPr="00125CD8">
        <w:t xml:space="preserve">) and a Quantitative Precipitation Forecast (QPF) of 0.5 inches or more within a 24-hour period. The event begins with the 24-hour period when 0.5 inches has been forecast and </w:t>
      </w:r>
      <w:proofErr w:type="gramStart"/>
      <w:r w:rsidRPr="00125CD8">
        <w:t>continues on</w:t>
      </w:r>
      <w:proofErr w:type="gramEnd"/>
      <w:r w:rsidRPr="00125CD8">
        <w:t xml:space="preserve"> subsequent 24-hour periods when 0.25 inches of precipitation or more is forecast. </w:t>
      </w:r>
      <w:r w:rsidRPr="00581F3D">
        <w:rPr>
          <w:b/>
          <w:bCs/>
          <w:strike/>
        </w:rPr>
        <w:t>The precipitation event ends when there are two sequential 24-hour periods with less than 0.25 inches of precipitation forecast for each period.</w:t>
      </w:r>
      <w:r w:rsidRPr="00125CD8">
        <w:t xml:space="preserve"> </w:t>
      </w:r>
    </w:p>
    <w:p w14:paraId="1A769252" w14:textId="1751B5AF" w:rsidR="000A1E29" w:rsidRDefault="004E36DC" w:rsidP="00B546E4">
      <w:pPr>
        <w:spacing w:after="120"/>
        <w:ind w:left="-180"/>
      </w:pPr>
      <w:r>
        <w:t>Attachment D</w:t>
      </w:r>
      <w:r w:rsidR="005629B9">
        <w:t>, Section III.C</w:t>
      </w:r>
      <w:r w:rsidR="001A7164">
        <w:t>.1</w:t>
      </w:r>
      <w:r w:rsidR="00C65637">
        <w:t xml:space="preserve">, </w:t>
      </w:r>
      <w:r w:rsidR="006C17E2">
        <w:t>page D-8</w:t>
      </w:r>
      <w:r w:rsidR="00702B2E">
        <w:t xml:space="preserve"> – revise the section as follows:</w:t>
      </w:r>
      <w:r w:rsidR="005C0711">
        <w:t xml:space="preserve"> </w:t>
      </w:r>
      <w:r w:rsidR="000A1E29" w:rsidRPr="00E067A6">
        <w:t xml:space="preserve"> </w:t>
      </w:r>
    </w:p>
    <w:p w14:paraId="4EC35E92" w14:textId="2CBFCE41" w:rsidR="00324918" w:rsidRDefault="000E79D2" w:rsidP="009A044A">
      <w:pPr>
        <w:spacing w:after="360"/>
        <w:ind w:left="720" w:hanging="907"/>
      </w:pPr>
      <w:r>
        <w:t>III.C.1</w:t>
      </w:r>
      <w:r w:rsidR="00495D52">
        <w:t xml:space="preserve"> </w:t>
      </w:r>
      <w:r w:rsidR="00495D52">
        <w:tab/>
      </w:r>
      <w:r w:rsidR="00324918">
        <w:t>Dischargers shall perform visual inspections, based on their Risk Level, in accordance with Table 2 below. The purpose of visual inspections is</w:t>
      </w:r>
      <w:r w:rsidR="00324918" w:rsidRPr="007D7427">
        <w:rPr>
          <w:b/>
          <w:strike/>
        </w:rPr>
        <w:t>,</w:t>
      </w:r>
      <w:r w:rsidR="00324918">
        <w:t xml:space="preserve"> to identify and record BMPs that need maintenance to operate effectively, that have failed, or that could fail to operate as intended. </w:t>
      </w:r>
      <w:r w:rsidR="00851CA6">
        <w:rPr>
          <w:b/>
          <w:bCs/>
          <w:u w:val="single"/>
        </w:rPr>
        <w:t xml:space="preserve">Except as specified in Section III.C.3 below, </w:t>
      </w:r>
      <w:proofErr w:type="spellStart"/>
      <w:r w:rsidR="00FA4DE4">
        <w:rPr>
          <w:b/>
          <w:bCs/>
          <w:u w:val="single"/>
        </w:rPr>
        <w:t>i</w:t>
      </w:r>
      <w:r w:rsidR="00324918" w:rsidRPr="00FA4DE4">
        <w:rPr>
          <w:b/>
          <w:strike/>
        </w:rPr>
        <w:t>I</w:t>
      </w:r>
      <w:r w:rsidR="00324918">
        <w:t>nspectors</w:t>
      </w:r>
      <w:proofErr w:type="spellEnd"/>
      <w:r w:rsidR="00324918">
        <w:t xml:space="preserve"> shall be the Q</w:t>
      </w:r>
      <w:r w:rsidR="00311EFC" w:rsidRPr="00311EFC">
        <w:rPr>
          <w:b/>
          <w:bCs/>
          <w:u w:val="single"/>
        </w:rPr>
        <w:t>ualified</w:t>
      </w:r>
      <w:r w:rsidR="00311EFC">
        <w:t xml:space="preserve"> </w:t>
      </w:r>
      <w:r w:rsidR="00324918">
        <w:t>S</w:t>
      </w:r>
      <w:r w:rsidR="00311EFC" w:rsidRPr="00311EFC">
        <w:rPr>
          <w:b/>
          <w:bCs/>
          <w:u w:val="single"/>
        </w:rPr>
        <w:t>WPPP</w:t>
      </w:r>
      <w:r w:rsidR="00311EFC">
        <w:t xml:space="preserve"> </w:t>
      </w:r>
      <w:r w:rsidR="00324918">
        <w:t>D</w:t>
      </w:r>
      <w:r w:rsidR="00311EFC" w:rsidRPr="00311EFC">
        <w:rPr>
          <w:b/>
          <w:bCs/>
          <w:u w:val="single"/>
        </w:rPr>
        <w:t>eveloper</w:t>
      </w:r>
      <w:r w:rsidR="00324918">
        <w:t>, Q</w:t>
      </w:r>
      <w:r w:rsidR="00311EFC" w:rsidRPr="00311EFC">
        <w:rPr>
          <w:b/>
          <w:bCs/>
          <w:u w:val="single"/>
        </w:rPr>
        <w:t>ualified</w:t>
      </w:r>
      <w:r w:rsidR="00311EFC">
        <w:t xml:space="preserve"> </w:t>
      </w:r>
      <w:r w:rsidR="00324918">
        <w:t>S</w:t>
      </w:r>
      <w:r w:rsidR="00311EFC" w:rsidRPr="00311EFC">
        <w:rPr>
          <w:b/>
          <w:bCs/>
          <w:u w:val="single"/>
        </w:rPr>
        <w:t>WPPP</w:t>
      </w:r>
      <w:r w:rsidR="00311EFC">
        <w:t xml:space="preserve"> </w:t>
      </w:r>
      <w:r w:rsidR="00324918">
        <w:t>P</w:t>
      </w:r>
      <w:r w:rsidR="00311EFC" w:rsidRPr="00311EFC">
        <w:rPr>
          <w:b/>
          <w:bCs/>
          <w:u w:val="single"/>
        </w:rPr>
        <w:t>ractitioner</w:t>
      </w:r>
      <w:r w:rsidR="00324918">
        <w:t>, or be trained by the Q</w:t>
      </w:r>
      <w:r w:rsidR="00311EFC" w:rsidRPr="00311EFC">
        <w:rPr>
          <w:b/>
          <w:bCs/>
          <w:u w:val="single"/>
        </w:rPr>
        <w:t>ualified</w:t>
      </w:r>
      <w:r w:rsidR="00311EFC">
        <w:t xml:space="preserve"> </w:t>
      </w:r>
      <w:r w:rsidR="00324918">
        <w:t>S</w:t>
      </w:r>
      <w:r w:rsidR="00311EFC" w:rsidRPr="00311EFC">
        <w:rPr>
          <w:b/>
          <w:bCs/>
          <w:u w:val="single"/>
        </w:rPr>
        <w:t>WPPP</w:t>
      </w:r>
      <w:r w:rsidR="00311EFC">
        <w:t xml:space="preserve"> </w:t>
      </w:r>
      <w:r w:rsidR="00324918">
        <w:t>P</w:t>
      </w:r>
      <w:r w:rsidR="00311EFC" w:rsidRPr="00311EFC">
        <w:rPr>
          <w:b/>
          <w:bCs/>
          <w:u w:val="single"/>
        </w:rPr>
        <w:t>ractitioner</w:t>
      </w:r>
      <w:r w:rsidR="00324918">
        <w:t>.</w:t>
      </w:r>
    </w:p>
    <w:p w14:paraId="56B0BD6B" w14:textId="3DA62813" w:rsidR="006E3BF0" w:rsidRDefault="001A7164" w:rsidP="00324918">
      <w:pPr>
        <w:spacing w:after="120"/>
        <w:ind w:left="720" w:hanging="900"/>
      </w:pPr>
      <w:r>
        <w:t xml:space="preserve">Attachment D, Section III.C.2, page D-8 – </w:t>
      </w:r>
      <w:r w:rsidR="00AC7667">
        <w:t>revised</w:t>
      </w:r>
      <w:r>
        <w:t xml:space="preserve"> section as follows:</w:t>
      </w:r>
    </w:p>
    <w:p w14:paraId="4D0AF0FB" w14:textId="36BF9374" w:rsidR="006141FD" w:rsidRPr="006141FD" w:rsidRDefault="006141FD" w:rsidP="006141FD">
      <w:pPr>
        <w:spacing w:before="120" w:after="360" w:line="240" w:lineRule="auto"/>
        <w:ind w:left="720" w:hanging="907"/>
        <w:rPr>
          <w:rFonts w:eastAsia="Times New Roman" w:cs="Times New Roman"/>
          <w:szCs w:val="24"/>
        </w:rPr>
      </w:pPr>
      <w:r w:rsidRPr="006141FD">
        <w:rPr>
          <w:rFonts w:eastAsia="Times New Roman" w:cs="Times New Roman"/>
          <w:szCs w:val="24"/>
        </w:rPr>
        <w:t>III.C.2.</w:t>
      </w:r>
      <w:r w:rsidRPr="006141FD">
        <w:rPr>
          <w:rFonts w:eastAsia="Times New Roman" w:cs="Times New Roman"/>
          <w:szCs w:val="24"/>
        </w:rPr>
        <w:tab/>
        <w:t xml:space="preserve">Dischargers shall conduct weekly visual inspections to ensure that BMPs are properly installed and maintained. </w:t>
      </w:r>
      <w:r w:rsidR="001A77E1" w:rsidRPr="00C05905">
        <w:rPr>
          <w:rFonts w:eastAsia="Times New Roman" w:cs="Times New Roman"/>
          <w:b/>
          <w:bCs/>
          <w:szCs w:val="24"/>
          <w:u w:val="single"/>
        </w:rPr>
        <w:t>A p</w:t>
      </w:r>
      <w:r w:rsidRPr="006141FD">
        <w:rPr>
          <w:rFonts w:eastAsia="Times New Roman" w:cs="Times New Roman"/>
          <w:b/>
          <w:bCs/>
          <w:szCs w:val="24"/>
          <w:u w:val="single"/>
        </w:rPr>
        <w:t xml:space="preserve">re-, during, </w:t>
      </w:r>
      <w:r w:rsidR="00C05905">
        <w:rPr>
          <w:rFonts w:eastAsia="Times New Roman" w:cs="Times New Roman"/>
          <w:b/>
          <w:bCs/>
          <w:szCs w:val="24"/>
          <w:u w:val="single"/>
        </w:rPr>
        <w:t>or</w:t>
      </w:r>
      <w:r w:rsidRPr="006141FD">
        <w:rPr>
          <w:rFonts w:eastAsia="Times New Roman" w:cs="Times New Roman"/>
          <w:b/>
          <w:bCs/>
          <w:szCs w:val="24"/>
          <w:u w:val="single"/>
        </w:rPr>
        <w:t xml:space="preserve"> post-qualifying precipitation event inspection </w:t>
      </w:r>
      <w:r w:rsidR="00C05905">
        <w:rPr>
          <w:rFonts w:eastAsia="Times New Roman" w:cs="Times New Roman"/>
          <w:b/>
          <w:bCs/>
          <w:szCs w:val="24"/>
          <w:u w:val="single"/>
        </w:rPr>
        <w:t xml:space="preserve">satisfies </w:t>
      </w:r>
      <w:r w:rsidRPr="006141FD">
        <w:rPr>
          <w:rFonts w:eastAsia="Times New Roman" w:cs="Times New Roman"/>
          <w:b/>
          <w:bCs/>
          <w:szCs w:val="24"/>
          <w:u w:val="single"/>
        </w:rPr>
        <w:t>the weekly visual inspection</w:t>
      </w:r>
      <w:r w:rsidR="00C05905" w:rsidRPr="00C05905">
        <w:rPr>
          <w:rFonts w:eastAsia="Times New Roman" w:cs="Times New Roman"/>
          <w:b/>
          <w:bCs/>
          <w:szCs w:val="24"/>
          <w:u w:val="single"/>
        </w:rPr>
        <w:t xml:space="preserve"> </w:t>
      </w:r>
      <w:r w:rsidR="00C05905" w:rsidRPr="006141FD">
        <w:rPr>
          <w:rFonts w:eastAsia="Times New Roman" w:cs="Times New Roman"/>
          <w:b/>
          <w:bCs/>
          <w:szCs w:val="24"/>
          <w:u w:val="single"/>
        </w:rPr>
        <w:t>require</w:t>
      </w:r>
      <w:r w:rsidR="00C05905">
        <w:rPr>
          <w:rFonts w:eastAsia="Times New Roman" w:cs="Times New Roman"/>
          <w:b/>
          <w:bCs/>
          <w:szCs w:val="24"/>
          <w:u w:val="single"/>
        </w:rPr>
        <w:t>ment</w:t>
      </w:r>
      <w:r w:rsidRPr="00C05905">
        <w:rPr>
          <w:rFonts w:eastAsia="Times New Roman" w:cs="Times New Roman"/>
          <w:b/>
          <w:bCs/>
          <w:szCs w:val="24"/>
          <w:u w:val="single"/>
        </w:rPr>
        <w:t>.</w:t>
      </w:r>
    </w:p>
    <w:p w14:paraId="4C3F0E24" w14:textId="3E97EB39" w:rsidR="00CB07CC" w:rsidRDefault="00CB07CC" w:rsidP="001301C0">
      <w:pPr>
        <w:keepNext/>
        <w:spacing w:after="120"/>
        <w:ind w:left="720" w:hanging="907"/>
      </w:pPr>
      <w:r>
        <w:lastRenderedPageBreak/>
        <w:t xml:space="preserve">Attachment D, Section III.C.4, page D-9 – revise the sections as follows: </w:t>
      </w:r>
    </w:p>
    <w:p w14:paraId="78B7695B" w14:textId="6D1D9248" w:rsidR="00FB6FC2" w:rsidRDefault="00FB6FC2" w:rsidP="00230CEA">
      <w:pPr>
        <w:spacing w:after="360"/>
        <w:ind w:left="720" w:hanging="907"/>
        <w:rPr>
          <w:b/>
          <w:strike/>
        </w:rPr>
      </w:pPr>
      <w:r w:rsidRPr="00BB3B45">
        <w:t>III.C.4.</w:t>
      </w:r>
      <w:r w:rsidRPr="00BB3B45">
        <w:tab/>
        <w:t xml:space="preserve">Dischargers shall conduct visual inspections at least once every 24-hour period during Qualifying Precipitation Events. Qualifying Precipitation Events are extended for each subsequent 24-hour period forecast to have at least </w:t>
      </w:r>
      <w:r w:rsidR="00F66FBA">
        <w:br/>
      </w:r>
      <w:r w:rsidRPr="00BB3B45">
        <w:t xml:space="preserve">0.25 inches of precipitation. </w:t>
      </w:r>
      <w:r w:rsidR="00890D77" w:rsidRPr="001B3C0A">
        <w:rPr>
          <w:b/>
          <w:strike/>
        </w:rPr>
        <w:t xml:space="preserve">The Qualifying Precipitation Event ends when there are two consecutive 24-hour periods of less than 0.25 inches of precipitation forecast. </w:t>
      </w:r>
      <w:r w:rsidRPr="001B3C0A">
        <w:rPr>
          <w:b/>
          <w:strike/>
        </w:rPr>
        <w:t>The QSP shall check the National Weather Service forecast at least once per day during the entire Qualifying Precipitation Event.</w:t>
      </w:r>
    </w:p>
    <w:p w14:paraId="3EB383CC" w14:textId="7C815598" w:rsidR="001F229C" w:rsidRDefault="001F229C" w:rsidP="001F229C">
      <w:pPr>
        <w:keepNext/>
        <w:spacing w:after="120"/>
        <w:ind w:left="720" w:hanging="907"/>
      </w:pPr>
      <w:r>
        <w:t xml:space="preserve">Attachment D, Section III.C.5, page D-9 – revise the sections as follows: </w:t>
      </w:r>
    </w:p>
    <w:p w14:paraId="739E867F" w14:textId="1CBA6F7C" w:rsidR="005C0711" w:rsidRDefault="005C0711" w:rsidP="00230CEA">
      <w:pPr>
        <w:spacing w:after="360"/>
        <w:ind w:left="720" w:hanging="907"/>
      </w:pPr>
      <w:r w:rsidRPr="00BB3B45">
        <w:t>III.C.5.</w:t>
      </w:r>
      <w:r w:rsidRPr="00BB3B45">
        <w:tab/>
        <w:t xml:space="preserve">Dischargers shall conduct post-Qualifying Precipitation Event visual inspections within 96 hours after each </w:t>
      </w:r>
      <w:r>
        <w:t>Q</w:t>
      </w:r>
      <w:r w:rsidRPr="00BB3B45">
        <w:t xml:space="preserve">ualifying </w:t>
      </w:r>
      <w:r>
        <w:t>P</w:t>
      </w:r>
      <w:r w:rsidRPr="00BB3B45">
        <w:t xml:space="preserve">recipitation </w:t>
      </w:r>
      <w:r>
        <w:t>E</w:t>
      </w:r>
      <w:r w:rsidRPr="00BB3B45">
        <w:t>vent</w:t>
      </w:r>
      <w:r w:rsidR="008C7029">
        <w:t xml:space="preserve"> </w:t>
      </w:r>
      <w:r w:rsidR="00035561">
        <w:rPr>
          <w:b/>
          <w:bCs/>
          <w:u w:val="single"/>
        </w:rPr>
        <w:t xml:space="preserve">if </w:t>
      </w:r>
      <w:r w:rsidR="00035561" w:rsidRPr="00D444ED">
        <w:rPr>
          <w:rFonts w:cs="Arial"/>
          <w:b/>
          <w:szCs w:val="24"/>
          <w:u w:val="single"/>
        </w:rPr>
        <w:t>0.</w:t>
      </w:r>
      <w:r w:rsidR="00035561">
        <w:rPr>
          <w:rFonts w:cs="Arial"/>
          <w:b/>
          <w:szCs w:val="24"/>
          <w:u w:val="single"/>
        </w:rPr>
        <w:t>5</w:t>
      </w:r>
      <w:r w:rsidR="00035561" w:rsidRPr="00D444ED">
        <w:rPr>
          <w:rFonts w:cs="Arial"/>
          <w:b/>
          <w:szCs w:val="24"/>
          <w:u w:val="single"/>
        </w:rPr>
        <w:t xml:space="preserve"> inches </w:t>
      </w:r>
      <w:r w:rsidR="00035561">
        <w:rPr>
          <w:rFonts w:cs="Arial"/>
          <w:b/>
          <w:szCs w:val="24"/>
          <w:u w:val="single"/>
        </w:rPr>
        <w:t xml:space="preserve">or more precipitation is measured </w:t>
      </w:r>
      <w:r w:rsidR="00197DA5">
        <w:rPr>
          <w:rFonts w:cs="Arial"/>
          <w:b/>
          <w:szCs w:val="24"/>
          <w:u w:val="single"/>
        </w:rPr>
        <w:t xml:space="preserve">during the duration </w:t>
      </w:r>
      <w:r w:rsidR="008F5ED7">
        <w:rPr>
          <w:rFonts w:cs="Arial"/>
          <w:b/>
          <w:szCs w:val="24"/>
          <w:u w:val="single"/>
        </w:rPr>
        <w:t xml:space="preserve">of </w:t>
      </w:r>
      <w:r w:rsidR="008F5ED7" w:rsidRPr="006172FE">
        <w:rPr>
          <w:b/>
          <w:bCs/>
          <w:u w:val="single"/>
        </w:rPr>
        <w:t>the Qualifying Precipitation Event</w:t>
      </w:r>
      <w:r w:rsidR="008F5ED7" w:rsidRPr="00D444ED">
        <w:rPr>
          <w:rFonts w:cs="Arial"/>
          <w:b/>
          <w:szCs w:val="24"/>
          <w:u w:val="single"/>
        </w:rPr>
        <w:t xml:space="preserve"> </w:t>
      </w:r>
      <w:r w:rsidR="00035561" w:rsidRPr="00D444ED">
        <w:rPr>
          <w:rFonts w:cs="Arial"/>
          <w:b/>
          <w:szCs w:val="24"/>
          <w:u w:val="single"/>
        </w:rPr>
        <w:t>using the onsite rain gauge</w:t>
      </w:r>
      <w:r w:rsidRPr="00BB3B45">
        <w:t xml:space="preserve">. </w:t>
      </w:r>
      <w:r w:rsidR="008B6663" w:rsidRPr="00D444ED">
        <w:rPr>
          <w:b/>
          <w:strike/>
        </w:rPr>
        <w:t>The 96-hour time frame may include the two consecutive 24-hour periods with less than 0.25 inches forecast, which mark the end of the precipitation event.</w:t>
      </w:r>
      <w:r w:rsidR="008B6663" w:rsidRPr="00D444ED">
        <w:rPr>
          <w:strike/>
        </w:rPr>
        <w:t xml:space="preserve"> </w:t>
      </w:r>
    </w:p>
    <w:p w14:paraId="585C2B79" w14:textId="23D46C2B" w:rsidR="00F500F7" w:rsidRDefault="00F500F7" w:rsidP="009A044A">
      <w:pPr>
        <w:keepNext/>
        <w:keepLines/>
        <w:spacing w:after="120"/>
        <w:ind w:left="-187"/>
      </w:pPr>
      <w:r>
        <w:t xml:space="preserve">Attachment </w:t>
      </w:r>
      <w:r w:rsidR="00FE7B54">
        <w:t>E</w:t>
      </w:r>
      <w:r>
        <w:t xml:space="preserve">, Section III.C.1, page </w:t>
      </w:r>
      <w:r w:rsidR="00FE7B54">
        <w:t>E</w:t>
      </w:r>
      <w:r>
        <w:t>-</w:t>
      </w:r>
      <w:r w:rsidR="00FE7B54">
        <w:t>9</w:t>
      </w:r>
      <w:r>
        <w:t xml:space="preserve"> – revise the section as follows: </w:t>
      </w:r>
      <w:r w:rsidRPr="00E067A6">
        <w:t xml:space="preserve"> </w:t>
      </w:r>
    </w:p>
    <w:p w14:paraId="0B569778" w14:textId="21E97514" w:rsidR="00720896" w:rsidRDefault="00F500F7" w:rsidP="009A044A">
      <w:pPr>
        <w:spacing w:after="360"/>
        <w:ind w:left="720" w:hanging="900"/>
      </w:pPr>
      <w:r>
        <w:t xml:space="preserve">III.C.1 </w:t>
      </w:r>
      <w:r>
        <w:tab/>
      </w:r>
      <w:r w:rsidR="00720896">
        <w:t xml:space="preserve">Linear project dischargers shall perform visual inspections, based on their Risk Type, in accordance with Table 2 below. The purpose of the visual inspections is to identify and record BMPs that need maintenance to operate effectively, that have failed, or that could fail to operate as intended. </w:t>
      </w:r>
      <w:r w:rsidR="00DB1E52">
        <w:rPr>
          <w:b/>
          <w:bCs/>
          <w:u w:val="single"/>
        </w:rPr>
        <w:t xml:space="preserve">Except as specified in Section III.C.3 below, </w:t>
      </w:r>
      <w:proofErr w:type="spellStart"/>
      <w:r w:rsidR="00DB1E52">
        <w:rPr>
          <w:b/>
          <w:bCs/>
          <w:u w:val="single"/>
        </w:rPr>
        <w:t>i</w:t>
      </w:r>
      <w:r w:rsidR="00720896" w:rsidRPr="00DB1E52">
        <w:rPr>
          <w:b/>
          <w:strike/>
        </w:rPr>
        <w:t>I</w:t>
      </w:r>
      <w:r w:rsidR="00720896">
        <w:t>nspectors</w:t>
      </w:r>
      <w:proofErr w:type="spellEnd"/>
      <w:r w:rsidR="00720896">
        <w:t xml:space="preserve"> shall be the Qualified SWPPP Developer, </w:t>
      </w:r>
      <w:r w:rsidR="00720896" w:rsidRPr="00A0330C">
        <w:t>Qualified SWPPP Practitioner</w:t>
      </w:r>
      <w:r w:rsidR="00720896">
        <w:t xml:space="preserve">, or be trained by the </w:t>
      </w:r>
      <w:r w:rsidR="001D6DE9" w:rsidRPr="00A0330C">
        <w:t>Qualified SWPPP Practitioner</w:t>
      </w:r>
      <w:r w:rsidR="00720896">
        <w:t>.</w:t>
      </w:r>
    </w:p>
    <w:p w14:paraId="0FA8D756" w14:textId="618FEA34" w:rsidR="00F500F7" w:rsidRDefault="00F500F7" w:rsidP="00F500F7">
      <w:pPr>
        <w:spacing w:after="120"/>
        <w:ind w:left="720" w:hanging="900"/>
      </w:pPr>
      <w:r>
        <w:t xml:space="preserve">Attachment </w:t>
      </w:r>
      <w:r w:rsidR="003A13DA">
        <w:t>E</w:t>
      </w:r>
      <w:r>
        <w:t xml:space="preserve">, Section III.C.2, page </w:t>
      </w:r>
      <w:r w:rsidR="003627FA">
        <w:t>E-9</w:t>
      </w:r>
      <w:r>
        <w:t xml:space="preserve"> – add a section as follows:</w:t>
      </w:r>
    </w:p>
    <w:p w14:paraId="4B4E474C" w14:textId="1B6C0240" w:rsidR="00AA6093" w:rsidRPr="006141FD" w:rsidRDefault="00AA6093" w:rsidP="00AA6093">
      <w:pPr>
        <w:spacing w:before="120" w:after="360" w:line="240" w:lineRule="auto"/>
        <w:ind w:left="720" w:hanging="907"/>
        <w:rPr>
          <w:rFonts w:eastAsia="Times New Roman" w:cs="Times New Roman"/>
          <w:szCs w:val="24"/>
        </w:rPr>
      </w:pPr>
      <w:r w:rsidRPr="006141FD">
        <w:rPr>
          <w:rFonts w:eastAsia="Times New Roman" w:cs="Times New Roman"/>
          <w:szCs w:val="24"/>
        </w:rPr>
        <w:t>III.C.2.</w:t>
      </w:r>
      <w:r w:rsidRPr="006141FD">
        <w:rPr>
          <w:rFonts w:eastAsia="Times New Roman" w:cs="Times New Roman"/>
          <w:szCs w:val="24"/>
        </w:rPr>
        <w:tab/>
        <w:t xml:space="preserve">Dischargers shall conduct weekly visual inspections to ensure that BMPs are properly installed and maintained. </w:t>
      </w:r>
      <w:r w:rsidR="00E4180F" w:rsidRPr="00C05905">
        <w:rPr>
          <w:rFonts w:eastAsia="Times New Roman" w:cs="Times New Roman"/>
          <w:b/>
          <w:bCs/>
          <w:szCs w:val="24"/>
          <w:u w:val="single"/>
        </w:rPr>
        <w:t>A p</w:t>
      </w:r>
      <w:r w:rsidR="00E4180F" w:rsidRPr="006141FD">
        <w:rPr>
          <w:rFonts w:eastAsia="Times New Roman" w:cs="Times New Roman"/>
          <w:b/>
          <w:bCs/>
          <w:szCs w:val="24"/>
          <w:u w:val="single"/>
        </w:rPr>
        <w:t xml:space="preserve">re-, during, </w:t>
      </w:r>
      <w:r w:rsidR="00E4180F">
        <w:rPr>
          <w:rFonts w:eastAsia="Times New Roman" w:cs="Times New Roman"/>
          <w:b/>
          <w:bCs/>
          <w:szCs w:val="24"/>
          <w:u w:val="single"/>
        </w:rPr>
        <w:t>or</w:t>
      </w:r>
      <w:r w:rsidR="00E4180F" w:rsidRPr="006141FD">
        <w:rPr>
          <w:rFonts w:eastAsia="Times New Roman" w:cs="Times New Roman"/>
          <w:b/>
          <w:bCs/>
          <w:szCs w:val="24"/>
          <w:u w:val="single"/>
        </w:rPr>
        <w:t xml:space="preserve"> post-qualifying precipitation event inspection </w:t>
      </w:r>
      <w:r w:rsidR="00E4180F">
        <w:rPr>
          <w:rFonts w:eastAsia="Times New Roman" w:cs="Times New Roman"/>
          <w:b/>
          <w:bCs/>
          <w:szCs w:val="24"/>
          <w:u w:val="single"/>
        </w:rPr>
        <w:t xml:space="preserve">satisfies </w:t>
      </w:r>
      <w:r w:rsidR="00E4180F" w:rsidRPr="006141FD">
        <w:rPr>
          <w:rFonts w:eastAsia="Times New Roman" w:cs="Times New Roman"/>
          <w:b/>
          <w:bCs/>
          <w:szCs w:val="24"/>
          <w:u w:val="single"/>
        </w:rPr>
        <w:t>the weekly visual inspection</w:t>
      </w:r>
      <w:r w:rsidR="00E4180F" w:rsidRPr="00C05905">
        <w:rPr>
          <w:rFonts w:eastAsia="Times New Roman" w:cs="Times New Roman"/>
          <w:b/>
          <w:bCs/>
          <w:szCs w:val="24"/>
          <w:u w:val="single"/>
        </w:rPr>
        <w:t xml:space="preserve"> </w:t>
      </w:r>
      <w:r w:rsidR="00E4180F" w:rsidRPr="006141FD">
        <w:rPr>
          <w:rFonts w:eastAsia="Times New Roman" w:cs="Times New Roman"/>
          <w:b/>
          <w:bCs/>
          <w:szCs w:val="24"/>
          <w:u w:val="single"/>
        </w:rPr>
        <w:t>require</w:t>
      </w:r>
      <w:r w:rsidR="00E4180F">
        <w:rPr>
          <w:rFonts w:eastAsia="Times New Roman" w:cs="Times New Roman"/>
          <w:b/>
          <w:bCs/>
          <w:szCs w:val="24"/>
          <w:u w:val="single"/>
        </w:rPr>
        <w:t>ment</w:t>
      </w:r>
      <w:r w:rsidR="00E4180F" w:rsidRPr="00C05905">
        <w:rPr>
          <w:rFonts w:eastAsia="Times New Roman" w:cs="Times New Roman"/>
          <w:b/>
          <w:bCs/>
          <w:szCs w:val="24"/>
          <w:u w:val="single"/>
        </w:rPr>
        <w:t>.</w:t>
      </w:r>
    </w:p>
    <w:p w14:paraId="1C9BDF27" w14:textId="72EF6D7F" w:rsidR="00F500F7" w:rsidRDefault="00F500F7" w:rsidP="0035564E">
      <w:pPr>
        <w:keepNext/>
        <w:keepLines/>
        <w:spacing w:after="120"/>
        <w:ind w:left="720" w:hanging="907"/>
      </w:pPr>
      <w:r>
        <w:t xml:space="preserve">Attachment </w:t>
      </w:r>
      <w:r w:rsidR="003A13DA">
        <w:t>E</w:t>
      </w:r>
      <w:r>
        <w:t xml:space="preserve">, Section III.C.4, page </w:t>
      </w:r>
      <w:r w:rsidR="003A13DA">
        <w:t>E</w:t>
      </w:r>
      <w:r>
        <w:t>-</w:t>
      </w:r>
      <w:r w:rsidR="00BA7350">
        <w:t>10</w:t>
      </w:r>
      <w:r>
        <w:t xml:space="preserve"> – revise the sections as follows: </w:t>
      </w:r>
    </w:p>
    <w:p w14:paraId="193746EE" w14:textId="2281B44B" w:rsidR="002B6621" w:rsidRDefault="002B6621" w:rsidP="00230CEA">
      <w:pPr>
        <w:spacing w:after="360"/>
        <w:ind w:left="720" w:hanging="907"/>
        <w:rPr>
          <w:b/>
          <w:bCs/>
          <w:strike/>
        </w:rPr>
      </w:pPr>
      <w:r w:rsidRPr="00BB3B45">
        <w:t>III.C.4.</w:t>
      </w:r>
      <w:r w:rsidRPr="00BB3B45">
        <w:tab/>
        <w:t xml:space="preserve">Dischargers shall conduct visual inspections at least once every 24-hour period during Qualifying Precipitation Events. Qualifying Precipitation Events are extended for each subsequent 24-hour period forecast to have at least </w:t>
      </w:r>
      <w:r w:rsidR="00F66FBA">
        <w:br/>
      </w:r>
      <w:r w:rsidRPr="00BB3B45">
        <w:t xml:space="preserve">0.25 inches of precipitation. </w:t>
      </w:r>
      <w:r w:rsidRPr="003A13DA">
        <w:rPr>
          <w:b/>
          <w:bCs/>
          <w:strike/>
        </w:rPr>
        <w:t xml:space="preserve">The Qualifying Precipitation Event ends when there are two consecutive 24-hour periods of less than 0.25 inches of precipitation </w:t>
      </w:r>
      <w:r w:rsidRPr="00044B8E">
        <w:rPr>
          <w:b/>
          <w:bCs/>
          <w:strike/>
        </w:rPr>
        <w:t xml:space="preserve">forecast. </w:t>
      </w:r>
      <w:r w:rsidR="00044B8E" w:rsidRPr="00044B8E">
        <w:rPr>
          <w:b/>
          <w:bCs/>
          <w:strike/>
        </w:rPr>
        <w:t>The QSP</w:t>
      </w:r>
      <w:r w:rsidR="00044B8E" w:rsidRPr="001B3C0A">
        <w:rPr>
          <w:b/>
          <w:bCs/>
          <w:strike/>
        </w:rPr>
        <w:t xml:space="preserve"> shall check the National Weather Service </w:t>
      </w:r>
      <w:r w:rsidR="00044B8E" w:rsidRPr="001B3C0A">
        <w:rPr>
          <w:b/>
          <w:bCs/>
          <w:strike/>
        </w:rPr>
        <w:lastRenderedPageBreak/>
        <w:t>forecast at least once per day during the entire Qualifying Precipitation Event.</w:t>
      </w:r>
    </w:p>
    <w:p w14:paraId="340E07E2" w14:textId="08C49690" w:rsidR="0022405A" w:rsidRDefault="0022405A" w:rsidP="0022405A">
      <w:pPr>
        <w:keepNext/>
        <w:keepLines/>
        <w:spacing w:after="120"/>
        <w:ind w:left="720" w:hanging="907"/>
      </w:pPr>
      <w:r>
        <w:t xml:space="preserve">Attachment E, Section III.C.5, page E-10 – revise the sections as follows: </w:t>
      </w:r>
    </w:p>
    <w:p w14:paraId="16DE5149" w14:textId="325D0D19" w:rsidR="002B6621" w:rsidRDefault="002B6621" w:rsidP="00230CEA">
      <w:pPr>
        <w:spacing w:after="360"/>
        <w:ind w:left="720" w:hanging="907"/>
      </w:pPr>
      <w:r w:rsidRPr="00BB3B45">
        <w:t>III.C.5.</w:t>
      </w:r>
      <w:r w:rsidRPr="00BB3B45">
        <w:tab/>
      </w:r>
      <w:r w:rsidR="00EA37F0" w:rsidRPr="00BB3B45">
        <w:t xml:space="preserve">Dischargers shall conduct post-Qualifying Precipitation Event visual inspections within 96 hours after each </w:t>
      </w:r>
      <w:r w:rsidR="00EA37F0">
        <w:t>Q</w:t>
      </w:r>
      <w:r w:rsidR="00EA37F0" w:rsidRPr="00BB3B45">
        <w:t xml:space="preserve">ualifying </w:t>
      </w:r>
      <w:r w:rsidR="00EA37F0">
        <w:t>P</w:t>
      </w:r>
      <w:r w:rsidR="00EA37F0" w:rsidRPr="00BB3B45">
        <w:t xml:space="preserve">recipitation </w:t>
      </w:r>
      <w:r w:rsidR="00EA37F0">
        <w:t>E</w:t>
      </w:r>
      <w:r w:rsidR="00EA37F0" w:rsidRPr="00BB3B45">
        <w:t>vent</w:t>
      </w:r>
      <w:r w:rsidR="00EA37F0">
        <w:t xml:space="preserve"> </w:t>
      </w:r>
      <w:r w:rsidR="00EA37F0">
        <w:rPr>
          <w:b/>
          <w:bCs/>
          <w:u w:val="single"/>
        </w:rPr>
        <w:t xml:space="preserve">if </w:t>
      </w:r>
      <w:r w:rsidR="00EA37F0" w:rsidRPr="00D444ED">
        <w:rPr>
          <w:rFonts w:cs="Arial"/>
          <w:b/>
          <w:szCs w:val="24"/>
          <w:u w:val="single"/>
        </w:rPr>
        <w:t>0.</w:t>
      </w:r>
      <w:r w:rsidR="00EA37F0">
        <w:rPr>
          <w:rFonts w:cs="Arial"/>
          <w:b/>
          <w:szCs w:val="24"/>
          <w:u w:val="single"/>
        </w:rPr>
        <w:t>5</w:t>
      </w:r>
      <w:r w:rsidR="00EA37F0" w:rsidRPr="00D444ED">
        <w:rPr>
          <w:rFonts w:cs="Arial"/>
          <w:b/>
          <w:szCs w:val="24"/>
          <w:u w:val="single"/>
        </w:rPr>
        <w:t xml:space="preserve"> inches </w:t>
      </w:r>
      <w:r w:rsidR="00EA37F0">
        <w:rPr>
          <w:rFonts w:cs="Arial"/>
          <w:b/>
          <w:szCs w:val="24"/>
          <w:u w:val="single"/>
        </w:rPr>
        <w:t xml:space="preserve">or more precipitation is measured during the duration of </w:t>
      </w:r>
      <w:r w:rsidR="00EA37F0" w:rsidRPr="006172FE">
        <w:rPr>
          <w:b/>
          <w:bCs/>
          <w:u w:val="single"/>
        </w:rPr>
        <w:t>the Qualifying Precipitation Event</w:t>
      </w:r>
      <w:r w:rsidR="00EA37F0" w:rsidRPr="00D444ED">
        <w:rPr>
          <w:rFonts w:cs="Arial"/>
          <w:b/>
          <w:szCs w:val="24"/>
          <w:u w:val="single"/>
        </w:rPr>
        <w:t xml:space="preserve"> using the onsite rain gauge</w:t>
      </w:r>
      <w:r w:rsidR="00EA37F0" w:rsidRPr="00BB3B45">
        <w:t xml:space="preserve">. </w:t>
      </w:r>
    </w:p>
    <w:p w14:paraId="71327787" w14:textId="322A70E6" w:rsidR="00FD39F0" w:rsidRDefault="00FD39F0" w:rsidP="008F5B00">
      <w:pPr>
        <w:keepNext/>
        <w:keepLines/>
        <w:spacing w:after="120"/>
        <w:ind w:left="1253" w:hanging="1440"/>
      </w:pPr>
      <w:r>
        <w:t>Attachment H, Section I.G.5.a, page H-</w:t>
      </w:r>
      <w:r w:rsidR="004E54B6">
        <w:t>59 – revise language as follows:</w:t>
      </w:r>
    </w:p>
    <w:p w14:paraId="34D66832" w14:textId="3C27501E" w:rsidR="004E54B6" w:rsidRDefault="004F74B4" w:rsidP="00CE6DC1">
      <w:pPr>
        <w:keepNext/>
        <w:keepLines/>
        <w:spacing w:after="240"/>
        <w:ind w:left="1253" w:hanging="1440"/>
      </w:pPr>
      <w:r w:rsidRPr="004F74B4">
        <w:t xml:space="preserve">I.G.5.a. </w:t>
      </w:r>
      <w:r w:rsidR="00BC5244">
        <w:tab/>
      </w:r>
      <w:r w:rsidRPr="004F74B4">
        <w:t xml:space="preserve">To comply with the Los Angeles Area Lakes TMDL for chlordane, DDT, dieldrin, and PCBs and, beginning March 23, 2032, the Los Angeles and Long Beach Harbor Waters </w:t>
      </w:r>
      <w:r w:rsidR="00134F37">
        <w:rPr>
          <w:b/>
          <w:bCs/>
          <w:u w:val="single"/>
        </w:rPr>
        <w:t>TMDL</w:t>
      </w:r>
      <w:r w:rsidR="00134F37" w:rsidRPr="00134F37">
        <w:t xml:space="preserve"> </w:t>
      </w:r>
      <w:r w:rsidRPr="004F74B4">
        <w:t xml:space="preserve">for copper, lead, and zinc, </w:t>
      </w:r>
      <w:r w:rsidRPr="007472A4">
        <w:t xml:space="preserve">dischargers </w:t>
      </w:r>
      <w:r w:rsidRPr="009A3C98">
        <w:t xml:space="preserve">that discharge to: 1) Peck Road Park Lake, Echo Park Lake, or Puddingstone Reservoir; or 2) Dominguez Channel or Torrance Lateral Channel </w:t>
      </w:r>
      <w:r w:rsidRPr="004F74B4">
        <w:t>shall use the following soil</w:t>
      </w:r>
      <w:r w:rsidR="00DD1F37">
        <w:t xml:space="preserve"> </w:t>
      </w:r>
      <w:r w:rsidRPr="004F74B4">
        <w:t>screening investigation as part of their pollutant source assessment and comply</w:t>
      </w:r>
      <w:r w:rsidR="00DD1F37">
        <w:t xml:space="preserve"> </w:t>
      </w:r>
      <w:r w:rsidRPr="004F74B4">
        <w:t>with the numeric effluent limitation for TSS, if applicable.</w:t>
      </w:r>
      <w:r w:rsidRPr="004F74B4">
        <w:rPr>
          <w:b/>
          <w:bCs/>
          <w:u w:val="single"/>
        </w:rPr>
        <w:t xml:space="preserve"> </w:t>
      </w:r>
      <w:r w:rsidR="004E54B6">
        <w:rPr>
          <w:b/>
          <w:bCs/>
          <w:u w:val="single"/>
        </w:rPr>
        <w:t xml:space="preserve">As set forth in </w:t>
      </w:r>
      <w:r w:rsidR="004E54B6" w:rsidRPr="004E54B6">
        <w:rPr>
          <w:b/>
          <w:bCs/>
          <w:u w:val="single"/>
        </w:rPr>
        <w:t>Order, Section VI.O</w:t>
      </w:r>
      <w:r w:rsidR="00B77527">
        <w:rPr>
          <w:b/>
          <w:bCs/>
          <w:u w:val="single"/>
        </w:rPr>
        <w:t>.4</w:t>
      </w:r>
      <w:r w:rsidR="004E54B6">
        <w:rPr>
          <w:b/>
          <w:bCs/>
          <w:u w:val="single"/>
        </w:rPr>
        <w:t>, t</w:t>
      </w:r>
      <w:r w:rsidR="004E54B6" w:rsidRPr="00B515D8">
        <w:rPr>
          <w:b/>
          <w:bCs/>
          <w:u w:val="single"/>
        </w:rPr>
        <w:t xml:space="preserve">his General Permit may be reopened </w:t>
      </w:r>
      <w:r w:rsidR="007914EA" w:rsidRPr="00B515D8">
        <w:rPr>
          <w:b/>
          <w:bCs/>
          <w:u w:val="single"/>
        </w:rPr>
        <w:t>prior to March 23, 2032</w:t>
      </w:r>
      <w:r w:rsidR="00CE7AF6">
        <w:rPr>
          <w:b/>
          <w:bCs/>
          <w:u w:val="single"/>
        </w:rPr>
        <w:t>,</w:t>
      </w:r>
      <w:r w:rsidR="007914EA">
        <w:rPr>
          <w:b/>
          <w:bCs/>
          <w:u w:val="single"/>
        </w:rPr>
        <w:t xml:space="preserve"> </w:t>
      </w:r>
      <w:r w:rsidR="004E54B6" w:rsidRPr="00B515D8">
        <w:rPr>
          <w:b/>
          <w:bCs/>
          <w:u w:val="single"/>
        </w:rPr>
        <w:t xml:space="preserve">to revise the </w:t>
      </w:r>
      <w:r w:rsidR="00F66FBA">
        <w:rPr>
          <w:b/>
          <w:bCs/>
          <w:u w:val="single"/>
        </w:rPr>
        <w:br/>
      </w:r>
      <w:r w:rsidR="004E54B6" w:rsidRPr="00B515D8">
        <w:rPr>
          <w:b/>
          <w:bCs/>
          <w:u w:val="single"/>
        </w:rPr>
        <w:t xml:space="preserve">100 mg/L TSS </w:t>
      </w:r>
      <w:r w:rsidR="001D5F4C">
        <w:rPr>
          <w:b/>
          <w:bCs/>
          <w:u w:val="single"/>
        </w:rPr>
        <w:t>numeric effluent limitation</w:t>
      </w:r>
      <w:r w:rsidR="001D5F4C" w:rsidRPr="00B515D8">
        <w:rPr>
          <w:b/>
          <w:bCs/>
          <w:u w:val="single"/>
        </w:rPr>
        <w:t xml:space="preserve"> for </w:t>
      </w:r>
      <w:r w:rsidR="00485A69">
        <w:rPr>
          <w:b/>
          <w:bCs/>
          <w:u w:val="single"/>
        </w:rPr>
        <w:t xml:space="preserve">the </w:t>
      </w:r>
      <w:r w:rsidR="001D5F4C">
        <w:rPr>
          <w:b/>
          <w:bCs/>
          <w:u w:val="single"/>
        </w:rPr>
        <w:t>Los Angeles and Long Beach Harbor Waters TMDL</w:t>
      </w:r>
      <w:r w:rsidR="001D5F4C" w:rsidRPr="00B515D8">
        <w:rPr>
          <w:b/>
          <w:bCs/>
          <w:u w:val="single"/>
        </w:rPr>
        <w:t xml:space="preserve"> </w:t>
      </w:r>
      <w:r w:rsidR="004E54B6" w:rsidRPr="00B515D8">
        <w:rPr>
          <w:b/>
          <w:bCs/>
          <w:u w:val="single"/>
        </w:rPr>
        <w:t>for copper, lead, and zinc</w:t>
      </w:r>
      <w:r w:rsidR="00F83070">
        <w:rPr>
          <w:b/>
          <w:bCs/>
          <w:u w:val="single"/>
        </w:rPr>
        <w:t>.</w:t>
      </w:r>
    </w:p>
    <w:p w14:paraId="6B45BBCB" w14:textId="4768E16C" w:rsidR="00981F6F" w:rsidRDefault="00981F6F" w:rsidP="008F5B00">
      <w:pPr>
        <w:keepNext/>
        <w:keepLines/>
        <w:spacing w:after="120"/>
        <w:ind w:left="1253" w:hanging="1440"/>
      </w:pPr>
      <w:r>
        <w:t>Attachment H, Section I.G.5.a.ii.2</w:t>
      </w:r>
      <w:r w:rsidR="00C51A5D">
        <w:t>, page H-60</w:t>
      </w:r>
      <w:r w:rsidR="00932E4C">
        <w:t xml:space="preserve"> </w:t>
      </w:r>
      <w:r w:rsidR="009A6514">
        <w:t>–</w:t>
      </w:r>
      <w:r w:rsidR="00932E4C">
        <w:t xml:space="preserve"> </w:t>
      </w:r>
      <w:r w:rsidR="00DF254D">
        <w:t>ins</w:t>
      </w:r>
      <w:r w:rsidR="009A6514">
        <w:t xml:space="preserve">ert </w:t>
      </w:r>
      <w:r w:rsidR="009B308F">
        <w:t xml:space="preserve">the word </w:t>
      </w:r>
      <w:r w:rsidR="009A6514">
        <w:t>“soil” as follows:</w:t>
      </w:r>
    </w:p>
    <w:p w14:paraId="4022B07A" w14:textId="351F63AF" w:rsidR="00ED162B" w:rsidRPr="00ED162B" w:rsidRDefault="00ED162B" w:rsidP="006F5BEB">
      <w:pPr>
        <w:spacing w:after="360"/>
        <w:ind w:left="1253" w:hanging="1440"/>
        <w:rPr>
          <w:rFonts w:eastAsia="Calibri" w:cs="Arial"/>
        </w:rPr>
      </w:pPr>
      <w:r w:rsidRPr="00ED162B">
        <w:rPr>
          <w:rFonts w:eastAsia="Calibri" w:cs="Arial"/>
        </w:rPr>
        <w:t>I.G.5.a.ii.2.</w:t>
      </w:r>
      <w:r w:rsidRPr="00ED162B">
        <w:rPr>
          <w:rFonts w:eastAsia="Calibri" w:cs="Arial"/>
        </w:rPr>
        <w:tab/>
        <w:t xml:space="preserve">The discharger shall collect at least one </w:t>
      </w:r>
      <w:r w:rsidRPr="00ED162B">
        <w:rPr>
          <w:rFonts w:eastAsia="Calibri" w:cs="Arial"/>
          <w:b/>
          <w:bCs/>
          <w:u w:val="single"/>
        </w:rPr>
        <w:t>soil</w:t>
      </w:r>
      <w:r w:rsidRPr="00ED162B">
        <w:rPr>
          <w:rFonts w:eastAsia="Calibri" w:cs="Arial"/>
        </w:rPr>
        <w:t xml:space="preserve"> sample from a randomly selected location within each sampling plot. To ensure randomness, each plot shall be further divided into nine equal subsections, each assigned a unique number from one to nine. The discharger shall use a random number generator to select which subsection will be sampled; the</w:t>
      </w:r>
      <w:r w:rsidR="00CC0663">
        <w:rPr>
          <w:rFonts w:eastAsia="Calibri" w:cs="Arial"/>
        </w:rPr>
        <w:t xml:space="preserve"> </w:t>
      </w:r>
      <w:r w:rsidR="00CC0663" w:rsidRPr="00CC0663">
        <w:rPr>
          <w:rFonts w:eastAsia="Calibri" w:cs="Arial"/>
          <w:b/>
          <w:bCs/>
          <w:u w:val="single"/>
        </w:rPr>
        <w:t>soil</w:t>
      </w:r>
      <w:r w:rsidRPr="00ED162B">
        <w:rPr>
          <w:rFonts w:eastAsia="Calibri" w:cs="Arial"/>
        </w:rPr>
        <w:t xml:space="preserve"> sample location may be anywhere within the selected subsection.</w:t>
      </w:r>
    </w:p>
    <w:p w14:paraId="17E93ECE" w14:textId="0F479B20" w:rsidR="007B425F" w:rsidRDefault="007F7DCD" w:rsidP="00410031">
      <w:pPr>
        <w:spacing w:after="120"/>
        <w:ind w:left="1260" w:hanging="1440"/>
      </w:pPr>
      <w:r>
        <w:t>Attachment H, Section I</w:t>
      </w:r>
      <w:r w:rsidR="004C0B2B">
        <w:t>.G.5.</w:t>
      </w:r>
      <w:r w:rsidR="009A04FB">
        <w:t>a.iii</w:t>
      </w:r>
      <w:r w:rsidR="007B425F">
        <w:t>, page H</w:t>
      </w:r>
      <w:r w:rsidR="00CF1FEC">
        <w:t>-60</w:t>
      </w:r>
      <w:r w:rsidR="00CD3E4E">
        <w:t>-61</w:t>
      </w:r>
      <w:r w:rsidR="003511C4">
        <w:t xml:space="preserve"> – insert </w:t>
      </w:r>
      <w:r w:rsidR="009B308F">
        <w:t xml:space="preserve">the word </w:t>
      </w:r>
      <w:r w:rsidR="003511C4">
        <w:t>“soil” as follows:</w:t>
      </w:r>
    </w:p>
    <w:p w14:paraId="77CBAA95" w14:textId="77777777" w:rsidR="00D607D0" w:rsidRDefault="00D607D0" w:rsidP="00D607D0">
      <w:pPr>
        <w:spacing w:after="120"/>
        <w:ind w:left="1260" w:hanging="1440"/>
        <w:rPr>
          <w:rFonts w:eastAsia="Calibri" w:cs="Arial"/>
        </w:rPr>
      </w:pPr>
      <w:r w:rsidRPr="00D607D0">
        <w:rPr>
          <w:rFonts w:eastAsia="Calibri" w:cs="Arial"/>
        </w:rPr>
        <w:t>I.G.5.a.iii.1.</w:t>
      </w:r>
      <w:r w:rsidRPr="00D607D0">
        <w:rPr>
          <w:rFonts w:eastAsia="Calibri" w:cs="Arial"/>
        </w:rPr>
        <w:tab/>
        <w:t xml:space="preserve">The discharger may utilize hand sampling methods or devices such as mechanical or hydraulic earth drills to collect soil samples. Hand methods may be economically preferable as the required </w:t>
      </w:r>
      <w:r w:rsidRPr="00D607D0">
        <w:rPr>
          <w:rFonts w:eastAsia="Calibri" w:cs="Arial"/>
          <w:b/>
          <w:bCs/>
          <w:u w:val="single"/>
        </w:rPr>
        <w:t>soil</w:t>
      </w:r>
      <w:r w:rsidRPr="00D607D0">
        <w:rPr>
          <w:rFonts w:eastAsia="Calibri" w:cs="Arial"/>
        </w:rPr>
        <w:t xml:space="preserve"> sample depths are less than two feet.</w:t>
      </w:r>
    </w:p>
    <w:p w14:paraId="0FC73248" w14:textId="18D39D2E" w:rsidR="00F4322D" w:rsidRDefault="00F4322D" w:rsidP="00F4322D">
      <w:pPr>
        <w:spacing w:after="120"/>
        <w:ind w:left="1260" w:hanging="1440"/>
        <w:rPr>
          <w:rFonts w:eastAsia="Calibri" w:cs="Arial"/>
        </w:rPr>
      </w:pPr>
      <w:r w:rsidRPr="00F4322D">
        <w:rPr>
          <w:rFonts w:eastAsia="Calibri" w:cs="Arial"/>
        </w:rPr>
        <w:t>I.G.5.a.iii.2.</w:t>
      </w:r>
      <w:r w:rsidRPr="00F4322D">
        <w:rPr>
          <w:rFonts w:eastAsia="Calibri" w:cs="Arial"/>
        </w:rPr>
        <w:tab/>
        <w:t xml:space="preserve">The discharger shall obtain a three-point composite sample of in-situ soil, consisting of roughly equal volumes from 6 inches, 12 inches, and 18 inches below surface at each </w:t>
      </w:r>
      <w:r w:rsidRPr="00F4322D">
        <w:rPr>
          <w:rFonts w:eastAsia="Calibri" w:cs="Arial"/>
          <w:b/>
          <w:bCs/>
          <w:u w:val="single"/>
        </w:rPr>
        <w:t>soil</w:t>
      </w:r>
      <w:r w:rsidRPr="00F4322D">
        <w:rPr>
          <w:rFonts w:eastAsia="Calibri" w:cs="Arial"/>
        </w:rPr>
        <w:t xml:space="preserve"> sample location. The listed depths are the ‘start depths’ or ‘top depths’ for each composite portion. </w:t>
      </w:r>
      <w:r w:rsidRPr="00F4322D">
        <w:rPr>
          <w:rFonts w:eastAsia="Calibri" w:cs="Arial"/>
          <w:b/>
          <w:bCs/>
          <w:u w:val="single"/>
        </w:rPr>
        <w:t xml:space="preserve">Soil </w:t>
      </w:r>
      <w:proofErr w:type="spellStart"/>
      <w:r w:rsidRPr="00F4322D">
        <w:rPr>
          <w:rFonts w:eastAsia="Calibri" w:cs="Arial"/>
          <w:b/>
          <w:bCs/>
          <w:strike/>
        </w:rPr>
        <w:t>S</w:t>
      </w:r>
      <w:r w:rsidRPr="00A03DE4">
        <w:rPr>
          <w:rFonts w:eastAsia="Calibri" w:cs="Arial"/>
          <w:b/>
          <w:bCs/>
          <w:u w:val="single"/>
        </w:rPr>
        <w:t>s</w:t>
      </w:r>
      <w:r w:rsidRPr="00F4322D">
        <w:rPr>
          <w:rFonts w:eastAsia="Calibri" w:cs="Arial"/>
        </w:rPr>
        <w:t>amples</w:t>
      </w:r>
      <w:proofErr w:type="spellEnd"/>
      <w:r w:rsidRPr="00F4322D">
        <w:rPr>
          <w:rFonts w:eastAsia="Calibri" w:cs="Arial"/>
        </w:rPr>
        <w:t xml:space="preserve"> shall be obtained from below the grass or forb root zone if present. The total quantity </w:t>
      </w:r>
      <w:bookmarkStart w:id="0" w:name="_GoBack"/>
      <w:bookmarkEnd w:id="0"/>
      <w:r w:rsidRPr="00F4322D">
        <w:rPr>
          <w:rFonts w:eastAsia="Calibri" w:cs="Arial"/>
        </w:rPr>
        <w:lastRenderedPageBreak/>
        <w:t xml:space="preserve">of each </w:t>
      </w:r>
      <w:r w:rsidRPr="00F4322D">
        <w:rPr>
          <w:rFonts w:eastAsia="Calibri" w:cs="Arial"/>
          <w:b/>
          <w:bCs/>
          <w:u w:val="single"/>
        </w:rPr>
        <w:t>soil</w:t>
      </w:r>
      <w:r>
        <w:rPr>
          <w:rFonts w:eastAsia="Calibri" w:cs="Arial"/>
        </w:rPr>
        <w:t xml:space="preserve"> </w:t>
      </w:r>
      <w:r w:rsidRPr="00F4322D">
        <w:rPr>
          <w:rFonts w:eastAsia="Calibri" w:cs="Arial"/>
        </w:rPr>
        <w:t>sample shall be approximately 20 cubic inches of volume, or one pound (0.5 kilograms) by weight.</w:t>
      </w:r>
    </w:p>
    <w:p w14:paraId="18DBCD46" w14:textId="77777777" w:rsidR="006F5BEB" w:rsidRPr="00E067A6" w:rsidRDefault="006F5BEB" w:rsidP="006F5BEB">
      <w:pPr>
        <w:spacing w:after="120"/>
        <w:ind w:left="1260" w:hanging="1440"/>
      </w:pPr>
      <w:r w:rsidRPr="00E067A6">
        <w:t>I.G.5.a.iii.3.</w:t>
      </w:r>
      <w:r>
        <w:tab/>
      </w:r>
      <w:r w:rsidRPr="00E067A6">
        <w:t>The discharger shall immediately seal brass or acrylic sampling tubes sealed with Teflon</w:t>
      </w:r>
      <w:r w:rsidRPr="00E067A6">
        <w:rPr>
          <w:rFonts w:cs="Arial"/>
        </w:rPr>
        <w:t>™</w:t>
      </w:r>
      <w:r w:rsidRPr="00E067A6">
        <w:t xml:space="preserve"> squares and plastic caps. Otherwise, </w:t>
      </w:r>
      <w:r w:rsidRPr="006F5BEB">
        <w:rPr>
          <w:b/>
          <w:bCs/>
          <w:u w:val="single"/>
        </w:rPr>
        <w:t>soil</w:t>
      </w:r>
      <w:r>
        <w:t xml:space="preserve"> </w:t>
      </w:r>
      <w:r w:rsidRPr="00E067A6">
        <w:t>samples shall be placed in 500 milliliter glass jars with tightly sealable caps.</w:t>
      </w:r>
    </w:p>
    <w:p w14:paraId="435EC195" w14:textId="77777777" w:rsidR="006F5BEB" w:rsidRPr="00E067A6" w:rsidRDefault="006F5BEB" w:rsidP="006F5BEB">
      <w:pPr>
        <w:spacing w:after="120"/>
        <w:ind w:left="1260" w:hanging="1440"/>
      </w:pPr>
      <w:r w:rsidRPr="00E067A6">
        <w:t>I.G.5.a.iii.4.</w:t>
      </w:r>
      <w:r w:rsidRPr="00E067A6">
        <w:tab/>
        <w:t xml:space="preserve">The discharger shall label each </w:t>
      </w:r>
      <w:r w:rsidRPr="006F5BEB">
        <w:rPr>
          <w:b/>
          <w:bCs/>
          <w:u w:val="single"/>
        </w:rPr>
        <w:t>soil</w:t>
      </w:r>
      <w:r>
        <w:t xml:space="preserve"> </w:t>
      </w:r>
      <w:r w:rsidRPr="00E067A6">
        <w:t>sample with a unique identifier, the address or location of the site, the name of the person that collected the sample, and the collection date.</w:t>
      </w:r>
    </w:p>
    <w:p w14:paraId="25355217" w14:textId="77777777" w:rsidR="006F5BEB" w:rsidRPr="00E067A6" w:rsidRDefault="006F5BEB" w:rsidP="006F5BEB">
      <w:pPr>
        <w:spacing w:after="360"/>
        <w:ind w:left="1253" w:hanging="1440"/>
      </w:pPr>
      <w:r w:rsidRPr="00E067A6">
        <w:t>I.G.5.a.iii.5.</w:t>
      </w:r>
      <w:r w:rsidRPr="00E067A6">
        <w:tab/>
        <w:t>The Responsible Discharger shall maintain</w:t>
      </w:r>
      <w:r>
        <w:t xml:space="preserve"> </w:t>
      </w:r>
      <w:r w:rsidRPr="006F5BEB">
        <w:rPr>
          <w:b/>
          <w:bCs/>
          <w:u w:val="single"/>
        </w:rPr>
        <w:t>soil</w:t>
      </w:r>
      <w:r w:rsidRPr="00E067A6">
        <w:t xml:space="preserve"> samples at a temperature of 4°Celsius until delivered to an ELAP-</w:t>
      </w:r>
      <w:r>
        <w:t>accredited</w:t>
      </w:r>
      <w:r w:rsidRPr="00E067A6">
        <w:t xml:space="preserve"> analytical laboratory under chain-of-custody for analysis.</w:t>
      </w:r>
    </w:p>
    <w:p w14:paraId="6C887907" w14:textId="00ECCFB7" w:rsidR="00410031" w:rsidRDefault="00410031" w:rsidP="00410031">
      <w:pPr>
        <w:spacing w:after="120"/>
        <w:ind w:left="1260" w:hanging="1440"/>
      </w:pPr>
      <w:r>
        <w:t>Attachment H</w:t>
      </w:r>
      <w:r w:rsidR="00273D71">
        <w:t>, Section I.G.5.a.iv.1</w:t>
      </w:r>
      <w:r w:rsidR="006F2268">
        <w:t xml:space="preserve">, page </w:t>
      </w:r>
      <w:r w:rsidR="00954257">
        <w:t>H-61 – revise the section as follows:</w:t>
      </w:r>
      <w:r>
        <w:t xml:space="preserve"> </w:t>
      </w:r>
    </w:p>
    <w:p w14:paraId="4A97E679" w14:textId="3EF2225A" w:rsidR="00410031" w:rsidRPr="00EE4392" w:rsidRDefault="00410031" w:rsidP="00410031">
      <w:pPr>
        <w:spacing w:after="120"/>
        <w:ind w:left="1260" w:hanging="1440"/>
        <w:rPr>
          <w:b/>
          <w:strike/>
        </w:rPr>
      </w:pPr>
      <w:r w:rsidRPr="00E067A6">
        <w:t>I.G.5.a.iv.1.</w:t>
      </w:r>
      <w:r w:rsidRPr="00E067A6">
        <w:tab/>
      </w:r>
      <w:r w:rsidRPr="00734B70">
        <w:rPr>
          <w:b/>
          <w:u w:val="single"/>
        </w:rPr>
        <w:t xml:space="preserve">For total copper, total lead, and total zinc, the discharger shall use </w:t>
      </w:r>
      <w:r w:rsidRPr="00734B70">
        <w:rPr>
          <w:rFonts w:eastAsia="Times New Roman"/>
          <w:b/>
          <w:szCs w:val="24"/>
          <w:u w:val="single"/>
          <w:shd w:val="clear" w:color="auto" w:fill="FFFFFF"/>
        </w:rPr>
        <w:t xml:space="preserve">EPA </w:t>
      </w:r>
      <w:r w:rsidR="00290233">
        <w:rPr>
          <w:rFonts w:eastAsia="Times New Roman"/>
          <w:b/>
          <w:szCs w:val="24"/>
          <w:u w:val="single"/>
          <w:shd w:val="clear" w:color="auto" w:fill="FFFFFF"/>
        </w:rPr>
        <w:t>m</w:t>
      </w:r>
      <w:r w:rsidR="00597BC9">
        <w:rPr>
          <w:rFonts w:eastAsia="Times New Roman"/>
          <w:b/>
          <w:szCs w:val="24"/>
          <w:u w:val="single"/>
          <w:shd w:val="clear" w:color="auto" w:fill="FFFFFF"/>
        </w:rPr>
        <w:t xml:space="preserve">ethod </w:t>
      </w:r>
      <w:r w:rsidRPr="00734B70">
        <w:rPr>
          <w:rFonts w:eastAsia="Times New Roman"/>
          <w:b/>
          <w:szCs w:val="24"/>
          <w:u w:val="single"/>
          <w:shd w:val="clear" w:color="auto" w:fill="FFFFFF"/>
        </w:rPr>
        <w:t>6010D, 6020B, or a comparable method validated for the analysis of metals in soil samples.</w:t>
      </w:r>
      <w:r w:rsidRPr="00734B70">
        <w:rPr>
          <w:rFonts w:eastAsia="Times New Roman"/>
          <w:szCs w:val="24"/>
          <w:u w:val="single"/>
          <w:shd w:val="clear" w:color="auto" w:fill="FFFFFF"/>
        </w:rPr>
        <w:t xml:space="preserve"> </w:t>
      </w:r>
      <w:r w:rsidRPr="00EE4392">
        <w:rPr>
          <w:b/>
          <w:bCs/>
          <w:u w:val="single"/>
        </w:rPr>
        <w:t xml:space="preserve">For </w:t>
      </w:r>
      <w:r w:rsidR="00DD5F3E" w:rsidRPr="00EE4392">
        <w:rPr>
          <w:b/>
          <w:bCs/>
          <w:u w:val="single"/>
        </w:rPr>
        <w:t>c</w:t>
      </w:r>
      <w:r w:rsidR="00E816DB" w:rsidRPr="00EE4392">
        <w:rPr>
          <w:b/>
          <w:bCs/>
          <w:u w:val="single"/>
        </w:rPr>
        <w:t xml:space="preserve">hlordane, DDT, and dieldrin, the discharger shall use EPA </w:t>
      </w:r>
      <w:r w:rsidR="00290233">
        <w:rPr>
          <w:b/>
          <w:bCs/>
          <w:u w:val="single"/>
        </w:rPr>
        <w:t>m</w:t>
      </w:r>
      <w:r w:rsidR="00E816DB" w:rsidRPr="00EE4392">
        <w:rPr>
          <w:b/>
          <w:bCs/>
          <w:u w:val="single"/>
        </w:rPr>
        <w:t>ethod 8081B</w:t>
      </w:r>
      <w:r w:rsidR="0088670B" w:rsidRPr="00EE4392">
        <w:rPr>
          <w:b/>
          <w:bCs/>
          <w:u w:val="single"/>
        </w:rPr>
        <w:t xml:space="preserve"> or a comparabl</w:t>
      </w:r>
      <w:r w:rsidR="001E4657" w:rsidRPr="00EE4392">
        <w:rPr>
          <w:b/>
          <w:bCs/>
          <w:u w:val="single"/>
        </w:rPr>
        <w:t xml:space="preserve">e </w:t>
      </w:r>
      <w:r w:rsidR="00BA78B1" w:rsidRPr="00EE4392">
        <w:rPr>
          <w:b/>
          <w:bCs/>
          <w:u w:val="single"/>
        </w:rPr>
        <w:t>method</w:t>
      </w:r>
      <w:r w:rsidR="00115F8A">
        <w:rPr>
          <w:b/>
          <w:bCs/>
          <w:u w:val="single"/>
        </w:rPr>
        <w:t xml:space="preserve"> </w:t>
      </w:r>
      <w:r w:rsidR="00390153">
        <w:rPr>
          <w:b/>
          <w:bCs/>
          <w:u w:val="single"/>
        </w:rPr>
        <w:t>validated for the analysis of chlordane, DDT, and dieldrin</w:t>
      </w:r>
      <w:r w:rsidR="000A5729">
        <w:rPr>
          <w:b/>
          <w:bCs/>
          <w:u w:val="single"/>
        </w:rPr>
        <w:t xml:space="preserve"> </w:t>
      </w:r>
      <w:r w:rsidR="00882902">
        <w:rPr>
          <w:b/>
          <w:bCs/>
          <w:u w:val="single"/>
        </w:rPr>
        <w:t xml:space="preserve">in </w:t>
      </w:r>
      <w:r w:rsidR="00115F8A">
        <w:rPr>
          <w:b/>
          <w:bCs/>
          <w:u w:val="single"/>
        </w:rPr>
        <w:t>soil samples</w:t>
      </w:r>
      <w:r w:rsidR="00BA78B1" w:rsidRPr="00EE4392">
        <w:rPr>
          <w:b/>
          <w:bCs/>
          <w:u w:val="single"/>
        </w:rPr>
        <w:t xml:space="preserve">. </w:t>
      </w:r>
      <w:r w:rsidR="009037AD" w:rsidRPr="00EE4392">
        <w:rPr>
          <w:b/>
          <w:bCs/>
          <w:u w:val="single"/>
        </w:rPr>
        <w:t xml:space="preserve">For PCBs, the discharger shall use EPA </w:t>
      </w:r>
      <w:r w:rsidR="00290233">
        <w:rPr>
          <w:b/>
          <w:bCs/>
          <w:u w:val="single"/>
        </w:rPr>
        <w:t>m</w:t>
      </w:r>
      <w:r w:rsidR="009037AD" w:rsidRPr="00EE4392">
        <w:rPr>
          <w:b/>
          <w:bCs/>
          <w:u w:val="single"/>
        </w:rPr>
        <w:t>ethod 8082A</w:t>
      </w:r>
      <w:r w:rsidR="00D90FC5" w:rsidRPr="00EE4392">
        <w:rPr>
          <w:b/>
          <w:bCs/>
          <w:u w:val="single"/>
        </w:rPr>
        <w:t xml:space="preserve"> or a comparable method</w:t>
      </w:r>
      <w:r w:rsidR="00115F8A">
        <w:rPr>
          <w:b/>
          <w:bCs/>
          <w:u w:val="single"/>
        </w:rPr>
        <w:t xml:space="preserve"> </w:t>
      </w:r>
      <w:r w:rsidR="00410344">
        <w:rPr>
          <w:b/>
          <w:bCs/>
          <w:u w:val="single"/>
        </w:rPr>
        <w:t xml:space="preserve">validated </w:t>
      </w:r>
      <w:r w:rsidR="00115F8A">
        <w:rPr>
          <w:b/>
          <w:bCs/>
          <w:u w:val="single"/>
        </w:rPr>
        <w:t xml:space="preserve">for </w:t>
      </w:r>
      <w:r w:rsidR="00460944">
        <w:rPr>
          <w:b/>
          <w:bCs/>
          <w:u w:val="single"/>
        </w:rPr>
        <w:t xml:space="preserve">the analysis of </w:t>
      </w:r>
      <w:r w:rsidR="0044345F">
        <w:rPr>
          <w:b/>
          <w:bCs/>
          <w:u w:val="single"/>
        </w:rPr>
        <w:t>PCBs in</w:t>
      </w:r>
      <w:r w:rsidR="00115F8A">
        <w:rPr>
          <w:b/>
          <w:bCs/>
          <w:u w:val="single"/>
        </w:rPr>
        <w:t xml:space="preserve"> soil samples</w:t>
      </w:r>
      <w:r w:rsidR="00DD5F3E" w:rsidRPr="00EE4392">
        <w:rPr>
          <w:b/>
          <w:bCs/>
          <w:u w:val="single"/>
        </w:rPr>
        <w:t xml:space="preserve">. </w:t>
      </w:r>
      <w:r w:rsidRPr="00EE4392">
        <w:rPr>
          <w:b/>
          <w:strike/>
        </w:rPr>
        <w:t>For some analytes, more than one EPA method may be available, and the most suitable method may be selected by the analytical laboratory. Typical methods include:</w:t>
      </w:r>
    </w:p>
    <w:p w14:paraId="40717D35" w14:textId="77777777" w:rsidR="00410031" w:rsidRPr="00EE4392" w:rsidRDefault="00410031" w:rsidP="00410031">
      <w:pPr>
        <w:pStyle w:val="ListParagraph"/>
        <w:numPr>
          <w:ilvl w:val="4"/>
          <w:numId w:val="1"/>
        </w:numPr>
        <w:spacing w:after="120" w:line="259" w:lineRule="auto"/>
        <w:ind w:left="1620"/>
        <w:rPr>
          <w:b/>
          <w:strike/>
        </w:rPr>
      </w:pPr>
      <w:r w:rsidRPr="00EE4392">
        <w:rPr>
          <w:b/>
          <w:strike/>
        </w:rPr>
        <w:t>Chlordane, DDT, and dieldrin: EPA Method 8081B.</w:t>
      </w:r>
    </w:p>
    <w:p w14:paraId="5CDD3E82" w14:textId="77777777" w:rsidR="00410031" w:rsidRPr="00EE4392" w:rsidRDefault="00410031" w:rsidP="00410031">
      <w:pPr>
        <w:pStyle w:val="ListParagraph"/>
        <w:numPr>
          <w:ilvl w:val="4"/>
          <w:numId w:val="1"/>
        </w:numPr>
        <w:spacing w:after="120" w:line="259" w:lineRule="auto"/>
        <w:ind w:left="1620"/>
        <w:rPr>
          <w:b/>
          <w:strike/>
        </w:rPr>
      </w:pPr>
      <w:r w:rsidRPr="00EE4392">
        <w:rPr>
          <w:b/>
          <w:strike/>
        </w:rPr>
        <w:t>PCBs: EPA Method 8082A.</w:t>
      </w:r>
    </w:p>
    <w:p w14:paraId="2EB3DC6A" w14:textId="77777777" w:rsidR="00410031" w:rsidRPr="00734B70" w:rsidRDefault="00410031" w:rsidP="008F5B00">
      <w:pPr>
        <w:pStyle w:val="ListParagraph"/>
        <w:numPr>
          <w:ilvl w:val="4"/>
          <w:numId w:val="1"/>
        </w:numPr>
        <w:spacing w:after="360" w:line="259" w:lineRule="auto"/>
        <w:ind w:left="1620"/>
        <w:rPr>
          <w:b/>
          <w:strike/>
        </w:rPr>
      </w:pPr>
      <w:r w:rsidRPr="00734B70">
        <w:rPr>
          <w:b/>
          <w:strike/>
        </w:rPr>
        <w:t xml:space="preserve">Total copper, lead, and zinc: EPA Method 6010D. </w:t>
      </w:r>
    </w:p>
    <w:p w14:paraId="2FD83F1D" w14:textId="6504F6C3" w:rsidR="00C742D8" w:rsidRDefault="005667E1" w:rsidP="00410031">
      <w:pPr>
        <w:spacing w:after="120"/>
        <w:ind w:left="-180"/>
      </w:pPr>
      <w:r>
        <w:t>Attachment H, Section I.G.</w:t>
      </w:r>
      <w:r w:rsidR="005D7D94">
        <w:t>5.a.vi. page H</w:t>
      </w:r>
      <w:r w:rsidR="00914C2B">
        <w:t>-61</w:t>
      </w:r>
      <w:r w:rsidR="00045FF0">
        <w:t xml:space="preserve"> – revise the section as follows:</w:t>
      </w:r>
    </w:p>
    <w:p w14:paraId="63577034" w14:textId="1B07D584" w:rsidR="004E1BA8" w:rsidRPr="004E1BA8" w:rsidRDefault="004E1BA8" w:rsidP="004E1BA8">
      <w:pPr>
        <w:spacing w:after="120"/>
        <w:ind w:left="1260" w:hanging="1440"/>
        <w:rPr>
          <w:rFonts w:eastAsia="Calibri" w:cs="Arial"/>
        </w:rPr>
      </w:pPr>
      <w:r w:rsidRPr="004E1BA8">
        <w:rPr>
          <w:rFonts w:eastAsia="Calibri" w:cs="Arial"/>
        </w:rPr>
        <w:t>I.G.5.a.vi.1.</w:t>
      </w:r>
      <w:r w:rsidRPr="004E1BA8">
        <w:rPr>
          <w:rFonts w:eastAsia="Calibri" w:cs="Arial"/>
        </w:rPr>
        <w:tab/>
        <w:t xml:space="preserve">If all </w:t>
      </w:r>
      <w:r w:rsidRPr="004E1BA8">
        <w:rPr>
          <w:rFonts w:eastAsia="Calibri" w:cs="Arial"/>
          <w:b/>
          <w:bCs/>
          <w:u w:val="single"/>
        </w:rPr>
        <w:t>soil</w:t>
      </w:r>
      <w:r w:rsidRPr="004E1BA8">
        <w:rPr>
          <w:rFonts w:eastAsia="Calibri" w:cs="Arial"/>
        </w:rPr>
        <w:t xml:space="preserve"> sample analysis results for each applicable TMDL analyte are below their respective analytical reporting limit</w:t>
      </w:r>
      <w:r w:rsidRPr="004E1BA8">
        <w:rPr>
          <w:rFonts w:eastAsia="Calibri" w:cs="Arial"/>
          <w:b/>
          <w:bCs/>
          <w:u w:val="single"/>
        </w:rPr>
        <w:t>s</w:t>
      </w:r>
      <w:r w:rsidRPr="004E1BA8">
        <w:rPr>
          <w:rFonts w:eastAsia="Calibri" w:cs="Arial"/>
        </w:rPr>
        <w:t>, the</w:t>
      </w:r>
      <w:r w:rsidRPr="004E1BA8" w:rsidDel="006375EA">
        <w:rPr>
          <w:rFonts w:eastAsia="Calibri" w:cs="Arial"/>
        </w:rPr>
        <w:t xml:space="preserve"> </w:t>
      </w:r>
      <w:r w:rsidRPr="004E1BA8">
        <w:rPr>
          <w:rFonts w:eastAsia="Calibri" w:cs="Arial"/>
        </w:rPr>
        <w:t>discharger is not considered a Responsible Discharger and does not have to sample for the TMDL-specific pollutant(s) under the non-visible pollutant monitoring requirements in Attachments D or E Section III.D.3, of this General Permit.</w:t>
      </w:r>
    </w:p>
    <w:p w14:paraId="19360EF6" w14:textId="5670B3BC" w:rsidR="00045FF0" w:rsidRDefault="00045FF0" w:rsidP="000A1C4C">
      <w:pPr>
        <w:spacing w:after="360"/>
        <w:ind w:left="1253" w:hanging="1440"/>
      </w:pPr>
      <w:r w:rsidRPr="00045FF0">
        <w:t>I.G.5.a.vi.2.</w:t>
      </w:r>
      <w:r>
        <w:tab/>
      </w:r>
      <w:r w:rsidRPr="00045FF0">
        <w:t xml:space="preserve">If one or more of the specified TMDL analytes are measured above the </w:t>
      </w:r>
      <w:r>
        <w:t>r</w:t>
      </w:r>
      <w:r w:rsidRPr="00045FF0">
        <w:t xml:space="preserve">espective </w:t>
      </w:r>
      <w:r w:rsidR="00577A36" w:rsidRPr="007F1816">
        <w:rPr>
          <w:b/>
          <w:bCs/>
          <w:u w:val="single"/>
        </w:rPr>
        <w:t>analytical reporting limit</w:t>
      </w:r>
      <w:r w:rsidR="007F1816" w:rsidRPr="007F1816">
        <w:rPr>
          <w:b/>
          <w:bCs/>
          <w:u w:val="single"/>
        </w:rPr>
        <w:t>s</w:t>
      </w:r>
      <w:r w:rsidR="00B13722">
        <w:rPr>
          <w:b/>
          <w:bCs/>
          <w:u w:val="single"/>
        </w:rPr>
        <w:t xml:space="preserve"> </w:t>
      </w:r>
      <w:r w:rsidRPr="007F1816">
        <w:rPr>
          <w:b/>
          <w:bCs/>
          <w:strike/>
        </w:rPr>
        <w:t>monitoring thresholds</w:t>
      </w:r>
      <w:r w:rsidRPr="00045FF0">
        <w:t>, the discharger is considered a Responsible Discharger and shall:</w:t>
      </w:r>
    </w:p>
    <w:p w14:paraId="33B78361" w14:textId="227E5AF1" w:rsidR="004F67A2" w:rsidRDefault="004F67A2" w:rsidP="00230CEA">
      <w:pPr>
        <w:keepNext/>
        <w:keepLines/>
        <w:spacing w:after="120"/>
        <w:ind w:left="-187"/>
        <w:rPr>
          <w:rFonts w:cs="Arial"/>
          <w:szCs w:val="24"/>
        </w:rPr>
      </w:pPr>
      <w:r>
        <w:rPr>
          <w:rFonts w:cs="Arial"/>
          <w:szCs w:val="24"/>
        </w:rPr>
        <w:lastRenderedPageBreak/>
        <w:t>Fact Sheet, Section I.G.</w:t>
      </w:r>
      <w:r w:rsidR="00E239CA">
        <w:rPr>
          <w:rFonts w:cs="Arial"/>
          <w:szCs w:val="24"/>
        </w:rPr>
        <w:t>5.g, page FS-</w:t>
      </w:r>
      <w:r w:rsidR="005365BC">
        <w:rPr>
          <w:rFonts w:cs="Arial"/>
          <w:szCs w:val="24"/>
        </w:rPr>
        <w:t>3</w:t>
      </w:r>
      <w:r w:rsidR="002964F0">
        <w:rPr>
          <w:rFonts w:cs="Arial"/>
          <w:szCs w:val="24"/>
        </w:rPr>
        <w:t>5</w:t>
      </w:r>
      <w:r w:rsidR="00EC324C">
        <w:rPr>
          <w:rFonts w:cs="Arial"/>
          <w:szCs w:val="24"/>
        </w:rPr>
        <w:t xml:space="preserve"> </w:t>
      </w:r>
      <w:r w:rsidR="00E239CA">
        <w:rPr>
          <w:rFonts w:cs="Arial"/>
          <w:szCs w:val="24"/>
        </w:rPr>
        <w:t>– revise the language as follows:</w:t>
      </w:r>
    </w:p>
    <w:p w14:paraId="508BEB7D" w14:textId="40ACE688" w:rsidR="00624495" w:rsidRPr="001E7701" w:rsidRDefault="00CC09E5" w:rsidP="00230CEA">
      <w:pPr>
        <w:spacing w:after="360"/>
        <w:ind w:left="807" w:hanging="994"/>
        <w:rPr>
          <w:rFonts w:cs="Arial"/>
        </w:rPr>
      </w:pPr>
      <w:r>
        <w:rPr>
          <w:rFonts w:cs="Arial"/>
        </w:rPr>
        <w:t>I.G.</w:t>
      </w:r>
      <w:r w:rsidR="00727E73">
        <w:rPr>
          <w:rFonts w:cs="Arial"/>
        </w:rPr>
        <w:t>5.</w:t>
      </w:r>
      <w:r w:rsidR="00D43B5F">
        <w:rPr>
          <w:rFonts w:cs="Arial"/>
        </w:rPr>
        <w:t>g</w:t>
      </w:r>
      <w:r w:rsidR="005219AA">
        <w:rPr>
          <w:rFonts w:cs="Arial"/>
        </w:rPr>
        <w:t>.</w:t>
      </w:r>
      <w:r w:rsidR="005219AA">
        <w:rPr>
          <w:rFonts w:cs="Arial"/>
        </w:rPr>
        <w:tab/>
      </w:r>
      <w:r w:rsidR="00624495" w:rsidRPr="2AA3760D">
        <w:rPr>
          <w:rFonts w:cs="Arial"/>
        </w:rPr>
        <w:t xml:space="preserve">For the Los Angeles Area Lakes TMDL, the </w:t>
      </w:r>
      <w:r w:rsidR="00624495">
        <w:rPr>
          <w:rFonts w:cs="Arial"/>
          <w:szCs w:val="24"/>
        </w:rPr>
        <w:t>waste load allocations</w:t>
      </w:r>
      <w:r w:rsidR="00624495" w:rsidRPr="2AA3760D">
        <w:rPr>
          <w:rFonts w:cs="Arial"/>
        </w:rPr>
        <w:t xml:space="preserve"> for organochlorine pesticides and PCBs are below the analytical </w:t>
      </w:r>
      <w:r w:rsidR="005219AA" w:rsidRPr="00EB04BD">
        <w:rPr>
          <w:rFonts w:cs="Arial"/>
          <w:b/>
          <w:bCs/>
          <w:strike/>
        </w:rPr>
        <w:t>laboratory</w:t>
      </w:r>
      <w:r w:rsidR="00624495" w:rsidRPr="2AA3760D">
        <w:rPr>
          <w:rFonts w:cs="Arial"/>
        </w:rPr>
        <w:t xml:space="preserve"> reporting limits. </w:t>
      </w:r>
    </w:p>
    <w:p w14:paraId="64738C3E" w14:textId="1F3196AC" w:rsidR="00462650" w:rsidRDefault="00462650" w:rsidP="00462650">
      <w:pPr>
        <w:spacing w:after="120"/>
        <w:ind w:left="-180"/>
        <w:rPr>
          <w:rFonts w:cs="Arial"/>
          <w:szCs w:val="24"/>
        </w:rPr>
      </w:pPr>
      <w:r>
        <w:rPr>
          <w:rFonts w:cs="Arial"/>
          <w:szCs w:val="24"/>
        </w:rPr>
        <w:t>Fact Sheet, Section I.G.5.g, page FS-35 – revise the language as follows:</w:t>
      </w:r>
    </w:p>
    <w:p w14:paraId="22D60AA8" w14:textId="19EAD7B4" w:rsidR="00624495" w:rsidRDefault="00624495" w:rsidP="00230CEA">
      <w:pPr>
        <w:spacing w:after="360"/>
        <w:ind w:left="806"/>
        <w:rPr>
          <w:rFonts w:cs="Arial"/>
          <w:b/>
          <w:bCs/>
          <w:strike/>
          <w:szCs w:val="24"/>
        </w:rPr>
      </w:pPr>
      <w:r w:rsidRPr="001E7701">
        <w:rPr>
          <w:rFonts w:cs="Arial"/>
          <w:szCs w:val="24"/>
        </w:rPr>
        <w:t xml:space="preserve">The </w:t>
      </w:r>
      <w:r w:rsidR="008E5BC9" w:rsidRPr="008E5BC9">
        <w:rPr>
          <w:rFonts w:cs="Arial"/>
          <w:b/>
          <w:bCs/>
          <w:strike/>
          <w:szCs w:val="24"/>
        </w:rPr>
        <w:t>threshold values for</w:t>
      </w:r>
      <w:r w:rsidR="008E5BC9">
        <w:rPr>
          <w:rFonts w:cs="Arial"/>
          <w:szCs w:val="24"/>
        </w:rPr>
        <w:t xml:space="preserve"> </w:t>
      </w:r>
      <w:r w:rsidRPr="00267E3B">
        <w:rPr>
          <w:rFonts w:cs="Arial"/>
          <w:b/>
          <w:bCs/>
          <w:szCs w:val="24"/>
          <w:u w:val="single"/>
        </w:rPr>
        <w:t xml:space="preserve">soil screening </w:t>
      </w:r>
      <w:r w:rsidRPr="008E5BC9">
        <w:rPr>
          <w:rFonts w:cs="Arial"/>
          <w:b/>
          <w:bCs/>
          <w:szCs w:val="24"/>
          <w:u w:val="single"/>
        </w:rPr>
        <w:t>investigation is used to determine the presence of the</w:t>
      </w:r>
      <w:r w:rsidRPr="00802FBB">
        <w:rPr>
          <w:rFonts w:cs="Arial"/>
          <w:b/>
          <w:bCs/>
          <w:szCs w:val="24"/>
          <w:u w:val="single"/>
        </w:rPr>
        <w:t xml:space="preserve"> </w:t>
      </w:r>
      <w:r w:rsidRPr="008E5BC9">
        <w:rPr>
          <w:rFonts w:cs="Arial"/>
          <w:b/>
          <w:bCs/>
          <w:szCs w:val="24"/>
          <w:u w:val="single"/>
        </w:rPr>
        <w:t>applicable</w:t>
      </w:r>
      <w:r w:rsidRPr="00802FBB">
        <w:rPr>
          <w:rFonts w:cs="Arial"/>
          <w:szCs w:val="24"/>
        </w:rPr>
        <w:t xml:space="preserve"> metals</w:t>
      </w:r>
      <w:r>
        <w:rPr>
          <w:rFonts w:cs="Arial"/>
          <w:szCs w:val="24"/>
        </w:rPr>
        <w:t xml:space="preserve">, </w:t>
      </w:r>
      <w:r w:rsidRPr="001E7701">
        <w:rPr>
          <w:rFonts w:cs="Arial"/>
          <w:szCs w:val="24"/>
        </w:rPr>
        <w:t>organochlorine pesticides</w:t>
      </w:r>
      <w:r>
        <w:rPr>
          <w:rFonts w:cs="Arial"/>
          <w:szCs w:val="24"/>
        </w:rPr>
        <w:t>,</w:t>
      </w:r>
      <w:r w:rsidR="00947983">
        <w:rPr>
          <w:rFonts w:cs="Arial"/>
          <w:szCs w:val="24"/>
        </w:rPr>
        <w:t xml:space="preserve"> </w:t>
      </w:r>
      <w:r w:rsidR="00947983" w:rsidRPr="00947983">
        <w:rPr>
          <w:rFonts w:cs="Arial"/>
          <w:b/>
          <w:bCs/>
          <w:strike/>
          <w:szCs w:val="24"/>
        </w:rPr>
        <w:t xml:space="preserve">and </w:t>
      </w:r>
      <w:proofErr w:type="spellStart"/>
      <w:r w:rsidR="00947983" w:rsidRPr="00947983">
        <w:rPr>
          <w:rFonts w:cs="Arial"/>
          <w:b/>
          <w:bCs/>
          <w:strike/>
          <w:szCs w:val="24"/>
        </w:rPr>
        <w:t>the</w:t>
      </w:r>
      <w:r w:rsidRPr="00947983">
        <w:rPr>
          <w:rFonts w:cs="Arial"/>
          <w:b/>
          <w:bCs/>
          <w:szCs w:val="24"/>
          <w:u w:val="single"/>
        </w:rPr>
        <w:t>or</w:t>
      </w:r>
      <w:proofErr w:type="spellEnd"/>
      <w:r w:rsidRPr="001E7701">
        <w:rPr>
          <w:rFonts w:cs="Arial"/>
          <w:szCs w:val="24"/>
        </w:rPr>
        <w:t xml:space="preserve"> PCBs </w:t>
      </w:r>
      <w:r w:rsidRPr="00947983">
        <w:rPr>
          <w:rFonts w:cs="Arial"/>
          <w:b/>
          <w:bCs/>
          <w:szCs w:val="24"/>
          <w:u w:val="single"/>
        </w:rPr>
        <w:t>by comparing the concentration of pollutants in the soil to</w:t>
      </w:r>
      <w:r w:rsidRPr="001E7701">
        <w:rPr>
          <w:rFonts w:cs="Arial"/>
          <w:szCs w:val="24"/>
        </w:rPr>
        <w:t xml:space="preserve"> </w:t>
      </w:r>
      <w:r w:rsidR="006701DB" w:rsidRPr="006701DB">
        <w:rPr>
          <w:rFonts w:cs="Arial"/>
          <w:b/>
          <w:bCs/>
          <w:strike/>
          <w:szCs w:val="24"/>
        </w:rPr>
        <w:t>are</w:t>
      </w:r>
      <w:r w:rsidR="006701DB">
        <w:rPr>
          <w:rFonts w:cs="Arial"/>
          <w:szCs w:val="24"/>
        </w:rPr>
        <w:t xml:space="preserve"> </w:t>
      </w:r>
      <w:r w:rsidRPr="001E7701">
        <w:rPr>
          <w:rFonts w:cs="Arial"/>
          <w:szCs w:val="24"/>
        </w:rPr>
        <w:t xml:space="preserve">the analytical </w:t>
      </w:r>
      <w:r w:rsidR="00840D65" w:rsidRPr="00840D65">
        <w:rPr>
          <w:rFonts w:cs="Arial"/>
          <w:b/>
          <w:bCs/>
          <w:strike/>
          <w:szCs w:val="24"/>
        </w:rPr>
        <w:t>laboratory</w:t>
      </w:r>
      <w:r w:rsidR="00840D65">
        <w:rPr>
          <w:rFonts w:cs="Arial"/>
          <w:szCs w:val="24"/>
        </w:rPr>
        <w:t xml:space="preserve"> </w:t>
      </w:r>
      <w:r w:rsidRPr="001E7701">
        <w:rPr>
          <w:rFonts w:cs="Arial"/>
          <w:szCs w:val="24"/>
        </w:rPr>
        <w:t xml:space="preserve">reporting limit for each substance. </w:t>
      </w:r>
      <w:r w:rsidR="00840D65" w:rsidRPr="00840D65">
        <w:rPr>
          <w:rFonts w:cs="Arial"/>
          <w:b/>
          <w:bCs/>
          <w:strike/>
          <w:szCs w:val="24"/>
        </w:rPr>
        <w:t>This value</w:t>
      </w:r>
      <w:r w:rsidR="00840D65">
        <w:rPr>
          <w:rFonts w:cs="Arial"/>
          <w:szCs w:val="24"/>
        </w:rPr>
        <w:t xml:space="preserve"> </w:t>
      </w:r>
      <w:proofErr w:type="gramStart"/>
      <w:r w:rsidRPr="00840D65">
        <w:rPr>
          <w:rFonts w:cs="Arial"/>
          <w:b/>
          <w:bCs/>
          <w:szCs w:val="24"/>
        </w:rPr>
        <w:t>The</w:t>
      </w:r>
      <w:proofErr w:type="gramEnd"/>
      <w:r w:rsidRPr="00840D65">
        <w:rPr>
          <w:rFonts w:cs="Arial"/>
          <w:b/>
          <w:bCs/>
          <w:szCs w:val="24"/>
        </w:rPr>
        <w:t xml:space="preserve"> analytical reporting limit </w:t>
      </w:r>
      <w:r w:rsidRPr="001E7701">
        <w:rPr>
          <w:rFonts w:cs="Arial"/>
          <w:szCs w:val="24"/>
        </w:rPr>
        <w:t xml:space="preserve">is the lowest concentration at which an analyte can be </w:t>
      </w:r>
      <w:r>
        <w:rPr>
          <w:rFonts w:cs="Arial"/>
          <w:szCs w:val="24"/>
        </w:rPr>
        <w:t>measured</w:t>
      </w:r>
      <w:r w:rsidRPr="001E7701">
        <w:rPr>
          <w:rFonts w:cs="Arial"/>
          <w:szCs w:val="24"/>
        </w:rPr>
        <w:t xml:space="preserve"> in a sample and its concentration can be reported with a reasonable degree of accuracy and precision.</w:t>
      </w:r>
      <w:r w:rsidR="00CE55B1">
        <w:rPr>
          <w:rFonts w:cs="Arial"/>
          <w:szCs w:val="24"/>
        </w:rPr>
        <w:t xml:space="preserve"> </w:t>
      </w:r>
    </w:p>
    <w:p w14:paraId="12598D99" w14:textId="10269675" w:rsidR="00951D0B" w:rsidRPr="00951D0B" w:rsidRDefault="00951D0B" w:rsidP="00951D0B">
      <w:pPr>
        <w:keepNext/>
        <w:spacing w:after="120"/>
        <w:ind w:left="-187"/>
        <w:rPr>
          <w:rFonts w:cs="Arial"/>
          <w:szCs w:val="24"/>
        </w:rPr>
      </w:pPr>
      <w:r>
        <w:rPr>
          <w:rFonts w:cs="Arial"/>
          <w:szCs w:val="24"/>
        </w:rPr>
        <w:t>Fact Sheet,</w:t>
      </w:r>
      <w:bookmarkStart w:id="1" w:name="_Hlk113445516"/>
      <w:r>
        <w:rPr>
          <w:rFonts w:cs="Arial"/>
          <w:szCs w:val="24"/>
        </w:rPr>
        <w:t xml:space="preserve"> Section I.G.5.g, page</w:t>
      </w:r>
      <w:r w:rsidR="003A276E">
        <w:rPr>
          <w:rFonts w:cs="Arial"/>
          <w:szCs w:val="24"/>
        </w:rPr>
        <w:t>s</w:t>
      </w:r>
      <w:r>
        <w:rPr>
          <w:rFonts w:cs="Arial"/>
          <w:szCs w:val="24"/>
        </w:rPr>
        <w:t xml:space="preserve"> FS-35</w:t>
      </w:r>
      <w:r w:rsidR="003A276E">
        <w:rPr>
          <w:rFonts w:cs="Arial"/>
          <w:szCs w:val="24"/>
        </w:rPr>
        <w:t>-36</w:t>
      </w:r>
      <w:bookmarkEnd w:id="1"/>
      <w:r>
        <w:rPr>
          <w:rFonts w:cs="Arial"/>
          <w:szCs w:val="24"/>
        </w:rPr>
        <w:t xml:space="preserve"> – revise the language as follows:</w:t>
      </w:r>
    </w:p>
    <w:p w14:paraId="0B96681E" w14:textId="654E4CC6" w:rsidR="00E239CA" w:rsidRDefault="00624495" w:rsidP="001E1F43">
      <w:pPr>
        <w:spacing w:after="120"/>
        <w:ind w:left="810"/>
        <w:rPr>
          <w:rFonts w:cs="Arial"/>
        </w:rPr>
      </w:pPr>
      <w:r w:rsidRPr="4EF26A82">
        <w:rPr>
          <w:rFonts w:cs="Arial"/>
        </w:rPr>
        <w:t xml:space="preserve">If the </w:t>
      </w:r>
      <w:r w:rsidR="00CE55B1" w:rsidRPr="00CE55B1">
        <w:rPr>
          <w:rFonts w:cs="Arial"/>
          <w:b/>
          <w:bCs/>
          <w:strike/>
        </w:rPr>
        <w:t xml:space="preserve">threshold are </w:t>
      </w:r>
      <w:r w:rsidR="00CE55B1" w:rsidRPr="00CE55B1">
        <w:rPr>
          <w:rFonts w:cs="Arial"/>
          <w:b/>
          <w:bCs/>
          <w:strike/>
          <w:u w:val="single"/>
        </w:rPr>
        <w:t>values</w:t>
      </w:r>
      <w:r w:rsidR="00CE55B1" w:rsidRPr="00CE55B1">
        <w:rPr>
          <w:rFonts w:cs="Arial"/>
          <w:b/>
          <w:bCs/>
          <w:u w:val="single"/>
        </w:rPr>
        <w:t xml:space="preserve"> </w:t>
      </w:r>
      <w:r w:rsidRPr="00CE55B1">
        <w:rPr>
          <w:rFonts w:cs="Arial"/>
          <w:b/>
          <w:bCs/>
          <w:u w:val="single"/>
        </w:rPr>
        <w:t>analytical reporting limit</w:t>
      </w:r>
      <w:r w:rsidR="00CE55B1" w:rsidRPr="00CE55B1">
        <w:rPr>
          <w:rFonts w:cs="Arial"/>
          <w:b/>
          <w:bCs/>
          <w:u w:val="single"/>
        </w:rPr>
        <w:t xml:space="preserve"> </w:t>
      </w:r>
      <w:r w:rsidRPr="00CE55B1">
        <w:rPr>
          <w:rFonts w:cs="Arial"/>
          <w:b/>
          <w:bCs/>
          <w:u w:val="single"/>
        </w:rPr>
        <w:t>for any of the TMDL-specific pollutants is</w:t>
      </w:r>
      <w:r w:rsidRPr="4EF26A82">
        <w:rPr>
          <w:rFonts w:cs="Arial"/>
        </w:rPr>
        <w:t xml:space="preserve"> exceeded in any soil sample obtained for the soil screening investigation, the Responsible Discharger will be required to sample for TSS as a proxy for the </w:t>
      </w:r>
      <w:r w:rsidRPr="00C21870">
        <w:rPr>
          <w:rFonts w:cs="Arial"/>
          <w:b/>
          <w:bCs/>
          <w:u w:val="single"/>
        </w:rPr>
        <w:t>identified</w:t>
      </w:r>
      <w:r>
        <w:rPr>
          <w:rFonts w:cs="Arial"/>
        </w:rPr>
        <w:t xml:space="preserve"> </w:t>
      </w:r>
      <w:r w:rsidRPr="4EF26A82">
        <w:rPr>
          <w:rFonts w:cs="Arial"/>
        </w:rPr>
        <w:t>TMDL</w:t>
      </w:r>
      <w:r>
        <w:rPr>
          <w:rFonts w:cs="Arial"/>
        </w:rPr>
        <w:t xml:space="preserve"> </w:t>
      </w:r>
      <w:r w:rsidRPr="4EF26A82">
        <w:rPr>
          <w:rFonts w:cs="Arial"/>
        </w:rPr>
        <w:t xml:space="preserve">pollutants if the non-visible sampling requirements are triggered. The numeric effluent limitation for TSS is 100 mg/L, and any exceedances require corrective actions detailed in Attachment D, Section </w:t>
      </w:r>
      <w:r>
        <w:rPr>
          <w:rFonts w:cs="Arial"/>
        </w:rPr>
        <w:t>III.</w:t>
      </w:r>
      <w:r w:rsidRPr="4EF26A82">
        <w:rPr>
          <w:rFonts w:cs="Arial"/>
        </w:rPr>
        <w:t>G</w:t>
      </w:r>
      <w:r>
        <w:rPr>
          <w:rFonts w:cs="Arial"/>
        </w:rPr>
        <w:t xml:space="preserve"> and Attachment E, Section III.G</w:t>
      </w:r>
      <w:r w:rsidRPr="4EF26A82">
        <w:rPr>
          <w:rFonts w:cs="Arial"/>
        </w:rPr>
        <w:t>.</w:t>
      </w:r>
    </w:p>
    <w:p w14:paraId="347C15C3" w14:textId="7E7562D1" w:rsidR="006A2E01" w:rsidRDefault="000C62F0" w:rsidP="001E1F43">
      <w:pPr>
        <w:spacing w:after="360"/>
        <w:ind w:left="810"/>
        <w:rPr>
          <w:rFonts w:cs="Arial"/>
          <w:b/>
          <w:u w:val="single"/>
        </w:rPr>
      </w:pPr>
      <w:r w:rsidRPr="27AAD5EE">
        <w:rPr>
          <w:rFonts w:cs="Arial"/>
          <w:b/>
          <w:u w:val="single"/>
        </w:rPr>
        <w:t>Th</w:t>
      </w:r>
      <w:r w:rsidR="00D05CEB" w:rsidRPr="27AAD5EE">
        <w:rPr>
          <w:rFonts w:cs="Arial"/>
          <w:b/>
          <w:u w:val="single"/>
        </w:rPr>
        <w:t>e</w:t>
      </w:r>
      <w:r w:rsidRPr="27AAD5EE">
        <w:rPr>
          <w:rFonts w:cs="Arial"/>
          <w:b/>
          <w:u w:val="single"/>
        </w:rPr>
        <w:t xml:space="preserve"> value </w:t>
      </w:r>
      <w:r w:rsidR="00D05CEB" w:rsidRPr="27AAD5EE">
        <w:rPr>
          <w:rFonts w:cs="Arial"/>
          <w:b/>
          <w:u w:val="single"/>
        </w:rPr>
        <w:t>of 100 mg/L TSS</w:t>
      </w:r>
      <w:r w:rsidRPr="27AAD5EE">
        <w:rPr>
          <w:rFonts w:cs="Arial"/>
          <w:b/>
          <w:u w:val="single"/>
        </w:rPr>
        <w:t xml:space="preserve"> is</w:t>
      </w:r>
      <w:r w:rsidRPr="000E3BC9">
        <w:rPr>
          <w:rFonts w:cs="Arial"/>
          <w:b/>
          <w:u w:val="single"/>
        </w:rPr>
        <w:t xml:space="preserve"> derived from several lines of evidence, including a study where the probability curve between organochlorine pesticides and TSS was modeled to determine that 100 mg/L TSS </w:t>
      </w:r>
      <w:r w:rsidR="008C0BF6">
        <w:rPr>
          <w:rFonts w:cs="Arial"/>
          <w:b/>
          <w:u w:val="single"/>
        </w:rPr>
        <w:t>is</w:t>
      </w:r>
      <w:r w:rsidRPr="000E3BC9">
        <w:rPr>
          <w:rFonts w:cs="Arial"/>
          <w:b/>
          <w:u w:val="single"/>
        </w:rPr>
        <w:t xml:space="preserve"> protective of water quality when the criteria for 4,4 DDE was 0.00059 mg/L which is equal to the waste load allocation concentrations for chlordane and 4,4 DDT listed in the Los Angeles Area Lakes TMDL. </w:t>
      </w:r>
      <w:r w:rsidR="00A32797">
        <w:rPr>
          <w:rFonts w:cs="Arial"/>
          <w:b/>
          <w:u w:val="single"/>
        </w:rPr>
        <w:t>Additionally,</w:t>
      </w:r>
      <w:r w:rsidRPr="000E3BC9">
        <w:rPr>
          <w:rFonts w:cs="Arial"/>
          <w:b/>
          <w:u w:val="single"/>
        </w:rPr>
        <w:t xml:space="preserve"> a </w:t>
      </w:r>
      <w:r w:rsidR="0052787A">
        <w:rPr>
          <w:rFonts w:cs="Arial"/>
          <w:b/>
          <w:u w:val="single"/>
        </w:rPr>
        <w:t>2018</w:t>
      </w:r>
      <w:r w:rsidRPr="000E3BC9">
        <w:rPr>
          <w:rFonts w:cs="Arial"/>
          <w:b/>
          <w:u w:val="single"/>
        </w:rPr>
        <w:t xml:space="preserve"> study found that 100 mg/L TSS correlated with the boundary between particulate and dissolved phase metals in multiple watersheds when the </w:t>
      </w:r>
      <w:proofErr w:type="spellStart"/>
      <w:r w:rsidRPr="000E3BC9">
        <w:rPr>
          <w:rFonts w:cs="Arial"/>
          <w:b/>
          <w:u w:val="single"/>
        </w:rPr>
        <w:t>K</w:t>
      </w:r>
      <w:r w:rsidRPr="000E3BC9">
        <w:rPr>
          <w:rFonts w:cs="Arial"/>
          <w:b/>
          <w:u w:val="single"/>
          <w:vertAlign w:val="subscript"/>
        </w:rPr>
        <w:t>d</w:t>
      </w:r>
      <w:proofErr w:type="spellEnd"/>
      <w:r w:rsidRPr="000E3BC9">
        <w:rPr>
          <w:rFonts w:cs="Arial"/>
          <w:b/>
          <w:u w:val="single"/>
        </w:rPr>
        <w:t xml:space="preserve"> (distribution coefficient) for the metal is 10,000 L/kg.</w:t>
      </w:r>
    </w:p>
    <w:p w14:paraId="0E2989C3" w14:textId="526F03A9" w:rsidR="000E3BC9" w:rsidRPr="00554098" w:rsidRDefault="00757A92" w:rsidP="001E1F43">
      <w:pPr>
        <w:spacing w:after="360"/>
        <w:ind w:left="810"/>
        <w:rPr>
          <w:rFonts w:cs="Arial"/>
          <w:b/>
          <w:bCs/>
          <w:strike/>
        </w:rPr>
      </w:pPr>
      <w:r w:rsidRPr="00554098">
        <w:rPr>
          <w:rFonts w:cs="Arial"/>
          <w:b/>
          <w:bCs/>
          <w:strike/>
        </w:rPr>
        <w:t>Based on reasonably</w:t>
      </w:r>
      <w:r w:rsidR="00A702E6" w:rsidRPr="00554098">
        <w:rPr>
          <w:rFonts w:cs="Arial"/>
          <w:b/>
          <w:bCs/>
          <w:strike/>
        </w:rPr>
        <w:t xml:space="preserve"> accessible research, 100 mg/L of TSS represents a concentration adequate to detect</w:t>
      </w:r>
      <w:r w:rsidR="0095223A" w:rsidRPr="00554098">
        <w:rPr>
          <w:rFonts w:cs="Arial"/>
          <w:b/>
          <w:bCs/>
          <w:strike/>
        </w:rPr>
        <w:t xml:space="preserve"> the target pollutants at levels comparable to the respective</w:t>
      </w:r>
      <w:r w:rsidR="00F5714D" w:rsidRPr="00554098">
        <w:rPr>
          <w:rFonts w:cs="Arial"/>
          <w:b/>
          <w:bCs/>
          <w:strike/>
        </w:rPr>
        <w:t xml:space="preserve"> waste load allocations. As shown Figures 1 and 2 below, where TSS is 100 mg/L or lower, concentrations of organochlorine pesticides and PCBs are reportedly significantly </w:t>
      </w:r>
      <w:r w:rsidR="000B0810" w:rsidRPr="00554098">
        <w:rPr>
          <w:rFonts w:cs="Arial"/>
          <w:b/>
          <w:bCs/>
          <w:strike/>
        </w:rPr>
        <w:t>than the reporting limits, and concentrations</w:t>
      </w:r>
      <w:r w:rsidR="00C81CAB" w:rsidRPr="00554098">
        <w:rPr>
          <w:rFonts w:cs="Arial"/>
          <w:b/>
          <w:bCs/>
          <w:strike/>
        </w:rPr>
        <w:t xml:space="preserve"> of copper, lead, and zinc are reported </w:t>
      </w:r>
      <w:r w:rsidR="00554098" w:rsidRPr="00554098">
        <w:rPr>
          <w:rFonts w:cs="Arial"/>
          <w:b/>
          <w:bCs/>
          <w:strike/>
        </w:rPr>
        <w:t>lower than the waste load allocations set forth in the TMDLs.</w:t>
      </w:r>
    </w:p>
    <w:p w14:paraId="2B1F2CD9" w14:textId="2900BB87" w:rsidR="00692467" w:rsidRDefault="00692467" w:rsidP="00EB30B8">
      <w:pPr>
        <w:spacing w:after="120"/>
        <w:ind w:left="-180"/>
        <w:rPr>
          <w:rFonts w:cs="Arial"/>
          <w:szCs w:val="24"/>
        </w:rPr>
      </w:pPr>
      <w:r>
        <w:rPr>
          <w:rFonts w:cs="Arial"/>
          <w:szCs w:val="24"/>
        </w:rPr>
        <w:lastRenderedPageBreak/>
        <w:t>Fact Sheet, Section I.G.5.g.</w:t>
      </w:r>
      <w:r w:rsidR="00C57829">
        <w:rPr>
          <w:rFonts w:cs="Arial"/>
          <w:szCs w:val="24"/>
        </w:rPr>
        <w:t>, page FS-36</w:t>
      </w:r>
      <w:r w:rsidR="00523082">
        <w:rPr>
          <w:rFonts w:cs="Arial"/>
          <w:szCs w:val="24"/>
        </w:rPr>
        <w:t>-37</w:t>
      </w:r>
      <w:r w:rsidR="00C57829">
        <w:rPr>
          <w:rFonts w:cs="Arial"/>
          <w:szCs w:val="24"/>
        </w:rPr>
        <w:t xml:space="preserve"> – delete Figures 1 and 2</w:t>
      </w:r>
      <w:r w:rsidR="00E964B9">
        <w:rPr>
          <w:rFonts w:cs="Arial"/>
          <w:szCs w:val="24"/>
        </w:rPr>
        <w:t>:</w:t>
      </w:r>
    </w:p>
    <w:p w14:paraId="5F120ED4" w14:textId="3860861E" w:rsidR="00FD0C5E" w:rsidRDefault="004077B6" w:rsidP="00EB30B8">
      <w:pPr>
        <w:spacing w:after="120"/>
        <w:ind w:left="-180"/>
        <w:rPr>
          <w:rFonts w:cs="Arial"/>
          <w:b/>
          <w:bCs/>
          <w:strike/>
          <w:szCs w:val="24"/>
        </w:rPr>
      </w:pPr>
      <w:r w:rsidRPr="009B20A8">
        <w:rPr>
          <w:rFonts w:cs="Arial"/>
          <w:b/>
          <w:bCs/>
          <w:strike/>
          <w:szCs w:val="24"/>
        </w:rPr>
        <w:t>Figure 1</w:t>
      </w:r>
      <w:r w:rsidR="006C402D" w:rsidRPr="009B20A8">
        <w:rPr>
          <w:rFonts w:cs="Arial"/>
          <w:b/>
          <w:bCs/>
          <w:strike/>
          <w:szCs w:val="24"/>
        </w:rPr>
        <w:t xml:space="preserve"> – Comparison of </w:t>
      </w:r>
      <w:r w:rsidR="009B20A8" w:rsidRPr="009B20A8">
        <w:rPr>
          <w:rFonts w:cs="Arial"/>
          <w:b/>
          <w:bCs/>
          <w:strike/>
          <w:szCs w:val="24"/>
        </w:rPr>
        <w:t>Reported Pesticide/Polychlorinated Biphenyls (PCB) Concentrations in Total Suspended Solids (TSS) to Reporting Limit</w:t>
      </w:r>
    </w:p>
    <w:p w14:paraId="1C955661" w14:textId="45D9F1EC" w:rsidR="00380444" w:rsidRPr="00BA18AA" w:rsidRDefault="00380444" w:rsidP="00EB30B8">
      <w:pPr>
        <w:spacing w:after="120"/>
        <w:ind w:left="-180"/>
        <w:rPr>
          <w:rFonts w:cs="Arial"/>
          <w:b/>
          <w:szCs w:val="24"/>
        </w:rPr>
      </w:pPr>
      <w:r w:rsidRPr="00BA18AA">
        <w:rPr>
          <w:rFonts w:cs="Arial"/>
          <w:b/>
          <w:bCs/>
          <w:szCs w:val="24"/>
        </w:rPr>
        <w:t>[</w:t>
      </w:r>
      <w:r w:rsidR="005862A2">
        <w:rPr>
          <w:rFonts w:cs="Arial"/>
          <w:b/>
          <w:bCs/>
          <w:szCs w:val="24"/>
        </w:rPr>
        <w:t>Figure</w:t>
      </w:r>
      <w:r w:rsidR="00BA18AA" w:rsidRPr="00BA18AA">
        <w:rPr>
          <w:rFonts w:cs="Arial"/>
          <w:b/>
          <w:bCs/>
          <w:szCs w:val="24"/>
        </w:rPr>
        <w:t xml:space="preserve"> deleted]</w:t>
      </w:r>
    </w:p>
    <w:p w14:paraId="436BD801" w14:textId="25AE637C" w:rsidR="009B20A8" w:rsidRPr="000E74BB" w:rsidRDefault="00DE42A4" w:rsidP="00EB30B8">
      <w:pPr>
        <w:spacing w:after="120"/>
        <w:ind w:left="-180"/>
        <w:rPr>
          <w:rFonts w:cs="Arial"/>
          <w:b/>
          <w:strike/>
          <w:szCs w:val="24"/>
        </w:rPr>
      </w:pPr>
      <w:r w:rsidRPr="000E74BB">
        <w:rPr>
          <w:rFonts w:cs="Arial"/>
          <w:b/>
          <w:strike/>
          <w:szCs w:val="24"/>
        </w:rPr>
        <w:t xml:space="preserve">Figure 2 – Comparison of Reported Metals Concentrations in Total Suspended Solids (TSS) to Waste Load Allocations </w:t>
      </w:r>
    </w:p>
    <w:p w14:paraId="33C8FE50" w14:textId="3C68D0E8" w:rsidR="000E74BB" w:rsidRPr="00EE4392" w:rsidRDefault="00D21077" w:rsidP="00EB30B8">
      <w:pPr>
        <w:spacing w:after="360"/>
        <w:ind w:left="-180"/>
        <w:rPr>
          <w:rFonts w:cs="Arial"/>
          <w:b/>
          <w:szCs w:val="24"/>
        </w:rPr>
      </w:pPr>
      <w:r w:rsidRPr="00EE4392">
        <w:rPr>
          <w:rFonts w:cs="Arial"/>
          <w:b/>
          <w:bCs/>
          <w:szCs w:val="24"/>
        </w:rPr>
        <w:t>[</w:t>
      </w:r>
      <w:r w:rsidR="005862A2">
        <w:rPr>
          <w:rFonts w:cs="Arial"/>
          <w:b/>
          <w:bCs/>
          <w:szCs w:val="24"/>
        </w:rPr>
        <w:t>Figure</w:t>
      </w:r>
      <w:r w:rsidR="00A8137B" w:rsidRPr="00EE4392">
        <w:rPr>
          <w:rFonts w:cs="Arial"/>
          <w:b/>
          <w:bCs/>
          <w:szCs w:val="24"/>
        </w:rPr>
        <w:t xml:space="preserve"> deleted]</w:t>
      </w:r>
    </w:p>
    <w:p w14:paraId="5721801D" w14:textId="73D5D371" w:rsidR="00CE619E" w:rsidRDefault="003C0191" w:rsidP="00FB5FAE">
      <w:pPr>
        <w:spacing w:after="360"/>
        <w:ind w:left="-180"/>
        <w:rPr>
          <w:rFonts w:cs="Arial"/>
          <w:szCs w:val="24"/>
        </w:rPr>
      </w:pPr>
      <w:r>
        <w:rPr>
          <w:rFonts w:cs="Arial"/>
          <w:szCs w:val="24"/>
        </w:rPr>
        <w:t>Fact Sheet</w:t>
      </w:r>
      <w:r w:rsidR="003F76DA">
        <w:rPr>
          <w:rFonts w:cs="Arial"/>
          <w:szCs w:val="24"/>
        </w:rPr>
        <w:t xml:space="preserve">, </w:t>
      </w:r>
      <w:r w:rsidR="00C50C98">
        <w:rPr>
          <w:rFonts w:cs="Arial"/>
          <w:szCs w:val="24"/>
        </w:rPr>
        <w:t>Section</w:t>
      </w:r>
      <w:r w:rsidR="00DB26A2">
        <w:rPr>
          <w:rFonts w:cs="Arial"/>
          <w:szCs w:val="24"/>
        </w:rPr>
        <w:t xml:space="preserve"> I</w:t>
      </w:r>
      <w:r w:rsidR="00CE619E">
        <w:rPr>
          <w:rFonts w:cs="Arial"/>
          <w:szCs w:val="24"/>
        </w:rPr>
        <w:t>.U., pages FS</w:t>
      </w:r>
      <w:r w:rsidR="00693CF6">
        <w:rPr>
          <w:rFonts w:cs="Arial"/>
          <w:szCs w:val="24"/>
        </w:rPr>
        <w:t>-11</w:t>
      </w:r>
      <w:r w:rsidR="002779ED">
        <w:rPr>
          <w:rFonts w:cs="Arial"/>
          <w:szCs w:val="24"/>
        </w:rPr>
        <w:t>4</w:t>
      </w:r>
      <w:r w:rsidR="00693CF6">
        <w:rPr>
          <w:rFonts w:cs="Arial"/>
          <w:szCs w:val="24"/>
        </w:rPr>
        <w:t>, FS-117, FS-</w:t>
      </w:r>
      <w:r w:rsidR="00B36770">
        <w:rPr>
          <w:rFonts w:cs="Arial"/>
          <w:szCs w:val="24"/>
        </w:rPr>
        <w:t>118</w:t>
      </w:r>
      <w:r w:rsidR="007821FC">
        <w:rPr>
          <w:rFonts w:cs="Arial"/>
          <w:szCs w:val="24"/>
        </w:rPr>
        <w:t xml:space="preserve"> </w:t>
      </w:r>
      <w:r w:rsidR="00EF79BB">
        <w:rPr>
          <w:rFonts w:cs="Arial"/>
          <w:szCs w:val="24"/>
        </w:rPr>
        <w:t>–</w:t>
      </w:r>
      <w:r w:rsidR="007821FC">
        <w:rPr>
          <w:rFonts w:cs="Arial"/>
          <w:szCs w:val="24"/>
        </w:rPr>
        <w:t xml:space="preserve"> </w:t>
      </w:r>
      <w:r w:rsidR="00EF79BB">
        <w:rPr>
          <w:rFonts w:cs="Arial"/>
          <w:szCs w:val="24"/>
        </w:rPr>
        <w:t xml:space="preserve">update </w:t>
      </w:r>
      <w:r w:rsidR="00853BE9">
        <w:rPr>
          <w:rFonts w:cs="Arial"/>
          <w:szCs w:val="24"/>
        </w:rPr>
        <w:t xml:space="preserve">figure numbers and references </w:t>
      </w:r>
      <w:r w:rsidR="001A4842">
        <w:rPr>
          <w:rFonts w:cs="Arial"/>
          <w:szCs w:val="24"/>
        </w:rPr>
        <w:t xml:space="preserve">due to the deletion of Figures 1 and 2. Updated Table of Figures on </w:t>
      </w:r>
      <w:r w:rsidR="00A328EC">
        <w:rPr>
          <w:rFonts w:cs="Arial"/>
          <w:szCs w:val="24"/>
        </w:rPr>
        <w:t>page</w:t>
      </w:r>
      <w:r w:rsidR="00F66FBA">
        <w:rPr>
          <w:rFonts w:cs="Arial"/>
          <w:szCs w:val="24"/>
        </w:rPr>
        <w:br/>
      </w:r>
      <w:r w:rsidR="00A328EC">
        <w:rPr>
          <w:rFonts w:cs="Arial"/>
          <w:szCs w:val="24"/>
        </w:rPr>
        <w:t>FS-2.</w:t>
      </w:r>
    </w:p>
    <w:p w14:paraId="57AB8256" w14:textId="28B71342" w:rsidR="003C0191" w:rsidRDefault="003C0191" w:rsidP="00FB5FAE">
      <w:pPr>
        <w:spacing w:after="120"/>
        <w:ind w:left="-180"/>
        <w:rPr>
          <w:rFonts w:cs="Arial"/>
          <w:szCs w:val="24"/>
        </w:rPr>
      </w:pPr>
      <w:r>
        <w:rPr>
          <w:rFonts w:cs="Arial"/>
          <w:szCs w:val="24"/>
        </w:rPr>
        <w:t>Fact Sheet</w:t>
      </w:r>
      <w:r w:rsidR="003F76DA">
        <w:rPr>
          <w:rFonts w:cs="Arial"/>
          <w:szCs w:val="24"/>
        </w:rPr>
        <w:t>, Section</w:t>
      </w:r>
      <w:r>
        <w:rPr>
          <w:rFonts w:cs="Arial"/>
          <w:szCs w:val="24"/>
        </w:rPr>
        <w:t xml:space="preserve"> </w:t>
      </w:r>
      <w:r w:rsidR="005924B4">
        <w:rPr>
          <w:rFonts w:cs="Arial"/>
          <w:szCs w:val="24"/>
        </w:rPr>
        <w:t>I.W.</w:t>
      </w:r>
      <w:r>
        <w:rPr>
          <w:rFonts w:cs="Arial"/>
          <w:szCs w:val="24"/>
        </w:rPr>
        <w:t>6.g.vi</w:t>
      </w:r>
      <w:r w:rsidR="0021243D">
        <w:rPr>
          <w:rFonts w:cs="Arial"/>
          <w:szCs w:val="24"/>
        </w:rPr>
        <w:t>i</w:t>
      </w:r>
      <w:r w:rsidR="004B00BC">
        <w:rPr>
          <w:rFonts w:cs="Arial"/>
          <w:szCs w:val="24"/>
        </w:rPr>
        <w:t>, p</w:t>
      </w:r>
      <w:r w:rsidR="000A1B04">
        <w:rPr>
          <w:rFonts w:cs="Arial"/>
          <w:szCs w:val="24"/>
        </w:rPr>
        <w:t>age</w:t>
      </w:r>
      <w:r w:rsidR="009F3F7A">
        <w:rPr>
          <w:rFonts w:cs="Arial"/>
          <w:szCs w:val="24"/>
        </w:rPr>
        <w:t>s</w:t>
      </w:r>
      <w:r w:rsidR="00405562">
        <w:rPr>
          <w:rFonts w:cs="Arial"/>
          <w:szCs w:val="24"/>
        </w:rPr>
        <w:t xml:space="preserve"> FS-20</w:t>
      </w:r>
      <w:r w:rsidR="005F637E">
        <w:rPr>
          <w:rFonts w:cs="Arial"/>
          <w:szCs w:val="24"/>
        </w:rPr>
        <w:t>6</w:t>
      </w:r>
      <w:r w:rsidR="001C784F">
        <w:rPr>
          <w:rFonts w:cs="Arial"/>
          <w:szCs w:val="24"/>
        </w:rPr>
        <w:t>-207</w:t>
      </w:r>
      <w:r w:rsidR="003F76DA">
        <w:rPr>
          <w:rFonts w:cs="Arial"/>
          <w:szCs w:val="24"/>
        </w:rPr>
        <w:t xml:space="preserve"> – revise the language as follows</w:t>
      </w:r>
      <w:r>
        <w:rPr>
          <w:rFonts w:cs="Arial"/>
          <w:szCs w:val="24"/>
        </w:rPr>
        <w:t>:</w:t>
      </w:r>
    </w:p>
    <w:p w14:paraId="03F8B8CF" w14:textId="4306D1B1" w:rsidR="001712F9" w:rsidRPr="001712F9" w:rsidRDefault="001712F9" w:rsidP="00FB5FAE">
      <w:pPr>
        <w:spacing w:after="360"/>
        <w:ind w:left="-180"/>
        <w:rPr>
          <w:rFonts w:cs="Arial"/>
          <w:szCs w:val="24"/>
        </w:rPr>
      </w:pPr>
      <w:r w:rsidRPr="001712F9">
        <w:rPr>
          <w:rFonts w:cs="Arial"/>
          <w:szCs w:val="24"/>
        </w:rPr>
        <w:t xml:space="preserve">Starting at the effective date of the final waste load allocations, </w:t>
      </w:r>
      <w:r w:rsidR="0021243D" w:rsidRPr="0021243D">
        <w:rPr>
          <w:rFonts w:cs="Arial"/>
          <w:b/>
          <w:bCs/>
          <w:szCs w:val="24"/>
          <w:u w:val="single"/>
        </w:rPr>
        <w:t>March</w:t>
      </w:r>
      <w:r w:rsidR="0021243D" w:rsidRPr="0021243D">
        <w:rPr>
          <w:rFonts w:cs="Arial"/>
          <w:b/>
          <w:bCs/>
          <w:strike/>
          <w:szCs w:val="24"/>
        </w:rPr>
        <w:t xml:space="preserve"> </w:t>
      </w:r>
      <w:r w:rsidRPr="0021243D">
        <w:rPr>
          <w:rFonts w:cs="Arial"/>
          <w:b/>
          <w:strike/>
          <w:szCs w:val="24"/>
        </w:rPr>
        <w:t>May</w:t>
      </w:r>
      <w:r w:rsidRPr="001712F9">
        <w:rPr>
          <w:rFonts w:cs="Arial"/>
          <w:szCs w:val="24"/>
        </w:rPr>
        <w:t xml:space="preserve"> 23, 2032, dischargers that discharge to the Dominguez Channel and Torrance Lateral are to conduct a soil screening investigation for copper, lead, and zinc as part of the pollutant source assessment to determine whether they are Responsible Dischargers per Attachment H</w:t>
      </w:r>
      <w:r w:rsidR="004E36DC" w:rsidRPr="001712F9">
        <w:rPr>
          <w:rFonts w:cs="Arial"/>
          <w:szCs w:val="24"/>
        </w:rPr>
        <w:t xml:space="preserve"> Section</w:t>
      </w:r>
      <w:r w:rsidRPr="001712F9">
        <w:rPr>
          <w:rFonts w:cs="Arial"/>
          <w:szCs w:val="24"/>
        </w:rPr>
        <w:t xml:space="preserve"> I.G.5. Dischargers are considered Responsible Dischargers if the TMDL analytes are</w:t>
      </w:r>
      <w:r w:rsidR="006850F9" w:rsidRPr="006850F9">
        <w:rPr>
          <w:rFonts w:cs="Arial"/>
          <w:szCs w:val="24"/>
        </w:rPr>
        <w:t xml:space="preserve"> </w:t>
      </w:r>
      <w:r w:rsidR="006850F9" w:rsidRPr="001712F9">
        <w:rPr>
          <w:rFonts w:cs="Arial"/>
          <w:szCs w:val="24"/>
        </w:rPr>
        <w:t>measured above</w:t>
      </w:r>
      <w:r w:rsidRPr="001712F9">
        <w:rPr>
          <w:rFonts w:cs="Arial"/>
          <w:szCs w:val="24"/>
        </w:rPr>
        <w:t xml:space="preserve"> </w:t>
      </w:r>
      <w:r w:rsidR="006850F9">
        <w:rPr>
          <w:rFonts w:cs="Arial"/>
          <w:szCs w:val="24"/>
        </w:rPr>
        <w:t xml:space="preserve">the </w:t>
      </w:r>
      <w:r w:rsidR="00827957" w:rsidRPr="00687D4D">
        <w:rPr>
          <w:rFonts w:cs="Arial"/>
          <w:b/>
          <w:strike/>
          <w:szCs w:val="24"/>
        </w:rPr>
        <w:t>monitoring threshold values, which are equivalent to the waste load allocations,</w:t>
      </w:r>
      <w:r w:rsidRPr="00687D4D">
        <w:rPr>
          <w:rFonts w:cs="Arial"/>
          <w:b/>
          <w:strike/>
          <w:szCs w:val="24"/>
        </w:rPr>
        <w:t xml:space="preserve"> </w:t>
      </w:r>
      <w:r w:rsidRPr="00687D4D">
        <w:rPr>
          <w:rFonts w:cs="Arial"/>
          <w:b/>
          <w:szCs w:val="24"/>
          <w:u w:val="single"/>
        </w:rPr>
        <w:t>analytical reporting limit</w:t>
      </w:r>
      <w:r w:rsidRPr="001712F9">
        <w:rPr>
          <w:rFonts w:cs="Arial"/>
          <w:szCs w:val="24"/>
        </w:rPr>
        <w:t xml:space="preserve"> and will be required to comply with a </w:t>
      </w:r>
      <w:r w:rsidRPr="001712F9">
        <w:t xml:space="preserve">numeric effluent limitation </w:t>
      </w:r>
      <w:r w:rsidRPr="001712F9">
        <w:rPr>
          <w:rFonts w:cs="Arial"/>
          <w:szCs w:val="24"/>
        </w:rPr>
        <w:t xml:space="preserve">of 100 mg/L total suspended solids (TSS) as the applicable limitation for each of the applicable TMDL-pollutants identified through the soil screening investigation, instead of the </w:t>
      </w:r>
      <w:r w:rsidRPr="001712F9">
        <w:t xml:space="preserve">numeric effluent limitations </w:t>
      </w:r>
      <w:r w:rsidRPr="001712F9">
        <w:rPr>
          <w:rFonts w:cs="Arial"/>
          <w:szCs w:val="24"/>
        </w:rPr>
        <w:t>for total copper, lead, and zinc.</w:t>
      </w:r>
    </w:p>
    <w:p w14:paraId="68B6103D" w14:textId="3F5C68C0" w:rsidR="00965811" w:rsidRDefault="00965811" w:rsidP="00230CEA">
      <w:pPr>
        <w:keepNext/>
        <w:keepLines/>
        <w:spacing w:after="120"/>
        <w:ind w:left="-187"/>
        <w:rPr>
          <w:rFonts w:cs="Arial"/>
          <w:szCs w:val="24"/>
        </w:rPr>
      </w:pPr>
      <w:r>
        <w:rPr>
          <w:rFonts w:cs="Arial"/>
          <w:szCs w:val="24"/>
        </w:rPr>
        <w:t>Fact Sheet, Section I.W.6.g.vi, page FS-207 – revise the language as follows:</w:t>
      </w:r>
    </w:p>
    <w:p w14:paraId="4AE8F72E" w14:textId="25C24E92" w:rsidR="00D75862" w:rsidRPr="004F365D" w:rsidRDefault="001712F9" w:rsidP="004F365D">
      <w:pPr>
        <w:spacing w:after="360"/>
        <w:ind w:left="-180"/>
        <w:rPr>
          <w:rFonts w:cs="Arial"/>
          <w:szCs w:val="24"/>
        </w:rPr>
      </w:pPr>
      <w:r w:rsidRPr="001712F9">
        <w:rPr>
          <w:rFonts w:cs="Arial"/>
          <w:szCs w:val="24"/>
        </w:rPr>
        <w:t xml:space="preserve">Staff determined the measurement of TSS at or above 100 mg/L is an appropriate indicator of the presence of copper, lead, and zinc in runoff, if the pre-project soil monitoring (described in Attachment H, Section I.G.5) demonstrated these pollutants are present in the soil. There is a strong positive correlation between TSS and metals, indicating that concentrations of pollutants increase and decline proportionally with the TSS concentrations. If the constituents were measured in the soil at or above the </w:t>
      </w:r>
      <w:r w:rsidR="003E6D2D" w:rsidRPr="00406487">
        <w:rPr>
          <w:rFonts w:cs="Arial"/>
          <w:b/>
          <w:strike/>
          <w:szCs w:val="24"/>
        </w:rPr>
        <w:t xml:space="preserve">monitoring threshold value </w:t>
      </w:r>
      <w:r w:rsidRPr="00406487">
        <w:rPr>
          <w:rFonts w:cs="Arial"/>
          <w:b/>
          <w:szCs w:val="24"/>
          <w:u w:val="single"/>
        </w:rPr>
        <w:t>analytical reporting limit</w:t>
      </w:r>
      <w:r w:rsidRPr="001712F9">
        <w:rPr>
          <w:rFonts w:cs="Arial"/>
          <w:szCs w:val="24"/>
        </w:rPr>
        <w:t>, a small faction will be in the TSS sample as well.</w:t>
      </w:r>
    </w:p>
    <w:sectPr w:rsidR="00D75862" w:rsidRPr="004F365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B529B" w14:textId="77777777" w:rsidR="00FC52B9" w:rsidRDefault="00FC52B9" w:rsidP="00D75862">
      <w:pPr>
        <w:spacing w:after="0" w:line="240" w:lineRule="auto"/>
      </w:pPr>
      <w:r>
        <w:separator/>
      </w:r>
    </w:p>
  </w:endnote>
  <w:endnote w:type="continuationSeparator" w:id="0">
    <w:p w14:paraId="10E6AB3D" w14:textId="77777777" w:rsidR="00FC52B9" w:rsidRDefault="00FC52B9" w:rsidP="00D75862">
      <w:pPr>
        <w:spacing w:after="0" w:line="240" w:lineRule="auto"/>
      </w:pPr>
      <w:r>
        <w:continuationSeparator/>
      </w:r>
    </w:p>
  </w:endnote>
  <w:endnote w:type="continuationNotice" w:id="1">
    <w:p w14:paraId="56F7B5C6" w14:textId="77777777" w:rsidR="00FC52B9" w:rsidRDefault="00FC5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D6EA1" w14:textId="77777777" w:rsidR="00FC52B9" w:rsidRDefault="00FC52B9" w:rsidP="00D75862">
      <w:pPr>
        <w:spacing w:after="0" w:line="240" w:lineRule="auto"/>
      </w:pPr>
      <w:r>
        <w:separator/>
      </w:r>
    </w:p>
  </w:footnote>
  <w:footnote w:type="continuationSeparator" w:id="0">
    <w:p w14:paraId="1E00E003" w14:textId="77777777" w:rsidR="00FC52B9" w:rsidRDefault="00FC52B9" w:rsidP="00D75862">
      <w:pPr>
        <w:spacing w:after="0" w:line="240" w:lineRule="auto"/>
      </w:pPr>
      <w:r>
        <w:continuationSeparator/>
      </w:r>
    </w:p>
  </w:footnote>
  <w:footnote w:type="continuationNotice" w:id="1">
    <w:p w14:paraId="36835B83" w14:textId="77777777" w:rsidR="00FC52B9" w:rsidRDefault="00FC5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7378B" w14:textId="455DDBC3" w:rsidR="00D75862" w:rsidRDefault="00D75862" w:rsidP="00D75862">
    <w:pPr>
      <w:pStyle w:val="Header"/>
      <w:spacing w:after="240"/>
      <w:jc w:val="right"/>
    </w:pPr>
    <w:r>
      <w:t>09/08/22 BD MEETING – ITEM #8</w:t>
    </w:r>
    <w:r>
      <w:br/>
    </w:r>
    <w:r w:rsidR="001C7F5E">
      <w:t xml:space="preserve">CHANGE SHEET #2 (CIRCULATED </w:t>
    </w:r>
    <w:r w:rsidR="001C7F5E" w:rsidRPr="00630973">
      <w:t>09/</w:t>
    </w:r>
    <w:r w:rsidR="0074361C" w:rsidRPr="00630973">
      <w:t>07/22</w:t>
    </w:r>
    <w:r w:rsidR="0074361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1135A"/>
    <w:multiLevelType w:val="multilevel"/>
    <w:tmpl w:val="471A305E"/>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3D536C68"/>
    <w:multiLevelType w:val="multilevel"/>
    <w:tmpl w:val="793C9400"/>
    <w:lvl w:ilvl="0">
      <w:start w:val="1"/>
      <w:numFmt w:val="decimal"/>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99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2" w15:restartNumberingAfterBreak="0">
    <w:nsid w:val="475E3565"/>
    <w:multiLevelType w:val="multilevel"/>
    <w:tmpl w:val="793C9400"/>
    <w:lvl w:ilvl="0">
      <w:start w:val="1"/>
      <w:numFmt w:val="decimal"/>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99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62"/>
    <w:rsid w:val="00001ADD"/>
    <w:rsid w:val="000023F2"/>
    <w:rsid w:val="000024D1"/>
    <w:rsid w:val="000041BD"/>
    <w:rsid w:val="00005BD2"/>
    <w:rsid w:val="00007051"/>
    <w:rsid w:val="00010A32"/>
    <w:rsid w:val="00015531"/>
    <w:rsid w:val="00017501"/>
    <w:rsid w:val="000252F8"/>
    <w:rsid w:val="000316D6"/>
    <w:rsid w:val="00032EBC"/>
    <w:rsid w:val="00035005"/>
    <w:rsid w:val="00035561"/>
    <w:rsid w:val="00036D29"/>
    <w:rsid w:val="000403D2"/>
    <w:rsid w:val="000416FE"/>
    <w:rsid w:val="00043B10"/>
    <w:rsid w:val="00044B8E"/>
    <w:rsid w:val="00045FF0"/>
    <w:rsid w:val="000507F8"/>
    <w:rsid w:val="00052E95"/>
    <w:rsid w:val="00055DC1"/>
    <w:rsid w:val="000600FB"/>
    <w:rsid w:val="00061D43"/>
    <w:rsid w:val="00062BCA"/>
    <w:rsid w:val="000631B0"/>
    <w:rsid w:val="000673C1"/>
    <w:rsid w:val="00067AC8"/>
    <w:rsid w:val="000732A4"/>
    <w:rsid w:val="00073C7C"/>
    <w:rsid w:val="00073DCD"/>
    <w:rsid w:val="000856A0"/>
    <w:rsid w:val="00094A28"/>
    <w:rsid w:val="000A1B04"/>
    <w:rsid w:val="000A1C4C"/>
    <w:rsid w:val="000A1E29"/>
    <w:rsid w:val="000A2DF7"/>
    <w:rsid w:val="000A3436"/>
    <w:rsid w:val="000A5729"/>
    <w:rsid w:val="000A6371"/>
    <w:rsid w:val="000B0810"/>
    <w:rsid w:val="000C049A"/>
    <w:rsid w:val="000C3C9D"/>
    <w:rsid w:val="000C3ED3"/>
    <w:rsid w:val="000C3FED"/>
    <w:rsid w:val="000C62F0"/>
    <w:rsid w:val="000C766E"/>
    <w:rsid w:val="000D1119"/>
    <w:rsid w:val="000D7D87"/>
    <w:rsid w:val="000D7EA7"/>
    <w:rsid w:val="000D7F5E"/>
    <w:rsid w:val="000E2EB4"/>
    <w:rsid w:val="000E3BC9"/>
    <w:rsid w:val="000E4184"/>
    <w:rsid w:val="000E74BB"/>
    <w:rsid w:val="000E772A"/>
    <w:rsid w:val="000E79D2"/>
    <w:rsid w:val="000F329A"/>
    <w:rsid w:val="000F3C4D"/>
    <w:rsid w:val="000F67DC"/>
    <w:rsid w:val="00100453"/>
    <w:rsid w:val="00101BC9"/>
    <w:rsid w:val="0010482B"/>
    <w:rsid w:val="00104F61"/>
    <w:rsid w:val="00105D86"/>
    <w:rsid w:val="001064AA"/>
    <w:rsid w:val="00106BF7"/>
    <w:rsid w:val="00115F8A"/>
    <w:rsid w:val="001216C5"/>
    <w:rsid w:val="00121868"/>
    <w:rsid w:val="00125CD8"/>
    <w:rsid w:val="00126407"/>
    <w:rsid w:val="001301C0"/>
    <w:rsid w:val="00130452"/>
    <w:rsid w:val="001338E0"/>
    <w:rsid w:val="00133A41"/>
    <w:rsid w:val="00134F37"/>
    <w:rsid w:val="0013584B"/>
    <w:rsid w:val="00135DB3"/>
    <w:rsid w:val="0013683E"/>
    <w:rsid w:val="00136A7C"/>
    <w:rsid w:val="00144C5B"/>
    <w:rsid w:val="001510F0"/>
    <w:rsid w:val="0015319C"/>
    <w:rsid w:val="0015415D"/>
    <w:rsid w:val="00161ECF"/>
    <w:rsid w:val="00166611"/>
    <w:rsid w:val="0017099B"/>
    <w:rsid w:val="001712F9"/>
    <w:rsid w:val="00171984"/>
    <w:rsid w:val="00172A93"/>
    <w:rsid w:val="00176B62"/>
    <w:rsid w:val="001840F3"/>
    <w:rsid w:val="0018414A"/>
    <w:rsid w:val="00184584"/>
    <w:rsid w:val="00185AC5"/>
    <w:rsid w:val="0018710A"/>
    <w:rsid w:val="001877DD"/>
    <w:rsid w:val="00190515"/>
    <w:rsid w:val="00190BEE"/>
    <w:rsid w:val="00193D76"/>
    <w:rsid w:val="00195871"/>
    <w:rsid w:val="00196124"/>
    <w:rsid w:val="00197769"/>
    <w:rsid w:val="001978BF"/>
    <w:rsid w:val="00197DA5"/>
    <w:rsid w:val="001A28ED"/>
    <w:rsid w:val="001A34E2"/>
    <w:rsid w:val="001A3E56"/>
    <w:rsid w:val="001A4842"/>
    <w:rsid w:val="001A66B0"/>
    <w:rsid w:val="001A7164"/>
    <w:rsid w:val="001A77E1"/>
    <w:rsid w:val="001B0AD5"/>
    <w:rsid w:val="001B3C0A"/>
    <w:rsid w:val="001C0EAF"/>
    <w:rsid w:val="001C0F09"/>
    <w:rsid w:val="001C443D"/>
    <w:rsid w:val="001C784F"/>
    <w:rsid w:val="001C7F5E"/>
    <w:rsid w:val="001D0CA6"/>
    <w:rsid w:val="001D243F"/>
    <w:rsid w:val="001D2843"/>
    <w:rsid w:val="001D43B9"/>
    <w:rsid w:val="001D4FA8"/>
    <w:rsid w:val="001D51C0"/>
    <w:rsid w:val="001D5F4C"/>
    <w:rsid w:val="001D6343"/>
    <w:rsid w:val="001D6DE9"/>
    <w:rsid w:val="001E1F43"/>
    <w:rsid w:val="001E23CE"/>
    <w:rsid w:val="001E3D8E"/>
    <w:rsid w:val="001E3DEB"/>
    <w:rsid w:val="001E4088"/>
    <w:rsid w:val="001E4657"/>
    <w:rsid w:val="001E5473"/>
    <w:rsid w:val="001E72E3"/>
    <w:rsid w:val="001E7370"/>
    <w:rsid w:val="001F0882"/>
    <w:rsid w:val="001F229C"/>
    <w:rsid w:val="001F53AE"/>
    <w:rsid w:val="001F7025"/>
    <w:rsid w:val="002074CE"/>
    <w:rsid w:val="00207B59"/>
    <w:rsid w:val="00207CFB"/>
    <w:rsid w:val="002123DF"/>
    <w:rsid w:val="0021243D"/>
    <w:rsid w:val="00214681"/>
    <w:rsid w:val="00214DC8"/>
    <w:rsid w:val="00215D32"/>
    <w:rsid w:val="00215E33"/>
    <w:rsid w:val="00216631"/>
    <w:rsid w:val="00217167"/>
    <w:rsid w:val="0022405A"/>
    <w:rsid w:val="002250A7"/>
    <w:rsid w:val="00230CEA"/>
    <w:rsid w:val="002318F8"/>
    <w:rsid w:val="00236801"/>
    <w:rsid w:val="00237F98"/>
    <w:rsid w:val="00242541"/>
    <w:rsid w:val="002605E9"/>
    <w:rsid w:val="00263A65"/>
    <w:rsid w:val="0026523C"/>
    <w:rsid w:val="00266A27"/>
    <w:rsid w:val="00266FF7"/>
    <w:rsid w:val="00267E3B"/>
    <w:rsid w:val="00273290"/>
    <w:rsid w:val="00273B26"/>
    <w:rsid w:val="00273D71"/>
    <w:rsid w:val="00274901"/>
    <w:rsid w:val="00276E2F"/>
    <w:rsid w:val="002779ED"/>
    <w:rsid w:val="002802E1"/>
    <w:rsid w:val="002805F4"/>
    <w:rsid w:val="0028138D"/>
    <w:rsid w:val="0028330B"/>
    <w:rsid w:val="00283533"/>
    <w:rsid w:val="00284908"/>
    <w:rsid w:val="00286458"/>
    <w:rsid w:val="00286954"/>
    <w:rsid w:val="00290233"/>
    <w:rsid w:val="00291639"/>
    <w:rsid w:val="00294346"/>
    <w:rsid w:val="00295DC8"/>
    <w:rsid w:val="002964F0"/>
    <w:rsid w:val="002A031C"/>
    <w:rsid w:val="002A3F66"/>
    <w:rsid w:val="002A462D"/>
    <w:rsid w:val="002A6814"/>
    <w:rsid w:val="002B5519"/>
    <w:rsid w:val="002B6621"/>
    <w:rsid w:val="002B7C7E"/>
    <w:rsid w:val="002C2F2D"/>
    <w:rsid w:val="002C4107"/>
    <w:rsid w:val="002C47D8"/>
    <w:rsid w:val="002C4A62"/>
    <w:rsid w:val="002C56B3"/>
    <w:rsid w:val="002D220E"/>
    <w:rsid w:val="002D7BF1"/>
    <w:rsid w:val="002E0298"/>
    <w:rsid w:val="002E79DD"/>
    <w:rsid w:val="002F1CC8"/>
    <w:rsid w:val="002F1FE4"/>
    <w:rsid w:val="002F7184"/>
    <w:rsid w:val="00301408"/>
    <w:rsid w:val="0030266C"/>
    <w:rsid w:val="003063CB"/>
    <w:rsid w:val="003101DD"/>
    <w:rsid w:val="003103D1"/>
    <w:rsid w:val="0031179C"/>
    <w:rsid w:val="00311EFC"/>
    <w:rsid w:val="003122F8"/>
    <w:rsid w:val="003148C6"/>
    <w:rsid w:val="00314D14"/>
    <w:rsid w:val="0031668A"/>
    <w:rsid w:val="00321F83"/>
    <w:rsid w:val="003232BC"/>
    <w:rsid w:val="00324918"/>
    <w:rsid w:val="00325489"/>
    <w:rsid w:val="003257BE"/>
    <w:rsid w:val="00326DB8"/>
    <w:rsid w:val="00327023"/>
    <w:rsid w:val="003274C2"/>
    <w:rsid w:val="00330A54"/>
    <w:rsid w:val="00330A9E"/>
    <w:rsid w:val="00331150"/>
    <w:rsid w:val="003318E9"/>
    <w:rsid w:val="00332801"/>
    <w:rsid w:val="00333986"/>
    <w:rsid w:val="0033486F"/>
    <w:rsid w:val="003357F1"/>
    <w:rsid w:val="00336AD7"/>
    <w:rsid w:val="00340CB7"/>
    <w:rsid w:val="0034149A"/>
    <w:rsid w:val="00342F91"/>
    <w:rsid w:val="00344198"/>
    <w:rsid w:val="00345363"/>
    <w:rsid w:val="00347098"/>
    <w:rsid w:val="00350BFC"/>
    <w:rsid w:val="003511C4"/>
    <w:rsid w:val="00351FDE"/>
    <w:rsid w:val="003520C3"/>
    <w:rsid w:val="003530B5"/>
    <w:rsid w:val="003540EA"/>
    <w:rsid w:val="0035489F"/>
    <w:rsid w:val="0035564E"/>
    <w:rsid w:val="003627FA"/>
    <w:rsid w:val="00362C01"/>
    <w:rsid w:val="00365ED5"/>
    <w:rsid w:val="003724FC"/>
    <w:rsid w:val="00375AE6"/>
    <w:rsid w:val="003800BF"/>
    <w:rsid w:val="00380444"/>
    <w:rsid w:val="00390003"/>
    <w:rsid w:val="00390153"/>
    <w:rsid w:val="003928DC"/>
    <w:rsid w:val="00393697"/>
    <w:rsid w:val="003938DD"/>
    <w:rsid w:val="00397AD1"/>
    <w:rsid w:val="003A13DA"/>
    <w:rsid w:val="003A276E"/>
    <w:rsid w:val="003A28C4"/>
    <w:rsid w:val="003A53C4"/>
    <w:rsid w:val="003A5577"/>
    <w:rsid w:val="003B163A"/>
    <w:rsid w:val="003C0191"/>
    <w:rsid w:val="003C4FEA"/>
    <w:rsid w:val="003C789B"/>
    <w:rsid w:val="003D075C"/>
    <w:rsid w:val="003D1879"/>
    <w:rsid w:val="003D5D40"/>
    <w:rsid w:val="003E2D2D"/>
    <w:rsid w:val="003E361E"/>
    <w:rsid w:val="003E406A"/>
    <w:rsid w:val="003E6D2D"/>
    <w:rsid w:val="003E78E5"/>
    <w:rsid w:val="003E7AEB"/>
    <w:rsid w:val="003F03B6"/>
    <w:rsid w:val="003F0569"/>
    <w:rsid w:val="003F21BB"/>
    <w:rsid w:val="003F76DA"/>
    <w:rsid w:val="004011A4"/>
    <w:rsid w:val="00405562"/>
    <w:rsid w:val="00406487"/>
    <w:rsid w:val="004077B6"/>
    <w:rsid w:val="00410031"/>
    <w:rsid w:val="00410344"/>
    <w:rsid w:val="00410617"/>
    <w:rsid w:val="00417BA8"/>
    <w:rsid w:val="00420AAB"/>
    <w:rsid w:val="004210C6"/>
    <w:rsid w:val="004230A9"/>
    <w:rsid w:val="004237CD"/>
    <w:rsid w:val="00432E99"/>
    <w:rsid w:val="00440A90"/>
    <w:rsid w:val="0044345F"/>
    <w:rsid w:val="00444A22"/>
    <w:rsid w:val="004467B5"/>
    <w:rsid w:val="004471F7"/>
    <w:rsid w:val="00453318"/>
    <w:rsid w:val="00455DB3"/>
    <w:rsid w:val="00456ADA"/>
    <w:rsid w:val="00456BF6"/>
    <w:rsid w:val="0045777F"/>
    <w:rsid w:val="00460944"/>
    <w:rsid w:val="00462650"/>
    <w:rsid w:val="0046518D"/>
    <w:rsid w:val="00466306"/>
    <w:rsid w:val="004677D2"/>
    <w:rsid w:val="00467919"/>
    <w:rsid w:val="004743EC"/>
    <w:rsid w:val="00475199"/>
    <w:rsid w:val="00475BA8"/>
    <w:rsid w:val="00480114"/>
    <w:rsid w:val="00480870"/>
    <w:rsid w:val="004814D9"/>
    <w:rsid w:val="0048216C"/>
    <w:rsid w:val="00483110"/>
    <w:rsid w:val="00483CA8"/>
    <w:rsid w:val="00485A69"/>
    <w:rsid w:val="00486DF8"/>
    <w:rsid w:val="00490610"/>
    <w:rsid w:val="0049185B"/>
    <w:rsid w:val="00491E2A"/>
    <w:rsid w:val="004928A9"/>
    <w:rsid w:val="00495D52"/>
    <w:rsid w:val="004A2018"/>
    <w:rsid w:val="004A290B"/>
    <w:rsid w:val="004B00BC"/>
    <w:rsid w:val="004B3686"/>
    <w:rsid w:val="004B3A11"/>
    <w:rsid w:val="004B6915"/>
    <w:rsid w:val="004B6BBE"/>
    <w:rsid w:val="004B6F17"/>
    <w:rsid w:val="004C0B2B"/>
    <w:rsid w:val="004C1D00"/>
    <w:rsid w:val="004C289D"/>
    <w:rsid w:val="004C7E87"/>
    <w:rsid w:val="004D04D9"/>
    <w:rsid w:val="004D7F02"/>
    <w:rsid w:val="004E1BA8"/>
    <w:rsid w:val="004E36DC"/>
    <w:rsid w:val="004E54B6"/>
    <w:rsid w:val="004F1512"/>
    <w:rsid w:val="004F365D"/>
    <w:rsid w:val="004F67A2"/>
    <w:rsid w:val="004F74B4"/>
    <w:rsid w:val="005010D8"/>
    <w:rsid w:val="005010F3"/>
    <w:rsid w:val="00501802"/>
    <w:rsid w:val="00503349"/>
    <w:rsid w:val="00503DB5"/>
    <w:rsid w:val="00505BED"/>
    <w:rsid w:val="005110CA"/>
    <w:rsid w:val="005131CF"/>
    <w:rsid w:val="00514970"/>
    <w:rsid w:val="00514DEC"/>
    <w:rsid w:val="005155D1"/>
    <w:rsid w:val="00517222"/>
    <w:rsid w:val="00517A08"/>
    <w:rsid w:val="005219AA"/>
    <w:rsid w:val="00523082"/>
    <w:rsid w:val="00524DDA"/>
    <w:rsid w:val="005259A9"/>
    <w:rsid w:val="00525FAB"/>
    <w:rsid w:val="00526712"/>
    <w:rsid w:val="00526992"/>
    <w:rsid w:val="0052787A"/>
    <w:rsid w:val="0053282A"/>
    <w:rsid w:val="00534E43"/>
    <w:rsid w:val="00535E2F"/>
    <w:rsid w:val="005365BC"/>
    <w:rsid w:val="00536AE0"/>
    <w:rsid w:val="00540A57"/>
    <w:rsid w:val="005433F0"/>
    <w:rsid w:val="0055193E"/>
    <w:rsid w:val="005536D2"/>
    <w:rsid w:val="00553C46"/>
    <w:rsid w:val="00554098"/>
    <w:rsid w:val="005579E5"/>
    <w:rsid w:val="005629B9"/>
    <w:rsid w:val="005662B9"/>
    <w:rsid w:val="005667E1"/>
    <w:rsid w:val="00570319"/>
    <w:rsid w:val="005708FE"/>
    <w:rsid w:val="00577971"/>
    <w:rsid w:val="00577A36"/>
    <w:rsid w:val="005818F8"/>
    <w:rsid w:val="00581F3D"/>
    <w:rsid w:val="005862A2"/>
    <w:rsid w:val="00587219"/>
    <w:rsid w:val="005924B4"/>
    <w:rsid w:val="00592CA1"/>
    <w:rsid w:val="0059514E"/>
    <w:rsid w:val="00597216"/>
    <w:rsid w:val="005974B8"/>
    <w:rsid w:val="00597BC9"/>
    <w:rsid w:val="005A0E9B"/>
    <w:rsid w:val="005A2FB8"/>
    <w:rsid w:val="005B1519"/>
    <w:rsid w:val="005B1F03"/>
    <w:rsid w:val="005C0711"/>
    <w:rsid w:val="005C1CD5"/>
    <w:rsid w:val="005C1D84"/>
    <w:rsid w:val="005C3931"/>
    <w:rsid w:val="005C50F8"/>
    <w:rsid w:val="005C6416"/>
    <w:rsid w:val="005D228F"/>
    <w:rsid w:val="005D3CDC"/>
    <w:rsid w:val="005D5E99"/>
    <w:rsid w:val="005D605E"/>
    <w:rsid w:val="005D7D94"/>
    <w:rsid w:val="005E3041"/>
    <w:rsid w:val="005F131A"/>
    <w:rsid w:val="005F204F"/>
    <w:rsid w:val="005F637E"/>
    <w:rsid w:val="005F7469"/>
    <w:rsid w:val="005F7CD1"/>
    <w:rsid w:val="006007D0"/>
    <w:rsid w:val="00602B8F"/>
    <w:rsid w:val="00602DB1"/>
    <w:rsid w:val="00610EFB"/>
    <w:rsid w:val="00611E80"/>
    <w:rsid w:val="006141FD"/>
    <w:rsid w:val="006162B5"/>
    <w:rsid w:val="006172FE"/>
    <w:rsid w:val="006209A2"/>
    <w:rsid w:val="006223C6"/>
    <w:rsid w:val="00623B49"/>
    <w:rsid w:val="00623C04"/>
    <w:rsid w:val="00623C17"/>
    <w:rsid w:val="00624495"/>
    <w:rsid w:val="0062461E"/>
    <w:rsid w:val="00625EB9"/>
    <w:rsid w:val="00630693"/>
    <w:rsid w:val="00630973"/>
    <w:rsid w:val="00631C3C"/>
    <w:rsid w:val="006330BF"/>
    <w:rsid w:val="00634EF9"/>
    <w:rsid w:val="0063517F"/>
    <w:rsid w:val="00635756"/>
    <w:rsid w:val="0063643B"/>
    <w:rsid w:val="00636BE7"/>
    <w:rsid w:val="00647781"/>
    <w:rsid w:val="006529B4"/>
    <w:rsid w:val="00654FCB"/>
    <w:rsid w:val="00655B27"/>
    <w:rsid w:val="00657BAD"/>
    <w:rsid w:val="0066147E"/>
    <w:rsid w:val="0066167D"/>
    <w:rsid w:val="006679B5"/>
    <w:rsid w:val="006701DB"/>
    <w:rsid w:val="00673747"/>
    <w:rsid w:val="00676273"/>
    <w:rsid w:val="006833C5"/>
    <w:rsid w:val="006850F9"/>
    <w:rsid w:val="00686BC7"/>
    <w:rsid w:val="00687D4D"/>
    <w:rsid w:val="0069078C"/>
    <w:rsid w:val="00691772"/>
    <w:rsid w:val="00692339"/>
    <w:rsid w:val="00692467"/>
    <w:rsid w:val="00693CF6"/>
    <w:rsid w:val="0069755A"/>
    <w:rsid w:val="006A2E01"/>
    <w:rsid w:val="006A4C94"/>
    <w:rsid w:val="006B097C"/>
    <w:rsid w:val="006B10F2"/>
    <w:rsid w:val="006B4EB6"/>
    <w:rsid w:val="006B65BB"/>
    <w:rsid w:val="006B6E09"/>
    <w:rsid w:val="006B7C12"/>
    <w:rsid w:val="006C1692"/>
    <w:rsid w:val="006C17E2"/>
    <w:rsid w:val="006C19FA"/>
    <w:rsid w:val="006C20C9"/>
    <w:rsid w:val="006C2871"/>
    <w:rsid w:val="006C33A9"/>
    <w:rsid w:val="006C3D0C"/>
    <w:rsid w:val="006C402D"/>
    <w:rsid w:val="006C4228"/>
    <w:rsid w:val="006C6F37"/>
    <w:rsid w:val="006D0053"/>
    <w:rsid w:val="006D0C72"/>
    <w:rsid w:val="006D2651"/>
    <w:rsid w:val="006D5089"/>
    <w:rsid w:val="006D6C28"/>
    <w:rsid w:val="006E0316"/>
    <w:rsid w:val="006E22AF"/>
    <w:rsid w:val="006E2588"/>
    <w:rsid w:val="006E3BF0"/>
    <w:rsid w:val="006E560B"/>
    <w:rsid w:val="006E5837"/>
    <w:rsid w:val="006E61B1"/>
    <w:rsid w:val="006E6DE3"/>
    <w:rsid w:val="006F0B15"/>
    <w:rsid w:val="006F2268"/>
    <w:rsid w:val="006F360A"/>
    <w:rsid w:val="006F5BEB"/>
    <w:rsid w:val="006F5CFD"/>
    <w:rsid w:val="00700312"/>
    <w:rsid w:val="00702B2E"/>
    <w:rsid w:val="00703D1D"/>
    <w:rsid w:val="00705C6E"/>
    <w:rsid w:val="00710D7B"/>
    <w:rsid w:val="007132E8"/>
    <w:rsid w:val="007147B1"/>
    <w:rsid w:val="0071491E"/>
    <w:rsid w:val="00715D69"/>
    <w:rsid w:val="00716692"/>
    <w:rsid w:val="00720589"/>
    <w:rsid w:val="00720896"/>
    <w:rsid w:val="00720BD4"/>
    <w:rsid w:val="00722028"/>
    <w:rsid w:val="00722DCA"/>
    <w:rsid w:val="00722F42"/>
    <w:rsid w:val="00723A1F"/>
    <w:rsid w:val="00723D42"/>
    <w:rsid w:val="00725870"/>
    <w:rsid w:val="00727E73"/>
    <w:rsid w:val="00731781"/>
    <w:rsid w:val="00734B70"/>
    <w:rsid w:val="007356AE"/>
    <w:rsid w:val="00736D34"/>
    <w:rsid w:val="00737718"/>
    <w:rsid w:val="00740311"/>
    <w:rsid w:val="0074361C"/>
    <w:rsid w:val="00743764"/>
    <w:rsid w:val="007472A4"/>
    <w:rsid w:val="007513A8"/>
    <w:rsid w:val="00751A15"/>
    <w:rsid w:val="007527BF"/>
    <w:rsid w:val="007533BF"/>
    <w:rsid w:val="00757A92"/>
    <w:rsid w:val="00760529"/>
    <w:rsid w:val="0076279A"/>
    <w:rsid w:val="00765666"/>
    <w:rsid w:val="00765ACA"/>
    <w:rsid w:val="007679F1"/>
    <w:rsid w:val="0077151C"/>
    <w:rsid w:val="007723DB"/>
    <w:rsid w:val="007772BB"/>
    <w:rsid w:val="00777FCE"/>
    <w:rsid w:val="007821FC"/>
    <w:rsid w:val="0078303C"/>
    <w:rsid w:val="0078325B"/>
    <w:rsid w:val="007846D6"/>
    <w:rsid w:val="0078504E"/>
    <w:rsid w:val="007914EA"/>
    <w:rsid w:val="007917DB"/>
    <w:rsid w:val="00792EE5"/>
    <w:rsid w:val="00793B04"/>
    <w:rsid w:val="00796A6C"/>
    <w:rsid w:val="007A58AF"/>
    <w:rsid w:val="007B167C"/>
    <w:rsid w:val="007B1FD8"/>
    <w:rsid w:val="007B425F"/>
    <w:rsid w:val="007B63D0"/>
    <w:rsid w:val="007C04A6"/>
    <w:rsid w:val="007C1C06"/>
    <w:rsid w:val="007C37CA"/>
    <w:rsid w:val="007C3834"/>
    <w:rsid w:val="007D12E5"/>
    <w:rsid w:val="007D7427"/>
    <w:rsid w:val="007E1072"/>
    <w:rsid w:val="007E197A"/>
    <w:rsid w:val="007E304F"/>
    <w:rsid w:val="007E4304"/>
    <w:rsid w:val="007F1816"/>
    <w:rsid w:val="007F4D91"/>
    <w:rsid w:val="007F6838"/>
    <w:rsid w:val="007F7C3C"/>
    <w:rsid w:val="007F7DCD"/>
    <w:rsid w:val="007F7FE2"/>
    <w:rsid w:val="00801533"/>
    <w:rsid w:val="00802FBB"/>
    <w:rsid w:val="0080300A"/>
    <w:rsid w:val="00803B15"/>
    <w:rsid w:val="008203BB"/>
    <w:rsid w:val="0082193E"/>
    <w:rsid w:val="00822683"/>
    <w:rsid w:val="008248EF"/>
    <w:rsid w:val="00824BD4"/>
    <w:rsid w:val="0082540A"/>
    <w:rsid w:val="00827957"/>
    <w:rsid w:val="00835F7E"/>
    <w:rsid w:val="00840D65"/>
    <w:rsid w:val="008426FA"/>
    <w:rsid w:val="0084424B"/>
    <w:rsid w:val="00850ECD"/>
    <w:rsid w:val="00851CA6"/>
    <w:rsid w:val="00853BE9"/>
    <w:rsid w:val="008561E2"/>
    <w:rsid w:val="00857837"/>
    <w:rsid w:val="00861786"/>
    <w:rsid w:val="0086432A"/>
    <w:rsid w:val="008643ED"/>
    <w:rsid w:val="00866764"/>
    <w:rsid w:val="008734ED"/>
    <w:rsid w:val="00881C46"/>
    <w:rsid w:val="00882902"/>
    <w:rsid w:val="008849A2"/>
    <w:rsid w:val="0088670B"/>
    <w:rsid w:val="00887F4A"/>
    <w:rsid w:val="00890D77"/>
    <w:rsid w:val="008966C6"/>
    <w:rsid w:val="008A418E"/>
    <w:rsid w:val="008A6933"/>
    <w:rsid w:val="008B16DA"/>
    <w:rsid w:val="008B2FFD"/>
    <w:rsid w:val="008B397F"/>
    <w:rsid w:val="008B4A83"/>
    <w:rsid w:val="008B5AAB"/>
    <w:rsid w:val="008B5E14"/>
    <w:rsid w:val="008B6663"/>
    <w:rsid w:val="008C04B6"/>
    <w:rsid w:val="008C0670"/>
    <w:rsid w:val="008C0BF6"/>
    <w:rsid w:val="008C347B"/>
    <w:rsid w:val="008C374C"/>
    <w:rsid w:val="008C6BFB"/>
    <w:rsid w:val="008C7029"/>
    <w:rsid w:val="008D1285"/>
    <w:rsid w:val="008D224A"/>
    <w:rsid w:val="008D5A0F"/>
    <w:rsid w:val="008D61C6"/>
    <w:rsid w:val="008E0B56"/>
    <w:rsid w:val="008E1601"/>
    <w:rsid w:val="008E380F"/>
    <w:rsid w:val="008E393A"/>
    <w:rsid w:val="008E5BC9"/>
    <w:rsid w:val="008E6ED2"/>
    <w:rsid w:val="008E7C08"/>
    <w:rsid w:val="008F0A28"/>
    <w:rsid w:val="008F5B00"/>
    <w:rsid w:val="008F5ED7"/>
    <w:rsid w:val="00900CCB"/>
    <w:rsid w:val="00902AD2"/>
    <w:rsid w:val="009037AD"/>
    <w:rsid w:val="00903D6B"/>
    <w:rsid w:val="00904EA7"/>
    <w:rsid w:val="00910862"/>
    <w:rsid w:val="00914C2B"/>
    <w:rsid w:val="00920EB0"/>
    <w:rsid w:val="00922519"/>
    <w:rsid w:val="0092361C"/>
    <w:rsid w:val="00923A40"/>
    <w:rsid w:val="00925541"/>
    <w:rsid w:val="0092582D"/>
    <w:rsid w:val="00925B5E"/>
    <w:rsid w:val="00930EC1"/>
    <w:rsid w:val="00932E4C"/>
    <w:rsid w:val="00934525"/>
    <w:rsid w:val="009356A1"/>
    <w:rsid w:val="00935ABE"/>
    <w:rsid w:val="0094586F"/>
    <w:rsid w:val="00947983"/>
    <w:rsid w:val="009507F0"/>
    <w:rsid w:val="0095142D"/>
    <w:rsid w:val="00951D0B"/>
    <w:rsid w:val="0095223A"/>
    <w:rsid w:val="00954257"/>
    <w:rsid w:val="00955763"/>
    <w:rsid w:val="00965811"/>
    <w:rsid w:val="00965954"/>
    <w:rsid w:val="00966068"/>
    <w:rsid w:val="00966F53"/>
    <w:rsid w:val="009678CE"/>
    <w:rsid w:val="00967F09"/>
    <w:rsid w:val="0097340D"/>
    <w:rsid w:val="00974199"/>
    <w:rsid w:val="00974A7D"/>
    <w:rsid w:val="00976D47"/>
    <w:rsid w:val="00977D76"/>
    <w:rsid w:val="00980B92"/>
    <w:rsid w:val="00981F6F"/>
    <w:rsid w:val="0098375A"/>
    <w:rsid w:val="009861E2"/>
    <w:rsid w:val="009906FB"/>
    <w:rsid w:val="00991C2F"/>
    <w:rsid w:val="009947E5"/>
    <w:rsid w:val="00996D6A"/>
    <w:rsid w:val="00997BE7"/>
    <w:rsid w:val="009A03B0"/>
    <w:rsid w:val="009A044A"/>
    <w:rsid w:val="009A04FB"/>
    <w:rsid w:val="009A0873"/>
    <w:rsid w:val="009A1D1B"/>
    <w:rsid w:val="009A3C98"/>
    <w:rsid w:val="009A6514"/>
    <w:rsid w:val="009B0577"/>
    <w:rsid w:val="009B20A8"/>
    <w:rsid w:val="009B2C88"/>
    <w:rsid w:val="009B308F"/>
    <w:rsid w:val="009B5F88"/>
    <w:rsid w:val="009B7E21"/>
    <w:rsid w:val="009C2287"/>
    <w:rsid w:val="009C64F5"/>
    <w:rsid w:val="009D1852"/>
    <w:rsid w:val="009D2A0C"/>
    <w:rsid w:val="009D427F"/>
    <w:rsid w:val="009D44E6"/>
    <w:rsid w:val="009E2D7D"/>
    <w:rsid w:val="009E4954"/>
    <w:rsid w:val="009E5141"/>
    <w:rsid w:val="009F0760"/>
    <w:rsid w:val="009F3569"/>
    <w:rsid w:val="009F3CF5"/>
    <w:rsid w:val="009F3F7A"/>
    <w:rsid w:val="009F465B"/>
    <w:rsid w:val="009F716F"/>
    <w:rsid w:val="00A0330C"/>
    <w:rsid w:val="00A03DE4"/>
    <w:rsid w:val="00A1053A"/>
    <w:rsid w:val="00A10E23"/>
    <w:rsid w:val="00A149CD"/>
    <w:rsid w:val="00A156A5"/>
    <w:rsid w:val="00A16251"/>
    <w:rsid w:val="00A2251F"/>
    <w:rsid w:val="00A25FBF"/>
    <w:rsid w:val="00A27A23"/>
    <w:rsid w:val="00A31709"/>
    <w:rsid w:val="00A32797"/>
    <w:rsid w:val="00A328EC"/>
    <w:rsid w:val="00A32FC7"/>
    <w:rsid w:val="00A33D64"/>
    <w:rsid w:val="00A41CC0"/>
    <w:rsid w:val="00A42E1B"/>
    <w:rsid w:val="00A43688"/>
    <w:rsid w:val="00A449A0"/>
    <w:rsid w:val="00A4510E"/>
    <w:rsid w:val="00A471D9"/>
    <w:rsid w:val="00A50FA7"/>
    <w:rsid w:val="00A52115"/>
    <w:rsid w:val="00A560F6"/>
    <w:rsid w:val="00A5728C"/>
    <w:rsid w:val="00A614E2"/>
    <w:rsid w:val="00A630F3"/>
    <w:rsid w:val="00A66842"/>
    <w:rsid w:val="00A702E6"/>
    <w:rsid w:val="00A70903"/>
    <w:rsid w:val="00A73338"/>
    <w:rsid w:val="00A74EBB"/>
    <w:rsid w:val="00A76552"/>
    <w:rsid w:val="00A77E70"/>
    <w:rsid w:val="00A80BCE"/>
    <w:rsid w:val="00A8137B"/>
    <w:rsid w:val="00A81804"/>
    <w:rsid w:val="00A8378D"/>
    <w:rsid w:val="00A850DD"/>
    <w:rsid w:val="00A86258"/>
    <w:rsid w:val="00A92C18"/>
    <w:rsid w:val="00A93089"/>
    <w:rsid w:val="00A93B0E"/>
    <w:rsid w:val="00A948C3"/>
    <w:rsid w:val="00A9493A"/>
    <w:rsid w:val="00A94A48"/>
    <w:rsid w:val="00A9553D"/>
    <w:rsid w:val="00A96613"/>
    <w:rsid w:val="00A966E7"/>
    <w:rsid w:val="00A97D76"/>
    <w:rsid w:val="00AA3D10"/>
    <w:rsid w:val="00AA4047"/>
    <w:rsid w:val="00AA604D"/>
    <w:rsid w:val="00AA6093"/>
    <w:rsid w:val="00AA638F"/>
    <w:rsid w:val="00AB0015"/>
    <w:rsid w:val="00AB0594"/>
    <w:rsid w:val="00AB2110"/>
    <w:rsid w:val="00AB2336"/>
    <w:rsid w:val="00AB3F27"/>
    <w:rsid w:val="00AB52A7"/>
    <w:rsid w:val="00AC0E9D"/>
    <w:rsid w:val="00AC0FA6"/>
    <w:rsid w:val="00AC12B8"/>
    <w:rsid w:val="00AC2E3B"/>
    <w:rsid w:val="00AC41F5"/>
    <w:rsid w:val="00AC6840"/>
    <w:rsid w:val="00AC7667"/>
    <w:rsid w:val="00AD111C"/>
    <w:rsid w:val="00AD342F"/>
    <w:rsid w:val="00AD7F73"/>
    <w:rsid w:val="00AE0787"/>
    <w:rsid w:val="00AE46BB"/>
    <w:rsid w:val="00AE5709"/>
    <w:rsid w:val="00AE7C5E"/>
    <w:rsid w:val="00AF2780"/>
    <w:rsid w:val="00B01D3B"/>
    <w:rsid w:val="00B122E1"/>
    <w:rsid w:val="00B12C8C"/>
    <w:rsid w:val="00B12CC6"/>
    <w:rsid w:val="00B13722"/>
    <w:rsid w:val="00B13FB8"/>
    <w:rsid w:val="00B17712"/>
    <w:rsid w:val="00B17BE8"/>
    <w:rsid w:val="00B22BD3"/>
    <w:rsid w:val="00B246A2"/>
    <w:rsid w:val="00B30AE0"/>
    <w:rsid w:val="00B34ACB"/>
    <w:rsid w:val="00B36770"/>
    <w:rsid w:val="00B37A14"/>
    <w:rsid w:val="00B402B7"/>
    <w:rsid w:val="00B441DF"/>
    <w:rsid w:val="00B45088"/>
    <w:rsid w:val="00B45586"/>
    <w:rsid w:val="00B45FE4"/>
    <w:rsid w:val="00B50A20"/>
    <w:rsid w:val="00B515D8"/>
    <w:rsid w:val="00B51DA8"/>
    <w:rsid w:val="00B5330D"/>
    <w:rsid w:val="00B5364D"/>
    <w:rsid w:val="00B536A4"/>
    <w:rsid w:val="00B546E4"/>
    <w:rsid w:val="00B56C73"/>
    <w:rsid w:val="00B6671F"/>
    <w:rsid w:val="00B7088F"/>
    <w:rsid w:val="00B744DA"/>
    <w:rsid w:val="00B768F5"/>
    <w:rsid w:val="00B76CBF"/>
    <w:rsid w:val="00B77527"/>
    <w:rsid w:val="00B83A48"/>
    <w:rsid w:val="00B84066"/>
    <w:rsid w:val="00B84AF9"/>
    <w:rsid w:val="00B86818"/>
    <w:rsid w:val="00B868C9"/>
    <w:rsid w:val="00B8709E"/>
    <w:rsid w:val="00B9014C"/>
    <w:rsid w:val="00B91796"/>
    <w:rsid w:val="00B93525"/>
    <w:rsid w:val="00B93D41"/>
    <w:rsid w:val="00B94BD2"/>
    <w:rsid w:val="00B97F6F"/>
    <w:rsid w:val="00BA18AA"/>
    <w:rsid w:val="00BA559F"/>
    <w:rsid w:val="00BA7350"/>
    <w:rsid w:val="00BA7764"/>
    <w:rsid w:val="00BA78B1"/>
    <w:rsid w:val="00BA7B14"/>
    <w:rsid w:val="00BA7B45"/>
    <w:rsid w:val="00BB1941"/>
    <w:rsid w:val="00BB1E90"/>
    <w:rsid w:val="00BB284A"/>
    <w:rsid w:val="00BB323F"/>
    <w:rsid w:val="00BB3B45"/>
    <w:rsid w:val="00BB4100"/>
    <w:rsid w:val="00BB6DDC"/>
    <w:rsid w:val="00BB767A"/>
    <w:rsid w:val="00BC0234"/>
    <w:rsid w:val="00BC4C12"/>
    <w:rsid w:val="00BC5244"/>
    <w:rsid w:val="00BC5EB9"/>
    <w:rsid w:val="00BC71F5"/>
    <w:rsid w:val="00BC72C9"/>
    <w:rsid w:val="00BE214E"/>
    <w:rsid w:val="00BE2751"/>
    <w:rsid w:val="00BE39D7"/>
    <w:rsid w:val="00BE4FCF"/>
    <w:rsid w:val="00BE72C9"/>
    <w:rsid w:val="00BE7D08"/>
    <w:rsid w:val="00BF21ED"/>
    <w:rsid w:val="00C01930"/>
    <w:rsid w:val="00C0245D"/>
    <w:rsid w:val="00C03D6C"/>
    <w:rsid w:val="00C05905"/>
    <w:rsid w:val="00C0797F"/>
    <w:rsid w:val="00C105FB"/>
    <w:rsid w:val="00C112E0"/>
    <w:rsid w:val="00C12EA1"/>
    <w:rsid w:val="00C17D94"/>
    <w:rsid w:val="00C21870"/>
    <w:rsid w:val="00C2296C"/>
    <w:rsid w:val="00C24E35"/>
    <w:rsid w:val="00C263EB"/>
    <w:rsid w:val="00C335E8"/>
    <w:rsid w:val="00C35024"/>
    <w:rsid w:val="00C37081"/>
    <w:rsid w:val="00C42500"/>
    <w:rsid w:val="00C456F4"/>
    <w:rsid w:val="00C4780E"/>
    <w:rsid w:val="00C478A8"/>
    <w:rsid w:val="00C478B4"/>
    <w:rsid w:val="00C50C98"/>
    <w:rsid w:val="00C51372"/>
    <w:rsid w:val="00C51A5D"/>
    <w:rsid w:val="00C559D8"/>
    <w:rsid w:val="00C57829"/>
    <w:rsid w:val="00C57F10"/>
    <w:rsid w:val="00C62BD5"/>
    <w:rsid w:val="00C63BFD"/>
    <w:rsid w:val="00C64CE8"/>
    <w:rsid w:val="00C651FE"/>
    <w:rsid w:val="00C65637"/>
    <w:rsid w:val="00C658FD"/>
    <w:rsid w:val="00C700E2"/>
    <w:rsid w:val="00C70B2B"/>
    <w:rsid w:val="00C712C0"/>
    <w:rsid w:val="00C71F0E"/>
    <w:rsid w:val="00C7334F"/>
    <w:rsid w:val="00C738CE"/>
    <w:rsid w:val="00C73E29"/>
    <w:rsid w:val="00C742D8"/>
    <w:rsid w:val="00C74728"/>
    <w:rsid w:val="00C777FB"/>
    <w:rsid w:val="00C77FAA"/>
    <w:rsid w:val="00C81CAB"/>
    <w:rsid w:val="00C82D49"/>
    <w:rsid w:val="00C836C3"/>
    <w:rsid w:val="00C85D97"/>
    <w:rsid w:val="00C86F5E"/>
    <w:rsid w:val="00C870F3"/>
    <w:rsid w:val="00C91B1C"/>
    <w:rsid w:val="00C92ED2"/>
    <w:rsid w:val="00C9701C"/>
    <w:rsid w:val="00C974FE"/>
    <w:rsid w:val="00CA18EB"/>
    <w:rsid w:val="00CA293C"/>
    <w:rsid w:val="00CA3E1E"/>
    <w:rsid w:val="00CA41C0"/>
    <w:rsid w:val="00CA7392"/>
    <w:rsid w:val="00CB07CC"/>
    <w:rsid w:val="00CB16F4"/>
    <w:rsid w:val="00CB35EB"/>
    <w:rsid w:val="00CB5BBC"/>
    <w:rsid w:val="00CB66BE"/>
    <w:rsid w:val="00CC0663"/>
    <w:rsid w:val="00CC09E5"/>
    <w:rsid w:val="00CC358B"/>
    <w:rsid w:val="00CC3ED4"/>
    <w:rsid w:val="00CC4935"/>
    <w:rsid w:val="00CC6142"/>
    <w:rsid w:val="00CC7B11"/>
    <w:rsid w:val="00CD1A5A"/>
    <w:rsid w:val="00CD3E4E"/>
    <w:rsid w:val="00CD71C4"/>
    <w:rsid w:val="00CE09DC"/>
    <w:rsid w:val="00CE1B56"/>
    <w:rsid w:val="00CE55B1"/>
    <w:rsid w:val="00CE619E"/>
    <w:rsid w:val="00CE6DC1"/>
    <w:rsid w:val="00CE7AF6"/>
    <w:rsid w:val="00CF1FEC"/>
    <w:rsid w:val="00CF2625"/>
    <w:rsid w:val="00CF3E3B"/>
    <w:rsid w:val="00CF5E90"/>
    <w:rsid w:val="00CF6AD5"/>
    <w:rsid w:val="00CF78A6"/>
    <w:rsid w:val="00D05CEB"/>
    <w:rsid w:val="00D074B8"/>
    <w:rsid w:val="00D07DF5"/>
    <w:rsid w:val="00D10599"/>
    <w:rsid w:val="00D105FE"/>
    <w:rsid w:val="00D1219A"/>
    <w:rsid w:val="00D1576E"/>
    <w:rsid w:val="00D15A36"/>
    <w:rsid w:val="00D21077"/>
    <w:rsid w:val="00D22D98"/>
    <w:rsid w:val="00D22EF7"/>
    <w:rsid w:val="00D316A4"/>
    <w:rsid w:val="00D427F0"/>
    <w:rsid w:val="00D43B5F"/>
    <w:rsid w:val="00D444ED"/>
    <w:rsid w:val="00D46D7C"/>
    <w:rsid w:val="00D47E0B"/>
    <w:rsid w:val="00D52FAF"/>
    <w:rsid w:val="00D55827"/>
    <w:rsid w:val="00D607D0"/>
    <w:rsid w:val="00D609BD"/>
    <w:rsid w:val="00D62737"/>
    <w:rsid w:val="00D62C03"/>
    <w:rsid w:val="00D63EFE"/>
    <w:rsid w:val="00D667C8"/>
    <w:rsid w:val="00D66D21"/>
    <w:rsid w:val="00D67550"/>
    <w:rsid w:val="00D73144"/>
    <w:rsid w:val="00D73193"/>
    <w:rsid w:val="00D75862"/>
    <w:rsid w:val="00D75C3E"/>
    <w:rsid w:val="00D76068"/>
    <w:rsid w:val="00D76986"/>
    <w:rsid w:val="00D77361"/>
    <w:rsid w:val="00D85FD2"/>
    <w:rsid w:val="00D8726C"/>
    <w:rsid w:val="00D90FC5"/>
    <w:rsid w:val="00D96BF7"/>
    <w:rsid w:val="00D973CA"/>
    <w:rsid w:val="00DA5117"/>
    <w:rsid w:val="00DA5B1C"/>
    <w:rsid w:val="00DA5D45"/>
    <w:rsid w:val="00DB0B03"/>
    <w:rsid w:val="00DB1E52"/>
    <w:rsid w:val="00DB26A2"/>
    <w:rsid w:val="00DB5220"/>
    <w:rsid w:val="00DB5B8A"/>
    <w:rsid w:val="00DC0ED0"/>
    <w:rsid w:val="00DC1812"/>
    <w:rsid w:val="00DC34B5"/>
    <w:rsid w:val="00DC4DC9"/>
    <w:rsid w:val="00DD0DEC"/>
    <w:rsid w:val="00DD1F37"/>
    <w:rsid w:val="00DD3099"/>
    <w:rsid w:val="00DD475A"/>
    <w:rsid w:val="00DD4A44"/>
    <w:rsid w:val="00DD5885"/>
    <w:rsid w:val="00DD5F3E"/>
    <w:rsid w:val="00DE1477"/>
    <w:rsid w:val="00DE2994"/>
    <w:rsid w:val="00DE32B1"/>
    <w:rsid w:val="00DE415F"/>
    <w:rsid w:val="00DE42A4"/>
    <w:rsid w:val="00DE5763"/>
    <w:rsid w:val="00DE57D8"/>
    <w:rsid w:val="00DE5C71"/>
    <w:rsid w:val="00DE6E58"/>
    <w:rsid w:val="00DF254D"/>
    <w:rsid w:val="00DF28F0"/>
    <w:rsid w:val="00DF2F4F"/>
    <w:rsid w:val="00DF5007"/>
    <w:rsid w:val="00DF72FA"/>
    <w:rsid w:val="00DF7B82"/>
    <w:rsid w:val="00E03D96"/>
    <w:rsid w:val="00E06542"/>
    <w:rsid w:val="00E06963"/>
    <w:rsid w:val="00E12844"/>
    <w:rsid w:val="00E20A49"/>
    <w:rsid w:val="00E2198E"/>
    <w:rsid w:val="00E21E56"/>
    <w:rsid w:val="00E239CA"/>
    <w:rsid w:val="00E244A7"/>
    <w:rsid w:val="00E2526F"/>
    <w:rsid w:val="00E26AC0"/>
    <w:rsid w:val="00E27F41"/>
    <w:rsid w:val="00E3196E"/>
    <w:rsid w:val="00E339FD"/>
    <w:rsid w:val="00E36C55"/>
    <w:rsid w:val="00E371D9"/>
    <w:rsid w:val="00E4180F"/>
    <w:rsid w:val="00E470F8"/>
    <w:rsid w:val="00E4747A"/>
    <w:rsid w:val="00E47C1D"/>
    <w:rsid w:val="00E503C2"/>
    <w:rsid w:val="00E506D2"/>
    <w:rsid w:val="00E50D3B"/>
    <w:rsid w:val="00E57803"/>
    <w:rsid w:val="00E61C58"/>
    <w:rsid w:val="00E61D9F"/>
    <w:rsid w:val="00E62B97"/>
    <w:rsid w:val="00E646E8"/>
    <w:rsid w:val="00E667FB"/>
    <w:rsid w:val="00E66F80"/>
    <w:rsid w:val="00E6774D"/>
    <w:rsid w:val="00E719FA"/>
    <w:rsid w:val="00E76D95"/>
    <w:rsid w:val="00E816DB"/>
    <w:rsid w:val="00E829B5"/>
    <w:rsid w:val="00E829C8"/>
    <w:rsid w:val="00E839E6"/>
    <w:rsid w:val="00E83ABE"/>
    <w:rsid w:val="00E848DC"/>
    <w:rsid w:val="00E879E0"/>
    <w:rsid w:val="00E87DC3"/>
    <w:rsid w:val="00E910D5"/>
    <w:rsid w:val="00E9215A"/>
    <w:rsid w:val="00E92C1B"/>
    <w:rsid w:val="00E93BDE"/>
    <w:rsid w:val="00E93E4B"/>
    <w:rsid w:val="00E95D4A"/>
    <w:rsid w:val="00E964B9"/>
    <w:rsid w:val="00EA0F54"/>
    <w:rsid w:val="00EA2A96"/>
    <w:rsid w:val="00EA37F0"/>
    <w:rsid w:val="00EA49F5"/>
    <w:rsid w:val="00EA6B6B"/>
    <w:rsid w:val="00EA72DE"/>
    <w:rsid w:val="00EA730A"/>
    <w:rsid w:val="00EA755F"/>
    <w:rsid w:val="00EB04BD"/>
    <w:rsid w:val="00EB30B8"/>
    <w:rsid w:val="00EB6D4E"/>
    <w:rsid w:val="00EC0CB9"/>
    <w:rsid w:val="00EC1639"/>
    <w:rsid w:val="00EC324C"/>
    <w:rsid w:val="00EC3484"/>
    <w:rsid w:val="00EC792E"/>
    <w:rsid w:val="00ED162B"/>
    <w:rsid w:val="00ED5CB7"/>
    <w:rsid w:val="00ED5D1F"/>
    <w:rsid w:val="00ED68B5"/>
    <w:rsid w:val="00ED7464"/>
    <w:rsid w:val="00EE0B36"/>
    <w:rsid w:val="00EE10D6"/>
    <w:rsid w:val="00EE1348"/>
    <w:rsid w:val="00EE26B1"/>
    <w:rsid w:val="00EE4392"/>
    <w:rsid w:val="00EE5515"/>
    <w:rsid w:val="00EF2065"/>
    <w:rsid w:val="00EF3588"/>
    <w:rsid w:val="00EF3F22"/>
    <w:rsid w:val="00EF79BB"/>
    <w:rsid w:val="00F002F4"/>
    <w:rsid w:val="00F03368"/>
    <w:rsid w:val="00F04D63"/>
    <w:rsid w:val="00F05D86"/>
    <w:rsid w:val="00F06BFB"/>
    <w:rsid w:val="00F11C76"/>
    <w:rsid w:val="00F11CD5"/>
    <w:rsid w:val="00F12E8F"/>
    <w:rsid w:val="00F16FE2"/>
    <w:rsid w:val="00F22D2A"/>
    <w:rsid w:val="00F235B9"/>
    <w:rsid w:val="00F24165"/>
    <w:rsid w:val="00F27BF5"/>
    <w:rsid w:val="00F33056"/>
    <w:rsid w:val="00F33FB2"/>
    <w:rsid w:val="00F359DA"/>
    <w:rsid w:val="00F41F88"/>
    <w:rsid w:val="00F4322D"/>
    <w:rsid w:val="00F43364"/>
    <w:rsid w:val="00F46C8C"/>
    <w:rsid w:val="00F500F7"/>
    <w:rsid w:val="00F52F87"/>
    <w:rsid w:val="00F53274"/>
    <w:rsid w:val="00F543E8"/>
    <w:rsid w:val="00F55B57"/>
    <w:rsid w:val="00F57087"/>
    <w:rsid w:val="00F5714D"/>
    <w:rsid w:val="00F608D1"/>
    <w:rsid w:val="00F62233"/>
    <w:rsid w:val="00F6246C"/>
    <w:rsid w:val="00F62C42"/>
    <w:rsid w:val="00F6442F"/>
    <w:rsid w:val="00F64DE2"/>
    <w:rsid w:val="00F66B48"/>
    <w:rsid w:val="00F66FBA"/>
    <w:rsid w:val="00F7242B"/>
    <w:rsid w:val="00F726C3"/>
    <w:rsid w:val="00F73B44"/>
    <w:rsid w:val="00F73CC3"/>
    <w:rsid w:val="00F74614"/>
    <w:rsid w:val="00F74AA4"/>
    <w:rsid w:val="00F74FC4"/>
    <w:rsid w:val="00F76338"/>
    <w:rsid w:val="00F767AC"/>
    <w:rsid w:val="00F7733F"/>
    <w:rsid w:val="00F80E38"/>
    <w:rsid w:val="00F8122D"/>
    <w:rsid w:val="00F83070"/>
    <w:rsid w:val="00F83482"/>
    <w:rsid w:val="00F840DE"/>
    <w:rsid w:val="00F867F9"/>
    <w:rsid w:val="00F9029E"/>
    <w:rsid w:val="00F9108E"/>
    <w:rsid w:val="00F91F08"/>
    <w:rsid w:val="00F933A0"/>
    <w:rsid w:val="00F96B61"/>
    <w:rsid w:val="00FA03E4"/>
    <w:rsid w:val="00FA1C67"/>
    <w:rsid w:val="00FA272E"/>
    <w:rsid w:val="00FA4DE4"/>
    <w:rsid w:val="00FA5498"/>
    <w:rsid w:val="00FA7B80"/>
    <w:rsid w:val="00FB1FF0"/>
    <w:rsid w:val="00FB3C47"/>
    <w:rsid w:val="00FB3C53"/>
    <w:rsid w:val="00FB5FAE"/>
    <w:rsid w:val="00FB6FC2"/>
    <w:rsid w:val="00FC52B9"/>
    <w:rsid w:val="00FC5C3F"/>
    <w:rsid w:val="00FC7C1B"/>
    <w:rsid w:val="00FD0921"/>
    <w:rsid w:val="00FD0C5E"/>
    <w:rsid w:val="00FD1037"/>
    <w:rsid w:val="00FD1386"/>
    <w:rsid w:val="00FD229F"/>
    <w:rsid w:val="00FD3490"/>
    <w:rsid w:val="00FD39F0"/>
    <w:rsid w:val="00FD60F2"/>
    <w:rsid w:val="00FD6879"/>
    <w:rsid w:val="00FE00F9"/>
    <w:rsid w:val="00FE2174"/>
    <w:rsid w:val="00FE33BE"/>
    <w:rsid w:val="00FE3421"/>
    <w:rsid w:val="00FE4221"/>
    <w:rsid w:val="00FE7B54"/>
    <w:rsid w:val="00FF4011"/>
    <w:rsid w:val="00FF6ADB"/>
    <w:rsid w:val="27AAD5EE"/>
    <w:rsid w:val="2D9637A0"/>
    <w:rsid w:val="39DEEBC0"/>
    <w:rsid w:val="6837CA26"/>
    <w:rsid w:val="74DEF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2C309"/>
  <w15:chartTrackingRefBased/>
  <w15:docId w15:val="{4B0E0421-FAED-4F5E-ADA5-96BFBC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62"/>
    <w:rPr>
      <w:rFonts w:ascii="Arial" w:hAnsi="Arial"/>
      <w:sz w:val="24"/>
    </w:rPr>
  </w:style>
  <w:style w:type="paragraph" w:styleId="Heading1">
    <w:name w:val="heading 1"/>
    <w:basedOn w:val="Normal"/>
    <w:next w:val="Normal"/>
    <w:link w:val="Heading1Char"/>
    <w:uiPriority w:val="9"/>
    <w:qFormat/>
    <w:rsid w:val="00D46D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862"/>
    <w:rPr>
      <w:rFonts w:ascii="Arial" w:hAnsi="Arial"/>
      <w:sz w:val="24"/>
    </w:rPr>
  </w:style>
  <w:style w:type="paragraph" w:styleId="Footer">
    <w:name w:val="footer"/>
    <w:basedOn w:val="Normal"/>
    <w:link w:val="FooterChar"/>
    <w:uiPriority w:val="99"/>
    <w:unhideWhenUsed/>
    <w:rsid w:val="00D7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862"/>
    <w:rPr>
      <w:rFonts w:ascii="Arial" w:hAnsi="Arial"/>
      <w:sz w:val="24"/>
    </w:rPr>
  </w:style>
  <w:style w:type="paragraph" w:styleId="ListParagraph">
    <w:name w:val="List Paragraph"/>
    <w:basedOn w:val="Normal"/>
    <w:link w:val="ListParagraphChar"/>
    <w:uiPriority w:val="34"/>
    <w:qFormat/>
    <w:rsid w:val="00284908"/>
    <w:pPr>
      <w:numPr>
        <w:numId w:val="2"/>
      </w:numPr>
      <w:spacing w:after="200" w:line="276" w:lineRule="auto"/>
    </w:pPr>
  </w:style>
  <w:style w:type="character" w:customStyle="1" w:styleId="ListParagraphChar">
    <w:name w:val="List Paragraph Char"/>
    <w:basedOn w:val="DefaultParagraphFont"/>
    <w:link w:val="ListParagraph"/>
    <w:uiPriority w:val="34"/>
    <w:locked/>
    <w:rsid w:val="00284908"/>
    <w:rPr>
      <w:rFonts w:ascii="Arial" w:hAnsi="Arial"/>
      <w:sz w:val="24"/>
    </w:rPr>
  </w:style>
  <w:style w:type="character" w:customStyle="1" w:styleId="normaltextrun">
    <w:name w:val="normaltextrun"/>
    <w:basedOn w:val="DefaultParagraphFont"/>
    <w:rsid w:val="00284908"/>
  </w:style>
  <w:style w:type="character" w:customStyle="1" w:styleId="findhit">
    <w:name w:val="findhit"/>
    <w:basedOn w:val="DefaultParagraphFont"/>
    <w:rsid w:val="00284908"/>
  </w:style>
  <w:style w:type="character" w:customStyle="1" w:styleId="eop">
    <w:name w:val="eop"/>
    <w:basedOn w:val="DefaultParagraphFont"/>
    <w:rsid w:val="00284908"/>
  </w:style>
  <w:style w:type="paragraph" w:styleId="FootnoteText">
    <w:name w:val="footnote text"/>
    <w:basedOn w:val="Normal"/>
    <w:link w:val="FootnoteTextChar"/>
    <w:uiPriority w:val="99"/>
    <w:semiHidden/>
    <w:unhideWhenUsed/>
    <w:rsid w:val="00284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908"/>
    <w:rPr>
      <w:rFonts w:ascii="Arial" w:hAnsi="Arial"/>
      <w:sz w:val="20"/>
      <w:szCs w:val="20"/>
    </w:rPr>
  </w:style>
  <w:style w:type="character" w:styleId="FootnoteReference">
    <w:name w:val="footnote reference"/>
    <w:basedOn w:val="DefaultParagraphFont"/>
    <w:uiPriority w:val="99"/>
    <w:unhideWhenUsed/>
    <w:rsid w:val="00284908"/>
  </w:style>
  <w:style w:type="character" w:styleId="CommentReference">
    <w:name w:val="annotation reference"/>
    <w:basedOn w:val="DefaultParagraphFont"/>
    <w:uiPriority w:val="99"/>
    <w:semiHidden/>
    <w:unhideWhenUsed/>
    <w:rsid w:val="009C64F5"/>
    <w:rPr>
      <w:sz w:val="16"/>
      <w:szCs w:val="16"/>
    </w:rPr>
  </w:style>
  <w:style w:type="paragraph" w:styleId="CommentText">
    <w:name w:val="annotation text"/>
    <w:basedOn w:val="Normal"/>
    <w:link w:val="CommentTextChar"/>
    <w:uiPriority w:val="99"/>
    <w:unhideWhenUsed/>
    <w:rsid w:val="009C64F5"/>
    <w:pPr>
      <w:spacing w:line="240" w:lineRule="auto"/>
    </w:pPr>
    <w:rPr>
      <w:sz w:val="20"/>
      <w:szCs w:val="20"/>
    </w:rPr>
  </w:style>
  <w:style w:type="character" w:customStyle="1" w:styleId="CommentTextChar">
    <w:name w:val="Comment Text Char"/>
    <w:basedOn w:val="DefaultParagraphFont"/>
    <w:link w:val="CommentText"/>
    <w:uiPriority w:val="99"/>
    <w:rsid w:val="009C64F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C64F5"/>
    <w:rPr>
      <w:b/>
      <w:bCs/>
    </w:rPr>
  </w:style>
  <w:style w:type="character" w:customStyle="1" w:styleId="CommentSubjectChar">
    <w:name w:val="Comment Subject Char"/>
    <w:basedOn w:val="CommentTextChar"/>
    <w:link w:val="CommentSubject"/>
    <w:uiPriority w:val="99"/>
    <w:semiHidden/>
    <w:rsid w:val="009C64F5"/>
    <w:rPr>
      <w:rFonts w:ascii="Arial" w:hAnsi="Arial"/>
      <w:b/>
      <w:bCs/>
      <w:sz w:val="20"/>
      <w:szCs w:val="20"/>
    </w:rPr>
  </w:style>
  <w:style w:type="character" w:styleId="Mention">
    <w:name w:val="Mention"/>
    <w:basedOn w:val="DefaultParagraphFont"/>
    <w:uiPriority w:val="99"/>
    <w:unhideWhenUsed/>
    <w:rsid w:val="00835F7E"/>
    <w:rPr>
      <w:color w:val="2B579A"/>
      <w:shd w:val="clear" w:color="auto" w:fill="E1DFDD"/>
    </w:rPr>
  </w:style>
  <w:style w:type="paragraph" w:styleId="Revision">
    <w:name w:val="Revision"/>
    <w:hidden/>
    <w:uiPriority w:val="99"/>
    <w:semiHidden/>
    <w:rsid w:val="000F67DC"/>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067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C1"/>
    <w:rPr>
      <w:rFonts w:ascii="Segoe UI" w:hAnsi="Segoe UI" w:cs="Segoe UI"/>
      <w:sz w:val="18"/>
      <w:szCs w:val="18"/>
    </w:rPr>
  </w:style>
  <w:style w:type="character" w:customStyle="1" w:styleId="Heading1Char">
    <w:name w:val="Heading 1 Char"/>
    <w:basedOn w:val="DefaultParagraphFont"/>
    <w:link w:val="Heading1"/>
    <w:uiPriority w:val="9"/>
    <w:rsid w:val="00D46D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994381">
      <w:bodyDiv w:val="1"/>
      <w:marLeft w:val="0"/>
      <w:marRight w:val="0"/>
      <w:marTop w:val="0"/>
      <w:marBottom w:val="0"/>
      <w:divBdr>
        <w:top w:val="none" w:sz="0" w:space="0" w:color="auto"/>
        <w:left w:val="none" w:sz="0" w:space="0" w:color="auto"/>
        <w:bottom w:val="none" w:sz="0" w:space="0" w:color="auto"/>
        <w:right w:val="none" w:sz="0" w:space="0" w:color="auto"/>
      </w:divBdr>
    </w:div>
    <w:div w:id="21092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lcf76f155ced4ddcb4097134ff3c332f xmlns="c7e7393d-60ba-497e-81fa-d1b3c183094f">
      <Terms xmlns="http://schemas.microsoft.com/office/infopath/2007/PartnerControls"/>
    </lcf76f155ced4ddcb4097134ff3c332f>
    <d05f9ddbbf90433f9defeae7b3463abc xmlns="851dfaa3-aae8-4c03-b90c-7dd4a6526d0d">
      <Terms xmlns="http://schemas.microsoft.com/office/infopath/2007/PartnerControl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9" ma:contentTypeDescription="" ma:contentTypeScope="" ma:versionID="8f79e298e3d0fcf150d18ae3faa6895a">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9e1974897853481a6ad83e1c4d5e7ee2"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E184-629A-4851-A09F-3B1EA0FFD989}">
  <ds:schemaRefs>
    <ds:schemaRef ds:uri="http://schemas.microsoft.com/sharepoint/v3/contenttype/forms"/>
  </ds:schemaRefs>
</ds:datastoreItem>
</file>

<file path=customXml/itemProps2.xml><?xml version="1.0" encoding="utf-8"?>
<ds:datastoreItem xmlns:ds="http://schemas.openxmlformats.org/officeDocument/2006/customXml" ds:itemID="{846B482E-6492-46F0-9561-F3DFEC4E4187}">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c7e7393d-60ba-497e-81fa-d1b3c183094f"/>
    <ds:schemaRef ds:uri="851dfaa3-aae8-4c03-b90c-7dd4a6526d0d"/>
    <ds:schemaRef ds:uri="http://schemas.microsoft.com/office/2006/metadata/properties"/>
  </ds:schemaRefs>
</ds:datastoreItem>
</file>

<file path=customXml/itemProps3.xml><?xml version="1.0" encoding="utf-8"?>
<ds:datastoreItem xmlns:ds="http://schemas.openxmlformats.org/officeDocument/2006/customXml" ds:itemID="{C392DD28-1B30-497F-9C79-47370D03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C55CD-3932-473A-A598-50C47419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2161</Words>
  <Characters>12212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CGP Change Sheet 2</dc:title>
  <dc:subject/>
  <dc:creator>Roosenboom, Brandon@Waterboards</dc:creator>
  <cp:keywords/>
  <dc:description/>
  <cp:lastModifiedBy>Tyler, Courtney@Waterboards</cp:lastModifiedBy>
  <cp:revision>4</cp:revision>
  <dcterms:created xsi:type="dcterms:W3CDTF">2022-09-07T23:17:00Z</dcterms:created>
  <dcterms:modified xsi:type="dcterms:W3CDTF">2022-09-07T23:19:00Z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0x010100F57B56A979CD314583F71FB183DEA39601003A5234A66F19EF43A6C294FD00C05DA9</vt:lpwstr>
  </property>
  <property fmtid="{D5CDD505-2E9C-101B-9397-08002B2CF9AE}" pid="3" name="TaxKeyword">
    <vt:lpwstr/>
  </property>
  <property fmtid="{D5CDD505-2E9C-101B-9397-08002B2CF9AE}" pid="4" name="MediaServiceImageTags">
    <vt:lpwstr/>
  </property>
  <property fmtid="{D5CDD505-2E9C-101B-9397-08002B2CF9AE}" pid="5" name="DWQ_Section">
    <vt:lpwstr/>
  </property>
  <property fmtid="{D5CDD505-2E9C-101B-9397-08002B2CF9AE}" pid="6" name="DWQ_Projects">
    <vt:lpwstr/>
  </property>
  <property fmtid="{D5CDD505-2E9C-101B-9397-08002B2CF9AE}" pid="7" name="DWQ_Unit">
    <vt:lpwstr/>
  </property>
  <property fmtid="{D5CDD505-2E9C-101B-9397-08002B2CF9AE}" pid="8" name="DWQ_DocType">
    <vt:lpwstr/>
  </property>
</Properties>
</file>