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32"/>
        <w:tblW w:w="10013" w:type="dxa"/>
        <w:tblLayout w:type="fixed"/>
        <w:tblLook w:val="01E0" w:firstRow="1" w:lastRow="1" w:firstColumn="1" w:lastColumn="1" w:noHBand="0" w:noVBand="0"/>
      </w:tblPr>
      <w:tblGrid>
        <w:gridCol w:w="3770"/>
        <w:gridCol w:w="6243"/>
      </w:tblGrid>
      <w:tr w:rsidR="007D7610" w:rsidRPr="0056689F" w14:paraId="6330C6BF" w14:textId="77777777" w:rsidTr="003C4F4C">
        <w:trPr>
          <w:trHeight w:hRule="exact" w:val="597"/>
        </w:trPr>
        <w:tc>
          <w:tcPr>
            <w:tcW w:w="3770" w:type="dxa"/>
            <w:vAlign w:val="center"/>
          </w:tcPr>
          <w:p w14:paraId="445C8A1A" w14:textId="77777777" w:rsidR="001913F1" w:rsidRPr="0056689F" w:rsidRDefault="001913F1" w:rsidP="00675B70">
            <w:pPr>
              <w:pStyle w:val="TableParagraph"/>
              <w:spacing w:before="0"/>
              <w:ind w:right="109"/>
              <w:jc w:val="center"/>
              <w:rPr>
                <w:b/>
                <w:sz w:val="24"/>
                <w:szCs w:val="24"/>
              </w:rPr>
            </w:pPr>
            <w:r w:rsidRPr="0056689F">
              <w:rPr>
                <w:b/>
                <w:sz w:val="24"/>
                <w:szCs w:val="24"/>
              </w:rPr>
              <w:t>Contaminant(s):</w:t>
            </w:r>
          </w:p>
        </w:tc>
        <w:tc>
          <w:tcPr>
            <w:tcW w:w="6243" w:type="dxa"/>
            <w:vAlign w:val="center"/>
          </w:tcPr>
          <w:p w14:paraId="2D2AEF72" w14:textId="7DA6B7A3" w:rsidR="001913F1" w:rsidRPr="0056689F" w:rsidRDefault="002022C4" w:rsidP="00675B70">
            <w:pPr>
              <w:pStyle w:val="TableParagraph"/>
              <w:spacing w:before="0"/>
              <w:ind w:left="107"/>
              <w:jc w:val="center"/>
              <w:rPr>
                <w:sz w:val="24"/>
                <w:szCs w:val="24"/>
              </w:rPr>
            </w:pPr>
            <w:r w:rsidRPr="0056689F">
              <w:rPr>
                <w:sz w:val="24"/>
                <w:szCs w:val="24"/>
              </w:rPr>
              <w:t>Manganese</w:t>
            </w:r>
          </w:p>
        </w:tc>
      </w:tr>
      <w:tr w:rsidR="007D7610" w:rsidRPr="0056689F" w14:paraId="4B599B09" w14:textId="77777777" w:rsidTr="003C4F4C">
        <w:trPr>
          <w:trHeight w:hRule="exact" w:val="621"/>
        </w:trPr>
        <w:tc>
          <w:tcPr>
            <w:tcW w:w="3770" w:type="dxa"/>
            <w:vAlign w:val="center"/>
          </w:tcPr>
          <w:p w14:paraId="61458186" w14:textId="49C4CF89" w:rsidR="001913F1" w:rsidRPr="0056689F" w:rsidRDefault="001913F1" w:rsidP="00675B70">
            <w:pPr>
              <w:pStyle w:val="TableParagraph"/>
              <w:spacing w:before="0"/>
              <w:ind w:right="106"/>
              <w:jc w:val="center"/>
              <w:rPr>
                <w:b/>
                <w:sz w:val="24"/>
                <w:szCs w:val="24"/>
              </w:rPr>
            </w:pPr>
            <w:r w:rsidRPr="0056689F">
              <w:rPr>
                <w:b/>
                <w:sz w:val="24"/>
                <w:szCs w:val="24"/>
              </w:rPr>
              <w:t>Notification Level:</w:t>
            </w:r>
          </w:p>
        </w:tc>
        <w:tc>
          <w:tcPr>
            <w:tcW w:w="6243" w:type="dxa"/>
            <w:vAlign w:val="center"/>
          </w:tcPr>
          <w:p w14:paraId="4286E059" w14:textId="29EE5463" w:rsidR="001913F1" w:rsidRPr="0056689F" w:rsidRDefault="002022C4" w:rsidP="00675B70">
            <w:pPr>
              <w:pStyle w:val="TableParagraph"/>
              <w:spacing w:before="0"/>
              <w:ind w:left="107"/>
              <w:jc w:val="center"/>
              <w:rPr>
                <w:sz w:val="24"/>
                <w:szCs w:val="24"/>
              </w:rPr>
            </w:pPr>
            <w:proofErr w:type="gramStart"/>
            <w:r w:rsidRPr="0056689F">
              <w:rPr>
                <w:sz w:val="24"/>
                <w:szCs w:val="24"/>
              </w:rPr>
              <w:t>20</w:t>
            </w:r>
            <w:proofErr w:type="gramEnd"/>
            <w:r w:rsidR="006324D6" w:rsidRPr="0056689F">
              <w:rPr>
                <w:sz w:val="24"/>
                <w:szCs w:val="24"/>
              </w:rPr>
              <w:t xml:space="preserve"> micrograms per liter</w:t>
            </w:r>
            <w:r w:rsidR="00EA68E3" w:rsidRPr="0056689F">
              <w:rPr>
                <w:sz w:val="24"/>
                <w:szCs w:val="24"/>
              </w:rPr>
              <w:t xml:space="preserve"> (µg/L)</w:t>
            </w:r>
          </w:p>
        </w:tc>
      </w:tr>
      <w:tr w:rsidR="007D7610" w:rsidRPr="0056689F" w14:paraId="0A0CD9DD" w14:textId="77777777" w:rsidTr="003C4F4C">
        <w:trPr>
          <w:trHeight w:hRule="exact" w:val="577"/>
        </w:trPr>
        <w:tc>
          <w:tcPr>
            <w:tcW w:w="3770" w:type="dxa"/>
            <w:vAlign w:val="center"/>
          </w:tcPr>
          <w:p w14:paraId="479D86E7" w14:textId="1E5A98F5" w:rsidR="001913F1" w:rsidRPr="0056689F" w:rsidRDefault="001913F1" w:rsidP="00675B70">
            <w:pPr>
              <w:pStyle w:val="TableParagraph"/>
              <w:spacing w:before="0"/>
              <w:ind w:right="108"/>
              <w:jc w:val="center"/>
              <w:rPr>
                <w:b/>
                <w:sz w:val="24"/>
                <w:szCs w:val="24"/>
              </w:rPr>
            </w:pPr>
            <w:r w:rsidRPr="0056689F">
              <w:rPr>
                <w:b/>
                <w:sz w:val="24"/>
                <w:szCs w:val="24"/>
              </w:rPr>
              <w:t>Response Level:</w:t>
            </w:r>
          </w:p>
        </w:tc>
        <w:tc>
          <w:tcPr>
            <w:tcW w:w="6243" w:type="dxa"/>
            <w:vAlign w:val="center"/>
          </w:tcPr>
          <w:p w14:paraId="014D3592" w14:textId="51D0217F" w:rsidR="001913F1" w:rsidRPr="0056689F" w:rsidRDefault="002022C4" w:rsidP="00675B70">
            <w:pPr>
              <w:pStyle w:val="TableParagraph"/>
              <w:spacing w:before="0"/>
              <w:ind w:left="107"/>
              <w:jc w:val="center"/>
              <w:rPr>
                <w:sz w:val="24"/>
                <w:szCs w:val="24"/>
              </w:rPr>
            </w:pPr>
            <w:proofErr w:type="gramStart"/>
            <w:r w:rsidRPr="0056689F">
              <w:rPr>
                <w:sz w:val="24"/>
                <w:szCs w:val="24"/>
              </w:rPr>
              <w:t>200</w:t>
            </w:r>
            <w:proofErr w:type="gramEnd"/>
            <w:r w:rsidR="006324D6" w:rsidRPr="0056689F">
              <w:rPr>
                <w:sz w:val="24"/>
                <w:szCs w:val="24"/>
              </w:rPr>
              <w:t xml:space="preserve"> micrograms per liter</w:t>
            </w:r>
            <w:r w:rsidR="00EA68E3" w:rsidRPr="0056689F">
              <w:rPr>
                <w:sz w:val="24"/>
                <w:szCs w:val="24"/>
              </w:rPr>
              <w:t xml:space="preserve"> (µg/L)</w:t>
            </w:r>
          </w:p>
        </w:tc>
      </w:tr>
      <w:tr w:rsidR="007D7610" w:rsidRPr="0056689F" w14:paraId="7C0BEF15" w14:textId="77777777" w:rsidTr="0056689F">
        <w:trPr>
          <w:trHeight w:hRule="exact" w:val="727"/>
        </w:trPr>
        <w:tc>
          <w:tcPr>
            <w:tcW w:w="3770" w:type="dxa"/>
            <w:vAlign w:val="center"/>
          </w:tcPr>
          <w:p w14:paraId="2A0EB320" w14:textId="77777777" w:rsidR="001913F1" w:rsidRPr="0056689F" w:rsidRDefault="001913F1" w:rsidP="00675B70">
            <w:pPr>
              <w:pStyle w:val="TableParagraph"/>
              <w:spacing w:before="0"/>
              <w:ind w:right="107"/>
              <w:jc w:val="center"/>
              <w:rPr>
                <w:b/>
                <w:sz w:val="24"/>
                <w:szCs w:val="24"/>
              </w:rPr>
            </w:pPr>
            <w:r w:rsidRPr="0056689F">
              <w:rPr>
                <w:b/>
                <w:sz w:val="24"/>
                <w:szCs w:val="24"/>
              </w:rPr>
              <w:t>Analytical Method:</w:t>
            </w:r>
          </w:p>
        </w:tc>
        <w:tc>
          <w:tcPr>
            <w:tcW w:w="6243" w:type="dxa"/>
            <w:vAlign w:val="center"/>
          </w:tcPr>
          <w:p w14:paraId="57C4D307" w14:textId="180BD6E8" w:rsidR="00D01B0A" w:rsidRPr="0056689F" w:rsidRDefault="006324D6" w:rsidP="00675B70">
            <w:pPr>
              <w:pStyle w:val="TableParagraph"/>
              <w:spacing w:before="0"/>
              <w:ind w:left="107"/>
              <w:jc w:val="center"/>
              <w:rPr>
                <w:sz w:val="24"/>
                <w:szCs w:val="24"/>
              </w:rPr>
            </w:pPr>
            <w:r w:rsidRPr="0056689F">
              <w:rPr>
                <w:sz w:val="24"/>
                <w:szCs w:val="24"/>
              </w:rPr>
              <w:t>EPA Method</w:t>
            </w:r>
            <w:r w:rsidR="00EA68E3" w:rsidRPr="0056689F">
              <w:rPr>
                <w:sz w:val="24"/>
                <w:szCs w:val="24"/>
              </w:rPr>
              <w:t>s</w:t>
            </w:r>
            <w:r w:rsidRPr="0056689F">
              <w:rPr>
                <w:sz w:val="24"/>
                <w:szCs w:val="24"/>
              </w:rPr>
              <w:t xml:space="preserve"> </w:t>
            </w:r>
            <w:r w:rsidR="00D47B20" w:rsidRPr="0056689F">
              <w:rPr>
                <w:sz w:val="24"/>
                <w:szCs w:val="24"/>
              </w:rPr>
              <w:t xml:space="preserve">200.5, </w:t>
            </w:r>
            <w:r w:rsidR="00D01B0A" w:rsidRPr="0056689F">
              <w:rPr>
                <w:sz w:val="24"/>
                <w:szCs w:val="24"/>
              </w:rPr>
              <w:t xml:space="preserve">200.7, </w:t>
            </w:r>
            <w:r w:rsidR="00FF5276" w:rsidRPr="0056689F">
              <w:rPr>
                <w:sz w:val="24"/>
                <w:szCs w:val="24"/>
              </w:rPr>
              <w:t xml:space="preserve">and </w:t>
            </w:r>
            <w:r w:rsidR="00840647" w:rsidRPr="0056689F">
              <w:rPr>
                <w:sz w:val="24"/>
                <w:szCs w:val="24"/>
              </w:rPr>
              <w:t>200.</w:t>
            </w:r>
            <w:r w:rsidR="00D01B0A" w:rsidRPr="0056689F">
              <w:rPr>
                <w:sz w:val="24"/>
                <w:szCs w:val="24"/>
              </w:rPr>
              <w:t>8</w:t>
            </w:r>
          </w:p>
          <w:p w14:paraId="10FAAEAD" w14:textId="103591E5" w:rsidR="001913F1" w:rsidRPr="0056689F" w:rsidRDefault="00D01B0A" w:rsidP="00675B70">
            <w:pPr>
              <w:pStyle w:val="TableParagraph"/>
              <w:spacing w:before="0"/>
              <w:ind w:left="107"/>
              <w:jc w:val="center"/>
              <w:rPr>
                <w:sz w:val="24"/>
                <w:szCs w:val="24"/>
              </w:rPr>
            </w:pPr>
            <w:r w:rsidRPr="0056689F">
              <w:rPr>
                <w:sz w:val="24"/>
                <w:szCs w:val="24"/>
              </w:rPr>
              <w:t xml:space="preserve">Standard Methods </w:t>
            </w:r>
            <w:proofErr w:type="spellStart"/>
            <w:r w:rsidRPr="0056689F">
              <w:rPr>
                <w:sz w:val="24"/>
                <w:szCs w:val="24"/>
              </w:rPr>
              <w:t>3111B</w:t>
            </w:r>
            <w:proofErr w:type="spellEnd"/>
            <w:r w:rsidR="000C4779" w:rsidRPr="0056689F">
              <w:rPr>
                <w:sz w:val="24"/>
                <w:szCs w:val="24"/>
              </w:rPr>
              <w:t xml:space="preserve"> and</w:t>
            </w:r>
            <w:r w:rsidR="00073E1A" w:rsidRPr="0056689F">
              <w:rPr>
                <w:sz w:val="24"/>
                <w:szCs w:val="24"/>
              </w:rPr>
              <w:t xml:space="preserve"> </w:t>
            </w:r>
            <w:proofErr w:type="spellStart"/>
            <w:r w:rsidR="00840647" w:rsidRPr="0056689F">
              <w:rPr>
                <w:sz w:val="24"/>
                <w:szCs w:val="24"/>
              </w:rPr>
              <w:t>3113</w:t>
            </w:r>
            <w:r w:rsidR="00073E1A" w:rsidRPr="0056689F">
              <w:rPr>
                <w:sz w:val="24"/>
                <w:szCs w:val="24"/>
              </w:rPr>
              <w:t>B</w:t>
            </w:r>
            <w:proofErr w:type="spellEnd"/>
          </w:p>
        </w:tc>
      </w:tr>
      <w:tr w:rsidR="007D7610" w:rsidRPr="0056689F" w14:paraId="0E4C1E1F" w14:textId="77777777" w:rsidTr="003C4F4C">
        <w:trPr>
          <w:trHeight w:hRule="exact" w:val="575"/>
        </w:trPr>
        <w:tc>
          <w:tcPr>
            <w:tcW w:w="3770" w:type="dxa"/>
            <w:vAlign w:val="center"/>
          </w:tcPr>
          <w:p w14:paraId="70E00514" w14:textId="77777777" w:rsidR="001913F1" w:rsidRPr="0056689F" w:rsidRDefault="001913F1" w:rsidP="00675B70">
            <w:pPr>
              <w:pStyle w:val="TableParagraph"/>
              <w:spacing w:before="0"/>
              <w:ind w:right="112"/>
              <w:jc w:val="center"/>
              <w:rPr>
                <w:b/>
                <w:sz w:val="24"/>
                <w:szCs w:val="24"/>
              </w:rPr>
            </w:pPr>
            <w:r w:rsidRPr="0056689F">
              <w:rPr>
                <w:b/>
                <w:sz w:val="24"/>
                <w:szCs w:val="24"/>
              </w:rPr>
              <w:t>Toxicological Endpoint:</w:t>
            </w:r>
          </w:p>
        </w:tc>
        <w:tc>
          <w:tcPr>
            <w:tcW w:w="6243" w:type="dxa"/>
            <w:vAlign w:val="center"/>
          </w:tcPr>
          <w:p w14:paraId="5D2FD004" w14:textId="1C719A29" w:rsidR="001913F1" w:rsidRPr="0056689F" w:rsidRDefault="002022C4" w:rsidP="006324D6">
            <w:pPr>
              <w:pStyle w:val="TableParagraph"/>
              <w:spacing w:before="0"/>
              <w:ind w:left="107"/>
              <w:jc w:val="center"/>
              <w:rPr>
                <w:sz w:val="24"/>
                <w:szCs w:val="24"/>
              </w:rPr>
            </w:pPr>
            <w:r w:rsidRPr="0056689F">
              <w:rPr>
                <w:sz w:val="24"/>
                <w:szCs w:val="24"/>
              </w:rPr>
              <w:t>Neurotoxicity</w:t>
            </w:r>
            <w:r w:rsidR="006324D6" w:rsidRPr="0056689F">
              <w:rPr>
                <w:sz w:val="24"/>
                <w:szCs w:val="24"/>
              </w:rPr>
              <w:t xml:space="preserve"> in </w:t>
            </w:r>
            <w:r w:rsidRPr="0056689F">
              <w:rPr>
                <w:sz w:val="24"/>
                <w:szCs w:val="24"/>
              </w:rPr>
              <w:t>rats</w:t>
            </w:r>
          </w:p>
        </w:tc>
      </w:tr>
    </w:tbl>
    <w:p w14:paraId="7A2881DE" w14:textId="7F0B1928" w:rsidR="00675B70" w:rsidRPr="0056689F" w:rsidRDefault="00675B70" w:rsidP="0056689F">
      <w:pPr>
        <w:pStyle w:val="BodyText"/>
        <w:rPr>
          <w:b/>
        </w:rPr>
      </w:pPr>
    </w:p>
    <w:p w14:paraId="67D108F1" w14:textId="77777777" w:rsidR="00675B70" w:rsidRPr="0056689F" w:rsidRDefault="00675B70" w:rsidP="003C4F4C">
      <w:pPr>
        <w:pStyle w:val="BodyText"/>
        <w:ind w:left="450"/>
        <w:rPr>
          <w:b/>
        </w:rPr>
      </w:pPr>
    </w:p>
    <w:p w14:paraId="104CEB52" w14:textId="7E52354A" w:rsidR="001913F1" w:rsidRPr="0056689F" w:rsidRDefault="001913F1">
      <w:pPr>
        <w:ind w:left="719"/>
        <w:rPr>
          <w:b/>
          <w:sz w:val="24"/>
          <w:szCs w:val="24"/>
        </w:rPr>
      </w:pPr>
    </w:p>
    <w:p w14:paraId="32D3529E" w14:textId="77777777" w:rsidR="00675B70" w:rsidRPr="0056689F" w:rsidRDefault="00675B70">
      <w:pPr>
        <w:ind w:left="719"/>
        <w:rPr>
          <w:b/>
          <w:sz w:val="24"/>
          <w:szCs w:val="24"/>
        </w:rPr>
      </w:pPr>
    </w:p>
    <w:p w14:paraId="123A271A" w14:textId="77777777" w:rsidR="00675B70" w:rsidRPr="0056689F" w:rsidRDefault="00675B70" w:rsidP="007D7610">
      <w:pPr>
        <w:spacing w:before="240" w:after="120"/>
        <w:ind w:left="720"/>
        <w:rPr>
          <w:b/>
          <w:sz w:val="24"/>
          <w:szCs w:val="24"/>
        </w:rPr>
      </w:pPr>
    </w:p>
    <w:p w14:paraId="3F493A40" w14:textId="77777777" w:rsidR="00675B70" w:rsidRPr="0056689F" w:rsidRDefault="00675B70" w:rsidP="007D7610">
      <w:pPr>
        <w:spacing w:before="240" w:after="120"/>
        <w:ind w:left="720"/>
        <w:rPr>
          <w:b/>
          <w:sz w:val="24"/>
          <w:szCs w:val="24"/>
        </w:rPr>
      </w:pPr>
    </w:p>
    <w:p w14:paraId="4CACE245" w14:textId="77777777" w:rsidR="00675B70" w:rsidRPr="0056689F" w:rsidRDefault="00675B70" w:rsidP="007D7610">
      <w:pPr>
        <w:spacing w:before="240" w:after="120"/>
        <w:ind w:left="720"/>
        <w:rPr>
          <w:b/>
          <w:sz w:val="24"/>
          <w:szCs w:val="24"/>
        </w:rPr>
      </w:pPr>
    </w:p>
    <w:p w14:paraId="585EF76F" w14:textId="77777777" w:rsidR="00675B70" w:rsidRPr="0056689F" w:rsidRDefault="00675B70" w:rsidP="007D7610">
      <w:pPr>
        <w:spacing w:before="240" w:after="120"/>
        <w:ind w:left="720"/>
        <w:rPr>
          <w:b/>
          <w:sz w:val="24"/>
          <w:szCs w:val="24"/>
        </w:rPr>
      </w:pPr>
    </w:p>
    <w:p w14:paraId="7FCFD325" w14:textId="1F714B35" w:rsidR="00763FCE" w:rsidRPr="0056689F" w:rsidRDefault="009A09FE" w:rsidP="00EA68E3">
      <w:pPr>
        <w:spacing w:before="600" w:after="240"/>
        <w:ind w:left="720"/>
        <w:rPr>
          <w:b/>
          <w:sz w:val="24"/>
          <w:szCs w:val="24"/>
        </w:rPr>
      </w:pPr>
      <w:r w:rsidRPr="0056689F">
        <w:rPr>
          <w:b/>
          <w:sz w:val="24"/>
          <w:szCs w:val="24"/>
        </w:rPr>
        <w:t>FINDINGS:</w:t>
      </w:r>
    </w:p>
    <w:p w14:paraId="1ECD7999" w14:textId="771B6F50" w:rsidR="00B92509" w:rsidRPr="0056689F" w:rsidRDefault="00B92509" w:rsidP="00EA68E3">
      <w:pPr>
        <w:pStyle w:val="ListParagraph"/>
        <w:numPr>
          <w:ilvl w:val="0"/>
          <w:numId w:val="1"/>
        </w:numPr>
        <w:tabs>
          <w:tab w:val="left" w:pos="1080"/>
        </w:tabs>
        <w:spacing w:before="0" w:after="240"/>
        <w:ind w:right="888"/>
        <w:rPr>
          <w:sz w:val="24"/>
          <w:szCs w:val="24"/>
        </w:rPr>
      </w:pPr>
      <w:r w:rsidRPr="0056689F">
        <w:rPr>
          <w:sz w:val="24"/>
          <w:szCs w:val="24"/>
        </w:rPr>
        <w:t>Health and Safety Code section 116455 provides the State Water Resources Control Board (State Water Board) with the authority to issue notification and response levels for contaminants in drinking water delivered for human consumption before</w:t>
      </w:r>
      <w:r w:rsidRPr="0056689F">
        <w:rPr>
          <w:spacing w:val="-37"/>
          <w:sz w:val="24"/>
          <w:szCs w:val="24"/>
        </w:rPr>
        <w:t xml:space="preserve"> </w:t>
      </w:r>
      <w:r w:rsidRPr="0056689F">
        <w:rPr>
          <w:sz w:val="24"/>
          <w:szCs w:val="24"/>
        </w:rPr>
        <w:t>a maximum contaminant level has been</w:t>
      </w:r>
      <w:r w:rsidRPr="0056689F">
        <w:rPr>
          <w:spacing w:val="-18"/>
          <w:sz w:val="24"/>
          <w:szCs w:val="24"/>
        </w:rPr>
        <w:t xml:space="preserve"> </w:t>
      </w:r>
      <w:r w:rsidRPr="0056689F">
        <w:rPr>
          <w:sz w:val="24"/>
          <w:szCs w:val="24"/>
        </w:rPr>
        <w:t xml:space="preserve">set. </w:t>
      </w:r>
      <w:r w:rsidR="001E30EE">
        <w:rPr>
          <w:sz w:val="24"/>
          <w:szCs w:val="24"/>
        </w:rPr>
        <w:t xml:space="preserve"> </w:t>
      </w:r>
      <w:r w:rsidRPr="0056689F">
        <w:rPr>
          <w:sz w:val="24"/>
          <w:szCs w:val="24"/>
        </w:rPr>
        <w:t>Pursuant to subdivision (k)(2) of section 116271 of the Health and Safety Code, the Deputy Director of the Division of Drinking Water (</w:t>
      </w:r>
      <w:proofErr w:type="spellStart"/>
      <w:r w:rsidRPr="0056689F">
        <w:rPr>
          <w:sz w:val="24"/>
          <w:szCs w:val="24"/>
        </w:rPr>
        <w:t>DDW</w:t>
      </w:r>
      <w:proofErr w:type="spellEnd"/>
      <w:r w:rsidRPr="0056689F">
        <w:rPr>
          <w:sz w:val="24"/>
          <w:szCs w:val="24"/>
        </w:rPr>
        <w:t>) is delegated the State Water Board’s authority to issue notification and response levels.</w:t>
      </w:r>
    </w:p>
    <w:p w14:paraId="4BBEA904" w14:textId="77777777" w:rsidR="00B92509" w:rsidRPr="0056689F" w:rsidRDefault="00B92509" w:rsidP="00EA68E3">
      <w:pPr>
        <w:pStyle w:val="ListParagraph"/>
        <w:numPr>
          <w:ilvl w:val="0"/>
          <w:numId w:val="1"/>
        </w:numPr>
        <w:tabs>
          <w:tab w:val="left" w:pos="1080"/>
        </w:tabs>
        <w:spacing w:before="0" w:after="240"/>
        <w:ind w:right="897"/>
        <w:rPr>
          <w:sz w:val="24"/>
          <w:szCs w:val="24"/>
        </w:rPr>
      </w:pPr>
      <w:r w:rsidRPr="0056689F">
        <w:rPr>
          <w:sz w:val="24"/>
          <w:szCs w:val="24"/>
        </w:rPr>
        <w:t>Notification levels are nonregulatory, health-based advisory levels for contaminants that are established as precautionary measures for</w:t>
      </w:r>
      <w:r w:rsidRPr="0056689F">
        <w:rPr>
          <w:spacing w:val="-31"/>
          <w:sz w:val="24"/>
          <w:szCs w:val="24"/>
        </w:rPr>
        <w:t xml:space="preserve"> </w:t>
      </w:r>
      <w:r w:rsidRPr="0056689F">
        <w:rPr>
          <w:sz w:val="24"/>
          <w:szCs w:val="24"/>
        </w:rPr>
        <w:t>contaminants.</w:t>
      </w:r>
    </w:p>
    <w:p w14:paraId="6C66CE66" w14:textId="29427F54" w:rsidR="00B92509" w:rsidRPr="0056689F" w:rsidRDefault="00B92509" w:rsidP="00EA68E3">
      <w:pPr>
        <w:pStyle w:val="ListParagraph"/>
        <w:numPr>
          <w:ilvl w:val="0"/>
          <w:numId w:val="1"/>
        </w:numPr>
        <w:tabs>
          <w:tab w:val="left" w:pos="1080"/>
        </w:tabs>
        <w:spacing w:before="0" w:after="240"/>
        <w:ind w:right="897"/>
        <w:rPr>
          <w:sz w:val="24"/>
          <w:szCs w:val="24"/>
        </w:rPr>
      </w:pPr>
      <w:r w:rsidRPr="0056689F">
        <w:rPr>
          <w:sz w:val="24"/>
          <w:szCs w:val="24"/>
        </w:rPr>
        <w:t>Response levels are established in conjunction with notification levels and represent the concentration of a drinking water contaminant at which additional steps, beyond notification, are recommended to reduce public exposure.</w:t>
      </w:r>
      <w:r w:rsidR="001E30EE">
        <w:rPr>
          <w:sz w:val="24"/>
          <w:szCs w:val="24"/>
        </w:rPr>
        <w:t xml:space="preserve"> </w:t>
      </w:r>
      <w:r w:rsidRPr="0056689F">
        <w:rPr>
          <w:sz w:val="24"/>
          <w:szCs w:val="24"/>
        </w:rPr>
        <w:t xml:space="preserve"> For contaminants with non-cancer health risks, a level up to </w:t>
      </w:r>
      <w:proofErr w:type="gramStart"/>
      <w:r w:rsidRPr="0056689F">
        <w:rPr>
          <w:sz w:val="24"/>
          <w:szCs w:val="24"/>
        </w:rPr>
        <w:t>10</w:t>
      </w:r>
      <w:proofErr w:type="gramEnd"/>
      <w:r w:rsidRPr="0056689F">
        <w:rPr>
          <w:sz w:val="24"/>
          <w:szCs w:val="24"/>
        </w:rPr>
        <w:t xml:space="preserve"> times the toxicological endpoint is consistent with an acceptable margin of safety.</w:t>
      </w:r>
    </w:p>
    <w:p w14:paraId="1D030051" w14:textId="17588CD6" w:rsidR="00EA68E3" w:rsidRPr="0056689F" w:rsidRDefault="00EA68E3" w:rsidP="00EA68E3">
      <w:pPr>
        <w:pStyle w:val="ListParagraph"/>
        <w:numPr>
          <w:ilvl w:val="0"/>
          <w:numId w:val="1"/>
        </w:numPr>
        <w:tabs>
          <w:tab w:val="left" w:pos="1080"/>
        </w:tabs>
        <w:spacing w:before="0" w:after="240"/>
        <w:ind w:right="821"/>
        <w:rPr>
          <w:sz w:val="24"/>
          <w:szCs w:val="24"/>
        </w:rPr>
      </w:pPr>
      <w:r w:rsidRPr="0056689F">
        <w:rPr>
          <w:sz w:val="24"/>
          <w:szCs w:val="24"/>
        </w:rPr>
        <w:t xml:space="preserve">Information on notification and response levels </w:t>
      </w:r>
      <w:r w:rsidR="009D0891">
        <w:rPr>
          <w:sz w:val="24"/>
          <w:szCs w:val="24"/>
        </w:rPr>
        <w:t xml:space="preserve">and their development </w:t>
      </w:r>
      <w:r w:rsidRPr="0056689F">
        <w:rPr>
          <w:sz w:val="24"/>
          <w:szCs w:val="24"/>
        </w:rPr>
        <w:t xml:space="preserve">is available at </w:t>
      </w:r>
      <w:hyperlink r:id="rId7" w:history="1">
        <w:r w:rsidRPr="0056689F">
          <w:rPr>
            <w:rStyle w:val="Hyperlink"/>
            <w:sz w:val="24"/>
            <w:szCs w:val="24"/>
          </w:rPr>
          <w:t>https://www.waterboards.ca.gov/drinking_water/certlic/drinkingwater/NotificationLevels.html</w:t>
        </w:r>
      </w:hyperlink>
      <w:r w:rsidRPr="0056689F">
        <w:rPr>
          <w:rStyle w:val="Hyperlink"/>
          <w:sz w:val="24"/>
          <w:szCs w:val="24"/>
        </w:rPr>
        <w:t>.</w:t>
      </w:r>
    </w:p>
    <w:p w14:paraId="3D453911" w14:textId="4A1F2E5D" w:rsidR="00B50839" w:rsidRPr="0056689F" w:rsidRDefault="00B50839" w:rsidP="00B50839">
      <w:pPr>
        <w:pStyle w:val="ListParagraph"/>
        <w:numPr>
          <w:ilvl w:val="0"/>
          <w:numId w:val="1"/>
        </w:numPr>
        <w:tabs>
          <w:tab w:val="left" w:pos="1080"/>
        </w:tabs>
        <w:spacing w:before="0" w:after="240"/>
        <w:ind w:right="821"/>
        <w:rPr>
          <w:sz w:val="24"/>
          <w:szCs w:val="24"/>
        </w:rPr>
      </w:pPr>
      <w:r w:rsidRPr="0056689F">
        <w:rPr>
          <w:sz w:val="24"/>
          <w:szCs w:val="24"/>
        </w:rPr>
        <w:t xml:space="preserve">Manganese is an essential nutrient and enzyme cofactor that is naturally present in many foods and available as a dietary supplement, but despite its nutritional benefits, adverse health effects can be caused by over-exposure. </w:t>
      </w:r>
      <w:r w:rsidR="001E30EE">
        <w:rPr>
          <w:sz w:val="24"/>
          <w:szCs w:val="24"/>
        </w:rPr>
        <w:t xml:space="preserve"> </w:t>
      </w:r>
      <w:r w:rsidRPr="0056689F">
        <w:rPr>
          <w:sz w:val="24"/>
          <w:szCs w:val="24"/>
        </w:rPr>
        <w:t>There is evidence that demonstrates that exposure to manganese at high levels can pose a neurotoxic risk.</w:t>
      </w:r>
      <w:r w:rsidR="001E30EE">
        <w:rPr>
          <w:sz w:val="24"/>
          <w:szCs w:val="24"/>
        </w:rPr>
        <w:t xml:space="preserve"> </w:t>
      </w:r>
      <w:r w:rsidRPr="0056689F">
        <w:rPr>
          <w:sz w:val="24"/>
          <w:szCs w:val="24"/>
        </w:rPr>
        <w:t xml:space="preserve"> </w:t>
      </w:r>
      <w:r w:rsidR="00F879ED">
        <w:rPr>
          <w:sz w:val="24"/>
          <w:szCs w:val="24"/>
        </w:rPr>
        <w:t>Y</w:t>
      </w:r>
      <w:r w:rsidRPr="0056689F">
        <w:rPr>
          <w:sz w:val="24"/>
          <w:szCs w:val="24"/>
        </w:rPr>
        <w:t>oung children can be particularly susceptible to adverse effects from manganese exposure because they absorb and retain more manganese than adults.</w:t>
      </w:r>
    </w:p>
    <w:p w14:paraId="7CD114C8" w14:textId="389000D3" w:rsidR="00403EE1" w:rsidRPr="0056689F" w:rsidRDefault="00B92509" w:rsidP="00B50839">
      <w:pPr>
        <w:pStyle w:val="ListParagraph"/>
        <w:numPr>
          <w:ilvl w:val="0"/>
          <w:numId w:val="1"/>
        </w:numPr>
        <w:tabs>
          <w:tab w:val="left" w:pos="1080"/>
        </w:tabs>
        <w:spacing w:before="0" w:after="240"/>
        <w:ind w:right="821"/>
        <w:rPr>
          <w:sz w:val="24"/>
          <w:szCs w:val="24"/>
        </w:rPr>
      </w:pPr>
      <w:r w:rsidRPr="0056689F">
        <w:rPr>
          <w:sz w:val="24"/>
          <w:szCs w:val="24"/>
        </w:rPr>
        <w:lastRenderedPageBreak/>
        <w:t xml:space="preserve">The establishment of notification and response levels does not require public water systems </w:t>
      </w:r>
      <w:r w:rsidR="00C40080" w:rsidRPr="0056689F">
        <w:rPr>
          <w:sz w:val="24"/>
          <w:szCs w:val="24"/>
        </w:rPr>
        <w:t>(</w:t>
      </w:r>
      <w:proofErr w:type="spellStart"/>
      <w:r w:rsidR="00C40080" w:rsidRPr="0056689F">
        <w:rPr>
          <w:sz w:val="24"/>
          <w:szCs w:val="24"/>
        </w:rPr>
        <w:t>PWS</w:t>
      </w:r>
      <w:proofErr w:type="spellEnd"/>
      <w:r w:rsidR="00C40080" w:rsidRPr="0056689F">
        <w:rPr>
          <w:sz w:val="24"/>
          <w:szCs w:val="24"/>
        </w:rPr>
        <w:t xml:space="preserve">) </w:t>
      </w:r>
      <w:r w:rsidRPr="0056689F">
        <w:rPr>
          <w:sz w:val="24"/>
          <w:szCs w:val="24"/>
        </w:rPr>
        <w:t>to monitor for the contaminant, except when water systems are subject to the recycled water regulations</w:t>
      </w:r>
      <w:r w:rsidR="00EA68E3" w:rsidRPr="0056689F">
        <w:rPr>
          <w:sz w:val="24"/>
          <w:szCs w:val="24"/>
        </w:rPr>
        <w:t xml:space="preserve"> at Title 22, California Code of Regulations, division </w:t>
      </w:r>
      <w:proofErr w:type="gramStart"/>
      <w:r w:rsidR="00EA68E3" w:rsidRPr="0056689F">
        <w:rPr>
          <w:sz w:val="24"/>
          <w:szCs w:val="24"/>
        </w:rPr>
        <w:t>4</w:t>
      </w:r>
      <w:proofErr w:type="gramEnd"/>
      <w:r w:rsidR="00EA68E3" w:rsidRPr="0056689F">
        <w:rPr>
          <w:sz w:val="24"/>
          <w:szCs w:val="24"/>
        </w:rPr>
        <w:t>, chapter 3</w:t>
      </w:r>
      <w:r w:rsidRPr="0056689F">
        <w:rPr>
          <w:sz w:val="24"/>
          <w:szCs w:val="24"/>
        </w:rPr>
        <w:t>.</w:t>
      </w:r>
      <w:r w:rsidR="006A6EE9" w:rsidRPr="0056689F">
        <w:rPr>
          <w:sz w:val="24"/>
          <w:szCs w:val="24"/>
        </w:rPr>
        <w:t xml:space="preserve"> </w:t>
      </w:r>
      <w:r w:rsidR="001E30EE">
        <w:rPr>
          <w:sz w:val="24"/>
          <w:szCs w:val="24"/>
        </w:rPr>
        <w:t xml:space="preserve"> </w:t>
      </w:r>
      <w:r w:rsidRPr="0056689F">
        <w:rPr>
          <w:sz w:val="24"/>
          <w:szCs w:val="24"/>
        </w:rPr>
        <w:t xml:space="preserve">Some water systems, however, will sample for constituents in addition to those contaminants for which there are </w:t>
      </w:r>
      <w:proofErr w:type="spellStart"/>
      <w:r w:rsidRPr="0056689F">
        <w:rPr>
          <w:sz w:val="24"/>
          <w:szCs w:val="24"/>
        </w:rPr>
        <w:t>MCLs</w:t>
      </w:r>
      <w:proofErr w:type="spellEnd"/>
      <w:r w:rsidRPr="0056689F">
        <w:rPr>
          <w:sz w:val="24"/>
          <w:szCs w:val="24"/>
        </w:rPr>
        <w:t xml:space="preserve">, and if those monitoring results indicate that a notification level has been exceeded, the water system must comply with Health and Safety Code section 116455. </w:t>
      </w:r>
    </w:p>
    <w:p w14:paraId="3F0917FD" w14:textId="663D4388" w:rsidR="00B92509" w:rsidRPr="0056689F" w:rsidRDefault="00B92509" w:rsidP="00EA68E3">
      <w:pPr>
        <w:pStyle w:val="ListParagraph"/>
        <w:numPr>
          <w:ilvl w:val="0"/>
          <w:numId w:val="1"/>
        </w:numPr>
        <w:tabs>
          <w:tab w:val="left" w:pos="1080"/>
        </w:tabs>
        <w:spacing w:before="0" w:after="240"/>
        <w:ind w:right="821"/>
        <w:rPr>
          <w:sz w:val="24"/>
          <w:szCs w:val="24"/>
        </w:rPr>
      </w:pPr>
      <w:r w:rsidRPr="0056689F">
        <w:rPr>
          <w:sz w:val="24"/>
          <w:szCs w:val="24"/>
        </w:rPr>
        <w:t>In addition to th</w:t>
      </w:r>
      <w:r w:rsidR="00403EE1" w:rsidRPr="0056689F">
        <w:rPr>
          <w:sz w:val="24"/>
          <w:szCs w:val="24"/>
        </w:rPr>
        <w:t>e</w:t>
      </w:r>
      <w:r w:rsidRPr="0056689F">
        <w:rPr>
          <w:sz w:val="24"/>
          <w:szCs w:val="24"/>
        </w:rPr>
        <w:t xml:space="preserve"> requirements</w:t>
      </w:r>
      <w:r w:rsidR="00403EE1" w:rsidRPr="0056689F">
        <w:rPr>
          <w:sz w:val="24"/>
          <w:szCs w:val="24"/>
        </w:rPr>
        <w:t xml:space="preserve"> for notification in section 116455</w:t>
      </w:r>
      <w:r w:rsidRPr="0056689F">
        <w:rPr>
          <w:sz w:val="24"/>
          <w:szCs w:val="24"/>
        </w:rPr>
        <w:t xml:space="preserve">, </w:t>
      </w:r>
      <w:proofErr w:type="spellStart"/>
      <w:r w:rsidRPr="0056689F">
        <w:rPr>
          <w:sz w:val="24"/>
          <w:szCs w:val="24"/>
        </w:rPr>
        <w:t>DDW</w:t>
      </w:r>
      <w:proofErr w:type="spellEnd"/>
      <w:r w:rsidRPr="0056689F">
        <w:rPr>
          <w:sz w:val="24"/>
          <w:szCs w:val="24"/>
        </w:rPr>
        <w:t xml:space="preserve"> recommends that a </w:t>
      </w:r>
      <w:proofErr w:type="spellStart"/>
      <w:r w:rsidR="00C40080" w:rsidRPr="0056689F">
        <w:rPr>
          <w:sz w:val="24"/>
          <w:szCs w:val="24"/>
        </w:rPr>
        <w:t>PWS</w:t>
      </w:r>
      <w:proofErr w:type="spellEnd"/>
      <w:r w:rsidRPr="0056689F">
        <w:rPr>
          <w:sz w:val="24"/>
          <w:szCs w:val="24"/>
        </w:rPr>
        <w:t xml:space="preserve"> inform its customers and consumers about the presence of the contaminant and any </w:t>
      </w:r>
      <w:r w:rsidR="00403EE1" w:rsidRPr="0056689F">
        <w:rPr>
          <w:sz w:val="24"/>
          <w:szCs w:val="24"/>
        </w:rPr>
        <w:t xml:space="preserve">associated </w:t>
      </w:r>
      <w:r w:rsidRPr="0056689F">
        <w:rPr>
          <w:sz w:val="24"/>
          <w:szCs w:val="24"/>
        </w:rPr>
        <w:t>health concerns.</w:t>
      </w:r>
    </w:p>
    <w:p w14:paraId="78BB6AB6" w14:textId="514754E0" w:rsidR="00200FE8" w:rsidRPr="0056689F" w:rsidRDefault="00200FE8" w:rsidP="00EA68E3">
      <w:pPr>
        <w:pStyle w:val="ListParagraph"/>
        <w:numPr>
          <w:ilvl w:val="0"/>
          <w:numId w:val="1"/>
        </w:numPr>
        <w:spacing w:before="0" w:after="240"/>
        <w:rPr>
          <w:sz w:val="24"/>
          <w:szCs w:val="24"/>
        </w:rPr>
      </w:pPr>
      <w:proofErr w:type="spellStart"/>
      <w:r w:rsidRPr="0056689F">
        <w:rPr>
          <w:sz w:val="24"/>
          <w:szCs w:val="24"/>
        </w:rPr>
        <w:t>DDW</w:t>
      </w:r>
      <w:proofErr w:type="spellEnd"/>
      <w:r w:rsidRPr="0056689F">
        <w:rPr>
          <w:sz w:val="24"/>
          <w:szCs w:val="24"/>
        </w:rPr>
        <w:t xml:space="preserve"> scientific staff conducted a literature search for human and animal research that studied adverse health effects from manganese exposures specifically by route of ingestion. </w:t>
      </w:r>
      <w:r w:rsidR="001E30EE">
        <w:rPr>
          <w:sz w:val="24"/>
          <w:szCs w:val="24"/>
        </w:rPr>
        <w:t xml:space="preserve"> </w:t>
      </w:r>
      <w:r w:rsidRPr="0056689F">
        <w:rPr>
          <w:sz w:val="24"/>
          <w:szCs w:val="24"/>
        </w:rPr>
        <w:t>Based on the potential risk for manganese-induced neurotoxico</w:t>
      </w:r>
      <w:r w:rsidR="00F25BCC">
        <w:rPr>
          <w:sz w:val="24"/>
          <w:szCs w:val="24"/>
        </w:rPr>
        <w:t>lo</w:t>
      </w:r>
      <w:r w:rsidRPr="0056689F">
        <w:rPr>
          <w:sz w:val="24"/>
          <w:szCs w:val="24"/>
        </w:rPr>
        <w:t>gical effects to bottle-fed infants, the current notification level of 500 µg/L and response level of 5,</w:t>
      </w:r>
      <w:r w:rsidR="00EA68E3" w:rsidRPr="0056689F">
        <w:rPr>
          <w:sz w:val="24"/>
          <w:szCs w:val="24"/>
        </w:rPr>
        <w:t>000 </w:t>
      </w:r>
      <w:r w:rsidRPr="0056689F">
        <w:rPr>
          <w:sz w:val="24"/>
          <w:szCs w:val="24"/>
        </w:rPr>
        <w:t>µg/L should be revised downward.</w:t>
      </w:r>
    </w:p>
    <w:p w14:paraId="4B20F608" w14:textId="322E27C1" w:rsidR="00200FE8" w:rsidRPr="0056689F" w:rsidRDefault="00200FE8" w:rsidP="00EA68E3">
      <w:pPr>
        <w:pStyle w:val="ListParagraph"/>
        <w:numPr>
          <w:ilvl w:val="0"/>
          <w:numId w:val="1"/>
        </w:numPr>
        <w:spacing w:before="0" w:after="240"/>
        <w:rPr>
          <w:sz w:val="24"/>
          <w:szCs w:val="24"/>
        </w:rPr>
      </w:pPr>
      <w:proofErr w:type="spellStart"/>
      <w:r w:rsidRPr="0056689F">
        <w:rPr>
          <w:sz w:val="24"/>
          <w:szCs w:val="24"/>
        </w:rPr>
        <w:t>DDW</w:t>
      </w:r>
      <w:proofErr w:type="spellEnd"/>
      <w:r w:rsidRPr="0056689F">
        <w:rPr>
          <w:sz w:val="24"/>
          <w:szCs w:val="24"/>
        </w:rPr>
        <w:t xml:space="preserve"> scientific staff developed a technical memorandum that derived a health protective concentration (</w:t>
      </w:r>
      <w:proofErr w:type="spellStart"/>
      <w:r w:rsidRPr="0056689F">
        <w:rPr>
          <w:sz w:val="24"/>
          <w:szCs w:val="24"/>
        </w:rPr>
        <w:t>HPC</w:t>
      </w:r>
      <w:proofErr w:type="spellEnd"/>
      <w:r w:rsidRPr="0056689F">
        <w:rPr>
          <w:sz w:val="24"/>
          <w:szCs w:val="24"/>
        </w:rPr>
        <w:t xml:space="preserve">) of </w:t>
      </w:r>
      <w:proofErr w:type="gramStart"/>
      <w:r w:rsidRPr="0056689F">
        <w:rPr>
          <w:sz w:val="24"/>
          <w:szCs w:val="24"/>
        </w:rPr>
        <w:t>20</w:t>
      </w:r>
      <w:proofErr w:type="gramEnd"/>
      <w:r w:rsidRPr="0056689F">
        <w:rPr>
          <w:sz w:val="24"/>
          <w:szCs w:val="24"/>
        </w:rPr>
        <w:t xml:space="preserve"> </w:t>
      </w:r>
      <w:proofErr w:type="spellStart"/>
      <w:r w:rsidRPr="0056689F">
        <w:rPr>
          <w:sz w:val="24"/>
          <w:szCs w:val="24"/>
        </w:rPr>
        <w:t>μg</w:t>
      </w:r>
      <w:proofErr w:type="spellEnd"/>
      <w:r w:rsidRPr="0056689F">
        <w:rPr>
          <w:sz w:val="24"/>
          <w:szCs w:val="24"/>
        </w:rPr>
        <w:t>/L, equivalent to 20 parts per billion (ppb), to serve as the basis for future recommended revisions to the current manganese notification and response levels.</w:t>
      </w:r>
    </w:p>
    <w:p w14:paraId="699B5F3E" w14:textId="77777777" w:rsidR="00200FE8" w:rsidRPr="0056689F" w:rsidRDefault="00200FE8" w:rsidP="00EA68E3">
      <w:pPr>
        <w:pStyle w:val="ListParagraph"/>
        <w:numPr>
          <w:ilvl w:val="0"/>
          <w:numId w:val="1"/>
        </w:numPr>
        <w:spacing w:before="0" w:after="240"/>
        <w:rPr>
          <w:sz w:val="24"/>
          <w:szCs w:val="24"/>
        </w:rPr>
      </w:pPr>
      <w:r w:rsidRPr="0056689F">
        <w:rPr>
          <w:sz w:val="24"/>
          <w:szCs w:val="24"/>
        </w:rPr>
        <w:t xml:space="preserve">On April 7, 2022, </w:t>
      </w:r>
      <w:proofErr w:type="spellStart"/>
      <w:r w:rsidRPr="0056689F">
        <w:rPr>
          <w:sz w:val="24"/>
          <w:szCs w:val="24"/>
        </w:rPr>
        <w:t>DDW</w:t>
      </w:r>
      <w:proofErr w:type="spellEnd"/>
      <w:r w:rsidRPr="0056689F">
        <w:rPr>
          <w:sz w:val="24"/>
          <w:szCs w:val="24"/>
        </w:rPr>
        <w:t xml:space="preserve"> made formal request to the Office of Environmental Health Hazard Assessment (</w:t>
      </w:r>
      <w:proofErr w:type="spellStart"/>
      <w:r w:rsidRPr="0056689F">
        <w:rPr>
          <w:sz w:val="24"/>
          <w:szCs w:val="24"/>
        </w:rPr>
        <w:t>OEHHA</w:t>
      </w:r>
      <w:proofErr w:type="spellEnd"/>
      <w:r w:rsidRPr="0056689F">
        <w:rPr>
          <w:sz w:val="24"/>
          <w:szCs w:val="24"/>
        </w:rPr>
        <w:t>) to review the technical memorandum and provide comments.</w:t>
      </w:r>
    </w:p>
    <w:p w14:paraId="1399C690" w14:textId="77777777" w:rsidR="00200FE8" w:rsidRPr="0056689F" w:rsidRDefault="00200FE8" w:rsidP="00EA68E3">
      <w:pPr>
        <w:pStyle w:val="ListParagraph"/>
        <w:numPr>
          <w:ilvl w:val="0"/>
          <w:numId w:val="1"/>
        </w:numPr>
        <w:spacing w:before="0" w:after="240"/>
        <w:ind w:right="766"/>
        <w:rPr>
          <w:sz w:val="24"/>
          <w:szCs w:val="24"/>
        </w:rPr>
      </w:pPr>
      <w:r w:rsidRPr="0056689F">
        <w:rPr>
          <w:sz w:val="24"/>
          <w:szCs w:val="24"/>
        </w:rPr>
        <w:t xml:space="preserve">On May 3, 2022, </w:t>
      </w:r>
      <w:proofErr w:type="spellStart"/>
      <w:r w:rsidRPr="0056689F">
        <w:rPr>
          <w:sz w:val="24"/>
          <w:szCs w:val="24"/>
        </w:rPr>
        <w:t>OEHHA</w:t>
      </w:r>
      <w:proofErr w:type="spellEnd"/>
      <w:r w:rsidRPr="0056689F">
        <w:rPr>
          <w:sz w:val="24"/>
          <w:szCs w:val="24"/>
        </w:rPr>
        <w:t xml:space="preserve"> provided their review, supporting the intermediate approach used to derive the </w:t>
      </w:r>
      <w:proofErr w:type="spellStart"/>
      <w:r w:rsidRPr="0056689F">
        <w:rPr>
          <w:sz w:val="24"/>
          <w:szCs w:val="24"/>
        </w:rPr>
        <w:t>HPC</w:t>
      </w:r>
      <w:proofErr w:type="spellEnd"/>
      <w:r w:rsidRPr="0056689F">
        <w:rPr>
          <w:sz w:val="24"/>
          <w:szCs w:val="24"/>
        </w:rPr>
        <w:t xml:space="preserve"> and agreeing with the parameters used in the calculation of the </w:t>
      </w:r>
      <w:proofErr w:type="spellStart"/>
      <w:r w:rsidRPr="0056689F">
        <w:rPr>
          <w:sz w:val="24"/>
          <w:szCs w:val="24"/>
        </w:rPr>
        <w:t>HPC</w:t>
      </w:r>
      <w:proofErr w:type="spellEnd"/>
      <w:r w:rsidRPr="0056689F">
        <w:rPr>
          <w:sz w:val="24"/>
          <w:szCs w:val="24"/>
        </w:rPr>
        <w:t>, including use of the Kern et al. (2010) study, the composite uncertainty factor of 1,000, the relative source contribution of 0.2, and the drinking water intake based on infants 0–6 months.</w:t>
      </w:r>
    </w:p>
    <w:p w14:paraId="0B40F870" w14:textId="77777777" w:rsidR="001E30EE" w:rsidRPr="0056689F" w:rsidRDefault="001E30EE" w:rsidP="001E30EE">
      <w:pPr>
        <w:pStyle w:val="ListParagraph"/>
        <w:numPr>
          <w:ilvl w:val="0"/>
          <w:numId w:val="1"/>
        </w:numPr>
        <w:tabs>
          <w:tab w:val="left" w:pos="1080"/>
        </w:tabs>
        <w:spacing w:before="0" w:after="240"/>
        <w:ind w:right="763"/>
        <w:rPr>
          <w:rStyle w:val="Hyperlink"/>
          <w:color w:val="auto"/>
          <w:sz w:val="24"/>
          <w:szCs w:val="24"/>
          <w:u w:val="none"/>
        </w:rPr>
      </w:pPr>
      <w:r w:rsidRPr="0056689F">
        <w:rPr>
          <w:sz w:val="24"/>
          <w:szCs w:val="24"/>
        </w:rPr>
        <w:t xml:space="preserve">In accordance with Health and Safety Code section 116456, </w:t>
      </w:r>
      <w:proofErr w:type="spellStart"/>
      <w:r w:rsidRPr="0056689F">
        <w:rPr>
          <w:sz w:val="24"/>
          <w:szCs w:val="24"/>
        </w:rPr>
        <w:t>DDW</w:t>
      </w:r>
      <w:proofErr w:type="spellEnd"/>
      <w:r w:rsidRPr="0056689F">
        <w:rPr>
          <w:sz w:val="24"/>
          <w:szCs w:val="24"/>
        </w:rPr>
        <w:t xml:space="preserve"> posted on its website the proposed manganese notification and response levels, the technical memorandum, and OEHHA’s comments on the technical memorandum. </w:t>
      </w:r>
    </w:p>
    <w:p w14:paraId="568797FC" w14:textId="77777777" w:rsidR="001E30EE" w:rsidRPr="0056689F" w:rsidRDefault="001E30EE" w:rsidP="001E30EE">
      <w:pPr>
        <w:pStyle w:val="ListParagraph"/>
        <w:numPr>
          <w:ilvl w:val="0"/>
          <w:numId w:val="1"/>
        </w:numPr>
        <w:tabs>
          <w:tab w:val="left" w:pos="1080"/>
        </w:tabs>
        <w:spacing w:before="0" w:after="240"/>
        <w:ind w:right="763"/>
        <w:rPr>
          <w:sz w:val="24"/>
          <w:szCs w:val="24"/>
        </w:rPr>
      </w:pPr>
      <w:r w:rsidRPr="0056689F">
        <w:rPr>
          <w:sz w:val="24"/>
          <w:szCs w:val="24"/>
        </w:rPr>
        <w:t>On January 2</w:t>
      </w:r>
      <w:r>
        <w:rPr>
          <w:sz w:val="24"/>
          <w:szCs w:val="24"/>
        </w:rPr>
        <w:t>7</w:t>
      </w:r>
      <w:r w:rsidRPr="0056689F">
        <w:rPr>
          <w:sz w:val="24"/>
          <w:szCs w:val="24"/>
        </w:rPr>
        <w:t xml:space="preserve">, 2023, </w:t>
      </w:r>
      <w:proofErr w:type="spellStart"/>
      <w:r w:rsidRPr="0056689F">
        <w:rPr>
          <w:sz w:val="24"/>
          <w:szCs w:val="24"/>
        </w:rPr>
        <w:t>DDW</w:t>
      </w:r>
      <w:proofErr w:type="spellEnd"/>
      <w:r w:rsidRPr="0056689F">
        <w:rPr>
          <w:sz w:val="24"/>
          <w:szCs w:val="24"/>
        </w:rPr>
        <w:t xml:space="preserve"> provided public notice of proposed revisions to the manganese notification and response levels to 20 µg/L and 200 µg/L, respectively.</w:t>
      </w:r>
    </w:p>
    <w:p w14:paraId="2ADE7A56" w14:textId="77777777" w:rsidR="001E30EE" w:rsidRPr="0056689F" w:rsidRDefault="001E30EE" w:rsidP="001E30EE">
      <w:pPr>
        <w:pStyle w:val="ListParagraph"/>
        <w:numPr>
          <w:ilvl w:val="0"/>
          <w:numId w:val="1"/>
        </w:numPr>
        <w:spacing w:before="0" w:after="240"/>
        <w:ind w:right="763"/>
        <w:rPr>
          <w:sz w:val="24"/>
          <w:szCs w:val="24"/>
        </w:rPr>
      </w:pPr>
      <w:r w:rsidRPr="0056689F">
        <w:rPr>
          <w:sz w:val="24"/>
          <w:szCs w:val="24"/>
        </w:rPr>
        <w:t xml:space="preserve">On </w:t>
      </w:r>
      <w:r>
        <w:rPr>
          <w:sz w:val="24"/>
          <w:szCs w:val="24"/>
        </w:rPr>
        <w:t>March 21</w:t>
      </w:r>
      <w:r w:rsidRPr="0056689F">
        <w:rPr>
          <w:sz w:val="24"/>
          <w:szCs w:val="24"/>
        </w:rPr>
        <w:t xml:space="preserve">, 2023, </w:t>
      </w:r>
      <w:proofErr w:type="spellStart"/>
      <w:r w:rsidRPr="0056689F">
        <w:rPr>
          <w:sz w:val="24"/>
          <w:szCs w:val="24"/>
        </w:rPr>
        <w:t>DDW</w:t>
      </w:r>
      <w:proofErr w:type="spellEnd"/>
      <w:r w:rsidRPr="0056689F">
        <w:rPr>
          <w:sz w:val="24"/>
          <w:szCs w:val="24"/>
        </w:rPr>
        <w:t xml:space="preserve"> presented an informational item on the proposed manganese notification and response level revisions during the regularly noticed meeting of the State Water Board.</w:t>
      </w:r>
    </w:p>
    <w:p w14:paraId="4DC31D76" w14:textId="2D5DC523" w:rsidR="00EB53F2" w:rsidRPr="0056689F" w:rsidRDefault="0007008C" w:rsidP="001E30EE">
      <w:pPr>
        <w:pStyle w:val="ListParagraph"/>
        <w:numPr>
          <w:ilvl w:val="0"/>
          <w:numId w:val="1"/>
        </w:numPr>
        <w:tabs>
          <w:tab w:val="left" w:pos="1080"/>
        </w:tabs>
        <w:spacing w:before="0" w:after="240"/>
        <w:ind w:right="1071"/>
        <w:rPr>
          <w:sz w:val="24"/>
          <w:szCs w:val="24"/>
          <w:lang w:val="en"/>
        </w:rPr>
      </w:pPr>
      <w:bookmarkStart w:id="0" w:name="_Hlk127189859"/>
      <w:proofErr w:type="spellStart"/>
      <w:r>
        <w:rPr>
          <w:sz w:val="24"/>
          <w:szCs w:val="24"/>
        </w:rPr>
        <w:lastRenderedPageBreak/>
        <w:t>DDW</w:t>
      </w:r>
      <w:proofErr w:type="spellEnd"/>
      <w:r>
        <w:rPr>
          <w:sz w:val="24"/>
          <w:szCs w:val="24"/>
        </w:rPr>
        <w:t xml:space="preserve"> recommends that </w:t>
      </w:r>
      <w:r w:rsidR="00EB53F2" w:rsidRPr="0056689F">
        <w:rPr>
          <w:sz w:val="24"/>
          <w:szCs w:val="24"/>
        </w:rPr>
        <w:t>water system</w:t>
      </w:r>
      <w:r>
        <w:rPr>
          <w:sz w:val="24"/>
          <w:szCs w:val="24"/>
        </w:rPr>
        <w:t>s</w:t>
      </w:r>
      <w:r w:rsidR="00EB53F2" w:rsidRPr="0056689F">
        <w:rPr>
          <w:sz w:val="24"/>
          <w:szCs w:val="24"/>
        </w:rPr>
        <w:t xml:space="preserve"> monitor quarterly any source in which manganese has been detected</w:t>
      </w:r>
      <w:r>
        <w:rPr>
          <w:sz w:val="24"/>
          <w:szCs w:val="24"/>
        </w:rPr>
        <w:t xml:space="preserve"> above the NL</w:t>
      </w:r>
      <w:r w:rsidR="00EB53F2" w:rsidRPr="0056689F">
        <w:rPr>
          <w:sz w:val="24"/>
          <w:szCs w:val="24"/>
        </w:rPr>
        <w:t xml:space="preserve">. </w:t>
      </w:r>
      <w:r w:rsidR="001E30EE">
        <w:rPr>
          <w:sz w:val="24"/>
          <w:szCs w:val="24"/>
        </w:rPr>
        <w:t xml:space="preserve"> </w:t>
      </w:r>
    </w:p>
    <w:bookmarkEnd w:id="0"/>
    <w:p w14:paraId="61B42600" w14:textId="574976F5" w:rsidR="005F366A" w:rsidRPr="0056689F" w:rsidRDefault="005F366A" w:rsidP="001E30EE">
      <w:pPr>
        <w:pStyle w:val="ListParagraph"/>
        <w:widowControl/>
        <w:numPr>
          <w:ilvl w:val="0"/>
          <w:numId w:val="1"/>
        </w:numPr>
        <w:spacing w:before="0" w:after="240"/>
        <w:ind w:right="450"/>
        <w:rPr>
          <w:sz w:val="24"/>
          <w:szCs w:val="24"/>
        </w:rPr>
      </w:pPr>
      <w:r w:rsidRPr="0056689F">
        <w:rPr>
          <w:sz w:val="24"/>
          <w:szCs w:val="24"/>
        </w:rPr>
        <w:t xml:space="preserve">Because manganese may adversely affect infant and/or child development, </w:t>
      </w:r>
      <w:proofErr w:type="spellStart"/>
      <w:r w:rsidRPr="0056689F">
        <w:rPr>
          <w:sz w:val="24"/>
          <w:szCs w:val="24"/>
        </w:rPr>
        <w:t>DDW</w:t>
      </w:r>
      <w:proofErr w:type="spellEnd"/>
      <w:r w:rsidRPr="0056689F">
        <w:rPr>
          <w:sz w:val="24"/>
          <w:szCs w:val="24"/>
        </w:rPr>
        <w:t xml:space="preserve"> recommends that a field duplicate be collected </w:t>
      </w:r>
      <w:r w:rsidR="001E30EE">
        <w:rPr>
          <w:sz w:val="24"/>
          <w:szCs w:val="24"/>
        </w:rPr>
        <w:t>for</w:t>
      </w:r>
      <w:r w:rsidR="0056689F" w:rsidRPr="0056689F">
        <w:rPr>
          <w:sz w:val="24"/>
          <w:szCs w:val="24"/>
        </w:rPr>
        <w:t xml:space="preserve"> </w:t>
      </w:r>
      <w:r w:rsidRPr="0056689F">
        <w:rPr>
          <w:sz w:val="24"/>
          <w:szCs w:val="24"/>
        </w:rPr>
        <w:t>potential sample confirmation (at the time of the original sample collection).</w:t>
      </w:r>
    </w:p>
    <w:p w14:paraId="3A251308" w14:textId="1E4BCA81" w:rsidR="00D704FB" w:rsidRPr="0056689F" w:rsidRDefault="00CD7BE0" w:rsidP="009D0891">
      <w:pPr>
        <w:pStyle w:val="ListParagraph"/>
        <w:widowControl/>
        <w:numPr>
          <w:ilvl w:val="0"/>
          <w:numId w:val="1"/>
        </w:numPr>
        <w:tabs>
          <w:tab w:val="left" w:pos="1080"/>
        </w:tabs>
        <w:spacing w:before="0" w:after="240"/>
        <w:ind w:right="1066"/>
        <w:rPr>
          <w:sz w:val="24"/>
          <w:szCs w:val="24"/>
          <w:lang w:val="en"/>
        </w:rPr>
      </w:pPr>
      <w:r w:rsidRPr="0056689F">
        <w:rPr>
          <w:sz w:val="24"/>
          <w:szCs w:val="24"/>
        </w:rPr>
        <w:t xml:space="preserve">When a manganese water quality result </w:t>
      </w:r>
      <w:proofErr w:type="gramStart"/>
      <w:r w:rsidRPr="0056689F">
        <w:rPr>
          <w:sz w:val="24"/>
          <w:szCs w:val="24"/>
        </w:rPr>
        <w:t>in excess of</w:t>
      </w:r>
      <w:proofErr w:type="gramEnd"/>
      <w:r w:rsidRPr="0056689F">
        <w:rPr>
          <w:sz w:val="24"/>
          <w:szCs w:val="24"/>
        </w:rPr>
        <w:t xml:space="preserve"> the response level occurs, </w:t>
      </w:r>
      <w:proofErr w:type="spellStart"/>
      <w:r w:rsidR="00900396" w:rsidRPr="0056689F">
        <w:rPr>
          <w:sz w:val="24"/>
          <w:szCs w:val="24"/>
        </w:rPr>
        <w:t>DDW</w:t>
      </w:r>
      <w:proofErr w:type="spellEnd"/>
      <w:r w:rsidR="00900396" w:rsidRPr="0056689F">
        <w:rPr>
          <w:sz w:val="24"/>
          <w:szCs w:val="24"/>
        </w:rPr>
        <w:t xml:space="preserve"> recommends that the laboratory notify the supplier within 48 hours of receiving the result</w:t>
      </w:r>
      <w:r w:rsidR="001607D3" w:rsidRPr="001607D3">
        <w:rPr>
          <w:sz w:val="24"/>
          <w:szCs w:val="24"/>
        </w:rPr>
        <w:t xml:space="preserve"> </w:t>
      </w:r>
      <w:r w:rsidR="001607D3">
        <w:rPr>
          <w:sz w:val="24"/>
          <w:szCs w:val="24"/>
        </w:rPr>
        <w:t>and a</w:t>
      </w:r>
      <w:r w:rsidR="001607D3" w:rsidRPr="0056689F">
        <w:rPr>
          <w:sz w:val="24"/>
          <w:szCs w:val="24"/>
        </w:rPr>
        <w:t>nalyze the field duplicate or collect and analyze a confirmation sample</w:t>
      </w:r>
      <w:r w:rsidR="00900396" w:rsidRPr="0056689F">
        <w:rPr>
          <w:sz w:val="24"/>
          <w:szCs w:val="24"/>
        </w:rPr>
        <w:t xml:space="preserve">. </w:t>
      </w:r>
    </w:p>
    <w:p w14:paraId="7238C4FA" w14:textId="7E201930" w:rsidR="00D704FB" w:rsidRPr="001607D3" w:rsidRDefault="00D704FB" w:rsidP="001607D3">
      <w:pPr>
        <w:pStyle w:val="ListParagraph"/>
        <w:widowControl/>
        <w:numPr>
          <w:ilvl w:val="0"/>
          <w:numId w:val="2"/>
        </w:numPr>
        <w:autoSpaceDE/>
        <w:autoSpaceDN/>
        <w:spacing w:before="0" w:after="120"/>
        <w:ind w:left="1627" w:right="360"/>
        <w:rPr>
          <w:sz w:val="24"/>
          <w:szCs w:val="24"/>
        </w:rPr>
      </w:pPr>
      <w:r w:rsidRPr="001607D3">
        <w:rPr>
          <w:sz w:val="24"/>
          <w:szCs w:val="24"/>
        </w:rPr>
        <w:t xml:space="preserve">If the average of the two manganese sample results </w:t>
      </w:r>
      <w:r w:rsidR="005F366A" w:rsidRPr="001607D3">
        <w:rPr>
          <w:sz w:val="24"/>
          <w:szCs w:val="24"/>
        </w:rPr>
        <w:t xml:space="preserve">(original sample result and </w:t>
      </w:r>
      <w:r w:rsidR="001607D3">
        <w:rPr>
          <w:sz w:val="24"/>
          <w:szCs w:val="24"/>
        </w:rPr>
        <w:t xml:space="preserve">the subsequent </w:t>
      </w:r>
      <w:r w:rsidR="005F366A" w:rsidRPr="001607D3">
        <w:rPr>
          <w:sz w:val="24"/>
          <w:szCs w:val="24"/>
        </w:rPr>
        <w:t>sample</w:t>
      </w:r>
      <w:r w:rsidR="001607D3">
        <w:rPr>
          <w:sz w:val="24"/>
          <w:szCs w:val="24"/>
        </w:rPr>
        <w:t xml:space="preserve"> result</w:t>
      </w:r>
      <w:r w:rsidR="005F366A" w:rsidRPr="001607D3">
        <w:rPr>
          <w:sz w:val="24"/>
          <w:szCs w:val="24"/>
        </w:rPr>
        <w:t xml:space="preserve">) </w:t>
      </w:r>
      <w:r w:rsidRPr="001607D3">
        <w:rPr>
          <w:sz w:val="24"/>
          <w:szCs w:val="24"/>
        </w:rPr>
        <w:t xml:space="preserve">exceeds the </w:t>
      </w:r>
      <w:proofErr w:type="spellStart"/>
      <w:r w:rsidRPr="001607D3">
        <w:rPr>
          <w:sz w:val="24"/>
          <w:szCs w:val="24"/>
        </w:rPr>
        <w:t>RL</w:t>
      </w:r>
      <w:proofErr w:type="spellEnd"/>
      <w:r w:rsidRPr="001607D3">
        <w:rPr>
          <w:sz w:val="24"/>
          <w:szCs w:val="24"/>
        </w:rPr>
        <w:t xml:space="preserve">, report the result to the State </w:t>
      </w:r>
      <w:r w:rsidR="00F25BCC">
        <w:rPr>
          <w:sz w:val="24"/>
          <w:szCs w:val="24"/>
        </w:rPr>
        <w:t xml:space="preserve">Water </w:t>
      </w:r>
      <w:r w:rsidRPr="001607D3">
        <w:rPr>
          <w:sz w:val="24"/>
          <w:szCs w:val="24"/>
        </w:rPr>
        <w:t xml:space="preserve">Board within 48 hours. </w:t>
      </w:r>
      <w:r w:rsidR="001E30EE">
        <w:rPr>
          <w:sz w:val="24"/>
          <w:szCs w:val="24"/>
        </w:rPr>
        <w:t xml:space="preserve"> </w:t>
      </w:r>
      <w:r w:rsidRPr="001607D3">
        <w:rPr>
          <w:sz w:val="24"/>
          <w:szCs w:val="24"/>
        </w:rPr>
        <w:t xml:space="preserve">If the average does not exceed the </w:t>
      </w:r>
      <w:proofErr w:type="spellStart"/>
      <w:r w:rsidRPr="001607D3">
        <w:rPr>
          <w:sz w:val="24"/>
          <w:szCs w:val="24"/>
        </w:rPr>
        <w:t>RL</w:t>
      </w:r>
      <w:proofErr w:type="spellEnd"/>
      <w:r w:rsidRPr="001607D3">
        <w:rPr>
          <w:sz w:val="24"/>
          <w:szCs w:val="24"/>
        </w:rPr>
        <w:t xml:space="preserve">, inform the State </w:t>
      </w:r>
      <w:r w:rsidR="00F25BCC">
        <w:rPr>
          <w:sz w:val="24"/>
          <w:szCs w:val="24"/>
        </w:rPr>
        <w:t xml:space="preserve">Water </w:t>
      </w:r>
      <w:r w:rsidRPr="001607D3">
        <w:rPr>
          <w:sz w:val="24"/>
          <w:szCs w:val="24"/>
        </w:rPr>
        <w:t>Board of the results within seven days from the receipt of the original analytical result</w:t>
      </w:r>
      <w:r w:rsidR="00F25BCC">
        <w:rPr>
          <w:sz w:val="24"/>
          <w:szCs w:val="24"/>
        </w:rPr>
        <w:t xml:space="preserve">. </w:t>
      </w:r>
    </w:p>
    <w:p w14:paraId="11601561" w14:textId="2C95C600" w:rsidR="0092183B" w:rsidRPr="009D0891" w:rsidRDefault="00D704FB" w:rsidP="009D0891">
      <w:pPr>
        <w:pStyle w:val="ListParagraph"/>
        <w:widowControl/>
        <w:numPr>
          <w:ilvl w:val="0"/>
          <w:numId w:val="2"/>
        </w:numPr>
        <w:autoSpaceDE/>
        <w:autoSpaceDN/>
        <w:spacing w:before="0" w:after="240"/>
        <w:ind w:left="1627" w:right="360"/>
        <w:rPr>
          <w:sz w:val="24"/>
          <w:szCs w:val="24"/>
        </w:rPr>
      </w:pPr>
      <w:r w:rsidRPr="0056689F">
        <w:rPr>
          <w:sz w:val="24"/>
          <w:szCs w:val="24"/>
        </w:rPr>
        <w:t>If a system is unable to resample within 48 hours, it should issue a public notice to the consumers</w:t>
      </w:r>
      <w:r w:rsidR="0092183B" w:rsidRPr="0056689F">
        <w:rPr>
          <w:sz w:val="24"/>
          <w:szCs w:val="24"/>
        </w:rPr>
        <w:t xml:space="preserve"> </w:t>
      </w:r>
      <w:proofErr w:type="gramStart"/>
      <w:r w:rsidR="0092183B" w:rsidRPr="0056689F">
        <w:rPr>
          <w:sz w:val="24"/>
          <w:szCs w:val="24"/>
        </w:rPr>
        <w:t>in order to</w:t>
      </w:r>
      <w:proofErr w:type="gramEnd"/>
      <w:r w:rsidR="0092183B" w:rsidRPr="0056689F">
        <w:rPr>
          <w:sz w:val="24"/>
          <w:szCs w:val="24"/>
        </w:rPr>
        <w:t xml:space="preserve"> avoid exposures</w:t>
      </w:r>
      <w:r w:rsidR="007410BD" w:rsidRPr="0056689F">
        <w:rPr>
          <w:sz w:val="24"/>
          <w:szCs w:val="24"/>
        </w:rPr>
        <w:t xml:space="preserve"> to young children</w:t>
      </w:r>
      <w:r w:rsidR="0092183B" w:rsidRPr="0056689F">
        <w:rPr>
          <w:sz w:val="24"/>
          <w:szCs w:val="24"/>
        </w:rPr>
        <w:t xml:space="preserve"> </w:t>
      </w:r>
      <w:r w:rsidRPr="0056689F">
        <w:rPr>
          <w:sz w:val="24"/>
          <w:szCs w:val="24"/>
        </w:rPr>
        <w:t xml:space="preserve">and </w:t>
      </w:r>
      <w:r w:rsidR="007410BD" w:rsidRPr="0056689F">
        <w:rPr>
          <w:sz w:val="24"/>
          <w:szCs w:val="24"/>
        </w:rPr>
        <w:t xml:space="preserve">should </w:t>
      </w:r>
      <w:r w:rsidRPr="0056689F">
        <w:rPr>
          <w:sz w:val="24"/>
          <w:szCs w:val="24"/>
        </w:rPr>
        <w:t>collect and analyze a confirmation sample within two weeks of notification of the results of the first sample</w:t>
      </w:r>
      <w:r w:rsidR="00F25BCC">
        <w:rPr>
          <w:sz w:val="24"/>
          <w:szCs w:val="24"/>
        </w:rPr>
        <w:t xml:space="preserve">. </w:t>
      </w:r>
    </w:p>
    <w:p w14:paraId="2E9FD1B2" w14:textId="43DF7A2D" w:rsidR="0056689F" w:rsidRPr="0056689F" w:rsidRDefault="00B92509" w:rsidP="00B92509">
      <w:pPr>
        <w:pStyle w:val="BodyText"/>
        <w:keepNext/>
        <w:keepLines/>
        <w:spacing w:before="360"/>
        <w:ind w:left="720"/>
      </w:pPr>
      <w:r w:rsidRPr="0056689F">
        <w:t xml:space="preserve">Therefore, the Deputy Director of </w:t>
      </w:r>
      <w:proofErr w:type="spellStart"/>
      <w:r w:rsidRPr="0056689F">
        <w:t>DDW</w:t>
      </w:r>
      <w:proofErr w:type="spellEnd"/>
      <w:r w:rsidRPr="0056689F">
        <w:t xml:space="preserve"> establishes a notification level of </w:t>
      </w:r>
      <w:r w:rsidR="00525CF3" w:rsidRPr="0056689F">
        <w:t>20</w:t>
      </w:r>
      <w:r w:rsidRPr="0056689F">
        <w:t xml:space="preserve"> </w:t>
      </w:r>
      <w:r w:rsidR="00E911E4" w:rsidRPr="0056689F">
        <w:t>µg/L</w:t>
      </w:r>
      <w:r w:rsidRPr="0056689F">
        <w:t xml:space="preserve"> and response level of </w:t>
      </w:r>
      <w:r w:rsidR="00525CF3" w:rsidRPr="0056689F">
        <w:t>200</w:t>
      </w:r>
      <w:r w:rsidRPr="0056689F">
        <w:t xml:space="preserve"> </w:t>
      </w:r>
      <w:r w:rsidR="00E911E4" w:rsidRPr="0056689F">
        <w:t>µg/L</w:t>
      </w:r>
      <w:r w:rsidRPr="0056689F">
        <w:t xml:space="preserve"> for </w:t>
      </w:r>
      <w:r w:rsidR="00525CF3" w:rsidRPr="0056689F">
        <w:t>manganese</w:t>
      </w:r>
      <w:r w:rsidRPr="0056689F">
        <w:t>.</w:t>
      </w:r>
    </w:p>
    <w:p w14:paraId="24FFAF41" w14:textId="77777777" w:rsidR="00C57B51" w:rsidRPr="0056689F" w:rsidRDefault="00C57B51" w:rsidP="0056689F">
      <w:pPr>
        <w:pStyle w:val="BodyText"/>
        <w:keepNext/>
        <w:keepLines/>
        <w:spacing w:before="360"/>
        <w:ind w:left="720"/>
      </w:pPr>
    </w:p>
    <w:p w14:paraId="402DE273" w14:textId="55E8734B" w:rsidR="00763FCE" w:rsidRPr="0056689F" w:rsidRDefault="009A09FE" w:rsidP="00B11677">
      <w:pPr>
        <w:pStyle w:val="BodyText"/>
        <w:keepLines/>
        <w:ind w:left="720"/>
      </w:pPr>
      <w:r w:rsidRPr="0056689F">
        <w:t>Approved:</w:t>
      </w:r>
    </w:p>
    <w:p w14:paraId="519BEA5F" w14:textId="77777777" w:rsidR="00F35591" w:rsidRPr="0056689F" w:rsidRDefault="00F35591" w:rsidP="00B11677">
      <w:pPr>
        <w:pStyle w:val="BodyText"/>
        <w:keepLines/>
        <w:ind w:left="720"/>
      </w:pPr>
    </w:p>
    <w:p w14:paraId="35E55B3F" w14:textId="77777777" w:rsidR="00F35591" w:rsidRPr="0056689F" w:rsidRDefault="00F35591" w:rsidP="00F35591">
      <w:pPr>
        <w:pStyle w:val="BodyText"/>
        <w:keepLines/>
        <w:tabs>
          <w:tab w:val="left" w:pos="7650"/>
        </w:tabs>
        <w:spacing w:before="158"/>
        <w:ind w:left="720"/>
      </w:pPr>
      <w:r w:rsidRPr="0056689F">
        <w:rPr>
          <w:noProof/>
        </w:rPr>
        <mc:AlternateContent>
          <mc:Choice Requires="wps">
            <w:drawing>
              <wp:anchor distT="0" distB="0" distL="114300" distR="114300" simplePos="0" relativeHeight="251659264" behindDoc="0" locked="0" layoutInCell="1" allowOverlap="1" wp14:anchorId="633E4D48" wp14:editId="6827B725">
                <wp:simplePos x="0" y="0"/>
                <wp:positionH relativeFrom="page">
                  <wp:posOffset>810260</wp:posOffset>
                </wp:positionH>
                <wp:positionV relativeFrom="paragraph">
                  <wp:posOffset>31115</wp:posOffset>
                </wp:positionV>
                <wp:extent cx="5523230" cy="0"/>
                <wp:effectExtent l="0" t="0" r="20320" b="19050"/>
                <wp:wrapNone/>
                <wp:docPr id="5"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4EE568F" id="Line 2"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2.45pt" to="498.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" strokeweight="2.16pt">
                <w10:wrap anchorx="page"/>
              </v:line>
            </w:pict>
          </mc:Fallback>
        </mc:AlternateContent>
      </w:r>
      <w:r w:rsidRPr="0056689F">
        <w:t>Darrin Polhemus, P.E.</w:t>
      </w:r>
      <w:r w:rsidRPr="0056689F">
        <w:tab/>
        <w:t>Date</w:t>
      </w:r>
    </w:p>
    <w:p w14:paraId="45543431" w14:textId="78CB09B3" w:rsidR="00F879ED" w:rsidRPr="0056689F" w:rsidRDefault="00F35591" w:rsidP="00F35591">
      <w:pPr>
        <w:pStyle w:val="BodyText"/>
        <w:keepLines/>
        <w:spacing w:before="21"/>
        <w:ind w:left="720" w:right="-20"/>
      </w:pPr>
      <w:r w:rsidRPr="0056689F">
        <w:t xml:space="preserve">Deputy Director, Division of Drinking Water </w:t>
      </w:r>
    </w:p>
    <w:p w14:paraId="2F026DB2" w14:textId="1E34C5C3" w:rsidR="00763FCE" w:rsidRPr="0056689F" w:rsidRDefault="00F35591" w:rsidP="004B21FD">
      <w:pPr>
        <w:pStyle w:val="BodyText"/>
        <w:keepLines/>
        <w:spacing w:before="21"/>
        <w:ind w:left="720" w:right="-20"/>
      </w:pPr>
      <w:r w:rsidRPr="0056689F">
        <w:t>State Water Resources Control Board</w:t>
      </w:r>
    </w:p>
    <w:sectPr w:rsidR="00763FCE" w:rsidRPr="0056689F" w:rsidSect="004B21FD">
      <w:headerReference w:type="default" r:id="rId8"/>
      <w:footerReference w:type="default" r:id="rId9"/>
      <w:pgSz w:w="12240" w:h="15840"/>
      <w:pgMar w:top="2790" w:right="540" w:bottom="1220" w:left="450" w:header="0" w:footer="1024"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15A9" w14:textId="77777777" w:rsidR="006C52D2" w:rsidRDefault="006C52D2">
      <w:r>
        <w:separator/>
      </w:r>
    </w:p>
  </w:endnote>
  <w:endnote w:type="continuationSeparator" w:id="0">
    <w:p w14:paraId="2A003EB5" w14:textId="77777777" w:rsidR="006C52D2" w:rsidRDefault="006C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23FD" w14:textId="2043ACFD" w:rsidR="00763FCE" w:rsidRDefault="003D36CB">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589AEA62" wp14:editId="46665441">
              <wp:simplePos x="0" y="0"/>
              <wp:positionH relativeFrom="page">
                <wp:posOffset>6762750</wp:posOffset>
              </wp:positionH>
              <wp:positionV relativeFrom="page">
                <wp:posOffset>9268460</wp:posOffset>
              </wp:positionV>
              <wp:extent cx="121285" cy="174625"/>
              <wp:effectExtent l="0" t="635" r="254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E8E70" w14:textId="77777777" w:rsidR="00763FCE" w:rsidRDefault="009A09FE">
                          <w:pPr>
                            <w:spacing w:before="20"/>
                            <w:ind w:left="40"/>
                            <w:rPr>
                              <w:rFonts w:ascii="Cambria"/>
                              <w:sz w:val="20"/>
                            </w:rPr>
                          </w:pPr>
                          <w:r>
                            <w:fldChar w:fldCharType="begin"/>
                          </w:r>
                          <w:r>
                            <w:rPr>
                              <w:rFonts w:ascii="Cambria"/>
                              <w:sz w:val="20"/>
                            </w:rPr>
                            <w:instrText xml:space="preserve"> PAGE </w:instrText>
                          </w:r>
                          <w:r>
                            <w:fldChar w:fldCharType="separate"/>
                          </w:r>
                          <w:r w:rsidR="009B266E">
                            <w:rPr>
                              <w:rFonts w:ascii="Cambria"/>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89AEA62" id="_x0000_t202" coordsize="21600,21600" o:spt="202" path="m,l,21600r21600,l21600,xe">
              <v:stroke joinstyle="miter"/>
              <v:path gradientshapeok="t" o:connecttype="rect"/>
            </v:shapetype>
            <v:shape id="Text Box 1" o:spid="_x0000_s1026" type="#_x0000_t202" alt="&quot;&quot;" style="position:absolute;margin-left:532.5pt;margin-top:729.8pt;width:9.55pt;height:13.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" filled="f" stroked="f">
              <v:textbox inset="0,0,0,0">
                <w:txbxContent>
                  <w:p w14:paraId="4A1E8E70" w14:textId="77777777" w:rsidR="00763FCE" w:rsidRDefault="009A09FE">
                    <w:pPr>
                      <w:spacing w:before="20"/>
                      <w:ind w:left="40"/>
                      <w:rPr>
                        <w:rFonts w:ascii="Cambria"/>
                        <w:sz w:val="20"/>
                      </w:rPr>
                    </w:pPr>
                    <w:r>
                      <w:fldChar w:fldCharType="begin"/>
                    </w:r>
                    <w:r>
                      <w:rPr>
                        <w:rFonts w:ascii="Cambria"/>
                        <w:sz w:val="20"/>
                      </w:rPr>
                      <w:instrText xml:space="preserve"> PAGE </w:instrText>
                    </w:r>
                    <w:r>
                      <w:fldChar w:fldCharType="separate"/>
                    </w:r>
                    <w:r w:rsidR="009B266E">
                      <w:rPr>
                        <w:rFonts w:ascii="Cambria"/>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2582" w14:textId="77777777" w:rsidR="006C52D2" w:rsidRDefault="006C52D2">
      <w:r>
        <w:separator/>
      </w:r>
    </w:p>
  </w:footnote>
  <w:footnote w:type="continuationSeparator" w:id="0">
    <w:p w14:paraId="36D650E9" w14:textId="77777777" w:rsidR="006C52D2" w:rsidRDefault="006C5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5958" w14:textId="77777777" w:rsidR="001469A0" w:rsidRDefault="001913F1" w:rsidP="001469A0">
    <w:pPr>
      <w:pStyle w:val="Heading1"/>
      <w:rPr>
        <w:outline/>
        <w:color w:val="4F81BD" w:themeColor="accent1"/>
        <w14:textOutline w14:w="9525" w14:cap="rnd" w14:cmpd="sng" w14:algn="ctr">
          <w14:solidFill>
            <w14:schemeClr w14:val="accent1"/>
          </w14:solidFill>
          <w14:prstDash w14:val="solid"/>
          <w14:bevel/>
        </w14:textOutline>
        <w14:textFill>
          <w14:noFill/>
        </w14:textFill>
      </w:rPr>
    </w:pPr>
    <w:r>
      <w:rPr>
        <w:noProof/>
      </w:rPr>
      <mc:AlternateContent>
        <mc:Choice Requires="wps">
          <w:drawing>
            <wp:anchor distT="0" distB="0" distL="114300" distR="114300" simplePos="0" relativeHeight="251656703" behindDoc="1" locked="0" layoutInCell="1" allowOverlap="1" wp14:anchorId="0BDF7A9C" wp14:editId="689A1A5C">
              <wp:simplePos x="0" y="0"/>
              <wp:positionH relativeFrom="margin">
                <wp:posOffset>38100</wp:posOffset>
              </wp:positionH>
              <wp:positionV relativeFrom="paragraph">
                <wp:posOffset>314325</wp:posOffset>
              </wp:positionV>
              <wp:extent cx="7124700" cy="1257300"/>
              <wp:effectExtent l="0" t="0" r="19050" b="19050"/>
              <wp:wrapNone/>
              <wp:docPr id="32" name="Rect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24700" cy="12573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973A727" id="Rectangle 32" o:spid="_x0000_s1026" alt="&quot;&quot;" style="position:absolute;margin-left:3pt;margin-top:24.75pt;width:561pt;height:99pt;z-index:-2516597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" fillcolor="#c6d9f1 [671]" strokecolor="#243f60 [1604]" strokeweight="2pt">
              <w10:wrap anchorx="margin"/>
            </v:rect>
          </w:pict>
        </mc:Fallback>
      </mc:AlternateContent>
    </w:r>
  </w:p>
  <w:p w14:paraId="66C23276" w14:textId="72C1677F" w:rsidR="00D511E5" w:rsidRDefault="00D511E5" w:rsidP="000767DA">
    <w:pPr>
      <w:pStyle w:val="Heading1"/>
      <w:ind w:left="4770"/>
      <w:rPr>
        <w:outline/>
        <w:color w:val="4F81BD" w:themeColor="accent1"/>
        <w14:textOutline w14:w="9525" w14:cap="rnd" w14:cmpd="sng" w14:algn="ctr">
          <w14:solidFill>
            <w14:schemeClr w14:val="accent1"/>
          </w14:solidFill>
          <w14:prstDash w14:val="solid"/>
          <w14:bevel/>
        </w14:textOutline>
        <w14:textFill>
          <w14:noFill/>
        </w14:textFill>
      </w:rPr>
    </w:pPr>
    <w:r w:rsidRPr="000F09CC">
      <w:rPr>
        <w:outline/>
        <w:color w:val="4F81BD" w:themeColor="accent1"/>
        <w14:textOutline w14:w="9525" w14:cap="rnd" w14:cmpd="sng" w14:algn="ctr">
          <w14:solidFill>
            <w14:schemeClr w14:val="accent1"/>
          </w14:solidFill>
          <w14:prstDash w14:val="solid"/>
          <w14:bevel/>
        </w14:textOutline>
        <w14:textFill>
          <w14:noFill/>
        </w14:textFill>
      </w:rPr>
      <w:t xml:space="preserve">P R O P O S E </w:t>
    </w:r>
    <w:r w:rsidR="00675B70">
      <w:rPr>
        <w:noProof/>
      </w:rPr>
      <w:drawing>
        <wp:anchor distT="0" distB="0" distL="114300" distR="114300" simplePos="0" relativeHeight="251658752" behindDoc="0" locked="0" layoutInCell="1" allowOverlap="1" wp14:anchorId="11C46C4C" wp14:editId="00CE4179">
          <wp:simplePos x="0" y="0"/>
          <wp:positionH relativeFrom="column">
            <wp:posOffset>314325</wp:posOffset>
          </wp:positionH>
          <wp:positionV relativeFrom="paragraph">
            <wp:posOffset>167005</wp:posOffset>
          </wp:positionV>
          <wp:extent cx="1322705" cy="787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2705" cy="7874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outline/>
        <w:color w:val="4F81BD" w:themeColor="accent1"/>
        <w14:textOutline w14:w="9525" w14:cap="rnd" w14:cmpd="sng" w14:algn="ctr">
          <w14:solidFill>
            <w14:schemeClr w14:val="accent1"/>
          </w14:solidFill>
          <w14:prstDash w14:val="solid"/>
          <w14:bevel/>
        </w14:textOutline>
        <w14:textFill>
          <w14:noFill/>
        </w14:textFill>
      </w:rPr>
      <w:t>D</w:t>
    </w:r>
  </w:p>
  <w:p w14:paraId="747000A1" w14:textId="53B52110" w:rsidR="00BD3B8F" w:rsidRDefault="00BD3B8F" w:rsidP="003C4F4C">
    <w:pPr>
      <w:pStyle w:val="Heading1"/>
      <w:tabs>
        <w:tab w:val="right" w:pos="11340"/>
      </w:tabs>
      <w:spacing w:before="600" w:after="240"/>
      <w:ind w:left="3010"/>
    </w:pPr>
    <w:r>
      <w:rPr>
        <w:color w:val="2E5395"/>
        <w:u w:val="single" w:color="4471C4"/>
      </w:rPr>
      <w:t>NOTIFICATION LEVEL ISSUANCE</w:t>
    </w:r>
    <w:r w:rsidR="007D7610" w:rsidRPr="003C4F4C">
      <w:rPr>
        <w:color w:val="2E5395"/>
        <w:u w:color="4471C4"/>
      </w:rPr>
      <w:tab/>
    </w:r>
  </w:p>
  <w:p w14:paraId="059B9ACB" w14:textId="70AF4372" w:rsidR="00BD3B8F" w:rsidRDefault="00BD3B8F">
    <w:pPr>
      <w:pStyle w:val="Header"/>
    </w:pPr>
  </w:p>
  <w:p w14:paraId="7C2F9C7A" w14:textId="77777777" w:rsidR="00BD3B8F" w:rsidRDefault="00BD3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11000"/>
    <w:multiLevelType w:val="hybridMultilevel"/>
    <w:tmpl w:val="CA6043A2"/>
    <w:lvl w:ilvl="0" w:tplc="04090015">
      <w:start w:val="1"/>
      <w:numFmt w:val="upperLetter"/>
      <w:lvlText w:val="%1."/>
      <w:lvlJc w:val="lef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C572E2"/>
    <w:multiLevelType w:val="hybridMultilevel"/>
    <w:tmpl w:val="2EBEB2F2"/>
    <w:lvl w:ilvl="0" w:tplc="EC228BFE">
      <w:start w:val="1"/>
      <w:numFmt w:val="decimal"/>
      <w:lvlText w:val="%1."/>
      <w:lvlJc w:val="right"/>
      <w:pPr>
        <w:ind w:left="1080" w:hanging="360"/>
      </w:pPr>
      <w:rPr>
        <w:rFonts w:ascii="Arial" w:eastAsia="Arial" w:hAnsi="Arial" w:cs="Arial" w:hint="default"/>
        <w:spacing w:val="-3"/>
        <w:w w:val="100"/>
        <w:sz w:val="24"/>
        <w:szCs w:val="24"/>
      </w:rPr>
    </w:lvl>
    <w:lvl w:ilvl="1" w:tplc="FFE4572A">
      <w:numFmt w:val="bullet"/>
      <w:lvlText w:val="•"/>
      <w:lvlJc w:val="left"/>
      <w:pPr>
        <w:ind w:left="2052" w:hanging="360"/>
      </w:pPr>
      <w:rPr>
        <w:rFonts w:hint="default"/>
      </w:rPr>
    </w:lvl>
    <w:lvl w:ilvl="2" w:tplc="6B1A27A2">
      <w:numFmt w:val="bullet"/>
      <w:lvlText w:val="•"/>
      <w:lvlJc w:val="left"/>
      <w:pPr>
        <w:ind w:left="3024" w:hanging="360"/>
      </w:pPr>
      <w:rPr>
        <w:rFonts w:hint="default"/>
      </w:rPr>
    </w:lvl>
    <w:lvl w:ilvl="3" w:tplc="BE566D3C">
      <w:numFmt w:val="bullet"/>
      <w:lvlText w:val="•"/>
      <w:lvlJc w:val="left"/>
      <w:pPr>
        <w:ind w:left="3996" w:hanging="360"/>
      </w:pPr>
      <w:rPr>
        <w:rFonts w:hint="default"/>
      </w:rPr>
    </w:lvl>
    <w:lvl w:ilvl="4" w:tplc="FD88047E">
      <w:numFmt w:val="bullet"/>
      <w:lvlText w:val="•"/>
      <w:lvlJc w:val="left"/>
      <w:pPr>
        <w:ind w:left="4968" w:hanging="360"/>
      </w:pPr>
      <w:rPr>
        <w:rFonts w:hint="default"/>
      </w:rPr>
    </w:lvl>
    <w:lvl w:ilvl="5" w:tplc="CB005CEE">
      <w:numFmt w:val="bullet"/>
      <w:lvlText w:val="•"/>
      <w:lvlJc w:val="left"/>
      <w:pPr>
        <w:ind w:left="5940" w:hanging="360"/>
      </w:pPr>
      <w:rPr>
        <w:rFonts w:hint="default"/>
      </w:rPr>
    </w:lvl>
    <w:lvl w:ilvl="6" w:tplc="AB4E3C92">
      <w:numFmt w:val="bullet"/>
      <w:lvlText w:val="•"/>
      <w:lvlJc w:val="left"/>
      <w:pPr>
        <w:ind w:left="6912" w:hanging="360"/>
      </w:pPr>
      <w:rPr>
        <w:rFonts w:hint="default"/>
      </w:rPr>
    </w:lvl>
    <w:lvl w:ilvl="7" w:tplc="115A175E">
      <w:numFmt w:val="bullet"/>
      <w:lvlText w:val="•"/>
      <w:lvlJc w:val="left"/>
      <w:pPr>
        <w:ind w:left="7884" w:hanging="360"/>
      </w:pPr>
      <w:rPr>
        <w:rFonts w:hint="default"/>
      </w:rPr>
    </w:lvl>
    <w:lvl w:ilvl="8" w:tplc="B88A2CF2">
      <w:numFmt w:val="bullet"/>
      <w:lvlText w:val="•"/>
      <w:lvlJc w:val="left"/>
      <w:pPr>
        <w:ind w:left="8856"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CE"/>
    <w:rsid w:val="00011CA8"/>
    <w:rsid w:val="000139DF"/>
    <w:rsid w:val="00056FCA"/>
    <w:rsid w:val="0006242A"/>
    <w:rsid w:val="0007008C"/>
    <w:rsid w:val="00073445"/>
    <w:rsid w:val="00073E1A"/>
    <w:rsid w:val="00076772"/>
    <w:rsid w:val="000767DA"/>
    <w:rsid w:val="000774B0"/>
    <w:rsid w:val="00082066"/>
    <w:rsid w:val="00091562"/>
    <w:rsid w:val="0009445A"/>
    <w:rsid w:val="000C30F5"/>
    <w:rsid w:val="000C4779"/>
    <w:rsid w:val="000E5751"/>
    <w:rsid w:val="000F73FC"/>
    <w:rsid w:val="00100D72"/>
    <w:rsid w:val="00135C22"/>
    <w:rsid w:val="00136623"/>
    <w:rsid w:val="001469A0"/>
    <w:rsid w:val="001607D3"/>
    <w:rsid w:val="00174C62"/>
    <w:rsid w:val="001913F1"/>
    <w:rsid w:val="00195970"/>
    <w:rsid w:val="00197224"/>
    <w:rsid w:val="001A30C0"/>
    <w:rsid w:val="001A520D"/>
    <w:rsid w:val="001C7BBF"/>
    <w:rsid w:val="001D7DB5"/>
    <w:rsid w:val="001E30EE"/>
    <w:rsid w:val="001E41C8"/>
    <w:rsid w:val="001F25B8"/>
    <w:rsid w:val="00200FE8"/>
    <w:rsid w:val="002022C4"/>
    <w:rsid w:val="002030F3"/>
    <w:rsid w:val="00220C95"/>
    <w:rsid w:val="002351A0"/>
    <w:rsid w:val="002478BF"/>
    <w:rsid w:val="00252E9B"/>
    <w:rsid w:val="00265FB6"/>
    <w:rsid w:val="00296989"/>
    <w:rsid w:val="00297C6F"/>
    <w:rsid w:val="002C4C28"/>
    <w:rsid w:val="0030026A"/>
    <w:rsid w:val="00305FBC"/>
    <w:rsid w:val="00312459"/>
    <w:rsid w:val="00382E80"/>
    <w:rsid w:val="00392F09"/>
    <w:rsid w:val="00394F62"/>
    <w:rsid w:val="003A03B1"/>
    <w:rsid w:val="003C4F4C"/>
    <w:rsid w:val="003C67B2"/>
    <w:rsid w:val="003D36CB"/>
    <w:rsid w:val="00403EE1"/>
    <w:rsid w:val="004223BE"/>
    <w:rsid w:val="004419C1"/>
    <w:rsid w:val="00463AD2"/>
    <w:rsid w:val="00465573"/>
    <w:rsid w:val="004873E7"/>
    <w:rsid w:val="004B18A1"/>
    <w:rsid w:val="004B21FD"/>
    <w:rsid w:val="004B6AE6"/>
    <w:rsid w:val="004B6E33"/>
    <w:rsid w:val="004F12E7"/>
    <w:rsid w:val="00525CF3"/>
    <w:rsid w:val="005339C6"/>
    <w:rsid w:val="005529BE"/>
    <w:rsid w:val="00564430"/>
    <w:rsid w:val="0056689F"/>
    <w:rsid w:val="005B454E"/>
    <w:rsid w:val="005B5BE1"/>
    <w:rsid w:val="005B5DC1"/>
    <w:rsid w:val="005D1DCE"/>
    <w:rsid w:val="005F2577"/>
    <w:rsid w:val="005F366A"/>
    <w:rsid w:val="00603272"/>
    <w:rsid w:val="006324D6"/>
    <w:rsid w:val="00636792"/>
    <w:rsid w:val="00645E4B"/>
    <w:rsid w:val="00646996"/>
    <w:rsid w:val="0066688C"/>
    <w:rsid w:val="00675B70"/>
    <w:rsid w:val="006A3A1C"/>
    <w:rsid w:val="006A54D2"/>
    <w:rsid w:val="006A6EE9"/>
    <w:rsid w:val="006C52D2"/>
    <w:rsid w:val="006D2931"/>
    <w:rsid w:val="006E083B"/>
    <w:rsid w:val="006E6F53"/>
    <w:rsid w:val="00736365"/>
    <w:rsid w:val="007410BD"/>
    <w:rsid w:val="007507CE"/>
    <w:rsid w:val="00754A2C"/>
    <w:rsid w:val="0076146F"/>
    <w:rsid w:val="00763FCE"/>
    <w:rsid w:val="007777A5"/>
    <w:rsid w:val="007A5B28"/>
    <w:rsid w:val="007B47FE"/>
    <w:rsid w:val="007B5C3F"/>
    <w:rsid w:val="007C129C"/>
    <w:rsid w:val="007D7610"/>
    <w:rsid w:val="007E1BA1"/>
    <w:rsid w:val="007F1D4D"/>
    <w:rsid w:val="007F7B34"/>
    <w:rsid w:val="00801CD1"/>
    <w:rsid w:val="00810C05"/>
    <w:rsid w:val="0081183A"/>
    <w:rsid w:val="00840647"/>
    <w:rsid w:val="0086101A"/>
    <w:rsid w:val="008803ED"/>
    <w:rsid w:val="008845F4"/>
    <w:rsid w:val="0088481A"/>
    <w:rsid w:val="00890173"/>
    <w:rsid w:val="00894AF4"/>
    <w:rsid w:val="008C435A"/>
    <w:rsid w:val="008E4382"/>
    <w:rsid w:val="008E483A"/>
    <w:rsid w:val="008F17D2"/>
    <w:rsid w:val="008F29A2"/>
    <w:rsid w:val="00900396"/>
    <w:rsid w:val="00906D02"/>
    <w:rsid w:val="0092183B"/>
    <w:rsid w:val="0096423D"/>
    <w:rsid w:val="009930E7"/>
    <w:rsid w:val="009951F9"/>
    <w:rsid w:val="009A09FE"/>
    <w:rsid w:val="009A5E64"/>
    <w:rsid w:val="009B266E"/>
    <w:rsid w:val="009D0891"/>
    <w:rsid w:val="009E79CC"/>
    <w:rsid w:val="009F2EBA"/>
    <w:rsid w:val="009F71EB"/>
    <w:rsid w:val="009F7425"/>
    <w:rsid w:val="00A116A0"/>
    <w:rsid w:val="00A16390"/>
    <w:rsid w:val="00A247BA"/>
    <w:rsid w:val="00A434DF"/>
    <w:rsid w:val="00A50788"/>
    <w:rsid w:val="00A64747"/>
    <w:rsid w:val="00AA33E0"/>
    <w:rsid w:val="00AB1D5D"/>
    <w:rsid w:val="00AB4427"/>
    <w:rsid w:val="00AC1772"/>
    <w:rsid w:val="00AD41F6"/>
    <w:rsid w:val="00AF695A"/>
    <w:rsid w:val="00B0533C"/>
    <w:rsid w:val="00B11677"/>
    <w:rsid w:val="00B4131A"/>
    <w:rsid w:val="00B50805"/>
    <w:rsid w:val="00B50839"/>
    <w:rsid w:val="00B67DE4"/>
    <w:rsid w:val="00B70BBA"/>
    <w:rsid w:val="00B85707"/>
    <w:rsid w:val="00B92509"/>
    <w:rsid w:val="00B9532C"/>
    <w:rsid w:val="00BA45E3"/>
    <w:rsid w:val="00BA5B4E"/>
    <w:rsid w:val="00BC28ED"/>
    <w:rsid w:val="00BC4F41"/>
    <w:rsid w:val="00BD3B8F"/>
    <w:rsid w:val="00BD78BA"/>
    <w:rsid w:val="00BE4235"/>
    <w:rsid w:val="00BE6C13"/>
    <w:rsid w:val="00BE7617"/>
    <w:rsid w:val="00BF5A4E"/>
    <w:rsid w:val="00BF7FCF"/>
    <w:rsid w:val="00C40080"/>
    <w:rsid w:val="00C40D9D"/>
    <w:rsid w:val="00C41573"/>
    <w:rsid w:val="00C417CC"/>
    <w:rsid w:val="00C57B51"/>
    <w:rsid w:val="00C66A29"/>
    <w:rsid w:val="00C907C4"/>
    <w:rsid w:val="00C93E7B"/>
    <w:rsid w:val="00CC18C7"/>
    <w:rsid w:val="00CD7BE0"/>
    <w:rsid w:val="00CE6F8B"/>
    <w:rsid w:val="00CF05A7"/>
    <w:rsid w:val="00CF05EB"/>
    <w:rsid w:val="00D005CD"/>
    <w:rsid w:val="00D01B0A"/>
    <w:rsid w:val="00D11A34"/>
    <w:rsid w:val="00D17A10"/>
    <w:rsid w:val="00D23AE9"/>
    <w:rsid w:val="00D47B20"/>
    <w:rsid w:val="00D511E5"/>
    <w:rsid w:val="00D704FB"/>
    <w:rsid w:val="00D9488A"/>
    <w:rsid w:val="00DB4040"/>
    <w:rsid w:val="00E121C0"/>
    <w:rsid w:val="00E13970"/>
    <w:rsid w:val="00E30E79"/>
    <w:rsid w:val="00E35AC6"/>
    <w:rsid w:val="00E37727"/>
    <w:rsid w:val="00E50B86"/>
    <w:rsid w:val="00E606FF"/>
    <w:rsid w:val="00E60DC8"/>
    <w:rsid w:val="00E71C2B"/>
    <w:rsid w:val="00E74442"/>
    <w:rsid w:val="00E7728D"/>
    <w:rsid w:val="00E77E9F"/>
    <w:rsid w:val="00E8320D"/>
    <w:rsid w:val="00E86FEE"/>
    <w:rsid w:val="00E911E4"/>
    <w:rsid w:val="00EA5B9B"/>
    <w:rsid w:val="00EA68E3"/>
    <w:rsid w:val="00EB53F2"/>
    <w:rsid w:val="00EC1799"/>
    <w:rsid w:val="00ED5646"/>
    <w:rsid w:val="00F24833"/>
    <w:rsid w:val="00F25BCC"/>
    <w:rsid w:val="00F30475"/>
    <w:rsid w:val="00F32B04"/>
    <w:rsid w:val="00F35591"/>
    <w:rsid w:val="00F43DD8"/>
    <w:rsid w:val="00F737A5"/>
    <w:rsid w:val="00F879ED"/>
    <w:rsid w:val="00FA2F60"/>
    <w:rsid w:val="00FA719A"/>
    <w:rsid w:val="00FE45F2"/>
    <w:rsid w:val="00FE5E50"/>
    <w:rsid w:val="00FF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043B6"/>
  <w15:docId w15:val="{3E2F0544-F32F-40A7-9A6E-A68715B7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6"/>
      <w:ind w:left="3012"/>
      <w:outlineLvl w:val="0"/>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60"/>
      <w:ind w:left="1080" w:right="737" w:hanging="360"/>
    </w:pPr>
  </w:style>
  <w:style w:type="paragraph" w:customStyle="1" w:styleId="TableParagraph">
    <w:name w:val="Table Paragraph"/>
    <w:basedOn w:val="Normal"/>
    <w:uiPriority w:val="1"/>
    <w:qFormat/>
    <w:pPr>
      <w:spacing w:before="144"/>
    </w:pPr>
  </w:style>
  <w:style w:type="paragraph" w:styleId="BalloonText">
    <w:name w:val="Balloon Text"/>
    <w:basedOn w:val="Normal"/>
    <w:link w:val="BalloonTextChar"/>
    <w:uiPriority w:val="99"/>
    <w:semiHidden/>
    <w:unhideWhenUsed/>
    <w:rsid w:val="00E13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970"/>
    <w:rPr>
      <w:rFonts w:ascii="Segoe UI" w:eastAsia="Arial" w:hAnsi="Segoe UI" w:cs="Segoe UI"/>
      <w:sz w:val="18"/>
      <w:szCs w:val="18"/>
    </w:rPr>
  </w:style>
  <w:style w:type="paragraph" w:styleId="Header">
    <w:name w:val="header"/>
    <w:basedOn w:val="Normal"/>
    <w:link w:val="HeaderChar"/>
    <w:uiPriority w:val="99"/>
    <w:unhideWhenUsed/>
    <w:rsid w:val="00D005CD"/>
    <w:pPr>
      <w:tabs>
        <w:tab w:val="center" w:pos="4680"/>
        <w:tab w:val="right" w:pos="9360"/>
      </w:tabs>
    </w:pPr>
  </w:style>
  <w:style w:type="character" w:customStyle="1" w:styleId="HeaderChar">
    <w:name w:val="Header Char"/>
    <w:basedOn w:val="DefaultParagraphFont"/>
    <w:link w:val="Header"/>
    <w:uiPriority w:val="99"/>
    <w:rsid w:val="00D005CD"/>
    <w:rPr>
      <w:rFonts w:ascii="Arial" w:eastAsia="Arial" w:hAnsi="Arial" w:cs="Arial"/>
    </w:rPr>
  </w:style>
  <w:style w:type="paragraph" w:styleId="Footer">
    <w:name w:val="footer"/>
    <w:basedOn w:val="Normal"/>
    <w:link w:val="FooterChar"/>
    <w:uiPriority w:val="99"/>
    <w:unhideWhenUsed/>
    <w:rsid w:val="00D005CD"/>
    <w:pPr>
      <w:tabs>
        <w:tab w:val="center" w:pos="4680"/>
        <w:tab w:val="right" w:pos="9360"/>
      </w:tabs>
    </w:pPr>
  </w:style>
  <w:style w:type="character" w:customStyle="1" w:styleId="FooterChar">
    <w:name w:val="Footer Char"/>
    <w:basedOn w:val="DefaultParagraphFont"/>
    <w:link w:val="Footer"/>
    <w:uiPriority w:val="99"/>
    <w:rsid w:val="00D005CD"/>
    <w:rPr>
      <w:rFonts w:ascii="Arial" w:eastAsia="Arial" w:hAnsi="Arial" w:cs="Arial"/>
    </w:rPr>
  </w:style>
  <w:style w:type="character" w:styleId="CommentReference">
    <w:name w:val="annotation reference"/>
    <w:basedOn w:val="DefaultParagraphFont"/>
    <w:uiPriority w:val="99"/>
    <w:semiHidden/>
    <w:unhideWhenUsed/>
    <w:rsid w:val="003D36CB"/>
    <w:rPr>
      <w:sz w:val="16"/>
      <w:szCs w:val="16"/>
    </w:rPr>
  </w:style>
  <w:style w:type="paragraph" w:styleId="CommentText">
    <w:name w:val="annotation text"/>
    <w:basedOn w:val="Normal"/>
    <w:link w:val="CommentTextChar"/>
    <w:uiPriority w:val="99"/>
    <w:semiHidden/>
    <w:unhideWhenUsed/>
    <w:rsid w:val="003D36CB"/>
    <w:rPr>
      <w:sz w:val="20"/>
      <w:szCs w:val="20"/>
    </w:rPr>
  </w:style>
  <w:style w:type="character" w:customStyle="1" w:styleId="CommentTextChar">
    <w:name w:val="Comment Text Char"/>
    <w:basedOn w:val="DefaultParagraphFont"/>
    <w:link w:val="CommentText"/>
    <w:uiPriority w:val="99"/>
    <w:semiHidden/>
    <w:rsid w:val="003D36C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D36CB"/>
    <w:rPr>
      <w:b/>
      <w:bCs/>
    </w:rPr>
  </w:style>
  <w:style w:type="character" w:customStyle="1" w:styleId="CommentSubjectChar">
    <w:name w:val="Comment Subject Char"/>
    <w:basedOn w:val="CommentTextChar"/>
    <w:link w:val="CommentSubject"/>
    <w:uiPriority w:val="99"/>
    <w:semiHidden/>
    <w:rsid w:val="003D36CB"/>
    <w:rPr>
      <w:rFonts w:ascii="Arial" w:eastAsia="Arial" w:hAnsi="Arial" w:cs="Arial"/>
      <w:b/>
      <w:bCs/>
      <w:sz w:val="20"/>
      <w:szCs w:val="20"/>
    </w:rPr>
  </w:style>
  <w:style w:type="table" w:styleId="TableGrid">
    <w:name w:val="Table Grid"/>
    <w:basedOn w:val="TableNormal"/>
    <w:uiPriority w:val="39"/>
    <w:rsid w:val="007E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707"/>
    <w:rPr>
      <w:color w:val="0000FF" w:themeColor="hyperlink"/>
      <w:u w:val="single"/>
    </w:rPr>
  </w:style>
  <w:style w:type="character" w:styleId="FollowedHyperlink">
    <w:name w:val="FollowedHyperlink"/>
    <w:basedOn w:val="DefaultParagraphFont"/>
    <w:uiPriority w:val="99"/>
    <w:semiHidden/>
    <w:unhideWhenUsed/>
    <w:rsid w:val="00EC1799"/>
    <w:rPr>
      <w:color w:val="800080" w:themeColor="followedHyperlink"/>
      <w:u w:val="single"/>
    </w:rPr>
  </w:style>
  <w:style w:type="paragraph" w:styleId="Revision">
    <w:name w:val="Revision"/>
    <w:hidden/>
    <w:uiPriority w:val="99"/>
    <w:semiHidden/>
    <w:rsid w:val="001D7DB5"/>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056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744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aterboards.ca.gov/drinking_water/certlic/drinkingwater/NotificationLeve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Manganese NL Issuance</vt:lpstr>
    </vt:vector>
  </TitlesOfParts>
  <Company>HP</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Manganese NL Issuance</dc:title>
  <dc:creator>Miguelino, Eric@Waterboards</dc:creator>
  <cp:lastModifiedBy>Hall, Melissa@Waterboards</cp:lastModifiedBy>
  <cp:revision>7</cp:revision>
  <dcterms:created xsi:type="dcterms:W3CDTF">2023-01-23T17:31:00Z</dcterms:created>
  <dcterms:modified xsi:type="dcterms:W3CDTF">2023-02-13T22:30:00Z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CommonLook Office GlobalAccess-2.0.9.29</vt:lpwstr>
  </property>
  <property fmtid="{D5CDD505-2E9C-101B-9397-08002B2CF9AE}" pid="4" name="LastSaved">
    <vt:filetime>2020-01-09T00:00:00Z</vt:filetime>
  </property>
</Properties>
</file>