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BAB1" w14:textId="725F705A" w:rsidR="00E302FE" w:rsidRDefault="00E302FE" w:rsidP="0023012B">
      <w:pPr>
        <w:pStyle w:val="Heading1"/>
        <w:jc w:val="center"/>
        <w:rPr>
          <w:u w:val="none"/>
        </w:rPr>
      </w:pPr>
      <w:r>
        <w:rPr>
          <w:u w:val="none"/>
        </w:rPr>
        <w:t>State Water Resources Control Board</w:t>
      </w:r>
      <w:r>
        <w:rPr>
          <w:u w:val="none"/>
        </w:rPr>
        <w:br/>
        <w:t>Division of Drinking Water</w:t>
      </w:r>
    </w:p>
    <w:p w14:paraId="7725EBE2" w14:textId="7A822169" w:rsidR="00C61E5F" w:rsidRDefault="00791E52" w:rsidP="0023012B">
      <w:pPr>
        <w:pStyle w:val="Heading1"/>
        <w:jc w:val="center"/>
        <w:rPr>
          <w:u w:val="none"/>
        </w:rPr>
      </w:pPr>
      <w:r w:rsidRPr="007C746F">
        <w:rPr>
          <w:u w:val="none"/>
        </w:rPr>
        <w:t>Drinking Water Notification Levels and Response Levels: An Overview</w:t>
      </w:r>
    </w:p>
    <w:p w14:paraId="25A0B900" w14:textId="4E0DE1BC" w:rsidR="0023012B" w:rsidRPr="00B67FD7" w:rsidRDefault="0023012B" w:rsidP="0023012B">
      <w:pPr>
        <w:pStyle w:val="Footer"/>
        <w:tabs>
          <w:tab w:val="clear" w:pos="4680"/>
          <w:tab w:val="clear" w:pos="9360"/>
          <w:tab w:val="left" w:pos="945"/>
        </w:tabs>
        <w:jc w:val="center"/>
        <w:rPr>
          <w:rFonts w:ascii="Arial" w:hAnsi="Arial" w:cs="Arial"/>
          <w:i/>
        </w:rPr>
      </w:pPr>
      <w:r w:rsidRPr="00B67FD7">
        <w:rPr>
          <w:rFonts w:ascii="Arial" w:hAnsi="Arial" w:cs="Arial"/>
          <w:i/>
        </w:rPr>
        <w:t>https://www.waterboards.ca.gov/drinking_water/certlic/drinkingwater/NotificationLevels.shtml</w:t>
      </w:r>
    </w:p>
    <w:p w14:paraId="137C8F14" w14:textId="2C89ADFC" w:rsidR="00F3174F" w:rsidRPr="00B67FD7" w:rsidRDefault="00F3174F" w:rsidP="00F3174F">
      <w:pPr>
        <w:rPr>
          <w:rFonts w:ascii="Arial" w:hAnsi="Arial" w:cs="Arial"/>
        </w:rPr>
      </w:pPr>
    </w:p>
    <w:p w14:paraId="08FB4D04" w14:textId="77777777" w:rsidR="0040260C" w:rsidRPr="007C746F" w:rsidRDefault="0040260C" w:rsidP="00B67FD7">
      <w:pPr>
        <w:pStyle w:val="Heading2"/>
        <w:spacing w:before="240" w:after="240" w:line="240" w:lineRule="auto"/>
      </w:pPr>
      <w:r w:rsidRPr="007C746F">
        <w:t>Contents of Overview</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170"/>
      </w:tblGrid>
      <w:tr w:rsidR="004A7ABC" w:rsidRPr="007C746F" w14:paraId="4501C92B" w14:textId="77777777" w:rsidTr="00FC14F6">
        <w:trPr>
          <w:trHeight w:val="618"/>
        </w:trPr>
        <w:tc>
          <w:tcPr>
            <w:tcW w:w="8010" w:type="dxa"/>
          </w:tcPr>
          <w:p w14:paraId="3FBEF9B7" w14:textId="78131C4B"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Table 1. Notification Levels</w:t>
            </w:r>
          </w:p>
        </w:tc>
        <w:tc>
          <w:tcPr>
            <w:tcW w:w="1170" w:type="dxa"/>
          </w:tcPr>
          <w:p w14:paraId="1C7EBC12" w14:textId="3E3493DF" w:rsidR="004A7ABC" w:rsidRPr="007C746F" w:rsidRDefault="00244E3A" w:rsidP="00560ABD">
            <w:pPr>
              <w:rPr>
                <w:rFonts w:ascii="Arial" w:hAnsi="Arial" w:cs="Arial"/>
                <w:sz w:val="24"/>
                <w:szCs w:val="24"/>
              </w:rPr>
            </w:pPr>
            <w:r w:rsidRPr="007C746F">
              <w:rPr>
                <w:rFonts w:ascii="Arial" w:hAnsi="Arial" w:cs="Arial"/>
                <w:sz w:val="24"/>
                <w:szCs w:val="24"/>
              </w:rPr>
              <w:t>Page 2</w:t>
            </w:r>
          </w:p>
        </w:tc>
      </w:tr>
      <w:tr w:rsidR="004A7ABC" w:rsidRPr="007C746F" w14:paraId="66B1A47B" w14:textId="77777777" w:rsidTr="00FC14F6">
        <w:trPr>
          <w:trHeight w:val="618"/>
        </w:trPr>
        <w:tc>
          <w:tcPr>
            <w:tcW w:w="8010" w:type="dxa"/>
          </w:tcPr>
          <w:p w14:paraId="708F4D29" w14:textId="2AB7D7C0"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Table 2. Response Level</w:t>
            </w:r>
          </w:p>
        </w:tc>
        <w:tc>
          <w:tcPr>
            <w:tcW w:w="1170" w:type="dxa"/>
          </w:tcPr>
          <w:p w14:paraId="4490163B" w14:textId="7A95D145" w:rsidR="004A7ABC" w:rsidRPr="007C746F" w:rsidRDefault="00244E3A" w:rsidP="00560ABD">
            <w:pPr>
              <w:rPr>
                <w:rFonts w:ascii="Arial" w:hAnsi="Arial" w:cs="Arial"/>
                <w:sz w:val="24"/>
                <w:szCs w:val="24"/>
              </w:rPr>
            </w:pPr>
            <w:r w:rsidRPr="007C746F">
              <w:rPr>
                <w:rFonts w:ascii="Arial" w:hAnsi="Arial" w:cs="Arial"/>
                <w:sz w:val="24"/>
                <w:szCs w:val="24"/>
              </w:rPr>
              <w:t>Page 3</w:t>
            </w:r>
          </w:p>
        </w:tc>
      </w:tr>
      <w:tr w:rsidR="004A7ABC" w:rsidRPr="007C746F" w14:paraId="0C593AC6" w14:textId="77777777" w:rsidTr="00FC14F6">
        <w:trPr>
          <w:trHeight w:val="618"/>
        </w:trPr>
        <w:tc>
          <w:tcPr>
            <w:tcW w:w="8010" w:type="dxa"/>
          </w:tcPr>
          <w:p w14:paraId="47FFF4B9" w14:textId="2C63C69A"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History of Notification Levels</w:t>
            </w:r>
          </w:p>
        </w:tc>
        <w:tc>
          <w:tcPr>
            <w:tcW w:w="1170" w:type="dxa"/>
          </w:tcPr>
          <w:p w14:paraId="415C4894" w14:textId="5299FE4D" w:rsidR="004A7ABC" w:rsidRPr="007C746F" w:rsidRDefault="00244E3A" w:rsidP="00560ABD">
            <w:pPr>
              <w:rPr>
                <w:rFonts w:ascii="Arial" w:hAnsi="Arial" w:cs="Arial"/>
                <w:sz w:val="24"/>
                <w:szCs w:val="24"/>
              </w:rPr>
            </w:pPr>
            <w:r w:rsidRPr="007C746F">
              <w:rPr>
                <w:rFonts w:ascii="Arial" w:hAnsi="Arial" w:cs="Arial"/>
                <w:sz w:val="24"/>
                <w:szCs w:val="24"/>
              </w:rPr>
              <w:t>Page 3</w:t>
            </w:r>
          </w:p>
        </w:tc>
      </w:tr>
      <w:tr w:rsidR="004A7ABC" w:rsidRPr="007C746F" w14:paraId="2D47EFD7" w14:textId="77777777" w:rsidTr="00FC14F6">
        <w:trPr>
          <w:trHeight w:val="618"/>
        </w:trPr>
        <w:tc>
          <w:tcPr>
            <w:tcW w:w="8010" w:type="dxa"/>
          </w:tcPr>
          <w:p w14:paraId="56306BB6" w14:textId="4F73DB7B"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 xml:space="preserve">Determination of Notification Levels </w:t>
            </w:r>
          </w:p>
        </w:tc>
        <w:tc>
          <w:tcPr>
            <w:tcW w:w="1170" w:type="dxa"/>
          </w:tcPr>
          <w:p w14:paraId="1AA0FE49" w14:textId="003E6216" w:rsidR="004A7ABC" w:rsidRPr="007C746F" w:rsidRDefault="00244E3A" w:rsidP="00560ABD">
            <w:pPr>
              <w:rPr>
                <w:rFonts w:ascii="Arial" w:hAnsi="Arial" w:cs="Arial"/>
                <w:sz w:val="24"/>
                <w:szCs w:val="24"/>
              </w:rPr>
            </w:pPr>
            <w:r w:rsidRPr="007C746F">
              <w:rPr>
                <w:rFonts w:ascii="Arial" w:hAnsi="Arial" w:cs="Arial"/>
                <w:sz w:val="24"/>
                <w:szCs w:val="24"/>
              </w:rPr>
              <w:t>Page 4</w:t>
            </w:r>
          </w:p>
        </w:tc>
      </w:tr>
      <w:tr w:rsidR="004A7ABC" w:rsidRPr="007C746F" w14:paraId="39D17566" w14:textId="77777777" w:rsidTr="00FC14F6">
        <w:trPr>
          <w:trHeight w:val="618"/>
        </w:trPr>
        <w:tc>
          <w:tcPr>
            <w:tcW w:w="8010" w:type="dxa"/>
          </w:tcPr>
          <w:p w14:paraId="3BC8E339" w14:textId="395BC4B0"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Monitoring for Chemicals with Notification Levels</w:t>
            </w:r>
          </w:p>
        </w:tc>
        <w:tc>
          <w:tcPr>
            <w:tcW w:w="1170" w:type="dxa"/>
          </w:tcPr>
          <w:p w14:paraId="24C1CC90" w14:textId="5D75262B" w:rsidR="004A7ABC" w:rsidRPr="007C746F" w:rsidRDefault="00244E3A" w:rsidP="00560ABD">
            <w:pPr>
              <w:rPr>
                <w:rFonts w:ascii="Arial" w:hAnsi="Arial" w:cs="Arial"/>
                <w:sz w:val="24"/>
                <w:szCs w:val="24"/>
              </w:rPr>
            </w:pPr>
            <w:r w:rsidRPr="007C746F">
              <w:rPr>
                <w:rFonts w:ascii="Arial" w:hAnsi="Arial" w:cs="Arial"/>
                <w:sz w:val="24"/>
                <w:szCs w:val="24"/>
              </w:rPr>
              <w:t>Page 5</w:t>
            </w:r>
          </w:p>
        </w:tc>
      </w:tr>
      <w:tr w:rsidR="004A7ABC" w:rsidRPr="007C746F" w14:paraId="4BC59E32" w14:textId="77777777" w:rsidTr="00FC14F6">
        <w:trPr>
          <w:trHeight w:val="618"/>
        </w:trPr>
        <w:tc>
          <w:tcPr>
            <w:tcW w:w="8010" w:type="dxa"/>
          </w:tcPr>
          <w:p w14:paraId="33918FAA" w14:textId="4DD83187"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Notification Levels</w:t>
            </w:r>
          </w:p>
        </w:tc>
        <w:tc>
          <w:tcPr>
            <w:tcW w:w="1170" w:type="dxa"/>
          </w:tcPr>
          <w:p w14:paraId="72413CC7" w14:textId="6F07265A" w:rsidR="004A7ABC" w:rsidRPr="007C746F" w:rsidRDefault="00244E3A" w:rsidP="00560ABD">
            <w:pPr>
              <w:rPr>
                <w:rFonts w:ascii="Arial" w:hAnsi="Arial" w:cs="Arial"/>
                <w:sz w:val="24"/>
                <w:szCs w:val="24"/>
              </w:rPr>
            </w:pPr>
            <w:r w:rsidRPr="007C746F">
              <w:rPr>
                <w:rFonts w:ascii="Arial" w:hAnsi="Arial" w:cs="Arial"/>
                <w:sz w:val="24"/>
                <w:szCs w:val="24"/>
              </w:rPr>
              <w:t>Page 5</w:t>
            </w:r>
          </w:p>
        </w:tc>
      </w:tr>
      <w:tr w:rsidR="004A7ABC" w:rsidRPr="007C746F" w14:paraId="2C9EB550" w14:textId="77777777" w:rsidTr="00FC14F6">
        <w:trPr>
          <w:trHeight w:val="618"/>
        </w:trPr>
        <w:tc>
          <w:tcPr>
            <w:tcW w:w="8010" w:type="dxa"/>
          </w:tcPr>
          <w:p w14:paraId="7752C066" w14:textId="297B0840" w:rsidR="004A7ABC" w:rsidRPr="007C746F" w:rsidRDefault="00244E3A" w:rsidP="00244E3A">
            <w:pPr>
              <w:tabs>
                <w:tab w:val="right" w:pos="8820"/>
              </w:tabs>
              <w:rPr>
                <w:rFonts w:ascii="Arial" w:hAnsi="Arial" w:cs="Arial"/>
                <w:sz w:val="24"/>
                <w:szCs w:val="24"/>
              </w:rPr>
            </w:pPr>
            <w:r w:rsidRPr="007C746F">
              <w:rPr>
                <w:rFonts w:ascii="Arial" w:hAnsi="Arial" w:cs="Arial"/>
                <w:sz w:val="24"/>
                <w:szCs w:val="24"/>
              </w:rPr>
              <w:t>Response Levels</w:t>
            </w:r>
          </w:p>
        </w:tc>
        <w:tc>
          <w:tcPr>
            <w:tcW w:w="1170" w:type="dxa"/>
          </w:tcPr>
          <w:p w14:paraId="3CABF9E6" w14:textId="6B8944FC" w:rsidR="004A7ABC" w:rsidRPr="007C746F" w:rsidRDefault="00244E3A" w:rsidP="00560ABD">
            <w:pPr>
              <w:rPr>
                <w:rFonts w:ascii="Arial" w:hAnsi="Arial" w:cs="Arial"/>
                <w:sz w:val="24"/>
                <w:szCs w:val="24"/>
              </w:rPr>
            </w:pPr>
            <w:r w:rsidRPr="007C746F">
              <w:rPr>
                <w:rFonts w:ascii="Arial" w:hAnsi="Arial" w:cs="Arial"/>
                <w:sz w:val="24"/>
                <w:szCs w:val="24"/>
              </w:rPr>
              <w:t>Page 6</w:t>
            </w:r>
          </w:p>
        </w:tc>
      </w:tr>
      <w:tr w:rsidR="00244E3A" w:rsidRPr="007C746F" w14:paraId="118D9558" w14:textId="77777777" w:rsidTr="00FC14F6">
        <w:trPr>
          <w:trHeight w:val="653"/>
        </w:trPr>
        <w:tc>
          <w:tcPr>
            <w:tcW w:w="8010" w:type="dxa"/>
          </w:tcPr>
          <w:p w14:paraId="5F9E7FD9" w14:textId="66952760" w:rsidR="00244E3A" w:rsidRPr="007C746F" w:rsidRDefault="00244E3A" w:rsidP="00244E3A">
            <w:pPr>
              <w:rPr>
                <w:rFonts w:ascii="Arial" w:hAnsi="Arial" w:cs="Arial"/>
                <w:sz w:val="24"/>
                <w:szCs w:val="24"/>
              </w:rPr>
            </w:pPr>
            <w:r w:rsidRPr="007C746F">
              <w:rPr>
                <w:rFonts w:ascii="Arial" w:hAnsi="Arial" w:cs="Arial"/>
                <w:sz w:val="24"/>
                <w:szCs w:val="24"/>
              </w:rPr>
              <w:t>Additional Notification When Water Is Served above the Response Level </w:t>
            </w:r>
          </w:p>
        </w:tc>
        <w:tc>
          <w:tcPr>
            <w:tcW w:w="1170" w:type="dxa"/>
          </w:tcPr>
          <w:p w14:paraId="5E9B941A" w14:textId="03147608" w:rsidR="00244E3A" w:rsidRPr="007C746F" w:rsidRDefault="00244E3A" w:rsidP="00244E3A">
            <w:pPr>
              <w:rPr>
                <w:rFonts w:ascii="Arial" w:hAnsi="Arial" w:cs="Arial"/>
                <w:sz w:val="24"/>
                <w:szCs w:val="24"/>
              </w:rPr>
            </w:pPr>
            <w:r w:rsidRPr="007C746F">
              <w:rPr>
                <w:rFonts w:ascii="Arial" w:hAnsi="Arial" w:cs="Arial"/>
                <w:sz w:val="24"/>
                <w:szCs w:val="24"/>
              </w:rPr>
              <w:t>Page 6</w:t>
            </w:r>
          </w:p>
        </w:tc>
      </w:tr>
      <w:tr w:rsidR="00244E3A" w:rsidRPr="007C746F" w14:paraId="4DF43ABE" w14:textId="77777777" w:rsidTr="00FC14F6">
        <w:trPr>
          <w:trHeight w:val="618"/>
        </w:trPr>
        <w:tc>
          <w:tcPr>
            <w:tcW w:w="8010" w:type="dxa"/>
          </w:tcPr>
          <w:p w14:paraId="5C77B7DC" w14:textId="21120BFC" w:rsidR="00244E3A" w:rsidRPr="007C746F" w:rsidRDefault="00244E3A" w:rsidP="00244E3A">
            <w:pPr>
              <w:tabs>
                <w:tab w:val="right" w:pos="8820"/>
              </w:tabs>
              <w:rPr>
                <w:rFonts w:ascii="Arial" w:hAnsi="Arial" w:cs="Arial"/>
                <w:sz w:val="24"/>
                <w:szCs w:val="24"/>
              </w:rPr>
            </w:pPr>
            <w:r w:rsidRPr="007C746F">
              <w:rPr>
                <w:rFonts w:ascii="Arial" w:hAnsi="Arial" w:cs="Arial"/>
                <w:sz w:val="24"/>
                <w:szCs w:val="24"/>
              </w:rPr>
              <w:t>Notes on Chemicals with Notification Levels</w:t>
            </w:r>
          </w:p>
        </w:tc>
        <w:tc>
          <w:tcPr>
            <w:tcW w:w="1170" w:type="dxa"/>
          </w:tcPr>
          <w:p w14:paraId="77D55394" w14:textId="12ED0926" w:rsidR="00244E3A" w:rsidRPr="007C746F" w:rsidRDefault="00244E3A" w:rsidP="00244E3A">
            <w:pPr>
              <w:rPr>
                <w:rFonts w:ascii="Arial" w:hAnsi="Arial" w:cs="Arial"/>
                <w:sz w:val="24"/>
                <w:szCs w:val="24"/>
              </w:rPr>
            </w:pPr>
            <w:r w:rsidRPr="007C746F">
              <w:rPr>
                <w:rFonts w:ascii="Arial" w:hAnsi="Arial" w:cs="Arial"/>
                <w:sz w:val="24"/>
                <w:szCs w:val="24"/>
              </w:rPr>
              <w:t>Page 7</w:t>
            </w:r>
          </w:p>
        </w:tc>
      </w:tr>
      <w:tr w:rsidR="00244E3A" w:rsidRPr="007C746F" w14:paraId="3A561CB7" w14:textId="77777777" w:rsidTr="00FC14F6">
        <w:trPr>
          <w:trHeight w:val="618"/>
        </w:trPr>
        <w:tc>
          <w:tcPr>
            <w:tcW w:w="8010" w:type="dxa"/>
          </w:tcPr>
          <w:p w14:paraId="52AD675E" w14:textId="7A228128" w:rsidR="00244E3A" w:rsidRPr="007C746F" w:rsidRDefault="00244E3A" w:rsidP="00244E3A">
            <w:pPr>
              <w:rPr>
                <w:rFonts w:ascii="Arial" w:hAnsi="Arial" w:cs="Arial"/>
                <w:sz w:val="24"/>
                <w:szCs w:val="24"/>
              </w:rPr>
            </w:pPr>
            <w:r w:rsidRPr="007C746F">
              <w:rPr>
                <w:rFonts w:ascii="Arial" w:hAnsi="Arial" w:cs="Arial"/>
                <w:sz w:val="24"/>
                <w:szCs w:val="24"/>
              </w:rPr>
              <w:t>Appendix 1 – Methods for Determination of Notification Levels</w:t>
            </w:r>
          </w:p>
        </w:tc>
        <w:tc>
          <w:tcPr>
            <w:tcW w:w="1170" w:type="dxa"/>
          </w:tcPr>
          <w:p w14:paraId="61635238" w14:textId="3063F037" w:rsidR="00244E3A" w:rsidRPr="007C746F" w:rsidRDefault="00244E3A" w:rsidP="00244E3A">
            <w:pPr>
              <w:rPr>
                <w:rFonts w:ascii="Arial" w:hAnsi="Arial" w:cs="Arial"/>
                <w:sz w:val="24"/>
                <w:szCs w:val="24"/>
              </w:rPr>
            </w:pPr>
            <w:r w:rsidRPr="007C746F">
              <w:rPr>
                <w:rFonts w:ascii="Arial" w:hAnsi="Arial" w:cs="Arial"/>
                <w:sz w:val="24"/>
                <w:szCs w:val="24"/>
              </w:rPr>
              <w:t>Page 1</w:t>
            </w:r>
            <w:r w:rsidR="003565DE" w:rsidRPr="007C746F">
              <w:rPr>
                <w:rFonts w:ascii="Arial" w:hAnsi="Arial" w:cs="Arial"/>
                <w:sz w:val="24"/>
                <w:szCs w:val="24"/>
              </w:rPr>
              <w:t>4</w:t>
            </w:r>
          </w:p>
        </w:tc>
      </w:tr>
      <w:tr w:rsidR="00244E3A" w:rsidRPr="007C746F" w14:paraId="0969A8E3" w14:textId="77777777" w:rsidTr="00FC14F6">
        <w:trPr>
          <w:trHeight w:val="584"/>
        </w:trPr>
        <w:tc>
          <w:tcPr>
            <w:tcW w:w="8010" w:type="dxa"/>
          </w:tcPr>
          <w:p w14:paraId="2AAAF414" w14:textId="5EF25A3C" w:rsidR="00244E3A" w:rsidRPr="007C746F" w:rsidRDefault="00244E3A" w:rsidP="00244E3A">
            <w:pPr>
              <w:tabs>
                <w:tab w:val="right" w:pos="8820"/>
              </w:tabs>
              <w:rPr>
                <w:rFonts w:ascii="Arial" w:hAnsi="Arial" w:cs="Arial"/>
                <w:sz w:val="24"/>
                <w:szCs w:val="24"/>
              </w:rPr>
            </w:pPr>
            <w:r w:rsidRPr="007C746F">
              <w:rPr>
                <w:rFonts w:ascii="Arial" w:hAnsi="Arial" w:cs="Arial"/>
                <w:sz w:val="24"/>
                <w:szCs w:val="24"/>
              </w:rPr>
              <w:t>Appendix 2 – Health and Safety Code §116455</w:t>
            </w:r>
          </w:p>
        </w:tc>
        <w:tc>
          <w:tcPr>
            <w:tcW w:w="1170" w:type="dxa"/>
          </w:tcPr>
          <w:p w14:paraId="7B62692C" w14:textId="2A37D784" w:rsidR="00244E3A" w:rsidRPr="007C746F" w:rsidRDefault="00244E3A" w:rsidP="00244E3A">
            <w:pPr>
              <w:rPr>
                <w:rFonts w:ascii="Arial" w:hAnsi="Arial" w:cs="Arial"/>
                <w:sz w:val="24"/>
                <w:szCs w:val="24"/>
              </w:rPr>
            </w:pPr>
            <w:r w:rsidRPr="007C746F">
              <w:rPr>
                <w:rFonts w:ascii="Arial" w:hAnsi="Arial" w:cs="Arial"/>
                <w:sz w:val="24"/>
                <w:szCs w:val="24"/>
              </w:rPr>
              <w:t>Page 16</w:t>
            </w:r>
          </w:p>
        </w:tc>
      </w:tr>
    </w:tbl>
    <w:p w14:paraId="42408906" w14:textId="77777777" w:rsidR="0040260C" w:rsidRDefault="0040260C" w:rsidP="00560ABD">
      <w:pPr>
        <w:rPr>
          <w:rFonts w:ascii="Arial" w:hAnsi="Arial" w:cs="Arial"/>
          <w:sz w:val="24"/>
          <w:szCs w:val="24"/>
        </w:rPr>
      </w:pPr>
    </w:p>
    <w:p w14:paraId="7676FA40" w14:textId="77777777" w:rsidR="00F8705F" w:rsidRDefault="00F8705F" w:rsidP="00560ABD">
      <w:pPr>
        <w:rPr>
          <w:rFonts w:ascii="Arial" w:hAnsi="Arial" w:cs="Arial"/>
          <w:sz w:val="24"/>
          <w:szCs w:val="24"/>
        </w:rPr>
      </w:pPr>
    </w:p>
    <w:p w14:paraId="2CB0B934" w14:textId="77777777" w:rsidR="00F8705F" w:rsidRDefault="00F8705F" w:rsidP="00560ABD">
      <w:pPr>
        <w:rPr>
          <w:rFonts w:ascii="Arial" w:hAnsi="Arial" w:cs="Arial"/>
          <w:sz w:val="24"/>
          <w:szCs w:val="24"/>
        </w:rPr>
      </w:pPr>
    </w:p>
    <w:p w14:paraId="49964CE4" w14:textId="77777777" w:rsidR="00F8705F" w:rsidRDefault="00F8705F" w:rsidP="00560ABD">
      <w:pPr>
        <w:rPr>
          <w:rFonts w:ascii="Arial" w:hAnsi="Arial" w:cs="Arial"/>
          <w:sz w:val="24"/>
          <w:szCs w:val="24"/>
        </w:rPr>
      </w:pPr>
    </w:p>
    <w:p w14:paraId="1CE49FD2" w14:textId="77777777" w:rsidR="00F8705F" w:rsidRPr="007C746F" w:rsidRDefault="00F8705F" w:rsidP="00560ABD">
      <w:pPr>
        <w:rPr>
          <w:rFonts w:ascii="Arial" w:hAnsi="Arial" w:cs="Arial"/>
          <w:sz w:val="24"/>
          <w:szCs w:val="24"/>
        </w:rPr>
      </w:pPr>
    </w:p>
    <w:p w14:paraId="304B2B4C" w14:textId="18A1C112" w:rsidR="00750FBD" w:rsidRPr="00A47469" w:rsidRDefault="00750FBD" w:rsidP="00750FBD">
      <w:pPr>
        <w:pStyle w:val="Caption"/>
        <w:keepNext/>
        <w:rPr>
          <w:rFonts w:ascii="Arial" w:hAnsi="Arial" w:cs="Arial"/>
          <w:b/>
          <w:bCs/>
          <w:sz w:val="24"/>
          <w:szCs w:val="24"/>
        </w:rPr>
      </w:pPr>
      <w:bookmarkStart w:id="0" w:name="_Ref227918191"/>
      <w:r w:rsidRPr="00A47469">
        <w:rPr>
          <w:rFonts w:ascii="Arial" w:hAnsi="Arial" w:cs="Arial"/>
          <w:b/>
          <w:bCs/>
          <w:sz w:val="24"/>
          <w:szCs w:val="24"/>
        </w:rPr>
        <w:lastRenderedPageBreak/>
        <w:t xml:space="preserve">Table </w:t>
      </w:r>
      <w:r w:rsidRPr="00A47469">
        <w:rPr>
          <w:rFonts w:ascii="Arial" w:hAnsi="Arial" w:cs="Arial"/>
          <w:b/>
          <w:bCs/>
          <w:sz w:val="24"/>
          <w:szCs w:val="24"/>
        </w:rPr>
        <w:fldChar w:fldCharType="begin"/>
      </w:r>
      <w:r w:rsidRPr="00A47469">
        <w:rPr>
          <w:rFonts w:ascii="Arial" w:hAnsi="Arial" w:cs="Arial"/>
          <w:b/>
          <w:bCs/>
          <w:sz w:val="24"/>
          <w:szCs w:val="24"/>
        </w:rPr>
        <w:instrText xml:space="preserve"> SEQ Table \* ARABIC </w:instrText>
      </w:r>
      <w:r w:rsidRPr="00A47469">
        <w:rPr>
          <w:rFonts w:ascii="Arial" w:hAnsi="Arial" w:cs="Arial"/>
          <w:b/>
          <w:bCs/>
          <w:sz w:val="24"/>
          <w:szCs w:val="24"/>
        </w:rPr>
        <w:fldChar w:fldCharType="separate"/>
      </w:r>
      <w:r w:rsidR="00165410">
        <w:rPr>
          <w:rFonts w:ascii="Arial" w:hAnsi="Arial" w:cs="Arial"/>
          <w:b/>
          <w:bCs/>
          <w:noProof/>
          <w:sz w:val="24"/>
          <w:szCs w:val="24"/>
        </w:rPr>
        <w:t>1</w:t>
      </w:r>
      <w:r w:rsidRPr="00A47469">
        <w:rPr>
          <w:rFonts w:ascii="Arial" w:hAnsi="Arial" w:cs="Arial"/>
          <w:b/>
          <w:bCs/>
          <w:sz w:val="24"/>
          <w:szCs w:val="24"/>
        </w:rPr>
        <w:fldChar w:fldCharType="end"/>
      </w:r>
      <w:r w:rsidRPr="00A47469">
        <w:rPr>
          <w:rFonts w:ascii="Arial" w:hAnsi="Arial" w:cs="Arial"/>
          <w:b/>
          <w:bCs/>
          <w:sz w:val="24"/>
          <w:szCs w:val="24"/>
        </w:rPr>
        <w:t>. Drinking Water Notification Levels</w:t>
      </w:r>
      <w:bookmarkEnd w:id="0"/>
    </w:p>
    <w:tbl>
      <w:tblPr>
        <w:tblStyle w:val="TableGridLight"/>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40"/>
        <w:gridCol w:w="4498"/>
        <w:gridCol w:w="2877"/>
      </w:tblGrid>
      <w:tr w:rsidR="00B0523D" w:rsidRPr="007C746F" w14:paraId="7F6C0228" w14:textId="77777777" w:rsidTr="009009E6">
        <w:trPr>
          <w:trHeight w:val="624"/>
          <w:jc w:val="center"/>
        </w:trPr>
        <w:tc>
          <w:tcPr>
            <w:tcW w:w="1440" w:type="dxa"/>
            <w:vAlign w:val="center"/>
          </w:tcPr>
          <w:p w14:paraId="6A2AEC03" w14:textId="77777777" w:rsidR="00B0523D" w:rsidRPr="007C746F" w:rsidRDefault="00B0523D" w:rsidP="0041277B">
            <w:pPr>
              <w:pStyle w:val="NormalWeb"/>
              <w:spacing w:before="0" w:beforeAutospacing="0" w:after="0" w:afterAutospacing="0"/>
              <w:jc w:val="center"/>
              <w:rPr>
                <w:rStyle w:val="Strong"/>
                <w:rFonts w:ascii="Arial" w:hAnsi="Arial" w:cs="Arial"/>
                <w:color w:val="000000"/>
              </w:rPr>
            </w:pPr>
            <w:r w:rsidRPr="007C746F">
              <w:rPr>
                <w:rStyle w:val="Strong"/>
                <w:rFonts w:ascii="Arial" w:hAnsi="Arial" w:cs="Arial"/>
                <w:color w:val="000000"/>
              </w:rPr>
              <w:t>Notes</w:t>
            </w:r>
            <w:r w:rsidRPr="007C746F">
              <w:rPr>
                <w:rStyle w:val="Strong"/>
                <w:rFonts w:ascii="Arial" w:hAnsi="Arial" w:cs="Arial"/>
                <w:b w:val="0"/>
                <w:bCs w:val="0"/>
                <w:color w:val="000000"/>
              </w:rPr>
              <w:t>*</w:t>
            </w:r>
          </w:p>
        </w:tc>
        <w:tc>
          <w:tcPr>
            <w:tcW w:w="4498" w:type="dxa"/>
            <w:vAlign w:val="center"/>
          </w:tcPr>
          <w:p w14:paraId="0BAD240E" w14:textId="5513AB31" w:rsidR="00B0523D" w:rsidRPr="007C746F" w:rsidRDefault="00B0523D" w:rsidP="0041277B">
            <w:pPr>
              <w:pStyle w:val="NormalWeb"/>
              <w:spacing w:before="0" w:beforeAutospacing="0" w:after="0" w:afterAutospacing="0"/>
              <w:jc w:val="center"/>
              <w:rPr>
                <w:rFonts w:ascii="Arial" w:hAnsi="Arial" w:cs="Arial"/>
                <w:color w:val="000000"/>
              </w:rPr>
            </w:pPr>
            <w:r w:rsidRPr="007C746F">
              <w:rPr>
                <w:rStyle w:val="Strong"/>
                <w:rFonts w:ascii="Arial" w:hAnsi="Arial" w:cs="Arial"/>
                <w:color w:val="000000"/>
              </w:rPr>
              <w:t>Chemical</w:t>
            </w:r>
          </w:p>
        </w:tc>
        <w:tc>
          <w:tcPr>
            <w:tcW w:w="2877" w:type="dxa"/>
            <w:vAlign w:val="center"/>
          </w:tcPr>
          <w:p w14:paraId="0C4CF552" w14:textId="3DC8A2A0" w:rsidR="00B0523D" w:rsidRPr="007C746F" w:rsidRDefault="00B0523D" w:rsidP="0041277B">
            <w:pPr>
              <w:pStyle w:val="NormalWeb"/>
              <w:spacing w:before="0" w:beforeAutospacing="0" w:after="0" w:afterAutospacing="0"/>
              <w:jc w:val="center"/>
              <w:rPr>
                <w:rFonts w:ascii="Arial" w:hAnsi="Arial" w:cs="Arial"/>
                <w:color w:val="000000"/>
              </w:rPr>
            </w:pPr>
            <w:r w:rsidRPr="007C746F">
              <w:rPr>
                <w:rStyle w:val="Strong"/>
                <w:rFonts w:ascii="Arial" w:hAnsi="Arial" w:cs="Arial"/>
                <w:color w:val="000000"/>
              </w:rPr>
              <w:t>Notification Level</w:t>
            </w:r>
            <w:r w:rsidRPr="007C746F">
              <w:rPr>
                <w:rFonts w:ascii="Arial" w:hAnsi="Arial" w:cs="Arial"/>
                <w:b/>
                <w:bCs/>
                <w:color w:val="000000"/>
              </w:rPr>
              <w:br/>
            </w:r>
            <w:r w:rsidRPr="007C746F">
              <w:rPr>
                <w:rStyle w:val="Strong"/>
                <w:rFonts w:ascii="Arial" w:hAnsi="Arial" w:cs="Arial"/>
                <w:color w:val="000000"/>
              </w:rPr>
              <w:t>(milligrams per liter)</w:t>
            </w:r>
            <w:r w:rsidR="007C125B">
              <w:rPr>
                <w:rStyle w:val="Strong"/>
                <w:rFonts w:ascii="Arial" w:hAnsi="Arial" w:cs="Arial"/>
                <w:color w:val="000000"/>
              </w:rPr>
              <w:t>**</w:t>
            </w:r>
          </w:p>
        </w:tc>
      </w:tr>
      <w:tr w:rsidR="00B0523D" w:rsidRPr="007C746F" w14:paraId="1A87B30E" w14:textId="77777777" w:rsidTr="009009E6">
        <w:trPr>
          <w:jc w:val="center"/>
        </w:trPr>
        <w:tc>
          <w:tcPr>
            <w:tcW w:w="1440" w:type="dxa"/>
          </w:tcPr>
          <w:p w14:paraId="6D9BC1A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w:t>
            </w:r>
          </w:p>
        </w:tc>
        <w:tc>
          <w:tcPr>
            <w:tcW w:w="4498" w:type="dxa"/>
          </w:tcPr>
          <w:p w14:paraId="0B60E6BB"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Boron</w:t>
            </w:r>
          </w:p>
        </w:tc>
        <w:tc>
          <w:tcPr>
            <w:tcW w:w="2877" w:type="dxa"/>
          </w:tcPr>
          <w:p w14:paraId="1F805D4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1</w:t>
            </w:r>
          </w:p>
        </w:tc>
      </w:tr>
      <w:tr w:rsidR="00B0523D" w:rsidRPr="007C746F" w14:paraId="02917DE5" w14:textId="77777777" w:rsidTr="009009E6">
        <w:trPr>
          <w:jc w:val="center"/>
        </w:trPr>
        <w:tc>
          <w:tcPr>
            <w:tcW w:w="1440" w:type="dxa"/>
          </w:tcPr>
          <w:p w14:paraId="62ECEB63"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2</w:t>
            </w:r>
          </w:p>
        </w:tc>
        <w:tc>
          <w:tcPr>
            <w:tcW w:w="4498" w:type="dxa"/>
          </w:tcPr>
          <w:p w14:paraId="360F23DC"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n-Butylbenzene</w:t>
            </w:r>
          </w:p>
        </w:tc>
        <w:tc>
          <w:tcPr>
            <w:tcW w:w="2877" w:type="dxa"/>
          </w:tcPr>
          <w:p w14:paraId="7DDF822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2C2ADE78" w14:textId="77777777" w:rsidTr="009009E6">
        <w:trPr>
          <w:jc w:val="center"/>
        </w:trPr>
        <w:tc>
          <w:tcPr>
            <w:tcW w:w="1440" w:type="dxa"/>
          </w:tcPr>
          <w:p w14:paraId="22977EC1"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3</w:t>
            </w:r>
          </w:p>
        </w:tc>
        <w:tc>
          <w:tcPr>
            <w:tcW w:w="4498" w:type="dxa"/>
          </w:tcPr>
          <w:p w14:paraId="28E66D50"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sec-Butylbenzene</w:t>
            </w:r>
          </w:p>
        </w:tc>
        <w:tc>
          <w:tcPr>
            <w:tcW w:w="2877" w:type="dxa"/>
          </w:tcPr>
          <w:p w14:paraId="2AFC4D36"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504C302D" w14:textId="77777777" w:rsidTr="009009E6">
        <w:trPr>
          <w:jc w:val="center"/>
        </w:trPr>
        <w:tc>
          <w:tcPr>
            <w:tcW w:w="1440" w:type="dxa"/>
          </w:tcPr>
          <w:p w14:paraId="03A570DF"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4</w:t>
            </w:r>
          </w:p>
        </w:tc>
        <w:tc>
          <w:tcPr>
            <w:tcW w:w="4498" w:type="dxa"/>
          </w:tcPr>
          <w:p w14:paraId="7CE7D53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tert-Butylbenzene</w:t>
            </w:r>
          </w:p>
        </w:tc>
        <w:tc>
          <w:tcPr>
            <w:tcW w:w="2877" w:type="dxa"/>
          </w:tcPr>
          <w:p w14:paraId="64EC1771"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5E78505A" w14:textId="77777777" w:rsidTr="009009E6">
        <w:trPr>
          <w:jc w:val="center"/>
        </w:trPr>
        <w:tc>
          <w:tcPr>
            <w:tcW w:w="1440" w:type="dxa"/>
          </w:tcPr>
          <w:p w14:paraId="15E11E4B"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5</w:t>
            </w:r>
          </w:p>
        </w:tc>
        <w:tc>
          <w:tcPr>
            <w:tcW w:w="4498" w:type="dxa"/>
          </w:tcPr>
          <w:p w14:paraId="7853E4F5"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Carbon disulfide</w:t>
            </w:r>
          </w:p>
        </w:tc>
        <w:tc>
          <w:tcPr>
            <w:tcW w:w="2877" w:type="dxa"/>
          </w:tcPr>
          <w:p w14:paraId="4583704F"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0.16</w:t>
            </w:r>
          </w:p>
        </w:tc>
      </w:tr>
      <w:tr w:rsidR="00B0523D" w:rsidRPr="007C746F" w14:paraId="5DFCEDA8" w14:textId="77777777" w:rsidTr="009009E6">
        <w:trPr>
          <w:jc w:val="center"/>
        </w:trPr>
        <w:tc>
          <w:tcPr>
            <w:tcW w:w="1440" w:type="dxa"/>
          </w:tcPr>
          <w:p w14:paraId="48AF7BBD"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6</w:t>
            </w:r>
          </w:p>
        </w:tc>
        <w:tc>
          <w:tcPr>
            <w:tcW w:w="4498" w:type="dxa"/>
          </w:tcPr>
          <w:p w14:paraId="0F2AE2D8"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Chlorate</w:t>
            </w:r>
          </w:p>
        </w:tc>
        <w:tc>
          <w:tcPr>
            <w:tcW w:w="2877" w:type="dxa"/>
          </w:tcPr>
          <w:p w14:paraId="7B4D427F" w14:textId="77777777" w:rsidR="00B0523D" w:rsidRPr="007C746F" w:rsidRDefault="00B0523D" w:rsidP="00560ABD">
            <w:pPr>
              <w:tabs>
                <w:tab w:val="decimal" w:pos="972"/>
              </w:tabs>
              <w:rPr>
                <w:rFonts w:ascii="Arial" w:eastAsia="Arial Unicode MS" w:hAnsi="Arial" w:cs="Arial"/>
                <w:color w:val="000000"/>
                <w:sz w:val="24"/>
                <w:szCs w:val="24"/>
              </w:rPr>
            </w:pPr>
            <w:r w:rsidRPr="007C746F">
              <w:rPr>
                <w:rFonts w:ascii="Arial" w:hAnsi="Arial" w:cs="Arial"/>
                <w:color w:val="000000"/>
                <w:sz w:val="24"/>
                <w:szCs w:val="24"/>
              </w:rPr>
              <w:t>0.8</w:t>
            </w:r>
          </w:p>
        </w:tc>
      </w:tr>
      <w:tr w:rsidR="00B0523D" w:rsidRPr="007C746F" w14:paraId="24185729" w14:textId="77777777" w:rsidTr="009009E6">
        <w:trPr>
          <w:jc w:val="center"/>
        </w:trPr>
        <w:tc>
          <w:tcPr>
            <w:tcW w:w="1440" w:type="dxa"/>
          </w:tcPr>
          <w:p w14:paraId="4B36390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7</w:t>
            </w:r>
          </w:p>
        </w:tc>
        <w:tc>
          <w:tcPr>
            <w:tcW w:w="4498" w:type="dxa"/>
          </w:tcPr>
          <w:p w14:paraId="7A37543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2-Chlorotoluene</w:t>
            </w:r>
          </w:p>
        </w:tc>
        <w:tc>
          <w:tcPr>
            <w:tcW w:w="2877" w:type="dxa"/>
          </w:tcPr>
          <w:p w14:paraId="37A7313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0.14</w:t>
            </w:r>
          </w:p>
        </w:tc>
      </w:tr>
      <w:tr w:rsidR="00B0523D" w:rsidRPr="007C746F" w14:paraId="6AEA6961" w14:textId="77777777" w:rsidTr="009009E6">
        <w:trPr>
          <w:jc w:val="center"/>
        </w:trPr>
        <w:tc>
          <w:tcPr>
            <w:tcW w:w="1440" w:type="dxa"/>
          </w:tcPr>
          <w:p w14:paraId="54D4989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8</w:t>
            </w:r>
          </w:p>
        </w:tc>
        <w:tc>
          <w:tcPr>
            <w:tcW w:w="4498" w:type="dxa"/>
          </w:tcPr>
          <w:p w14:paraId="7AEF74E8"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4-Chlorotoluene</w:t>
            </w:r>
          </w:p>
        </w:tc>
        <w:tc>
          <w:tcPr>
            <w:tcW w:w="2877" w:type="dxa"/>
          </w:tcPr>
          <w:p w14:paraId="4F64D91F"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0.14</w:t>
            </w:r>
          </w:p>
        </w:tc>
      </w:tr>
      <w:tr w:rsidR="00B0523D" w:rsidRPr="007C746F" w14:paraId="68B52E80" w14:textId="77777777" w:rsidTr="009009E6">
        <w:trPr>
          <w:jc w:val="center"/>
        </w:trPr>
        <w:tc>
          <w:tcPr>
            <w:tcW w:w="1440" w:type="dxa"/>
          </w:tcPr>
          <w:p w14:paraId="3DD99664"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9</w:t>
            </w:r>
          </w:p>
        </w:tc>
        <w:tc>
          <w:tcPr>
            <w:tcW w:w="4498" w:type="dxa"/>
          </w:tcPr>
          <w:p w14:paraId="5F6B4062"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Diazinon</w:t>
            </w:r>
          </w:p>
        </w:tc>
        <w:tc>
          <w:tcPr>
            <w:tcW w:w="2877" w:type="dxa"/>
          </w:tcPr>
          <w:p w14:paraId="3091E970" w14:textId="77777777" w:rsidR="00B0523D" w:rsidRPr="007C746F" w:rsidRDefault="00B0523D" w:rsidP="00560ABD">
            <w:pPr>
              <w:pStyle w:val="NormalWeb"/>
              <w:tabs>
                <w:tab w:val="decimal" w:pos="972"/>
              </w:tabs>
              <w:spacing w:before="0" w:beforeAutospacing="0" w:after="0" w:afterAutospacing="0" w:line="15" w:lineRule="atLeast"/>
              <w:rPr>
                <w:rFonts w:ascii="Arial" w:hAnsi="Arial" w:cs="Arial"/>
                <w:color w:val="000000"/>
              </w:rPr>
            </w:pPr>
            <w:r w:rsidRPr="007C746F">
              <w:rPr>
                <w:rFonts w:ascii="Arial" w:hAnsi="Arial" w:cs="Arial"/>
                <w:color w:val="000000"/>
              </w:rPr>
              <w:t>0.0012</w:t>
            </w:r>
          </w:p>
        </w:tc>
      </w:tr>
      <w:tr w:rsidR="00B0523D" w:rsidRPr="007C746F" w14:paraId="42A207AC" w14:textId="77777777" w:rsidTr="009009E6">
        <w:trPr>
          <w:jc w:val="center"/>
        </w:trPr>
        <w:tc>
          <w:tcPr>
            <w:tcW w:w="1440" w:type="dxa"/>
          </w:tcPr>
          <w:p w14:paraId="09C5C2E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10</w:t>
            </w:r>
          </w:p>
        </w:tc>
        <w:tc>
          <w:tcPr>
            <w:tcW w:w="4498" w:type="dxa"/>
          </w:tcPr>
          <w:p w14:paraId="02D33964"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Dichlorodifluoromethane (Freon 12)</w:t>
            </w:r>
          </w:p>
        </w:tc>
        <w:tc>
          <w:tcPr>
            <w:tcW w:w="2877" w:type="dxa"/>
          </w:tcPr>
          <w:p w14:paraId="7C4D7582" w14:textId="77777777" w:rsidR="00B0523D" w:rsidRPr="007C746F" w:rsidRDefault="00B0523D" w:rsidP="00560ABD">
            <w:pPr>
              <w:pStyle w:val="NormalWeb"/>
              <w:tabs>
                <w:tab w:val="decimal" w:pos="972"/>
              </w:tabs>
              <w:spacing w:before="0" w:beforeAutospacing="0" w:after="0" w:afterAutospacing="0" w:line="15" w:lineRule="atLeast"/>
              <w:rPr>
                <w:rFonts w:ascii="Arial" w:hAnsi="Arial" w:cs="Arial"/>
                <w:color w:val="000000"/>
              </w:rPr>
            </w:pPr>
            <w:r w:rsidRPr="007C746F">
              <w:rPr>
                <w:rFonts w:ascii="Arial" w:hAnsi="Arial" w:cs="Arial"/>
                <w:color w:val="000000"/>
              </w:rPr>
              <w:t>1</w:t>
            </w:r>
          </w:p>
        </w:tc>
      </w:tr>
      <w:tr w:rsidR="00B0523D" w:rsidRPr="007C746F" w14:paraId="1EA6061A" w14:textId="77777777" w:rsidTr="009009E6">
        <w:trPr>
          <w:jc w:val="center"/>
        </w:trPr>
        <w:tc>
          <w:tcPr>
            <w:tcW w:w="1440" w:type="dxa"/>
          </w:tcPr>
          <w:p w14:paraId="5D0D1D3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11</w:t>
            </w:r>
          </w:p>
        </w:tc>
        <w:tc>
          <w:tcPr>
            <w:tcW w:w="4498" w:type="dxa"/>
          </w:tcPr>
          <w:p w14:paraId="5B277923"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1,4-Dioxane</w:t>
            </w:r>
          </w:p>
        </w:tc>
        <w:tc>
          <w:tcPr>
            <w:tcW w:w="2877" w:type="dxa"/>
          </w:tcPr>
          <w:p w14:paraId="145F149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0.001</w:t>
            </w:r>
          </w:p>
        </w:tc>
      </w:tr>
      <w:tr w:rsidR="00B0523D" w:rsidRPr="007C746F" w14:paraId="61605AAB" w14:textId="77777777" w:rsidTr="009009E6">
        <w:trPr>
          <w:jc w:val="center"/>
        </w:trPr>
        <w:tc>
          <w:tcPr>
            <w:tcW w:w="1440" w:type="dxa"/>
          </w:tcPr>
          <w:p w14:paraId="6244E91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12</w:t>
            </w:r>
          </w:p>
        </w:tc>
        <w:tc>
          <w:tcPr>
            <w:tcW w:w="4498" w:type="dxa"/>
          </w:tcPr>
          <w:p w14:paraId="08AEE270"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Ethylene glycol</w:t>
            </w:r>
          </w:p>
        </w:tc>
        <w:tc>
          <w:tcPr>
            <w:tcW w:w="2877" w:type="dxa"/>
          </w:tcPr>
          <w:p w14:paraId="38319650"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14</w:t>
            </w:r>
          </w:p>
        </w:tc>
      </w:tr>
      <w:tr w:rsidR="00B0523D" w:rsidRPr="007C746F" w14:paraId="18E357C7" w14:textId="77777777" w:rsidTr="009009E6">
        <w:trPr>
          <w:jc w:val="center"/>
        </w:trPr>
        <w:tc>
          <w:tcPr>
            <w:tcW w:w="1440" w:type="dxa"/>
          </w:tcPr>
          <w:p w14:paraId="488349A2" w14:textId="77777777" w:rsidR="00B0523D" w:rsidRPr="007C746F" w:rsidRDefault="00B0523D" w:rsidP="00560ABD">
            <w:pPr>
              <w:tabs>
                <w:tab w:val="decimal" w:pos="612"/>
              </w:tabs>
              <w:spacing w:line="165" w:lineRule="atLeast"/>
              <w:rPr>
                <w:rFonts w:ascii="Arial" w:hAnsi="Arial" w:cs="Arial"/>
                <w:color w:val="000000"/>
                <w:sz w:val="24"/>
                <w:szCs w:val="24"/>
              </w:rPr>
            </w:pPr>
            <w:r w:rsidRPr="007C746F">
              <w:rPr>
                <w:rFonts w:ascii="Arial" w:hAnsi="Arial" w:cs="Arial"/>
                <w:color w:val="000000"/>
                <w:sz w:val="24"/>
                <w:szCs w:val="24"/>
              </w:rPr>
              <w:t>13</w:t>
            </w:r>
          </w:p>
        </w:tc>
        <w:tc>
          <w:tcPr>
            <w:tcW w:w="4498" w:type="dxa"/>
          </w:tcPr>
          <w:p w14:paraId="6FAC9AD3" w14:textId="77777777" w:rsidR="00B0523D" w:rsidRPr="007C746F" w:rsidRDefault="00B0523D" w:rsidP="00560ABD">
            <w:pPr>
              <w:spacing w:line="165" w:lineRule="atLeast"/>
              <w:rPr>
                <w:rFonts w:ascii="Arial" w:eastAsia="Arial Unicode MS" w:hAnsi="Arial" w:cs="Arial"/>
                <w:color w:val="000000"/>
                <w:sz w:val="24"/>
                <w:szCs w:val="24"/>
              </w:rPr>
            </w:pPr>
            <w:r w:rsidRPr="007C746F">
              <w:rPr>
                <w:rFonts w:ascii="Arial" w:hAnsi="Arial" w:cs="Arial"/>
                <w:color w:val="000000"/>
                <w:sz w:val="24"/>
                <w:szCs w:val="24"/>
              </w:rPr>
              <w:t>Formaldehyde</w:t>
            </w:r>
          </w:p>
        </w:tc>
        <w:tc>
          <w:tcPr>
            <w:tcW w:w="2877" w:type="dxa"/>
          </w:tcPr>
          <w:p w14:paraId="4BBC7BB9" w14:textId="77777777" w:rsidR="00B0523D" w:rsidRPr="007C746F" w:rsidRDefault="00B0523D" w:rsidP="00560ABD">
            <w:pPr>
              <w:pStyle w:val="NormalWeb"/>
              <w:tabs>
                <w:tab w:val="decimal" w:pos="972"/>
              </w:tabs>
              <w:spacing w:before="0" w:beforeAutospacing="0" w:after="0" w:afterAutospacing="0" w:line="165" w:lineRule="atLeast"/>
              <w:rPr>
                <w:rFonts w:ascii="Arial" w:hAnsi="Arial" w:cs="Arial"/>
                <w:color w:val="000000"/>
              </w:rPr>
            </w:pPr>
            <w:r w:rsidRPr="007C746F">
              <w:rPr>
                <w:rFonts w:ascii="Arial" w:hAnsi="Arial" w:cs="Arial"/>
                <w:color w:val="000000"/>
              </w:rPr>
              <w:t>0.1</w:t>
            </w:r>
          </w:p>
        </w:tc>
      </w:tr>
      <w:tr w:rsidR="00B0523D" w:rsidRPr="007C746F" w14:paraId="4B240781" w14:textId="77777777" w:rsidTr="009009E6">
        <w:trPr>
          <w:jc w:val="center"/>
        </w:trPr>
        <w:tc>
          <w:tcPr>
            <w:tcW w:w="1440" w:type="dxa"/>
          </w:tcPr>
          <w:p w14:paraId="64AB328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14</w:t>
            </w:r>
          </w:p>
        </w:tc>
        <w:tc>
          <w:tcPr>
            <w:tcW w:w="4498" w:type="dxa"/>
          </w:tcPr>
          <w:p w14:paraId="16BE3897"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HMX</w:t>
            </w:r>
          </w:p>
        </w:tc>
        <w:tc>
          <w:tcPr>
            <w:tcW w:w="2877" w:type="dxa"/>
          </w:tcPr>
          <w:p w14:paraId="1A8DC0A4"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0.35</w:t>
            </w:r>
          </w:p>
        </w:tc>
      </w:tr>
      <w:tr w:rsidR="00B0523D" w:rsidRPr="007C746F" w14:paraId="5819BF57" w14:textId="77777777" w:rsidTr="009009E6">
        <w:trPr>
          <w:jc w:val="center"/>
        </w:trPr>
        <w:tc>
          <w:tcPr>
            <w:tcW w:w="1440" w:type="dxa"/>
          </w:tcPr>
          <w:p w14:paraId="4040B4FB"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15</w:t>
            </w:r>
          </w:p>
        </w:tc>
        <w:tc>
          <w:tcPr>
            <w:tcW w:w="4498" w:type="dxa"/>
          </w:tcPr>
          <w:p w14:paraId="0D6BE837" w14:textId="77777777" w:rsidR="00B0523D" w:rsidRPr="007C746F" w:rsidRDefault="00B0523D" w:rsidP="00560ABD">
            <w:pPr>
              <w:rPr>
                <w:rFonts w:ascii="Arial" w:hAnsi="Arial" w:cs="Arial"/>
                <w:color w:val="000000"/>
                <w:sz w:val="24"/>
                <w:szCs w:val="24"/>
              </w:rPr>
            </w:pPr>
            <w:proofErr w:type="spellStart"/>
            <w:r w:rsidRPr="007C746F">
              <w:rPr>
                <w:rFonts w:ascii="Arial" w:hAnsi="Arial" w:cs="Arial"/>
                <w:color w:val="000000"/>
                <w:sz w:val="24"/>
                <w:szCs w:val="24"/>
              </w:rPr>
              <w:t>Isopropylbenzene</w:t>
            </w:r>
            <w:proofErr w:type="spellEnd"/>
          </w:p>
        </w:tc>
        <w:tc>
          <w:tcPr>
            <w:tcW w:w="2877" w:type="dxa"/>
          </w:tcPr>
          <w:p w14:paraId="7FB83016"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0.77</w:t>
            </w:r>
          </w:p>
        </w:tc>
      </w:tr>
      <w:tr w:rsidR="00B0523D" w:rsidRPr="007C746F" w14:paraId="50FEB74B" w14:textId="77777777" w:rsidTr="009009E6">
        <w:trPr>
          <w:jc w:val="center"/>
        </w:trPr>
        <w:tc>
          <w:tcPr>
            <w:tcW w:w="1440" w:type="dxa"/>
          </w:tcPr>
          <w:p w14:paraId="6ECE567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16</w:t>
            </w:r>
          </w:p>
        </w:tc>
        <w:tc>
          <w:tcPr>
            <w:tcW w:w="4498" w:type="dxa"/>
          </w:tcPr>
          <w:p w14:paraId="7CD87968"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Manganese</w:t>
            </w:r>
          </w:p>
        </w:tc>
        <w:tc>
          <w:tcPr>
            <w:tcW w:w="2877" w:type="dxa"/>
          </w:tcPr>
          <w:p w14:paraId="17B68AFD" w14:textId="2202241E"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w:t>
            </w:r>
            <w:r w:rsidR="00D31046">
              <w:rPr>
                <w:rFonts w:ascii="Arial" w:hAnsi="Arial" w:cs="Arial"/>
                <w:color w:val="000000"/>
              </w:rPr>
              <w:t>0</w:t>
            </w:r>
            <w:r w:rsidRPr="007C746F">
              <w:rPr>
                <w:rFonts w:ascii="Arial" w:hAnsi="Arial" w:cs="Arial"/>
                <w:color w:val="000000"/>
              </w:rPr>
              <w:t>5</w:t>
            </w:r>
          </w:p>
        </w:tc>
      </w:tr>
      <w:tr w:rsidR="00B0523D" w:rsidRPr="007C746F" w14:paraId="595487AB" w14:textId="77777777" w:rsidTr="009009E6">
        <w:trPr>
          <w:jc w:val="center"/>
        </w:trPr>
        <w:tc>
          <w:tcPr>
            <w:tcW w:w="1440" w:type="dxa"/>
          </w:tcPr>
          <w:p w14:paraId="56CA989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17</w:t>
            </w:r>
          </w:p>
        </w:tc>
        <w:tc>
          <w:tcPr>
            <w:tcW w:w="4498" w:type="dxa"/>
          </w:tcPr>
          <w:p w14:paraId="354D3C6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Methyl isobutyl ketone (MIBK)</w:t>
            </w:r>
          </w:p>
        </w:tc>
        <w:tc>
          <w:tcPr>
            <w:tcW w:w="2877" w:type="dxa"/>
          </w:tcPr>
          <w:p w14:paraId="6F137AA2"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0.12</w:t>
            </w:r>
          </w:p>
        </w:tc>
      </w:tr>
      <w:tr w:rsidR="00B0523D" w:rsidRPr="007C746F" w14:paraId="124307CD" w14:textId="77777777" w:rsidTr="009009E6">
        <w:trPr>
          <w:jc w:val="center"/>
        </w:trPr>
        <w:tc>
          <w:tcPr>
            <w:tcW w:w="1440" w:type="dxa"/>
          </w:tcPr>
          <w:p w14:paraId="1AE59DD7"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18</w:t>
            </w:r>
          </w:p>
        </w:tc>
        <w:tc>
          <w:tcPr>
            <w:tcW w:w="4498" w:type="dxa"/>
          </w:tcPr>
          <w:p w14:paraId="75E4F81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Naphthalene</w:t>
            </w:r>
          </w:p>
        </w:tc>
        <w:tc>
          <w:tcPr>
            <w:tcW w:w="2877" w:type="dxa"/>
          </w:tcPr>
          <w:p w14:paraId="6C0EE3B8"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0.017</w:t>
            </w:r>
          </w:p>
        </w:tc>
      </w:tr>
      <w:tr w:rsidR="00B0523D" w:rsidRPr="007C746F" w14:paraId="260D69B4" w14:textId="77777777" w:rsidTr="009009E6">
        <w:trPr>
          <w:jc w:val="center"/>
        </w:trPr>
        <w:tc>
          <w:tcPr>
            <w:tcW w:w="1440" w:type="dxa"/>
          </w:tcPr>
          <w:p w14:paraId="308F03FD"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19</w:t>
            </w:r>
          </w:p>
        </w:tc>
        <w:tc>
          <w:tcPr>
            <w:tcW w:w="4498" w:type="dxa"/>
          </w:tcPr>
          <w:p w14:paraId="7998C371" w14:textId="77777777" w:rsidR="00B0523D" w:rsidRPr="007C746F" w:rsidRDefault="00B0523D" w:rsidP="00560ABD">
            <w:pPr>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Nitrosodiethylamine</w:t>
            </w:r>
            <w:proofErr w:type="spellEnd"/>
            <w:r w:rsidRPr="007C746F">
              <w:rPr>
                <w:rStyle w:val="Strong"/>
                <w:rFonts w:ascii="Arial" w:hAnsi="Arial" w:cs="Arial"/>
                <w:b w:val="0"/>
                <w:bCs w:val="0"/>
                <w:color w:val="000000"/>
                <w:sz w:val="24"/>
                <w:szCs w:val="24"/>
              </w:rPr>
              <w:t xml:space="preserve"> (NDEA)</w:t>
            </w:r>
          </w:p>
        </w:tc>
        <w:tc>
          <w:tcPr>
            <w:tcW w:w="2877" w:type="dxa"/>
          </w:tcPr>
          <w:p w14:paraId="748ED1A4"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B0523D" w:rsidRPr="007C746F" w14:paraId="66F9DC58" w14:textId="77777777" w:rsidTr="009009E6">
        <w:trPr>
          <w:jc w:val="center"/>
        </w:trPr>
        <w:tc>
          <w:tcPr>
            <w:tcW w:w="1440" w:type="dxa"/>
          </w:tcPr>
          <w:p w14:paraId="6B9CF23C"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20</w:t>
            </w:r>
          </w:p>
        </w:tc>
        <w:tc>
          <w:tcPr>
            <w:tcW w:w="4498" w:type="dxa"/>
          </w:tcPr>
          <w:p w14:paraId="7F05CB73" w14:textId="77777777" w:rsidR="00B0523D" w:rsidRPr="007C746F" w:rsidRDefault="00B0523D" w:rsidP="00560ABD">
            <w:pPr>
              <w:rPr>
                <w:rFonts w:ascii="Arial" w:eastAsia="Arial Unicode MS" w:hAnsi="Arial" w:cs="Arial"/>
                <w:b/>
                <w:bCs/>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Nitrosodimethylamine</w:t>
            </w:r>
            <w:proofErr w:type="spellEnd"/>
            <w:r w:rsidRPr="007C746F">
              <w:rPr>
                <w:rStyle w:val="Strong"/>
                <w:rFonts w:ascii="Arial" w:hAnsi="Arial" w:cs="Arial"/>
                <w:b w:val="0"/>
                <w:bCs w:val="0"/>
                <w:color w:val="000000"/>
                <w:sz w:val="24"/>
                <w:szCs w:val="24"/>
              </w:rPr>
              <w:t xml:space="preserve"> (NDMA)</w:t>
            </w:r>
          </w:p>
        </w:tc>
        <w:tc>
          <w:tcPr>
            <w:tcW w:w="2877" w:type="dxa"/>
          </w:tcPr>
          <w:p w14:paraId="1C5AEB19"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B0523D" w:rsidRPr="007C746F" w14:paraId="51721294" w14:textId="77777777" w:rsidTr="009009E6">
        <w:trPr>
          <w:jc w:val="center"/>
        </w:trPr>
        <w:tc>
          <w:tcPr>
            <w:tcW w:w="1440" w:type="dxa"/>
          </w:tcPr>
          <w:p w14:paraId="1A871A00"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21</w:t>
            </w:r>
          </w:p>
        </w:tc>
        <w:tc>
          <w:tcPr>
            <w:tcW w:w="4498" w:type="dxa"/>
          </w:tcPr>
          <w:p w14:paraId="4BFD3968" w14:textId="77777777" w:rsidR="00B0523D" w:rsidRPr="007C746F" w:rsidRDefault="00B0523D" w:rsidP="00560ABD">
            <w:pPr>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w:t>
            </w:r>
            <w:proofErr w:type="spellEnd"/>
            <w:r w:rsidRPr="007C746F">
              <w:rPr>
                <w:rStyle w:val="Strong"/>
                <w:rFonts w:ascii="Arial" w:hAnsi="Arial" w:cs="Arial"/>
                <w:b w:val="0"/>
                <w:bCs w:val="0"/>
                <w:color w:val="000000"/>
                <w:sz w:val="24"/>
                <w:szCs w:val="24"/>
              </w:rPr>
              <w:t>-n-propylamine (NDPA)</w:t>
            </w:r>
          </w:p>
        </w:tc>
        <w:tc>
          <w:tcPr>
            <w:tcW w:w="2877" w:type="dxa"/>
          </w:tcPr>
          <w:p w14:paraId="4C902897"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C34989" w:rsidRPr="007C746F" w14:paraId="53B833C3" w14:textId="77777777" w:rsidTr="009009E6">
        <w:trPr>
          <w:jc w:val="center"/>
        </w:trPr>
        <w:tc>
          <w:tcPr>
            <w:tcW w:w="1440" w:type="dxa"/>
          </w:tcPr>
          <w:p w14:paraId="38E1F676" w14:textId="286DCFF0" w:rsidR="00C34989" w:rsidRPr="007C746F" w:rsidRDefault="00C34989" w:rsidP="00C34989">
            <w:pPr>
              <w:tabs>
                <w:tab w:val="decimal" w:pos="612"/>
              </w:tabs>
              <w:rPr>
                <w:rFonts w:ascii="Arial" w:hAnsi="Arial" w:cs="Arial"/>
                <w:color w:val="000000"/>
                <w:sz w:val="24"/>
                <w:szCs w:val="24"/>
              </w:rPr>
            </w:pPr>
            <w:r w:rsidRPr="007C746F">
              <w:rPr>
                <w:rFonts w:ascii="Arial" w:hAnsi="Arial" w:cs="Arial"/>
                <w:color w:val="000000"/>
                <w:sz w:val="24"/>
                <w:szCs w:val="24"/>
              </w:rPr>
              <w:t>22</w:t>
            </w:r>
          </w:p>
        </w:tc>
        <w:tc>
          <w:tcPr>
            <w:tcW w:w="4498" w:type="dxa"/>
          </w:tcPr>
          <w:p w14:paraId="4FB8DD44" w14:textId="16916942" w:rsidR="00C34989" w:rsidRPr="007C746F" w:rsidRDefault="00C34989" w:rsidP="00C34989">
            <w:pPr>
              <w:rPr>
                <w:rFonts w:ascii="Arial" w:hAnsi="Arial" w:cs="Arial"/>
                <w:sz w:val="24"/>
                <w:szCs w:val="24"/>
                <w:lang w:val="en"/>
              </w:rPr>
            </w:pPr>
            <w:proofErr w:type="spellStart"/>
            <w:r w:rsidRPr="007C746F">
              <w:rPr>
                <w:rFonts w:ascii="Arial" w:hAnsi="Arial" w:cs="Arial"/>
                <w:sz w:val="24"/>
                <w:szCs w:val="24"/>
                <w:lang w:val="en"/>
              </w:rPr>
              <w:t>Perfluorobutanesulfonic</w:t>
            </w:r>
            <w:proofErr w:type="spellEnd"/>
            <w:r w:rsidRPr="007C746F">
              <w:rPr>
                <w:rFonts w:ascii="Arial" w:hAnsi="Arial" w:cs="Arial"/>
                <w:sz w:val="24"/>
                <w:szCs w:val="24"/>
                <w:lang w:val="en"/>
              </w:rPr>
              <w:t xml:space="preserve"> acid (PFBS)</w:t>
            </w:r>
          </w:p>
        </w:tc>
        <w:tc>
          <w:tcPr>
            <w:tcW w:w="2877" w:type="dxa"/>
          </w:tcPr>
          <w:p w14:paraId="020D4FBA" w14:textId="637FD195" w:rsidR="00C34989" w:rsidRPr="007C746F" w:rsidRDefault="00C34989" w:rsidP="00C34989">
            <w:pPr>
              <w:pStyle w:val="NormalWeb"/>
              <w:tabs>
                <w:tab w:val="decimal" w:pos="972"/>
              </w:tabs>
              <w:spacing w:before="0" w:beforeAutospacing="0" w:after="0" w:afterAutospacing="0"/>
              <w:rPr>
                <w:rFonts w:ascii="Arial" w:hAnsi="Arial" w:cs="Arial"/>
              </w:rPr>
            </w:pPr>
            <w:r w:rsidRPr="007C746F">
              <w:rPr>
                <w:rFonts w:ascii="Arial" w:hAnsi="Arial" w:cs="Arial"/>
              </w:rPr>
              <w:t>0.0005</w:t>
            </w:r>
          </w:p>
        </w:tc>
      </w:tr>
      <w:tr w:rsidR="00004648" w:rsidRPr="007C746F" w14:paraId="491857E2" w14:textId="77777777" w:rsidTr="009009E6">
        <w:trPr>
          <w:jc w:val="center"/>
        </w:trPr>
        <w:tc>
          <w:tcPr>
            <w:tcW w:w="1440" w:type="dxa"/>
          </w:tcPr>
          <w:p w14:paraId="39D247E5" w14:textId="203BA5C6" w:rsidR="00004648" w:rsidRPr="007C746F" w:rsidRDefault="00004648" w:rsidP="00004648">
            <w:pPr>
              <w:tabs>
                <w:tab w:val="decimal" w:pos="612"/>
              </w:tabs>
              <w:rPr>
                <w:rFonts w:ascii="Arial" w:hAnsi="Arial" w:cs="Arial"/>
                <w:color w:val="000000"/>
                <w:sz w:val="24"/>
                <w:szCs w:val="24"/>
              </w:rPr>
            </w:pPr>
            <w:r w:rsidRPr="007C746F">
              <w:rPr>
                <w:rFonts w:ascii="Arial" w:hAnsi="Arial" w:cs="Arial"/>
                <w:color w:val="000000"/>
                <w:sz w:val="24"/>
                <w:szCs w:val="24"/>
              </w:rPr>
              <w:t>23</w:t>
            </w:r>
          </w:p>
        </w:tc>
        <w:tc>
          <w:tcPr>
            <w:tcW w:w="4498" w:type="dxa"/>
          </w:tcPr>
          <w:p w14:paraId="531CEA91" w14:textId="1C64E069" w:rsidR="00004648" w:rsidRPr="007C746F" w:rsidRDefault="00004648" w:rsidP="00004648">
            <w:pPr>
              <w:rPr>
                <w:rFonts w:ascii="Arial" w:hAnsi="Arial" w:cs="Arial"/>
                <w:sz w:val="24"/>
                <w:szCs w:val="24"/>
                <w:lang w:val="en"/>
              </w:rPr>
            </w:pPr>
            <w:proofErr w:type="spellStart"/>
            <w:r w:rsidRPr="007C746F">
              <w:rPr>
                <w:rFonts w:ascii="Arial" w:hAnsi="Arial" w:cs="Arial"/>
                <w:sz w:val="24"/>
                <w:szCs w:val="24"/>
                <w:lang w:val="en"/>
              </w:rPr>
              <w:t>Perfluorohexanesulfonic</w:t>
            </w:r>
            <w:proofErr w:type="spellEnd"/>
            <w:r w:rsidRPr="007C746F">
              <w:rPr>
                <w:rFonts w:ascii="Arial" w:hAnsi="Arial" w:cs="Arial"/>
                <w:sz w:val="24"/>
                <w:szCs w:val="24"/>
                <w:lang w:val="en"/>
              </w:rPr>
              <w:t xml:space="preserve"> acid (</w:t>
            </w:r>
            <w:proofErr w:type="spellStart"/>
            <w:r w:rsidRPr="007C746F">
              <w:rPr>
                <w:rFonts w:ascii="Arial" w:hAnsi="Arial" w:cs="Arial"/>
                <w:sz w:val="24"/>
                <w:szCs w:val="24"/>
                <w:lang w:val="en"/>
              </w:rPr>
              <w:t>PFHxS</w:t>
            </w:r>
            <w:proofErr w:type="spellEnd"/>
            <w:r w:rsidRPr="007C746F">
              <w:rPr>
                <w:rFonts w:ascii="Arial" w:hAnsi="Arial" w:cs="Arial"/>
                <w:sz w:val="24"/>
                <w:szCs w:val="24"/>
                <w:lang w:val="en"/>
              </w:rPr>
              <w:t>)</w:t>
            </w:r>
          </w:p>
        </w:tc>
        <w:tc>
          <w:tcPr>
            <w:tcW w:w="2877" w:type="dxa"/>
          </w:tcPr>
          <w:p w14:paraId="175F965E" w14:textId="72735245" w:rsidR="00004648" w:rsidRPr="007C746F" w:rsidRDefault="00004648" w:rsidP="00004648">
            <w:pPr>
              <w:pStyle w:val="NormalWeb"/>
              <w:tabs>
                <w:tab w:val="decimal" w:pos="972"/>
              </w:tabs>
              <w:spacing w:before="0" w:beforeAutospacing="0" w:after="0" w:afterAutospacing="0"/>
              <w:rPr>
                <w:rFonts w:ascii="Arial" w:hAnsi="Arial" w:cs="Arial"/>
              </w:rPr>
            </w:pPr>
            <w:r w:rsidRPr="007C746F">
              <w:rPr>
                <w:rFonts w:ascii="Arial" w:hAnsi="Arial" w:cs="Arial"/>
              </w:rPr>
              <w:t>0.000003</w:t>
            </w:r>
            <w:r w:rsidR="00E15C87">
              <w:rPr>
                <w:rFonts w:ascii="Arial" w:hAnsi="Arial" w:cs="Arial"/>
              </w:rPr>
              <w:t>0</w:t>
            </w:r>
          </w:p>
        </w:tc>
      </w:tr>
      <w:tr w:rsidR="00B94E1B" w:rsidRPr="007C746F" w14:paraId="342EDB11" w14:textId="77777777" w:rsidTr="009009E6">
        <w:trPr>
          <w:jc w:val="center"/>
        </w:trPr>
        <w:tc>
          <w:tcPr>
            <w:tcW w:w="1440" w:type="dxa"/>
          </w:tcPr>
          <w:p w14:paraId="026C58F0" w14:textId="042C16F8" w:rsidR="00B94E1B" w:rsidRPr="007C746F" w:rsidRDefault="00DF761C" w:rsidP="00004648">
            <w:pPr>
              <w:tabs>
                <w:tab w:val="decimal" w:pos="612"/>
              </w:tabs>
              <w:rPr>
                <w:rFonts w:ascii="Arial" w:hAnsi="Arial" w:cs="Arial"/>
                <w:color w:val="000000"/>
                <w:sz w:val="24"/>
                <w:szCs w:val="24"/>
              </w:rPr>
            </w:pPr>
            <w:r>
              <w:rPr>
                <w:rFonts w:ascii="Arial" w:hAnsi="Arial" w:cs="Arial"/>
                <w:color w:val="000000"/>
                <w:sz w:val="24"/>
                <w:szCs w:val="24"/>
              </w:rPr>
              <w:t>24</w:t>
            </w:r>
          </w:p>
        </w:tc>
        <w:tc>
          <w:tcPr>
            <w:tcW w:w="4498" w:type="dxa"/>
          </w:tcPr>
          <w:p w14:paraId="119C9687" w14:textId="242676E7" w:rsidR="00B94E1B" w:rsidRPr="007C746F" w:rsidRDefault="00DF761C" w:rsidP="00004648">
            <w:pPr>
              <w:rPr>
                <w:rFonts w:ascii="Arial" w:hAnsi="Arial" w:cs="Arial"/>
                <w:sz w:val="24"/>
                <w:szCs w:val="24"/>
                <w:lang w:val="en"/>
              </w:rPr>
            </w:pPr>
            <w:proofErr w:type="spellStart"/>
            <w:r>
              <w:rPr>
                <w:rFonts w:ascii="Arial" w:hAnsi="Arial" w:cs="Arial"/>
                <w:sz w:val="24"/>
                <w:szCs w:val="24"/>
                <w:lang w:val="en"/>
              </w:rPr>
              <w:t>Perfluorohexanoic</w:t>
            </w:r>
            <w:proofErr w:type="spellEnd"/>
            <w:r>
              <w:rPr>
                <w:rFonts w:ascii="Arial" w:hAnsi="Arial" w:cs="Arial"/>
                <w:sz w:val="24"/>
                <w:szCs w:val="24"/>
                <w:lang w:val="en"/>
              </w:rPr>
              <w:t xml:space="preserve"> acid (</w:t>
            </w:r>
            <w:proofErr w:type="spellStart"/>
            <w:r>
              <w:rPr>
                <w:rFonts w:ascii="Arial" w:hAnsi="Arial" w:cs="Arial"/>
                <w:sz w:val="24"/>
                <w:szCs w:val="24"/>
                <w:lang w:val="en"/>
              </w:rPr>
              <w:t>PFHxA</w:t>
            </w:r>
            <w:proofErr w:type="spellEnd"/>
            <w:r>
              <w:rPr>
                <w:rFonts w:ascii="Arial" w:hAnsi="Arial" w:cs="Arial"/>
                <w:sz w:val="24"/>
                <w:szCs w:val="24"/>
                <w:lang w:val="en"/>
              </w:rPr>
              <w:t>)</w:t>
            </w:r>
          </w:p>
        </w:tc>
        <w:tc>
          <w:tcPr>
            <w:tcW w:w="2877" w:type="dxa"/>
          </w:tcPr>
          <w:p w14:paraId="3F477A62" w14:textId="5C6CA076" w:rsidR="00B94E1B" w:rsidRPr="007C746F" w:rsidRDefault="008C65D3" w:rsidP="00004648">
            <w:pPr>
              <w:pStyle w:val="NormalWeb"/>
              <w:tabs>
                <w:tab w:val="decimal" w:pos="972"/>
              </w:tabs>
              <w:spacing w:before="0" w:beforeAutospacing="0" w:after="0" w:afterAutospacing="0"/>
              <w:rPr>
                <w:rFonts w:ascii="Arial" w:hAnsi="Arial" w:cs="Arial"/>
              </w:rPr>
            </w:pPr>
            <w:r>
              <w:rPr>
                <w:rFonts w:ascii="Arial" w:hAnsi="Arial" w:cs="Arial"/>
              </w:rPr>
              <w:t>0.0010</w:t>
            </w:r>
          </w:p>
        </w:tc>
      </w:tr>
      <w:tr w:rsidR="00004648" w:rsidRPr="007C746F" w14:paraId="59F07A3E" w14:textId="77777777" w:rsidTr="009009E6">
        <w:trPr>
          <w:jc w:val="center"/>
        </w:trPr>
        <w:tc>
          <w:tcPr>
            <w:tcW w:w="1440" w:type="dxa"/>
          </w:tcPr>
          <w:p w14:paraId="203F9CEC" w14:textId="3472E6A3" w:rsidR="00004648" w:rsidRPr="007C746F" w:rsidRDefault="008C65D3"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5</w:t>
            </w:r>
          </w:p>
        </w:tc>
        <w:tc>
          <w:tcPr>
            <w:tcW w:w="4498" w:type="dxa"/>
          </w:tcPr>
          <w:p w14:paraId="4373C574" w14:textId="77777777" w:rsidR="00004648" w:rsidRPr="007C746F" w:rsidRDefault="00004648" w:rsidP="00004648">
            <w:pPr>
              <w:rPr>
                <w:rFonts w:ascii="Arial" w:hAnsi="Arial" w:cs="Arial"/>
                <w:color w:val="000000"/>
                <w:sz w:val="24"/>
                <w:szCs w:val="24"/>
              </w:rPr>
            </w:pPr>
            <w:r w:rsidRPr="007C746F">
              <w:rPr>
                <w:rFonts w:ascii="Arial" w:hAnsi="Arial" w:cs="Arial"/>
                <w:sz w:val="24"/>
                <w:szCs w:val="24"/>
                <w:lang w:val="en"/>
              </w:rPr>
              <w:t xml:space="preserve">Perfluorooctanoic acid (PFOA) </w:t>
            </w:r>
          </w:p>
        </w:tc>
        <w:tc>
          <w:tcPr>
            <w:tcW w:w="2877" w:type="dxa"/>
          </w:tcPr>
          <w:p w14:paraId="4B6AC410" w14:textId="3706D5F4"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rPr>
              <w:t>0.</w:t>
            </w:r>
            <w:r w:rsidR="008C65D3" w:rsidRPr="007C746F">
              <w:rPr>
                <w:rFonts w:ascii="Arial" w:hAnsi="Arial" w:cs="Arial"/>
              </w:rPr>
              <w:t>00000</w:t>
            </w:r>
            <w:r w:rsidR="008C65D3">
              <w:rPr>
                <w:rFonts w:ascii="Arial" w:hAnsi="Arial" w:cs="Arial"/>
              </w:rPr>
              <w:t>40</w:t>
            </w:r>
          </w:p>
        </w:tc>
      </w:tr>
      <w:tr w:rsidR="00004648" w:rsidRPr="007C746F" w14:paraId="03D7D375" w14:textId="77777777" w:rsidTr="009009E6">
        <w:trPr>
          <w:jc w:val="center"/>
        </w:trPr>
        <w:tc>
          <w:tcPr>
            <w:tcW w:w="1440" w:type="dxa"/>
          </w:tcPr>
          <w:p w14:paraId="798E93F5" w14:textId="1C4ACA35" w:rsidR="00004648" w:rsidRPr="007C746F" w:rsidRDefault="008C65D3"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6</w:t>
            </w:r>
          </w:p>
        </w:tc>
        <w:tc>
          <w:tcPr>
            <w:tcW w:w="4498" w:type="dxa"/>
          </w:tcPr>
          <w:p w14:paraId="6DCF0C5F" w14:textId="77777777" w:rsidR="00004648" w:rsidRPr="007C746F" w:rsidRDefault="00004648" w:rsidP="00004648">
            <w:pPr>
              <w:rPr>
                <w:rFonts w:ascii="Arial" w:hAnsi="Arial" w:cs="Arial"/>
                <w:color w:val="000000"/>
                <w:sz w:val="24"/>
                <w:szCs w:val="24"/>
              </w:rPr>
            </w:pPr>
            <w:proofErr w:type="spellStart"/>
            <w:r w:rsidRPr="007C746F">
              <w:rPr>
                <w:rFonts w:ascii="Arial" w:hAnsi="Arial" w:cs="Arial"/>
                <w:sz w:val="24"/>
                <w:szCs w:val="24"/>
                <w:lang w:val="en"/>
              </w:rPr>
              <w:t>Perfluorooctanesulfonic</w:t>
            </w:r>
            <w:proofErr w:type="spellEnd"/>
            <w:r w:rsidRPr="007C746F">
              <w:rPr>
                <w:rFonts w:ascii="Arial" w:hAnsi="Arial" w:cs="Arial"/>
                <w:sz w:val="24"/>
                <w:szCs w:val="24"/>
                <w:lang w:val="en"/>
              </w:rPr>
              <w:t xml:space="preserve"> acid (PFOS)</w:t>
            </w:r>
          </w:p>
        </w:tc>
        <w:tc>
          <w:tcPr>
            <w:tcW w:w="2877" w:type="dxa"/>
          </w:tcPr>
          <w:p w14:paraId="3B1A87C8" w14:textId="7C3C218D"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rPr>
              <w:t>0.</w:t>
            </w:r>
            <w:r w:rsidR="008C65D3" w:rsidRPr="007C746F">
              <w:rPr>
                <w:rFonts w:ascii="Arial" w:hAnsi="Arial" w:cs="Arial"/>
              </w:rPr>
              <w:t>00000</w:t>
            </w:r>
            <w:r w:rsidR="008C65D3">
              <w:rPr>
                <w:rFonts w:ascii="Arial" w:hAnsi="Arial" w:cs="Arial"/>
              </w:rPr>
              <w:t>40</w:t>
            </w:r>
          </w:p>
        </w:tc>
      </w:tr>
      <w:tr w:rsidR="00004648" w:rsidRPr="007C746F" w14:paraId="4C971C25" w14:textId="77777777" w:rsidTr="009009E6">
        <w:trPr>
          <w:jc w:val="center"/>
        </w:trPr>
        <w:tc>
          <w:tcPr>
            <w:tcW w:w="1440" w:type="dxa"/>
          </w:tcPr>
          <w:p w14:paraId="51D066F3" w14:textId="29E0174F"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7</w:t>
            </w:r>
          </w:p>
        </w:tc>
        <w:tc>
          <w:tcPr>
            <w:tcW w:w="4498" w:type="dxa"/>
          </w:tcPr>
          <w:p w14:paraId="430A4F92" w14:textId="2603DEDF" w:rsidR="00004648" w:rsidRPr="007C746F" w:rsidRDefault="00004648" w:rsidP="00004648">
            <w:pPr>
              <w:rPr>
                <w:rFonts w:ascii="Arial" w:hAnsi="Arial" w:cs="Arial"/>
                <w:sz w:val="24"/>
                <w:szCs w:val="24"/>
                <w:lang w:val="en"/>
              </w:rPr>
            </w:pPr>
            <w:proofErr w:type="spellStart"/>
            <w:r w:rsidRPr="007C746F">
              <w:rPr>
                <w:rFonts w:ascii="Arial" w:hAnsi="Arial" w:cs="Arial"/>
                <w:color w:val="000000"/>
                <w:sz w:val="24"/>
                <w:szCs w:val="24"/>
              </w:rPr>
              <w:t>Propachlor</w:t>
            </w:r>
            <w:proofErr w:type="spellEnd"/>
          </w:p>
        </w:tc>
        <w:tc>
          <w:tcPr>
            <w:tcW w:w="2877" w:type="dxa"/>
          </w:tcPr>
          <w:p w14:paraId="7D9B5EF7" w14:textId="295CD509" w:rsidR="00004648" w:rsidRPr="007C746F" w:rsidRDefault="00004648" w:rsidP="00004648">
            <w:pPr>
              <w:pStyle w:val="NormalWeb"/>
              <w:tabs>
                <w:tab w:val="decimal" w:pos="972"/>
              </w:tabs>
              <w:spacing w:before="0" w:beforeAutospacing="0" w:after="0" w:afterAutospacing="0"/>
              <w:rPr>
                <w:rFonts w:ascii="Arial" w:hAnsi="Arial" w:cs="Arial"/>
              </w:rPr>
            </w:pPr>
            <w:r w:rsidRPr="007C746F">
              <w:rPr>
                <w:rFonts w:ascii="Arial" w:hAnsi="Arial" w:cs="Arial"/>
                <w:color w:val="000000"/>
              </w:rPr>
              <w:t>0.09</w:t>
            </w:r>
          </w:p>
        </w:tc>
      </w:tr>
      <w:tr w:rsidR="00004648" w:rsidRPr="007C746F" w14:paraId="7CDD80EF" w14:textId="77777777" w:rsidTr="009009E6">
        <w:trPr>
          <w:jc w:val="center"/>
        </w:trPr>
        <w:tc>
          <w:tcPr>
            <w:tcW w:w="1440" w:type="dxa"/>
          </w:tcPr>
          <w:p w14:paraId="09D7F424" w14:textId="14EAF98F"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8</w:t>
            </w:r>
          </w:p>
        </w:tc>
        <w:tc>
          <w:tcPr>
            <w:tcW w:w="4498" w:type="dxa"/>
          </w:tcPr>
          <w:p w14:paraId="3CBDCB3E" w14:textId="2C295FB8"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n-</w:t>
            </w:r>
            <w:proofErr w:type="spellStart"/>
            <w:r w:rsidRPr="007C746F">
              <w:rPr>
                <w:rFonts w:ascii="Arial" w:hAnsi="Arial" w:cs="Arial"/>
                <w:color w:val="000000"/>
                <w:sz w:val="24"/>
                <w:szCs w:val="24"/>
              </w:rPr>
              <w:t>Propylbenzene</w:t>
            </w:r>
            <w:proofErr w:type="spellEnd"/>
          </w:p>
        </w:tc>
        <w:tc>
          <w:tcPr>
            <w:tcW w:w="2877" w:type="dxa"/>
          </w:tcPr>
          <w:p w14:paraId="582ACBE9" w14:textId="78AACAF2"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004648" w:rsidRPr="007C746F" w14:paraId="1D36F064" w14:textId="77777777" w:rsidTr="009009E6">
        <w:trPr>
          <w:jc w:val="center"/>
        </w:trPr>
        <w:tc>
          <w:tcPr>
            <w:tcW w:w="1440" w:type="dxa"/>
          </w:tcPr>
          <w:p w14:paraId="58A8421D" w14:textId="15749DD9"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9</w:t>
            </w:r>
          </w:p>
        </w:tc>
        <w:tc>
          <w:tcPr>
            <w:tcW w:w="4498" w:type="dxa"/>
          </w:tcPr>
          <w:p w14:paraId="49FD44F3" w14:textId="0D4F8E5C"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RDX</w:t>
            </w:r>
          </w:p>
        </w:tc>
        <w:tc>
          <w:tcPr>
            <w:tcW w:w="2877" w:type="dxa"/>
          </w:tcPr>
          <w:p w14:paraId="144B0622" w14:textId="54CB7B5B"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0.0003</w:t>
            </w:r>
          </w:p>
        </w:tc>
      </w:tr>
      <w:tr w:rsidR="00004648" w:rsidRPr="007C746F" w14:paraId="5A109048" w14:textId="77777777" w:rsidTr="009009E6">
        <w:trPr>
          <w:jc w:val="center"/>
        </w:trPr>
        <w:tc>
          <w:tcPr>
            <w:tcW w:w="1440" w:type="dxa"/>
          </w:tcPr>
          <w:p w14:paraId="5FB0DBFB" w14:textId="35D83878" w:rsidR="00004648" w:rsidRPr="007C746F" w:rsidRDefault="00FF42D9" w:rsidP="00004648">
            <w:pPr>
              <w:tabs>
                <w:tab w:val="decimal" w:pos="612"/>
              </w:tabs>
              <w:rPr>
                <w:rFonts w:ascii="Arial" w:hAnsi="Arial" w:cs="Arial"/>
                <w:color w:val="000000"/>
                <w:sz w:val="24"/>
                <w:szCs w:val="24"/>
              </w:rPr>
            </w:pPr>
            <w:r>
              <w:rPr>
                <w:rFonts w:ascii="Arial" w:hAnsi="Arial" w:cs="Arial"/>
                <w:color w:val="000000"/>
                <w:sz w:val="24"/>
                <w:szCs w:val="24"/>
              </w:rPr>
              <w:t>30</w:t>
            </w:r>
          </w:p>
        </w:tc>
        <w:tc>
          <w:tcPr>
            <w:tcW w:w="4498" w:type="dxa"/>
          </w:tcPr>
          <w:p w14:paraId="1EF41A1B" w14:textId="03381698"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Tertiary butyl alcohol (TBA)</w:t>
            </w:r>
          </w:p>
        </w:tc>
        <w:tc>
          <w:tcPr>
            <w:tcW w:w="2877" w:type="dxa"/>
          </w:tcPr>
          <w:p w14:paraId="159A4332" w14:textId="74E2C70F"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 xml:space="preserve">0.012 </w:t>
            </w:r>
          </w:p>
        </w:tc>
      </w:tr>
      <w:tr w:rsidR="00004648" w:rsidRPr="007C746F" w14:paraId="3963A83A" w14:textId="77777777" w:rsidTr="009009E6">
        <w:trPr>
          <w:jc w:val="center"/>
        </w:trPr>
        <w:tc>
          <w:tcPr>
            <w:tcW w:w="1440" w:type="dxa"/>
          </w:tcPr>
          <w:p w14:paraId="487C000F" w14:textId="42FB14A2"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1</w:t>
            </w:r>
          </w:p>
        </w:tc>
        <w:tc>
          <w:tcPr>
            <w:tcW w:w="4498" w:type="dxa"/>
          </w:tcPr>
          <w:p w14:paraId="581B1A7C" w14:textId="132C24D3" w:rsidR="00004648" w:rsidRPr="007C746F" w:rsidRDefault="00004648" w:rsidP="00004648">
            <w:pPr>
              <w:rPr>
                <w:rFonts w:ascii="Arial" w:eastAsia="Arial Unicode MS" w:hAnsi="Arial" w:cs="Arial"/>
                <w:color w:val="000000"/>
                <w:sz w:val="24"/>
                <w:szCs w:val="24"/>
              </w:rPr>
            </w:pPr>
            <w:r w:rsidRPr="007C746F">
              <w:rPr>
                <w:rFonts w:ascii="Arial" w:hAnsi="Arial" w:cs="Arial"/>
                <w:color w:val="000000"/>
                <w:sz w:val="24"/>
                <w:szCs w:val="24"/>
              </w:rPr>
              <w:t>1,2,4-Trimethylbenzene</w:t>
            </w:r>
          </w:p>
        </w:tc>
        <w:tc>
          <w:tcPr>
            <w:tcW w:w="2877" w:type="dxa"/>
          </w:tcPr>
          <w:p w14:paraId="22D3FB7D" w14:textId="5F229911"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0.33</w:t>
            </w:r>
          </w:p>
        </w:tc>
      </w:tr>
      <w:tr w:rsidR="00004648" w:rsidRPr="007C746F" w14:paraId="17C2A2F2" w14:textId="77777777" w:rsidTr="009009E6">
        <w:trPr>
          <w:jc w:val="center"/>
        </w:trPr>
        <w:tc>
          <w:tcPr>
            <w:tcW w:w="1440" w:type="dxa"/>
          </w:tcPr>
          <w:p w14:paraId="3F398D4A" w14:textId="355357CE"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2</w:t>
            </w:r>
          </w:p>
        </w:tc>
        <w:tc>
          <w:tcPr>
            <w:tcW w:w="4498" w:type="dxa"/>
          </w:tcPr>
          <w:p w14:paraId="1DEE3005" w14:textId="122308AB"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1,3,5-Trimethylbenzene</w:t>
            </w:r>
          </w:p>
        </w:tc>
        <w:tc>
          <w:tcPr>
            <w:tcW w:w="2877" w:type="dxa"/>
          </w:tcPr>
          <w:p w14:paraId="55B4E504" w14:textId="1DE2AEE0"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0.33</w:t>
            </w:r>
          </w:p>
        </w:tc>
      </w:tr>
      <w:tr w:rsidR="00004648" w:rsidRPr="007C746F" w14:paraId="15E77870" w14:textId="77777777" w:rsidTr="009009E6">
        <w:trPr>
          <w:jc w:val="center"/>
        </w:trPr>
        <w:tc>
          <w:tcPr>
            <w:tcW w:w="1440" w:type="dxa"/>
          </w:tcPr>
          <w:p w14:paraId="20F1E53F" w14:textId="595C4237"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3</w:t>
            </w:r>
          </w:p>
        </w:tc>
        <w:tc>
          <w:tcPr>
            <w:tcW w:w="4498" w:type="dxa"/>
          </w:tcPr>
          <w:p w14:paraId="7AF478BA" w14:textId="3A6C5286"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2,4,6-Trinitrotoluene (TNT)</w:t>
            </w:r>
          </w:p>
        </w:tc>
        <w:tc>
          <w:tcPr>
            <w:tcW w:w="2877" w:type="dxa"/>
          </w:tcPr>
          <w:p w14:paraId="0FC8656B" w14:textId="00368453"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0.001</w:t>
            </w:r>
          </w:p>
        </w:tc>
      </w:tr>
      <w:tr w:rsidR="00004648" w:rsidRPr="007C746F" w14:paraId="23E2C5EB" w14:textId="77777777" w:rsidTr="009009E6">
        <w:trPr>
          <w:jc w:val="center"/>
        </w:trPr>
        <w:tc>
          <w:tcPr>
            <w:tcW w:w="1440" w:type="dxa"/>
          </w:tcPr>
          <w:p w14:paraId="6C042DDC" w14:textId="436523A7"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4</w:t>
            </w:r>
          </w:p>
        </w:tc>
        <w:tc>
          <w:tcPr>
            <w:tcW w:w="4498" w:type="dxa"/>
          </w:tcPr>
          <w:p w14:paraId="77605491" w14:textId="5C5296E5"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Vanadium</w:t>
            </w:r>
          </w:p>
        </w:tc>
        <w:tc>
          <w:tcPr>
            <w:tcW w:w="2877" w:type="dxa"/>
          </w:tcPr>
          <w:p w14:paraId="4599446C" w14:textId="12B20493"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0.05</w:t>
            </w:r>
          </w:p>
        </w:tc>
      </w:tr>
    </w:tbl>
    <w:p w14:paraId="492A564D" w14:textId="510C54F3" w:rsidR="0002555E" w:rsidRDefault="0002555E" w:rsidP="00083403">
      <w:pPr>
        <w:spacing w:after="120" w:line="240" w:lineRule="auto"/>
        <w:ind w:left="187"/>
        <w:rPr>
          <w:rFonts w:ascii="Arial" w:hAnsi="Arial" w:cs="Arial"/>
          <w:sz w:val="24"/>
          <w:szCs w:val="24"/>
        </w:rPr>
      </w:pPr>
      <w:r w:rsidRPr="007C746F">
        <w:rPr>
          <w:rFonts w:ascii="Arial" w:hAnsi="Arial" w:cs="Arial"/>
          <w:sz w:val="24"/>
          <w:szCs w:val="24"/>
        </w:rPr>
        <w:t xml:space="preserve">* </w:t>
      </w:r>
      <w:hyperlink w:anchor="_Notes_for_Chemicals" w:history="1">
        <w:r w:rsidRPr="009D31DD">
          <w:rPr>
            <w:rStyle w:val="Hyperlink"/>
            <w:rFonts w:ascii="Arial" w:hAnsi="Arial" w:cs="Arial"/>
            <w:sz w:val="24"/>
            <w:szCs w:val="24"/>
          </w:rPr>
          <w:t>Notes</w:t>
        </w:r>
      </w:hyperlink>
      <w:r w:rsidRPr="007C746F">
        <w:rPr>
          <w:rFonts w:ascii="Arial" w:hAnsi="Arial" w:cs="Arial"/>
          <w:sz w:val="24"/>
          <w:szCs w:val="24"/>
        </w:rPr>
        <w:t xml:space="preserve"> include toxicological endpoint, references, history, and other information</w:t>
      </w:r>
      <w:r w:rsidR="00120075">
        <w:rPr>
          <w:rFonts w:ascii="Arial" w:hAnsi="Arial" w:cs="Arial"/>
          <w:sz w:val="24"/>
          <w:szCs w:val="24"/>
        </w:rPr>
        <w:t>.</w:t>
      </w:r>
    </w:p>
    <w:p w14:paraId="32216FE3" w14:textId="01568743" w:rsidR="00791E52" w:rsidRPr="009D31DD" w:rsidRDefault="007C125B" w:rsidP="009D31DD">
      <w:pPr>
        <w:ind w:left="180"/>
        <w:rPr>
          <w:rFonts w:ascii="Arial" w:hAnsi="Arial" w:cs="Arial"/>
          <w:sz w:val="24"/>
          <w:szCs w:val="24"/>
        </w:rPr>
      </w:pPr>
      <w:r>
        <w:rPr>
          <w:rFonts w:ascii="Arial" w:hAnsi="Arial" w:cs="Arial"/>
          <w:sz w:val="24"/>
          <w:szCs w:val="24"/>
        </w:rPr>
        <w:t>** One milli</w:t>
      </w:r>
      <w:r w:rsidR="00950049">
        <w:rPr>
          <w:rFonts w:ascii="Arial" w:hAnsi="Arial" w:cs="Arial"/>
          <w:sz w:val="24"/>
          <w:szCs w:val="24"/>
        </w:rPr>
        <w:t xml:space="preserve">gram per liter </w:t>
      </w:r>
      <w:r w:rsidR="00BF6BB6">
        <w:rPr>
          <w:rFonts w:ascii="Arial" w:hAnsi="Arial" w:cs="Arial"/>
          <w:sz w:val="24"/>
          <w:szCs w:val="24"/>
        </w:rPr>
        <w:t xml:space="preserve">(mg/L) </w:t>
      </w:r>
      <w:r w:rsidR="00950049">
        <w:rPr>
          <w:rFonts w:ascii="Arial" w:hAnsi="Arial" w:cs="Arial"/>
          <w:sz w:val="24"/>
          <w:szCs w:val="24"/>
        </w:rPr>
        <w:t>= 10</w:t>
      </w:r>
      <w:r w:rsidR="00E95C29">
        <w:rPr>
          <w:rFonts w:ascii="Arial" w:hAnsi="Arial" w:cs="Arial"/>
          <w:sz w:val="24"/>
          <w:szCs w:val="24"/>
          <w:vertAlign w:val="superscript"/>
        </w:rPr>
        <w:t>3</w:t>
      </w:r>
      <w:r w:rsidR="00950049">
        <w:rPr>
          <w:rFonts w:ascii="Arial" w:hAnsi="Arial" w:cs="Arial"/>
          <w:sz w:val="24"/>
          <w:szCs w:val="24"/>
        </w:rPr>
        <w:t xml:space="preserve"> </w:t>
      </w:r>
      <w:r w:rsidR="00E95C29">
        <w:rPr>
          <w:rFonts w:ascii="Arial" w:hAnsi="Arial" w:cs="Arial"/>
          <w:sz w:val="24"/>
          <w:szCs w:val="24"/>
        </w:rPr>
        <w:t>micrograms per liter = 10</w:t>
      </w:r>
      <w:r w:rsidR="00E95C29">
        <w:rPr>
          <w:rFonts w:ascii="Arial" w:hAnsi="Arial" w:cs="Arial"/>
          <w:sz w:val="24"/>
          <w:szCs w:val="24"/>
          <w:vertAlign w:val="superscript"/>
        </w:rPr>
        <w:t>6</w:t>
      </w:r>
      <w:r w:rsidR="00E95C29">
        <w:rPr>
          <w:rFonts w:ascii="Arial" w:hAnsi="Arial" w:cs="Arial"/>
          <w:sz w:val="24"/>
          <w:szCs w:val="24"/>
        </w:rPr>
        <w:t xml:space="preserve"> </w:t>
      </w:r>
      <w:r w:rsidR="00950049">
        <w:rPr>
          <w:rFonts w:ascii="Arial" w:hAnsi="Arial" w:cs="Arial"/>
          <w:sz w:val="24"/>
          <w:szCs w:val="24"/>
        </w:rPr>
        <w:t>nanograms per liter (ng/L)</w:t>
      </w:r>
      <w:r w:rsidR="00E95C29">
        <w:rPr>
          <w:rFonts w:ascii="Arial" w:hAnsi="Arial" w:cs="Arial"/>
          <w:sz w:val="24"/>
          <w:szCs w:val="24"/>
        </w:rPr>
        <w:t>.</w:t>
      </w:r>
    </w:p>
    <w:p w14:paraId="7E274211" w14:textId="65F9610E" w:rsidR="00165410" w:rsidRPr="00165410" w:rsidRDefault="00165410" w:rsidP="00165410">
      <w:pPr>
        <w:pStyle w:val="Caption"/>
        <w:keepNext/>
        <w:rPr>
          <w:rFonts w:ascii="Arial" w:hAnsi="Arial" w:cs="Arial"/>
          <w:b/>
          <w:bCs/>
          <w:sz w:val="24"/>
          <w:szCs w:val="24"/>
        </w:rPr>
      </w:pPr>
      <w:bookmarkStart w:id="1" w:name="_Ref227918229"/>
      <w:r w:rsidRPr="00165410">
        <w:rPr>
          <w:rFonts w:ascii="Arial" w:hAnsi="Arial" w:cs="Arial"/>
          <w:b/>
          <w:bCs/>
          <w:sz w:val="24"/>
          <w:szCs w:val="24"/>
        </w:rPr>
        <w:lastRenderedPageBreak/>
        <w:t xml:space="preserve">Table </w:t>
      </w:r>
      <w:r w:rsidRPr="00165410">
        <w:rPr>
          <w:rFonts w:ascii="Arial" w:hAnsi="Arial" w:cs="Arial"/>
          <w:b/>
          <w:bCs/>
          <w:sz w:val="24"/>
          <w:szCs w:val="24"/>
        </w:rPr>
        <w:fldChar w:fldCharType="begin"/>
      </w:r>
      <w:r w:rsidRPr="00165410">
        <w:rPr>
          <w:rFonts w:ascii="Arial" w:hAnsi="Arial" w:cs="Arial"/>
          <w:b/>
          <w:bCs/>
          <w:sz w:val="24"/>
          <w:szCs w:val="24"/>
        </w:rPr>
        <w:instrText xml:space="preserve"> SEQ Table \* ARABIC </w:instrText>
      </w:r>
      <w:r w:rsidRPr="00165410">
        <w:rPr>
          <w:rFonts w:ascii="Arial" w:hAnsi="Arial" w:cs="Arial"/>
          <w:b/>
          <w:bCs/>
          <w:sz w:val="24"/>
          <w:szCs w:val="24"/>
        </w:rPr>
        <w:fldChar w:fldCharType="separate"/>
      </w:r>
      <w:r w:rsidRPr="00165410">
        <w:rPr>
          <w:rFonts w:ascii="Arial" w:hAnsi="Arial" w:cs="Arial"/>
          <w:b/>
          <w:bCs/>
          <w:noProof/>
          <w:sz w:val="24"/>
          <w:szCs w:val="24"/>
        </w:rPr>
        <w:t>2</w:t>
      </w:r>
      <w:r w:rsidRPr="00165410">
        <w:rPr>
          <w:rFonts w:ascii="Arial" w:hAnsi="Arial" w:cs="Arial"/>
          <w:b/>
          <w:bCs/>
          <w:sz w:val="24"/>
          <w:szCs w:val="24"/>
        </w:rPr>
        <w:fldChar w:fldCharType="end"/>
      </w:r>
      <w:r w:rsidRPr="00165410">
        <w:rPr>
          <w:rFonts w:ascii="Arial" w:hAnsi="Arial" w:cs="Arial"/>
          <w:b/>
          <w:bCs/>
          <w:sz w:val="24"/>
          <w:szCs w:val="24"/>
        </w:rPr>
        <w:t>. Response Levels</w:t>
      </w:r>
      <w:bookmarkEnd w:id="1"/>
    </w:p>
    <w:tbl>
      <w:tblPr>
        <w:tblStyle w:val="TableGrid"/>
        <w:tblW w:w="0" w:type="auto"/>
        <w:jc w:val="center"/>
        <w:tblLook w:val="04A0" w:firstRow="1" w:lastRow="0" w:firstColumn="1" w:lastColumn="0" w:noHBand="0" w:noVBand="1"/>
      </w:tblPr>
      <w:tblGrid>
        <w:gridCol w:w="2695"/>
        <w:gridCol w:w="2340"/>
        <w:gridCol w:w="3960"/>
      </w:tblGrid>
      <w:tr w:rsidR="00244E3A" w:rsidRPr="007C746F" w14:paraId="13A1C2D0" w14:textId="4CCB3F80" w:rsidTr="00D70DBF">
        <w:trPr>
          <w:trHeight w:val="825"/>
          <w:jc w:val="center"/>
        </w:trPr>
        <w:tc>
          <w:tcPr>
            <w:tcW w:w="2695" w:type="dxa"/>
            <w:vAlign w:val="center"/>
          </w:tcPr>
          <w:p w14:paraId="7876E239" w14:textId="24B80701" w:rsidR="00244E3A" w:rsidRPr="007C746F" w:rsidRDefault="00244E3A" w:rsidP="00244E3A">
            <w:pPr>
              <w:jc w:val="center"/>
              <w:rPr>
                <w:rFonts w:ascii="Arial" w:hAnsi="Arial" w:cs="Arial"/>
                <w:sz w:val="24"/>
                <w:szCs w:val="24"/>
              </w:rPr>
            </w:pPr>
            <w:r w:rsidRPr="007C746F">
              <w:rPr>
                <w:rFonts w:ascii="Arial" w:hAnsi="Arial" w:cs="Arial"/>
                <w:b/>
                <w:bCs/>
                <w:sz w:val="24"/>
                <w:szCs w:val="24"/>
              </w:rPr>
              <w:t>Chemical</w:t>
            </w:r>
          </w:p>
        </w:tc>
        <w:tc>
          <w:tcPr>
            <w:tcW w:w="2340" w:type="dxa"/>
            <w:vAlign w:val="center"/>
          </w:tcPr>
          <w:p w14:paraId="03D1A0B8" w14:textId="42F17F5D" w:rsidR="00244E3A" w:rsidRPr="007C746F" w:rsidRDefault="00244E3A" w:rsidP="00244E3A">
            <w:pPr>
              <w:jc w:val="center"/>
              <w:rPr>
                <w:rFonts w:ascii="Arial" w:hAnsi="Arial" w:cs="Arial"/>
                <w:sz w:val="24"/>
                <w:szCs w:val="24"/>
              </w:rPr>
            </w:pPr>
            <w:r w:rsidRPr="007C746F">
              <w:rPr>
                <w:rFonts w:ascii="Arial" w:hAnsi="Arial" w:cs="Arial"/>
                <w:b/>
                <w:sz w:val="24"/>
                <w:szCs w:val="24"/>
              </w:rPr>
              <w:t>Toxicological</w:t>
            </w:r>
            <w:r w:rsidRPr="007C746F">
              <w:rPr>
                <w:rFonts w:ascii="Arial" w:hAnsi="Arial" w:cs="Arial"/>
                <w:b/>
                <w:sz w:val="24"/>
                <w:szCs w:val="24"/>
              </w:rPr>
              <w:br/>
              <w:t>Endpoint</w:t>
            </w:r>
          </w:p>
        </w:tc>
        <w:tc>
          <w:tcPr>
            <w:tcW w:w="3960" w:type="dxa"/>
            <w:vAlign w:val="center"/>
          </w:tcPr>
          <w:p w14:paraId="1C0F57A3" w14:textId="45AFEFFF" w:rsidR="00244E3A" w:rsidRPr="007C746F" w:rsidRDefault="00244E3A" w:rsidP="00244E3A">
            <w:pPr>
              <w:jc w:val="center"/>
              <w:rPr>
                <w:rFonts w:ascii="Arial" w:hAnsi="Arial" w:cs="Arial"/>
                <w:sz w:val="24"/>
                <w:szCs w:val="24"/>
              </w:rPr>
            </w:pPr>
            <w:r w:rsidRPr="007C746F">
              <w:rPr>
                <w:rFonts w:ascii="Arial" w:hAnsi="Arial" w:cs="Arial"/>
                <w:b/>
                <w:bCs/>
                <w:sz w:val="24"/>
                <w:szCs w:val="24"/>
              </w:rPr>
              <w:t>Response Level</w:t>
            </w:r>
            <w:r w:rsidRPr="007C746F">
              <w:rPr>
                <w:rFonts w:ascii="Arial" w:hAnsi="Arial" w:cs="Arial"/>
                <w:b/>
                <w:bCs/>
                <w:sz w:val="24"/>
                <w:szCs w:val="24"/>
              </w:rPr>
              <w:br/>
              <w:t>(Multiples of Notification Level)</w:t>
            </w:r>
          </w:p>
        </w:tc>
      </w:tr>
      <w:tr w:rsidR="00244E3A" w:rsidRPr="007C746F" w14:paraId="1632AD42" w14:textId="135CFF40" w:rsidTr="00D70DBF">
        <w:trPr>
          <w:trHeight w:hRule="exact" w:val="317"/>
          <w:jc w:val="center"/>
        </w:trPr>
        <w:tc>
          <w:tcPr>
            <w:tcW w:w="2695" w:type="dxa"/>
            <w:vAlign w:val="center"/>
          </w:tcPr>
          <w:p w14:paraId="3FBB5AB0" w14:textId="0996E1FB" w:rsidR="00244E3A" w:rsidRPr="007C746F" w:rsidRDefault="00244E3A" w:rsidP="00244E3A">
            <w:pPr>
              <w:jc w:val="center"/>
              <w:rPr>
                <w:rFonts w:ascii="Arial" w:hAnsi="Arial" w:cs="Arial"/>
                <w:sz w:val="24"/>
                <w:szCs w:val="24"/>
              </w:rPr>
            </w:pPr>
            <w:r w:rsidRPr="007C746F">
              <w:rPr>
                <w:rFonts w:ascii="Arial" w:hAnsi="Arial" w:cs="Arial"/>
                <w:sz w:val="24"/>
                <w:szCs w:val="24"/>
              </w:rPr>
              <w:t>RDX</w:t>
            </w:r>
          </w:p>
        </w:tc>
        <w:tc>
          <w:tcPr>
            <w:tcW w:w="2340" w:type="dxa"/>
            <w:vAlign w:val="center"/>
          </w:tcPr>
          <w:p w14:paraId="1192E376" w14:textId="68F3ABE0"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4B2CF152" w14:textId="3FC3F3DA"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77216D88" w14:textId="619B46AD" w:rsidTr="00D70DBF">
        <w:trPr>
          <w:trHeight w:hRule="exact" w:val="317"/>
          <w:jc w:val="center"/>
        </w:trPr>
        <w:tc>
          <w:tcPr>
            <w:tcW w:w="2695" w:type="dxa"/>
            <w:vAlign w:val="center"/>
          </w:tcPr>
          <w:p w14:paraId="312D87FB" w14:textId="5B6EB900" w:rsidR="00244E3A" w:rsidRPr="007C746F" w:rsidRDefault="00244E3A" w:rsidP="00244E3A">
            <w:pPr>
              <w:jc w:val="center"/>
              <w:rPr>
                <w:rFonts w:ascii="Arial" w:hAnsi="Arial" w:cs="Arial"/>
                <w:sz w:val="24"/>
                <w:szCs w:val="24"/>
              </w:rPr>
            </w:pPr>
            <w:r w:rsidRPr="007C746F">
              <w:rPr>
                <w:rFonts w:ascii="Arial" w:hAnsi="Arial" w:cs="Arial"/>
                <w:sz w:val="24"/>
                <w:szCs w:val="24"/>
              </w:rPr>
              <w:t>TBA</w:t>
            </w:r>
          </w:p>
        </w:tc>
        <w:tc>
          <w:tcPr>
            <w:tcW w:w="2340" w:type="dxa"/>
            <w:vAlign w:val="center"/>
          </w:tcPr>
          <w:p w14:paraId="3AC67B34" w14:textId="41BC27CA"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6B715D9E" w14:textId="6A4F54B6"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3C775739" w14:textId="3BCE37DD" w:rsidTr="00D70DBF">
        <w:trPr>
          <w:trHeight w:hRule="exact" w:val="317"/>
          <w:jc w:val="center"/>
        </w:trPr>
        <w:tc>
          <w:tcPr>
            <w:tcW w:w="2695" w:type="dxa"/>
            <w:vAlign w:val="center"/>
          </w:tcPr>
          <w:p w14:paraId="5873F36A" w14:textId="0071AC47" w:rsidR="00244E3A" w:rsidRPr="007C746F" w:rsidRDefault="00244E3A" w:rsidP="00244E3A">
            <w:pPr>
              <w:jc w:val="center"/>
              <w:rPr>
                <w:rFonts w:ascii="Arial" w:hAnsi="Arial" w:cs="Arial"/>
                <w:sz w:val="24"/>
                <w:szCs w:val="24"/>
              </w:rPr>
            </w:pPr>
            <w:r w:rsidRPr="007C746F">
              <w:rPr>
                <w:rFonts w:ascii="Arial" w:hAnsi="Arial" w:cs="Arial"/>
                <w:sz w:val="24"/>
                <w:szCs w:val="24"/>
              </w:rPr>
              <w:t>TNT</w:t>
            </w:r>
          </w:p>
        </w:tc>
        <w:tc>
          <w:tcPr>
            <w:tcW w:w="2340" w:type="dxa"/>
            <w:vAlign w:val="center"/>
          </w:tcPr>
          <w:p w14:paraId="734E10D5" w14:textId="23EAD153"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14E8A7BA" w14:textId="026D131B"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123F767B" w14:textId="0BB6D1AD" w:rsidTr="00D70DBF">
        <w:trPr>
          <w:trHeight w:hRule="exact" w:val="317"/>
          <w:jc w:val="center"/>
        </w:trPr>
        <w:tc>
          <w:tcPr>
            <w:tcW w:w="2695" w:type="dxa"/>
            <w:vAlign w:val="center"/>
          </w:tcPr>
          <w:p w14:paraId="4959F894" w14:textId="2D82A965" w:rsidR="00244E3A" w:rsidRPr="007C746F" w:rsidRDefault="00244E3A" w:rsidP="00244E3A">
            <w:pPr>
              <w:jc w:val="center"/>
              <w:rPr>
                <w:rFonts w:ascii="Arial" w:hAnsi="Arial" w:cs="Arial"/>
                <w:sz w:val="24"/>
                <w:szCs w:val="24"/>
              </w:rPr>
            </w:pPr>
            <w:r w:rsidRPr="007C746F">
              <w:rPr>
                <w:rFonts w:ascii="Arial" w:hAnsi="Arial" w:cs="Arial"/>
                <w:sz w:val="24"/>
                <w:szCs w:val="24"/>
              </w:rPr>
              <w:t>NDPA</w:t>
            </w:r>
          </w:p>
        </w:tc>
        <w:tc>
          <w:tcPr>
            <w:tcW w:w="2340" w:type="dxa"/>
            <w:vAlign w:val="center"/>
          </w:tcPr>
          <w:p w14:paraId="1BA21B90" w14:textId="08A95AD5"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350815F7" w14:textId="640E42A7" w:rsidR="00244E3A" w:rsidRPr="007C746F" w:rsidRDefault="00244E3A" w:rsidP="00244E3A">
            <w:pPr>
              <w:jc w:val="center"/>
              <w:rPr>
                <w:rFonts w:ascii="Arial" w:hAnsi="Arial" w:cs="Arial"/>
                <w:sz w:val="24"/>
                <w:szCs w:val="24"/>
              </w:rPr>
            </w:pPr>
            <w:r w:rsidRPr="007C746F">
              <w:rPr>
                <w:rFonts w:ascii="Arial" w:hAnsi="Arial" w:cs="Arial"/>
                <w:sz w:val="24"/>
                <w:szCs w:val="24"/>
              </w:rPr>
              <w:t>50 times the NL</w:t>
            </w:r>
          </w:p>
        </w:tc>
      </w:tr>
      <w:tr w:rsidR="00244E3A" w:rsidRPr="007C746F" w14:paraId="117C860B" w14:textId="50BAD82A" w:rsidTr="00D70DBF">
        <w:trPr>
          <w:trHeight w:hRule="exact" w:val="317"/>
          <w:jc w:val="center"/>
        </w:trPr>
        <w:tc>
          <w:tcPr>
            <w:tcW w:w="2695" w:type="dxa"/>
            <w:vAlign w:val="center"/>
          </w:tcPr>
          <w:p w14:paraId="27B106AE" w14:textId="121FFBBE" w:rsidR="00244E3A" w:rsidRPr="007C746F" w:rsidRDefault="00244E3A" w:rsidP="00244E3A">
            <w:pPr>
              <w:jc w:val="center"/>
              <w:rPr>
                <w:rFonts w:ascii="Arial" w:hAnsi="Arial" w:cs="Arial"/>
                <w:sz w:val="24"/>
                <w:szCs w:val="24"/>
              </w:rPr>
            </w:pPr>
            <w:r w:rsidRPr="007C746F">
              <w:rPr>
                <w:rFonts w:ascii="Arial" w:hAnsi="Arial" w:cs="Arial"/>
                <w:sz w:val="24"/>
                <w:szCs w:val="24"/>
              </w:rPr>
              <w:t>1,4-Dioxane</w:t>
            </w:r>
          </w:p>
        </w:tc>
        <w:tc>
          <w:tcPr>
            <w:tcW w:w="2340" w:type="dxa"/>
            <w:vAlign w:val="center"/>
          </w:tcPr>
          <w:p w14:paraId="4D5A0B51" w14:textId="70095594"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1270EE8E" w14:textId="3124F964" w:rsidR="00244E3A" w:rsidRPr="007C746F" w:rsidRDefault="00244E3A" w:rsidP="00244E3A">
            <w:pPr>
              <w:jc w:val="center"/>
              <w:rPr>
                <w:rFonts w:ascii="Arial" w:hAnsi="Arial" w:cs="Arial"/>
                <w:sz w:val="24"/>
                <w:szCs w:val="24"/>
              </w:rPr>
            </w:pPr>
            <w:r w:rsidRPr="007C746F">
              <w:rPr>
                <w:rFonts w:ascii="Arial" w:hAnsi="Arial" w:cs="Arial"/>
                <w:sz w:val="24"/>
                <w:szCs w:val="24"/>
              </w:rPr>
              <w:t>35 times the NL</w:t>
            </w:r>
          </w:p>
        </w:tc>
      </w:tr>
      <w:tr w:rsidR="00244E3A" w:rsidRPr="007C746F" w14:paraId="62587BF3" w14:textId="45D98C4E" w:rsidTr="00D70DBF">
        <w:trPr>
          <w:trHeight w:hRule="exact" w:val="317"/>
          <w:jc w:val="center"/>
        </w:trPr>
        <w:tc>
          <w:tcPr>
            <w:tcW w:w="2695" w:type="dxa"/>
            <w:vAlign w:val="center"/>
          </w:tcPr>
          <w:p w14:paraId="712F2045" w14:textId="714FE7B3" w:rsidR="00244E3A" w:rsidRPr="007C746F" w:rsidRDefault="00244E3A" w:rsidP="00244E3A">
            <w:pPr>
              <w:jc w:val="center"/>
              <w:rPr>
                <w:rFonts w:ascii="Arial" w:hAnsi="Arial" w:cs="Arial"/>
                <w:sz w:val="24"/>
                <w:szCs w:val="24"/>
              </w:rPr>
            </w:pPr>
            <w:r w:rsidRPr="007C746F">
              <w:rPr>
                <w:rFonts w:ascii="Arial" w:hAnsi="Arial" w:cs="Arial"/>
                <w:sz w:val="24"/>
                <w:szCs w:val="24"/>
              </w:rPr>
              <w:t>NDMA</w:t>
            </w:r>
          </w:p>
        </w:tc>
        <w:tc>
          <w:tcPr>
            <w:tcW w:w="2340" w:type="dxa"/>
            <w:vAlign w:val="center"/>
          </w:tcPr>
          <w:p w14:paraId="37F5F3D3" w14:textId="3BCE24F4"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7197A9C2" w14:textId="6E6C7616" w:rsidR="00244E3A" w:rsidRPr="007C746F" w:rsidRDefault="00244E3A" w:rsidP="00244E3A">
            <w:pPr>
              <w:jc w:val="center"/>
              <w:rPr>
                <w:rFonts w:ascii="Arial" w:hAnsi="Arial" w:cs="Arial"/>
                <w:sz w:val="24"/>
                <w:szCs w:val="24"/>
              </w:rPr>
            </w:pPr>
            <w:r w:rsidRPr="007C746F">
              <w:rPr>
                <w:rFonts w:ascii="Arial" w:hAnsi="Arial" w:cs="Arial"/>
                <w:sz w:val="24"/>
                <w:szCs w:val="24"/>
              </w:rPr>
              <w:t>30 times the NL</w:t>
            </w:r>
          </w:p>
        </w:tc>
      </w:tr>
      <w:tr w:rsidR="00244E3A" w:rsidRPr="007C746F" w14:paraId="194AB987" w14:textId="7E966A2C" w:rsidTr="00D70DBF">
        <w:trPr>
          <w:trHeight w:hRule="exact" w:val="317"/>
          <w:jc w:val="center"/>
        </w:trPr>
        <w:tc>
          <w:tcPr>
            <w:tcW w:w="2695" w:type="dxa"/>
            <w:vAlign w:val="center"/>
          </w:tcPr>
          <w:p w14:paraId="7797F882" w14:textId="2178B5FD" w:rsidR="00244E3A" w:rsidRPr="007C746F" w:rsidRDefault="00244E3A" w:rsidP="00244E3A">
            <w:pPr>
              <w:jc w:val="center"/>
              <w:rPr>
                <w:rFonts w:ascii="Arial" w:hAnsi="Arial" w:cs="Arial"/>
                <w:sz w:val="24"/>
                <w:szCs w:val="24"/>
              </w:rPr>
            </w:pPr>
            <w:r w:rsidRPr="007C746F">
              <w:rPr>
                <w:rFonts w:ascii="Arial" w:hAnsi="Arial" w:cs="Arial"/>
                <w:sz w:val="24"/>
                <w:szCs w:val="24"/>
              </w:rPr>
              <w:t>NDEA</w:t>
            </w:r>
          </w:p>
        </w:tc>
        <w:tc>
          <w:tcPr>
            <w:tcW w:w="2340" w:type="dxa"/>
            <w:vAlign w:val="center"/>
          </w:tcPr>
          <w:p w14:paraId="1C258E43" w14:textId="285B56D8"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67CF5DB4" w14:textId="531F7508" w:rsidR="00244E3A" w:rsidRPr="007C746F" w:rsidRDefault="00244E3A" w:rsidP="00244E3A">
            <w:pPr>
              <w:jc w:val="center"/>
              <w:rPr>
                <w:rFonts w:ascii="Arial" w:hAnsi="Arial" w:cs="Arial"/>
                <w:sz w:val="24"/>
                <w:szCs w:val="24"/>
              </w:rPr>
            </w:pPr>
            <w:r w:rsidRPr="007C746F">
              <w:rPr>
                <w:rFonts w:ascii="Arial" w:hAnsi="Arial" w:cs="Arial"/>
                <w:sz w:val="24"/>
                <w:szCs w:val="24"/>
              </w:rPr>
              <w:t>10 times the NL</w:t>
            </w:r>
          </w:p>
        </w:tc>
      </w:tr>
      <w:tr w:rsidR="00244E3A" w:rsidRPr="007C746F" w14:paraId="2C02A062" w14:textId="609BEF7E" w:rsidTr="00D70DBF">
        <w:trPr>
          <w:trHeight w:hRule="exact" w:val="317"/>
          <w:jc w:val="center"/>
        </w:trPr>
        <w:tc>
          <w:tcPr>
            <w:tcW w:w="2695" w:type="dxa"/>
            <w:vAlign w:val="center"/>
          </w:tcPr>
          <w:p w14:paraId="17A28939" w14:textId="31DD0BA5" w:rsidR="00244E3A" w:rsidRPr="007C746F" w:rsidRDefault="00244E3A" w:rsidP="00244E3A">
            <w:pPr>
              <w:jc w:val="center"/>
              <w:rPr>
                <w:rFonts w:ascii="Arial" w:hAnsi="Arial" w:cs="Arial"/>
                <w:sz w:val="24"/>
                <w:szCs w:val="24"/>
              </w:rPr>
            </w:pPr>
            <w:r w:rsidRPr="007C746F">
              <w:rPr>
                <w:rFonts w:ascii="Arial" w:hAnsi="Arial" w:cs="Arial"/>
                <w:sz w:val="24"/>
                <w:szCs w:val="24"/>
              </w:rPr>
              <w:t>PFOS</w:t>
            </w:r>
          </w:p>
        </w:tc>
        <w:tc>
          <w:tcPr>
            <w:tcW w:w="2340" w:type="dxa"/>
            <w:vAlign w:val="center"/>
          </w:tcPr>
          <w:p w14:paraId="5176FBEA" w14:textId="39FFF383" w:rsidR="00244E3A" w:rsidRPr="007C746F" w:rsidRDefault="00150945"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5CAB204A" w14:textId="44510C2F" w:rsidR="00244E3A" w:rsidRPr="007C746F" w:rsidRDefault="00150945" w:rsidP="00244E3A">
            <w:pPr>
              <w:jc w:val="center"/>
              <w:rPr>
                <w:rFonts w:ascii="Arial" w:hAnsi="Arial" w:cs="Arial"/>
                <w:sz w:val="24"/>
                <w:szCs w:val="24"/>
              </w:rPr>
            </w:pPr>
            <w:r w:rsidRPr="007C746F">
              <w:rPr>
                <w:rFonts w:ascii="Arial" w:hAnsi="Arial" w:cs="Arial"/>
                <w:sz w:val="24"/>
                <w:szCs w:val="24"/>
              </w:rPr>
              <w:t>10 times</w:t>
            </w:r>
            <w:r w:rsidR="00266952">
              <w:rPr>
                <w:rFonts w:ascii="Arial" w:hAnsi="Arial" w:cs="Arial"/>
                <w:sz w:val="24"/>
                <w:szCs w:val="24"/>
              </w:rPr>
              <w:t xml:space="preserve"> the NL</w:t>
            </w:r>
          </w:p>
        </w:tc>
      </w:tr>
      <w:tr w:rsidR="00F013F2" w:rsidRPr="007C746F" w14:paraId="39D6EAA3" w14:textId="77777777" w:rsidTr="00D70DBF">
        <w:trPr>
          <w:trHeight w:hRule="exact" w:val="317"/>
          <w:jc w:val="center"/>
        </w:trPr>
        <w:tc>
          <w:tcPr>
            <w:tcW w:w="2695" w:type="dxa"/>
            <w:vAlign w:val="center"/>
          </w:tcPr>
          <w:p w14:paraId="0908D602" w14:textId="0556A3AA" w:rsidR="00F013F2" w:rsidRPr="007C746F" w:rsidRDefault="00197650" w:rsidP="00244E3A">
            <w:pPr>
              <w:jc w:val="center"/>
              <w:rPr>
                <w:rFonts w:ascii="Arial" w:hAnsi="Arial" w:cs="Arial"/>
                <w:sz w:val="24"/>
                <w:szCs w:val="24"/>
              </w:rPr>
            </w:pPr>
            <w:r>
              <w:rPr>
                <w:rFonts w:ascii="Arial" w:hAnsi="Arial" w:cs="Arial"/>
                <w:sz w:val="24"/>
                <w:szCs w:val="24"/>
              </w:rPr>
              <w:t>PFOA</w:t>
            </w:r>
          </w:p>
        </w:tc>
        <w:tc>
          <w:tcPr>
            <w:tcW w:w="2340" w:type="dxa"/>
            <w:vAlign w:val="center"/>
          </w:tcPr>
          <w:p w14:paraId="3306B6B6" w14:textId="4DBA3F5B" w:rsidR="00F013F2" w:rsidRPr="007C746F" w:rsidRDefault="00197650" w:rsidP="00244E3A">
            <w:pPr>
              <w:jc w:val="center"/>
              <w:rPr>
                <w:rFonts w:ascii="Arial" w:hAnsi="Arial" w:cs="Arial"/>
                <w:sz w:val="24"/>
                <w:szCs w:val="24"/>
              </w:rPr>
            </w:pPr>
            <w:r>
              <w:rPr>
                <w:rFonts w:ascii="Arial" w:hAnsi="Arial" w:cs="Arial"/>
                <w:sz w:val="24"/>
                <w:szCs w:val="24"/>
              </w:rPr>
              <w:t>Cancer risk</w:t>
            </w:r>
          </w:p>
        </w:tc>
        <w:tc>
          <w:tcPr>
            <w:tcW w:w="3960" w:type="dxa"/>
            <w:vAlign w:val="center"/>
          </w:tcPr>
          <w:p w14:paraId="239C2F7F" w14:textId="020BE6A9" w:rsidR="00F013F2" w:rsidRPr="007C746F" w:rsidRDefault="00F62916" w:rsidP="00244E3A">
            <w:pPr>
              <w:jc w:val="center"/>
              <w:rPr>
                <w:rFonts w:ascii="Arial" w:hAnsi="Arial" w:cs="Arial"/>
                <w:sz w:val="24"/>
                <w:szCs w:val="24"/>
              </w:rPr>
            </w:pPr>
            <w:r>
              <w:rPr>
                <w:rFonts w:ascii="Arial" w:hAnsi="Arial" w:cs="Arial"/>
                <w:sz w:val="24"/>
                <w:szCs w:val="24"/>
              </w:rPr>
              <w:t>2.5 times</w:t>
            </w:r>
            <w:r w:rsidR="00266952">
              <w:rPr>
                <w:rFonts w:ascii="Arial" w:hAnsi="Arial" w:cs="Arial"/>
                <w:sz w:val="24"/>
                <w:szCs w:val="24"/>
              </w:rPr>
              <w:t xml:space="preserve"> the NL</w:t>
            </w:r>
          </w:p>
        </w:tc>
      </w:tr>
      <w:tr w:rsidR="00004648" w:rsidRPr="007C746F" w14:paraId="24EB3569" w14:textId="77777777" w:rsidTr="00D70DBF">
        <w:trPr>
          <w:trHeight w:hRule="exact" w:val="317"/>
          <w:jc w:val="center"/>
        </w:trPr>
        <w:tc>
          <w:tcPr>
            <w:tcW w:w="2695" w:type="dxa"/>
            <w:vAlign w:val="center"/>
          </w:tcPr>
          <w:p w14:paraId="3C81F9A9" w14:textId="60E1591B" w:rsidR="00004648" w:rsidRPr="007C746F" w:rsidRDefault="00004648" w:rsidP="00244E3A">
            <w:pPr>
              <w:jc w:val="center"/>
              <w:rPr>
                <w:rFonts w:ascii="Arial" w:hAnsi="Arial" w:cs="Arial"/>
                <w:sz w:val="24"/>
                <w:szCs w:val="24"/>
              </w:rPr>
            </w:pPr>
            <w:proofErr w:type="spellStart"/>
            <w:r w:rsidRPr="007C746F">
              <w:rPr>
                <w:rFonts w:ascii="Arial" w:hAnsi="Arial" w:cs="Arial"/>
                <w:sz w:val="24"/>
                <w:szCs w:val="24"/>
              </w:rPr>
              <w:t>PFHxS</w:t>
            </w:r>
            <w:proofErr w:type="spellEnd"/>
          </w:p>
        </w:tc>
        <w:tc>
          <w:tcPr>
            <w:tcW w:w="2340" w:type="dxa"/>
            <w:vAlign w:val="center"/>
          </w:tcPr>
          <w:p w14:paraId="615389F5" w14:textId="4D4BD18A" w:rsidR="00004648" w:rsidRPr="007C746F" w:rsidRDefault="00004648" w:rsidP="00244E3A">
            <w:pPr>
              <w:jc w:val="center"/>
              <w:rPr>
                <w:rFonts w:ascii="Arial" w:hAnsi="Arial" w:cs="Arial"/>
                <w:sz w:val="24"/>
                <w:szCs w:val="24"/>
              </w:rPr>
            </w:pPr>
            <w:r w:rsidRPr="007C746F">
              <w:rPr>
                <w:rFonts w:ascii="Arial" w:hAnsi="Arial" w:cs="Arial"/>
                <w:sz w:val="24"/>
                <w:szCs w:val="24"/>
              </w:rPr>
              <w:t>Non-cancer</w:t>
            </w:r>
          </w:p>
        </w:tc>
        <w:tc>
          <w:tcPr>
            <w:tcW w:w="3960" w:type="dxa"/>
            <w:vAlign w:val="center"/>
          </w:tcPr>
          <w:p w14:paraId="5CE0535E" w14:textId="160D7E42" w:rsidR="00004648" w:rsidRPr="007C746F" w:rsidRDefault="00B75625" w:rsidP="00244E3A">
            <w:pPr>
              <w:jc w:val="center"/>
              <w:rPr>
                <w:rFonts w:ascii="Arial" w:hAnsi="Arial" w:cs="Arial"/>
                <w:sz w:val="24"/>
                <w:szCs w:val="24"/>
              </w:rPr>
            </w:pPr>
            <w:r>
              <w:rPr>
                <w:rFonts w:ascii="Arial" w:hAnsi="Arial" w:cs="Arial"/>
                <w:sz w:val="24"/>
                <w:szCs w:val="24"/>
              </w:rPr>
              <w:t>3.3</w:t>
            </w:r>
            <w:r w:rsidRPr="007C746F">
              <w:rPr>
                <w:rFonts w:ascii="Arial" w:hAnsi="Arial" w:cs="Arial"/>
                <w:sz w:val="24"/>
                <w:szCs w:val="24"/>
              </w:rPr>
              <w:t xml:space="preserve"> </w:t>
            </w:r>
            <w:r w:rsidR="00004648" w:rsidRPr="007C746F">
              <w:rPr>
                <w:rFonts w:ascii="Arial" w:hAnsi="Arial" w:cs="Arial"/>
                <w:sz w:val="24"/>
                <w:szCs w:val="24"/>
              </w:rPr>
              <w:t>times</w:t>
            </w:r>
            <w:r w:rsidR="00266952">
              <w:rPr>
                <w:rFonts w:ascii="Arial" w:hAnsi="Arial" w:cs="Arial"/>
                <w:sz w:val="24"/>
                <w:szCs w:val="24"/>
              </w:rPr>
              <w:t xml:space="preserve"> </w:t>
            </w:r>
            <w:r w:rsidR="00392C92">
              <w:rPr>
                <w:rFonts w:ascii="Arial" w:hAnsi="Arial" w:cs="Arial"/>
                <w:sz w:val="24"/>
                <w:szCs w:val="24"/>
              </w:rPr>
              <w:t>the NL</w:t>
            </w:r>
            <w:r w:rsidR="00004648" w:rsidRPr="007C746F">
              <w:rPr>
                <w:rFonts w:ascii="Arial" w:hAnsi="Arial" w:cs="Arial"/>
                <w:sz w:val="24"/>
                <w:szCs w:val="24"/>
              </w:rPr>
              <w:t xml:space="preserve"> </w:t>
            </w:r>
          </w:p>
        </w:tc>
      </w:tr>
      <w:tr w:rsidR="00AF44A2" w:rsidRPr="007C746F" w14:paraId="54A84444" w14:textId="77777777" w:rsidTr="00D70DBF">
        <w:trPr>
          <w:trHeight w:hRule="exact" w:val="317"/>
          <w:jc w:val="center"/>
        </w:trPr>
        <w:tc>
          <w:tcPr>
            <w:tcW w:w="2695" w:type="dxa"/>
            <w:vAlign w:val="center"/>
          </w:tcPr>
          <w:p w14:paraId="6850A32E" w14:textId="506168F3" w:rsidR="00AF44A2" w:rsidRPr="007C746F" w:rsidRDefault="00AF44A2" w:rsidP="00AF44A2">
            <w:pPr>
              <w:jc w:val="center"/>
              <w:rPr>
                <w:rFonts w:ascii="Arial" w:hAnsi="Arial" w:cs="Arial"/>
                <w:sz w:val="24"/>
                <w:szCs w:val="24"/>
              </w:rPr>
            </w:pPr>
            <w:r>
              <w:rPr>
                <w:rFonts w:ascii="Arial" w:hAnsi="Arial" w:cs="Arial"/>
                <w:sz w:val="24"/>
                <w:szCs w:val="24"/>
              </w:rPr>
              <w:t>Manganese</w:t>
            </w:r>
          </w:p>
        </w:tc>
        <w:tc>
          <w:tcPr>
            <w:tcW w:w="2340" w:type="dxa"/>
            <w:vAlign w:val="center"/>
          </w:tcPr>
          <w:p w14:paraId="7890F7DF" w14:textId="44041076" w:rsidR="00AF44A2" w:rsidRPr="007C746F" w:rsidRDefault="00AF44A2" w:rsidP="00AF44A2">
            <w:pPr>
              <w:jc w:val="center"/>
              <w:rPr>
                <w:rFonts w:ascii="Arial" w:hAnsi="Arial" w:cs="Arial"/>
                <w:sz w:val="24"/>
                <w:szCs w:val="24"/>
              </w:rPr>
            </w:pPr>
            <w:r>
              <w:rPr>
                <w:rFonts w:ascii="Arial" w:hAnsi="Arial" w:cs="Arial"/>
                <w:sz w:val="24"/>
                <w:szCs w:val="24"/>
              </w:rPr>
              <w:t>Non-cancer</w:t>
            </w:r>
          </w:p>
        </w:tc>
        <w:tc>
          <w:tcPr>
            <w:tcW w:w="3960" w:type="dxa"/>
            <w:vAlign w:val="center"/>
          </w:tcPr>
          <w:p w14:paraId="6C820FE2" w14:textId="6AF86511" w:rsidR="00AF44A2" w:rsidRDefault="00AF44A2" w:rsidP="00AF44A2">
            <w:pPr>
              <w:jc w:val="center"/>
              <w:rPr>
                <w:rFonts w:ascii="Arial" w:hAnsi="Arial" w:cs="Arial"/>
                <w:sz w:val="24"/>
                <w:szCs w:val="24"/>
              </w:rPr>
            </w:pPr>
            <w:r>
              <w:rPr>
                <w:rFonts w:ascii="Arial" w:hAnsi="Arial" w:cs="Arial"/>
                <w:sz w:val="24"/>
                <w:szCs w:val="24"/>
              </w:rPr>
              <w:t>4 times the NL</w:t>
            </w:r>
          </w:p>
        </w:tc>
      </w:tr>
      <w:tr w:rsidR="00244E3A" w:rsidRPr="007C746F" w14:paraId="752A0BE2" w14:textId="77777777" w:rsidTr="00D70DBF">
        <w:trPr>
          <w:trHeight w:hRule="exact" w:val="317"/>
          <w:jc w:val="center"/>
        </w:trPr>
        <w:tc>
          <w:tcPr>
            <w:tcW w:w="2695" w:type="dxa"/>
            <w:vAlign w:val="center"/>
          </w:tcPr>
          <w:p w14:paraId="5EFE48E9" w14:textId="2EEA7D68" w:rsidR="00244E3A" w:rsidRPr="007C746F" w:rsidRDefault="00244E3A" w:rsidP="00244E3A">
            <w:pPr>
              <w:jc w:val="center"/>
              <w:rPr>
                <w:rFonts w:ascii="Arial" w:hAnsi="Arial" w:cs="Arial"/>
                <w:sz w:val="24"/>
                <w:szCs w:val="24"/>
              </w:rPr>
            </w:pPr>
            <w:r w:rsidRPr="007C746F">
              <w:rPr>
                <w:rFonts w:ascii="Arial" w:hAnsi="Arial" w:cs="Arial"/>
                <w:sz w:val="24"/>
                <w:szCs w:val="24"/>
              </w:rPr>
              <w:t>All others</w:t>
            </w:r>
          </w:p>
        </w:tc>
        <w:tc>
          <w:tcPr>
            <w:tcW w:w="2340" w:type="dxa"/>
            <w:vAlign w:val="center"/>
          </w:tcPr>
          <w:p w14:paraId="5C3FF8FF" w14:textId="16460EBC" w:rsidR="00244E3A" w:rsidRPr="007C746F" w:rsidRDefault="00244E3A" w:rsidP="00244E3A">
            <w:pPr>
              <w:jc w:val="center"/>
              <w:rPr>
                <w:rFonts w:ascii="Arial" w:hAnsi="Arial" w:cs="Arial"/>
                <w:sz w:val="24"/>
                <w:szCs w:val="24"/>
              </w:rPr>
            </w:pPr>
            <w:r w:rsidRPr="007C746F">
              <w:rPr>
                <w:rFonts w:ascii="Arial" w:hAnsi="Arial" w:cs="Arial"/>
                <w:sz w:val="24"/>
                <w:szCs w:val="24"/>
              </w:rPr>
              <w:t>Non-cancer</w:t>
            </w:r>
          </w:p>
        </w:tc>
        <w:tc>
          <w:tcPr>
            <w:tcW w:w="3960" w:type="dxa"/>
            <w:vAlign w:val="center"/>
          </w:tcPr>
          <w:p w14:paraId="1D402D20" w14:textId="18B00356" w:rsidR="00244E3A" w:rsidRPr="007C746F" w:rsidRDefault="00244E3A" w:rsidP="00244E3A">
            <w:pPr>
              <w:jc w:val="center"/>
              <w:rPr>
                <w:rFonts w:ascii="Arial" w:hAnsi="Arial" w:cs="Arial"/>
                <w:sz w:val="24"/>
                <w:szCs w:val="24"/>
              </w:rPr>
            </w:pPr>
            <w:r w:rsidRPr="007C746F">
              <w:rPr>
                <w:rFonts w:ascii="Arial" w:hAnsi="Arial" w:cs="Arial"/>
                <w:sz w:val="24"/>
                <w:szCs w:val="24"/>
              </w:rPr>
              <w:t>10 times the NL</w:t>
            </w:r>
          </w:p>
        </w:tc>
      </w:tr>
    </w:tbl>
    <w:p w14:paraId="79C328CF" w14:textId="6738B413" w:rsidR="00B0523D" w:rsidRPr="007C746F" w:rsidRDefault="00B0523D" w:rsidP="00140C8E">
      <w:pPr>
        <w:pStyle w:val="Heading2"/>
        <w:spacing w:before="240" w:after="120" w:line="240" w:lineRule="auto"/>
      </w:pPr>
      <w:r w:rsidRPr="007C746F">
        <w:t xml:space="preserve">History of Notification Levels </w:t>
      </w:r>
    </w:p>
    <w:p w14:paraId="4F018AA1" w14:textId="2CF9445E" w:rsidR="00B0523D" w:rsidRPr="007C746F" w:rsidRDefault="00B0523D" w:rsidP="001A1EFD">
      <w:pPr>
        <w:spacing w:after="120" w:line="240" w:lineRule="auto"/>
        <w:rPr>
          <w:rFonts w:ascii="Arial" w:hAnsi="Arial" w:cs="Arial"/>
          <w:sz w:val="24"/>
          <w:szCs w:val="24"/>
        </w:rPr>
      </w:pPr>
      <w:r w:rsidRPr="007C746F">
        <w:rPr>
          <w:rFonts w:ascii="Arial" w:hAnsi="Arial" w:cs="Arial"/>
          <w:sz w:val="24"/>
          <w:szCs w:val="24"/>
        </w:rPr>
        <w:t>The Division of Drinking Water’s</w:t>
      </w:r>
      <w:r w:rsidR="000F45D5">
        <w:rPr>
          <w:rFonts w:ascii="Arial" w:hAnsi="Arial" w:cs="Arial"/>
          <w:sz w:val="24"/>
          <w:szCs w:val="24"/>
        </w:rPr>
        <w:t xml:space="preserve"> (DDW) predecessor agency</w:t>
      </w:r>
      <w:r w:rsidRPr="007C746F">
        <w:rPr>
          <w:rFonts w:ascii="Arial" w:hAnsi="Arial" w:cs="Arial"/>
          <w:sz w:val="24"/>
          <w:szCs w:val="24"/>
        </w:rPr>
        <w:t xml:space="preserve">, the Drinking Water Program of the California Department of Public Health (CDPH), and earlier, the California Department of Health Services, CDHS, established health-based advisory levels, called “notification levels” (referred to </w:t>
      </w:r>
      <w:r w:rsidRPr="00253C3F">
        <w:rPr>
          <w:rFonts w:ascii="Arial" w:hAnsi="Arial" w:cs="Arial"/>
          <w:sz w:val="24"/>
          <w:szCs w:val="24"/>
        </w:rPr>
        <w:t xml:space="preserve">as </w:t>
      </w:r>
      <w:r w:rsidR="00253C3F" w:rsidRPr="00856618">
        <w:rPr>
          <w:rFonts w:ascii="Arial" w:hAnsi="Arial" w:cs="Arial"/>
          <w:sz w:val="24"/>
          <w:szCs w:val="24"/>
        </w:rPr>
        <w:t>“advisory levels</w:t>
      </w:r>
      <w:r w:rsidR="00253C3F">
        <w:rPr>
          <w:rFonts w:ascii="Arial" w:hAnsi="Arial" w:cs="Arial"/>
          <w:sz w:val="24"/>
          <w:szCs w:val="24"/>
        </w:rPr>
        <w:t>”</w:t>
      </w:r>
      <w:r w:rsidR="00253C3F" w:rsidRPr="00856618">
        <w:rPr>
          <w:rFonts w:ascii="Arial" w:hAnsi="Arial" w:cs="Arial"/>
          <w:sz w:val="24"/>
          <w:szCs w:val="24"/>
        </w:rPr>
        <w:t xml:space="preserve"> then </w:t>
      </w:r>
      <w:r w:rsidRPr="00253C3F">
        <w:rPr>
          <w:rFonts w:ascii="Arial" w:hAnsi="Arial" w:cs="Arial"/>
          <w:sz w:val="24"/>
          <w:szCs w:val="24"/>
        </w:rPr>
        <w:t>“</w:t>
      </w:r>
      <w:r w:rsidRPr="007C746F">
        <w:rPr>
          <w:rFonts w:ascii="Arial" w:hAnsi="Arial" w:cs="Arial"/>
          <w:sz w:val="24"/>
          <w:szCs w:val="24"/>
        </w:rPr>
        <w:t xml:space="preserve">action levels" through 2004), as needed since the early 1980s. These have been used to provide information to public water systems and others about certain non-regulated chemicals in drinking water that lack </w:t>
      </w:r>
      <w:hyperlink r:id="rId8" w:history="1">
        <w:r w:rsidR="00E719A9">
          <w:rPr>
            <w:rStyle w:val="Hyperlink"/>
            <w:rFonts w:ascii="Arial" w:hAnsi="Arial" w:cs="Arial"/>
            <w:sz w:val="24"/>
            <w:szCs w:val="24"/>
          </w:rPr>
          <w:t>m</w:t>
        </w:r>
        <w:r w:rsidR="00E70897" w:rsidRPr="00E70897">
          <w:rPr>
            <w:rStyle w:val="Hyperlink"/>
            <w:rFonts w:ascii="Arial" w:hAnsi="Arial" w:cs="Arial"/>
            <w:sz w:val="24"/>
            <w:szCs w:val="24"/>
          </w:rPr>
          <w:t xml:space="preserve">aximum </w:t>
        </w:r>
        <w:r w:rsidR="00E719A9">
          <w:rPr>
            <w:rStyle w:val="Hyperlink"/>
            <w:rFonts w:ascii="Arial" w:hAnsi="Arial" w:cs="Arial"/>
            <w:sz w:val="24"/>
            <w:szCs w:val="24"/>
          </w:rPr>
          <w:t>c</w:t>
        </w:r>
        <w:r w:rsidR="00E70897" w:rsidRPr="00E70897">
          <w:rPr>
            <w:rStyle w:val="Hyperlink"/>
            <w:rFonts w:ascii="Arial" w:hAnsi="Arial" w:cs="Arial"/>
            <w:sz w:val="24"/>
            <w:szCs w:val="24"/>
          </w:rPr>
          <w:t xml:space="preserve">ontaminant </w:t>
        </w:r>
        <w:r w:rsidR="00E719A9">
          <w:rPr>
            <w:rStyle w:val="Hyperlink"/>
            <w:rFonts w:ascii="Arial" w:hAnsi="Arial" w:cs="Arial"/>
            <w:sz w:val="24"/>
            <w:szCs w:val="24"/>
          </w:rPr>
          <w:t>l</w:t>
        </w:r>
        <w:r w:rsidR="00E70897" w:rsidRPr="00E70897">
          <w:rPr>
            <w:rStyle w:val="Hyperlink"/>
            <w:rFonts w:ascii="Arial" w:hAnsi="Arial" w:cs="Arial"/>
            <w:sz w:val="24"/>
            <w:szCs w:val="24"/>
          </w:rPr>
          <w:t xml:space="preserve">evels </w:t>
        </w:r>
        <w:r w:rsidRPr="00E70897">
          <w:rPr>
            <w:rStyle w:val="Hyperlink"/>
            <w:rFonts w:ascii="Arial" w:hAnsi="Arial" w:cs="Arial"/>
            <w:sz w:val="24"/>
            <w:szCs w:val="24"/>
          </w:rPr>
          <w:t>(MCLs)</w:t>
        </w:r>
      </w:hyperlink>
      <w:r w:rsidRPr="007C746F">
        <w:rPr>
          <w:rFonts w:ascii="Arial" w:hAnsi="Arial" w:cs="Arial"/>
          <w:sz w:val="24"/>
          <w:szCs w:val="24"/>
        </w:rPr>
        <w:t>.</w:t>
      </w:r>
    </w:p>
    <w:p w14:paraId="09301F07" w14:textId="3C700085" w:rsidR="00B0523D" w:rsidRPr="007C746F" w:rsidRDefault="00B0523D" w:rsidP="001A1EFD">
      <w:pPr>
        <w:spacing w:after="120" w:line="240" w:lineRule="auto"/>
        <w:rPr>
          <w:rFonts w:ascii="Arial" w:hAnsi="Arial" w:cs="Arial"/>
          <w:sz w:val="24"/>
          <w:szCs w:val="24"/>
        </w:rPr>
      </w:pPr>
      <w:r w:rsidRPr="007C746F">
        <w:rPr>
          <w:rFonts w:ascii="Arial" w:hAnsi="Arial" w:cs="Arial"/>
          <w:sz w:val="24"/>
          <w:szCs w:val="24"/>
        </w:rPr>
        <w:t xml:space="preserve">When chemicals are found at concentrations greater than these levels, certain </w:t>
      </w:r>
      <w:r w:rsidR="00856618" w:rsidRPr="007C746F">
        <w:rPr>
          <w:rFonts w:ascii="Arial" w:hAnsi="Arial" w:cs="Arial"/>
          <w:sz w:val="24"/>
          <w:szCs w:val="24"/>
        </w:rPr>
        <w:t>requirements</w:t>
      </w:r>
      <w:r w:rsidRPr="007C746F">
        <w:rPr>
          <w:rFonts w:ascii="Arial" w:hAnsi="Arial" w:cs="Arial"/>
          <w:sz w:val="24"/>
          <w:szCs w:val="24"/>
        </w:rPr>
        <w:t xml:space="preserve"> and recommendations apply. </w:t>
      </w:r>
    </w:p>
    <w:p w14:paraId="16230F89" w14:textId="0260094C" w:rsidR="00B0523D" w:rsidRPr="007C746F" w:rsidRDefault="00B0523D" w:rsidP="001A1EFD">
      <w:pPr>
        <w:pStyle w:val="NormalWeb"/>
        <w:spacing w:before="0" w:beforeAutospacing="0" w:after="120" w:afterAutospacing="0"/>
        <w:rPr>
          <w:rFonts w:ascii="Arial" w:hAnsi="Arial" w:cs="Arial"/>
        </w:rPr>
      </w:pPr>
      <w:r w:rsidRPr="007C746F">
        <w:rPr>
          <w:rFonts w:ascii="Arial" w:hAnsi="Arial" w:cs="Arial"/>
        </w:rPr>
        <w:t xml:space="preserve">Generally, notification levels have been established in response to actual contamination of drinking water supplies, </w:t>
      </w:r>
      <w:r w:rsidRPr="007C746F">
        <w:rPr>
          <w:rFonts w:ascii="Arial" w:hAnsi="Arial" w:cs="Arial"/>
          <w:i/>
          <w:iCs/>
        </w:rPr>
        <w:t>e.g.</w:t>
      </w:r>
      <w:r w:rsidRPr="007C746F">
        <w:rPr>
          <w:rFonts w:ascii="Arial" w:hAnsi="Arial" w:cs="Arial"/>
        </w:rPr>
        <w:t xml:space="preserve">, perchlorate, which now has an MCL. However, notification levels for a number of chemicals were established in anticipation of possible contamination, such as from a hazardous waste site containing many pesticides (in the 1980s), or from a Superfund site (in the 2000s).   </w:t>
      </w:r>
    </w:p>
    <w:p w14:paraId="5A17B2E4" w14:textId="4CB84B08" w:rsidR="00B0523D" w:rsidRPr="007C746F" w:rsidRDefault="00B0523D" w:rsidP="001A1EFD">
      <w:pPr>
        <w:pStyle w:val="NormalWeb"/>
        <w:spacing w:before="0" w:beforeAutospacing="0" w:after="120" w:afterAutospacing="0"/>
        <w:rPr>
          <w:rFonts w:ascii="Arial" w:hAnsi="Arial" w:cs="Arial"/>
        </w:rPr>
      </w:pPr>
      <w:r w:rsidRPr="007C746F">
        <w:rPr>
          <w:rFonts w:ascii="Arial" w:hAnsi="Arial" w:cs="Arial"/>
        </w:rPr>
        <w:t>Chemicals for which notification levels are established may eventually be regulated by MCLs (through a formal regulatory process), depending on the extent of contamination, the levels observed, and the risk to human health. Most, however, have not proceeded to MCLs.</w:t>
      </w:r>
    </w:p>
    <w:p w14:paraId="5A36B08A" w14:textId="53B20955" w:rsidR="00B0523D" w:rsidRPr="007C746F" w:rsidRDefault="00B0523D" w:rsidP="00F8705F">
      <w:pPr>
        <w:pStyle w:val="NormalWeb"/>
        <w:keepLines/>
        <w:spacing w:before="0" w:beforeAutospacing="0" w:after="240" w:afterAutospacing="0"/>
        <w:rPr>
          <w:rFonts w:ascii="Arial" w:hAnsi="Arial" w:cs="Arial"/>
        </w:rPr>
      </w:pPr>
      <w:r w:rsidRPr="007C746F">
        <w:rPr>
          <w:rFonts w:ascii="Arial" w:hAnsi="Arial" w:cs="Arial"/>
        </w:rPr>
        <w:lastRenderedPageBreak/>
        <w:t>Once established, a notification level generally stays in place, unless it is replaced by an MCL. On occasion, though, we have revised the numeric value of an individual notification level to reflect new risk assessment information on the particular chemical. For some of the chemicals that had advisory levels established early on, if no MCL was adopted and the need for the notification level had passed, the advisory level was archived. </w:t>
      </w:r>
      <w:hyperlink r:id="rId9" w:history="1">
        <w:r w:rsidRPr="00C57605">
          <w:rPr>
            <w:rStyle w:val="Hyperlink"/>
            <w:rFonts w:ascii="Arial" w:hAnsi="Arial" w:cs="Arial"/>
          </w:rPr>
          <w:t>Archived advisory levels</w:t>
        </w:r>
      </w:hyperlink>
      <w:r w:rsidRPr="007C746F">
        <w:rPr>
          <w:rFonts w:ascii="Arial" w:hAnsi="Arial" w:cs="Arial"/>
        </w:rPr>
        <w:t xml:space="preserve"> may nevertheless be updated to reflect any new risk information that may become </w:t>
      </w:r>
      <w:r w:rsidR="008F6DAE" w:rsidRPr="007C746F">
        <w:rPr>
          <w:rFonts w:ascii="Arial" w:hAnsi="Arial" w:cs="Arial"/>
        </w:rPr>
        <w:t>available and</w:t>
      </w:r>
      <w:r w:rsidRPr="007C746F">
        <w:rPr>
          <w:rFonts w:ascii="Arial" w:hAnsi="Arial" w:cs="Arial"/>
        </w:rPr>
        <w:t xml:space="preserve"> may be used as notification levels if needed.</w:t>
      </w:r>
    </w:p>
    <w:p w14:paraId="57AE7147" w14:textId="701CE9E0" w:rsidR="008F6DAE" w:rsidRPr="007C746F" w:rsidRDefault="004B1639" w:rsidP="001A1EFD">
      <w:pPr>
        <w:pStyle w:val="NormalWeb"/>
        <w:spacing w:before="0" w:beforeAutospacing="0" w:after="240" w:afterAutospacing="0"/>
        <w:rPr>
          <w:rFonts w:ascii="Arial" w:hAnsi="Arial" w:cs="Arial"/>
        </w:rPr>
      </w:pPr>
      <w:r w:rsidRPr="007C746F">
        <w:rPr>
          <w:rFonts w:ascii="Arial" w:hAnsi="Arial" w:cs="Arial"/>
        </w:rPr>
        <w:t xml:space="preserve">In total, </w:t>
      </w:r>
      <w:r w:rsidR="008F6DAE" w:rsidRPr="007C746F">
        <w:rPr>
          <w:rFonts w:ascii="Arial" w:hAnsi="Arial" w:cs="Arial"/>
        </w:rPr>
        <w:t xml:space="preserve">notification levels have been established </w:t>
      </w:r>
      <w:r w:rsidR="00B0523D" w:rsidRPr="007C746F">
        <w:rPr>
          <w:rFonts w:ascii="Arial" w:hAnsi="Arial" w:cs="Arial"/>
        </w:rPr>
        <w:t xml:space="preserve">for </w:t>
      </w:r>
      <w:r w:rsidR="00D1666F" w:rsidRPr="007C746F">
        <w:rPr>
          <w:rFonts w:ascii="Arial" w:hAnsi="Arial" w:cs="Arial"/>
        </w:rPr>
        <w:t>9</w:t>
      </w:r>
      <w:r w:rsidR="00D1666F">
        <w:rPr>
          <w:rFonts w:ascii="Arial" w:hAnsi="Arial" w:cs="Arial"/>
        </w:rPr>
        <w:t>8</w:t>
      </w:r>
      <w:r w:rsidR="00D1666F" w:rsidRPr="007C746F">
        <w:rPr>
          <w:rFonts w:ascii="Arial" w:hAnsi="Arial" w:cs="Arial"/>
        </w:rPr>
        <w:t xml:space="preserve"> </w:t>
      </w:r>
      <w:r w:rsidR="008F6DAE" w:rsidRPr="007C746F">
        <w:rPr>
          <w:rFonts w:ascii="Arial" w:hAnsi="Arial" w:cs="Arial"/>
        </w:rPr>
        <w:t xml:space="preserve">chemicals, for </w:t>
      </w:r>
      <w:r w:rsidR="001A11CF" w:rsidRPr="007C746F">
        <w:rPr>
          <w:rFonts w:ascii="Arial" w:hAnsi="Arial" w:cs="Arial"/>
        </w:rPr>
        <w:t>which</w:t>
      </w:r>
      <w:r w:rsidRPr="007C746F">
        <w:rPr>
          <w:rFonts w:ascii="Arial" w:hAnsi="Arial" w:cs="Arial"/>
        </w:rPr>
        <w:t xml:space="preserve"> </w:t>
      </w:r>
      <w:r w:rsidR="00D1666F" w:rsidRPr="007C746F">
        <w:rPr>
          <w:rFonts w:ascii="Arial" w:hAnsi="Arial" w:cs="Arial"/>
        </w:rPr>
        <w:t>3</w:t>
      </w:r>
      <w:r w:rsidR="00D1666F">
        <w:rPr>
          <w:rFonts w:ascii="Arial" w:hAnsi="Arial" w:cs="Arial"/>
        </w:rPr>
        <w:t>4</w:t>
      </w:r>
      <w:r w:rsidR="00D1666F" w:rsidRPr="007C746F">
        <w:rPr>
          <w:rFonts w:ascii="Arial" w:hAnsi="Arial" w:cs="Arial"/>
        </w:rPr>
        <w:t xml:space="preserve"> </w:t>
      </w:r>
      <w:r w:rsidRPr="007C746F">
        <w:rPr>
          <w:rFonts w:ascii="Arial" w:hAnsi="Arial" w:cs="Arial"/>
        </w:rPr>
        <w:t>chemicals have notification level</w:t>
      </w:r>
      <w:r w:rsidR="008F6DAE" w:rsidRPr="007C746F">
        <w:rPr>
          <w:rFonts w:ascii="Arial" w:hAnsi="Arial" w:cs="Arial"/>
        </w:rPr>
        <w:t xml:space="preserve">s, </w:t>
      </w:r>
      <w:r w:rsidR="00B0523D" w:rsidRPr="007C746F">
        <w:rPr>
          <w:rFonts w:ascii="Arial" w:hAnsi="Arial" w:cs="Arial"/>
        </w:rPr>
        <w:t xml:space="preserve">40 </w:t>
      </w:r>
      <w:r w:rsidR="008F6DAE" w:rsidRPr="007C746F">
        <w:rPr>
          <w:rFonts w:ascii="Arial" w:hAnsi="Arial" w:cs="Arial"/>
        </w:rPr>
        <w:t xml:space="preserve">chemicals </w:t>
      </w:r>
      <w:r w:rsidR="00B0523D" w:rsidRPr="007C746F">
        <w:rPr>
          <w:rFonts w:ascii="Arial" w:hAnsi="Arial" w:cs="Arial"/>
        </w:rPr>
        <w:t>now have MC</w:t>
      </w:r>
      <w:r w:rsidR="008F6DAE" w:rsidRPr="007C746F">
        <w:rPr>
          <w:rFonts w:ascii="Arial" w:hAnsi="Arial" w:cs="Arial"/>
        </w:rPr>
        <w:t>LS and 24</w:t>
      </w:r>
      <w:r w:rsidR="00B0523D" w:rsidRPr="007C746F">
        <w:rPr>
          <w:rFonts w:ascii="Arial" w:hAnsi="Arial" w:cs="Arial"/>
        </w:rPr>
        <w:t xml:space="preserve"> are chemicals with archived advisory levels (AALs).</w:t>
      </w:r>
    </w:p>
    <w:p w14:paraId="1F191229" w14:textId="2EBEB270" w:rsidR="00B0523D" w:rsidRPr="007C746F" w:rsidRDefault="00B1475E" w:rsidP="001A1EFD">
      <w:pPr>
        <w:pStyle w:val="NormalWeb"/>
        <w:spacing w:before="0" w:beforeAutospacing="0" w:after="240" w:afterAutospacing="0"/>
        <w:rPr>
          <w:rFonts w:ascii="Arial" w:hAnsi="Arial" w:cs="Arial"/>
        </w:rPr>
      </w:pPr>
      <w:r w:rsidRPr="007C746F">
        <w:rPr>
          <w:rFonts w:ascii="Arial" w:hAnsi="Arial" w:cs="Arial"/>
        </w:rPr>
        <w:t xml:space="preserve">Note that following adoption of an MCL, the notification level is no longer used. </w:t>
      </w:r>
      <w:r w:rsidR="00B0523D" w:rsidRPr="007C746F">
        <w:rPr>
          <w:rFonts w:ascii="Arial" w:hAnsi="Arial" w:cs="Arial"/>
        </w:rPr>
        <w:t xml:space="preserve">For more about AALs and notification levels, go to </w:t>
      </w:r>
      <w:hyperlink r:id="rId10" w:history="1">
        <w:r w:rsidR="00B0523D" w:rsidRPr="00965FA2">
          <w:rPr>
            <w:rStyle w:val="Hyperlink"/>
            <w:rFonts w:ascii="Arial" w:hAnsi="Arial" w:cs="Arial"/>
            <w:sz w:val="23"/>
            <w:szCs w:val="23"/>
          </w:rPr>
          <w:t>http://www.waterboards.ca.gov/drinking_water/certlic/drinkingwater/NotificationLevels.shtml</w:t>
        </w:r>
      </w:hyperlink>
      <w:r w:rsidR="00B0523D" w:rsidRPr="00965FA2">
        <w:rPr>
          <w:rFonts w:ascii="Arial" w:hAnsi="Arial" w:cs="Arial"/>
          <w:sz w:val="23"/>
          <w:szCs w:val="23"/>
        </w:rPr>
        <w:t>.</w:t>
      </w:r>
      <w:r w:rsidR="00B0523D" w:rsidRPr="007C746F">
        <w:rPr>
          <w:rFonts w:ascii="Arial" w:hAnsi="Arial" w:cs="Arial"/>
        </w:rPr>
        <w:t xml:space="preserve"> </w:t>
      </w:r>
    </w:p>
    <w:tbl>
      <w:tblPr>
        <w:tblStyle w:val="TableGridLight"/>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6"/>
        <w:gridCol w:w="1814"/>
        <w:gridCol w:w="1742"/>
        <w:gridCol w:w="1742"/>
        <w:gridCol w:w="1742"/>
      </w:tblGrid>
      <w:tr w:rsidR="00B0523D" w:rsidRPr="007C746F" w14:paraId="0626E147" w14:textId="77777777" w:rsidTr="0002555E">
        <w:trPr>
          <w:trHeight w:val="742"/>
        </w:trPr>
        <w:tc>
          <w:tcPr>
            <w:tcW w:w="1846" w:type="dxa"/>
            <w:vAlign w:val="center"/>
          </w:tcPr>
          <w:p w14:paraId="1FDA7D59" w14:textId="77777777" w:rsidR="00B0523D" w:rsidRPr="007C746F" w:rsidRDefault="00B0523D" w:rsidP="0066208E">
            <w:pPr>
              <w:keepNext/>
              <w:jc w:val="center"/>
              <w:rPr>
                <w:rFonts w:ascii="Arial" w:eastAsia="Arial Unicode MS" w:hAnsi="Arial" w:cs="Arial"/>
                <w:b/>
                <w:bCs/>
                <w:sz w:val="24"/>
                <w:szCs w:val="24"/>
              </w:rPr>
            </w:pPr>
            <w:r w:rsidRPr="007C746F">
              <w:rPr>
                <w:rFonts w:ascii="Arial" w:hAnsi="Arial" w:cs="Arial"/>
                <w:b/>
                <w:bCs/>
                <w:sz w:val="24"/>
                <w:szCs w:val="24"/>
              </w:rPr>
              <w:t>Decade</w:t>
            </w:r>
            <w:r w:rsidRPr="007C746F">
              <w:rPr>
                <w:rFonts w:ascii="Arial" w:hAnsi="Arial" w:cs="Arial"/>
                <w:b/>
                <w:bCs/>
                <w:sz w:val="24"/>
                <w:szCs w:val="24"/>
              </w:rPr>
              <w:br/>
              <w:t>Established</w:t>
            </w:r>
          </w:p>
        </w:tc>
        <w:tc>
          <w:tcPr>
            <w:tcW w:w="1814" w:type="dxa"/>
            <w:vAlign w:val="center"/>
          </w:tcPr>
          <w:p w14:paraId="1C0779A1" w14:textId="77777777" w:rsidR="00B0523D" w:rsidRPr="007C746F" w:rsidRDefault="00B0523D" w:rsidP="0066208E">
            <w:pPr>
              <w:keepNext/>
              <w:jc w:val="center"/>
              <w:rPr>
                <w:rFonts w:ascii="Arial" w:eastAsia="Arial Unicode MS" w:hAnsi="Arial" w:cs="Arial"/>
                <w:b/>
                <w:bCs/>
                <w:sz w:val="24"/>
                <w:szCs w:val="24"/>
              </w:rPr>
            </w:pPr>
            <w:r w:rsidRPr="007C746F">
              <w:rPr>
                <w:rFonts w:ascii="Arial" w:hAnsi="Arial" w:cs="Arial"/>
                <w:b/>
                <w:bCs/>
                <w:sz w:val="24"/>
                <w:szCs w:val="24"/>
              </w:rPr>
              <w:t>Notification Levels</w:t>
            </w:r>
          </w:p>
        </w:tc>
        <w:tc>
          <w:tcPr>
            <w:tcW w:w="1742" w:type="dxa"/>
            <w:vAlign w:val="center"/>
          </w:tcPr>
          <w:p w14:paraId="65D1D51A" w14:textId="2DD53301" w:rsidR="00B0523D" w:rsidRPr="007C746F" w:rsidRDefault="00B0523D" w:rsidP="0066208E">
            <w:pPr>
              <w:pStyle w:val="NormalWeb"/>
              <w:keepNext/>
              <w:jc w:val="center"/>
              <w:rPr>
                <w:rFonts w:ascii="Arial" w:hAnsi="Arial" w:cs="Arial"/>
                <w:b/>
                <w:bCs/>
              </w:rPr>
            </w:pPr>
            <w:r w:rsidRPr="007C746F">
              <w:rPr>
                <w:rFonts w:ascii="Arial" w:hAnsi="Arial" w:cs="Arial"/>
                <w:b/>
                <w:bCs/>
              </w:rPr>
              <w:t>Now with MCLs</w:t>
            </w:r>
          </w:p>
        </w:tc>
        <w:tc>
          <w:tcPr>
            <w:tcW w:w="1742" w:type="dxa"/>
            <w:vAlign w:val="center"/>
          </w:tcPr>
          <w:p w14:paraId="3DE92874" w14:textId="77777777" w:rsidR="00B0523D" w:rsidRPr="007C746F" w:rsidRDefault="00B0523D" w:rsidP="0066208E">
            <w:pPr>
              <w:keepNext/>
              <w:ind w:left="11"/>
              <w:jc w:val="center"/>
              <w:rPr>
                <w:rFonts w:ascii="Arial" w:eastAsia="Arial Unicode MS" w:hAnsi="Arial" w:cs="Arial"/>
                <w:b/>
                <w:bCs/>
                <w:sz w:val="24"/>
                <w:szCs w:val="24"/>
              </w:rPr>
            </w:pPr>
            <w:r w:rsidRPr="007C746F">
              <w:rPr>
                <w:rFonts w:ascii="Arial" w:hAnsi="Arial" w:cs="Arial"/>
                <w:b/>
                <w:bCs/>
                <w:sz w:val="24"/>
                <w:szCs w:val="24"/>
              </w:rPr>
              <w:t>Archived</w:t>
            </w:r>
          </w:p>
        </w:tc>
        <w:tc>
          <w:tcPr>
            <w:tcW w:w="1742" w:type="dxa"/>
            <w:vAlign w:val="center"/>
          </w:tcPr>
          <w:p w14:paraId="34C1B419" w14:textId="77777777" w:rsidR="00B0523D" w:rsidRPr="007C746F" w:rsidRDefault="00B0523D" w:rsidP="0066208E">
            <w:pPr>
              <w:keepNext/>
              <w:ind w:left="138"/>
              <w:rPr>
                <w:rFonts w:ascii="Arial" w:eastAsia="Arial Unicode MS" w:hAnsi="Arial" w:cs="Arial"/>
                <w:b/>
                <w:bCs/>
                <w:sz w:val="24"/>
                <w:szCs w:val="24"/>
              </w:rPr>
            </w:pPr>
            <w:r w:rsidRPr="007C746F">
              <w:rPr>
                <w:rFonts w:ascii="Arial" w:hAnsi="Arial" w:cs="Arial"/>
                <w:b/>
                <w:bCs/>
                <w:sz w:val="24"/>
                <w:szCs w:val="24"/>
              </w:rPr>
              <w:t> Current</w:t>
            </w:r>
          </w:p>
        </w:tc>
      </w:tr>
      <w:tr w:rsidR="00B0523D" w:rsidRPr="007C746F" w14:paraId="00D48260" w14:textId="77777777" w:rsidTr="0002555E">
        <w:trPr>
          <w:trHeight w:val="391"/>
        </w:trPr>
        <w:tc>
          <w:tcPr>
            <w:tcW w:w="1846" w:type="dxa"/>
            <w:vAlign w:val="center"/>
          </w:tcPr>
          <w:p w14:paraId="1C9D0B21" w14:textId="77777777" w:rsidR="00B0523D" w:rsidRPr="007C746F" w:rsidRDefault="00B0523D" w:rsidP="00DA34F9">
            <w:pPr>
              <w:jc w:val="center"/>
              <w:rPr>
                <w:rFonts w:ascii="Arial" w:eastAsia="Arial Unicode MS" w:hAnsi="Arial" w:cs="Arial"/>
                <w:sz w:val="24"/>
                <w:szCs w:val="24"/>
              </w:rPr>
            </w:pPr>
            <w:r w:rsidRPr="007C746F">
              <w:rPr>
                <w:rFonts w:ascii="Arial" w:hAnsi="Arial" w:cs="Arial"/>
                <w:sz w:val="24"/>
                <w:szCs w:val="24"/>
              </w:rPr>
              <w:t>1980s</w:t>
            </w:r>
          </w:p>
        </w:tc>
        <w:tc>
          <w:tcPr>
            <w:tcW w:w="1814" w:type="dxa"/>
            <w:vAlign w:val="center"/>
          </w:tcPr>
          <w:p w14:paraId="4FC0BC84" w14:textId="77777777"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60</w:t>
            </w:r>
          </w:p>
        </w:tc>
        <w:tc>
          <w:tcPr>
            <w:tcW w:w="1742" w:type="dxa"/>
            <w:vAlign w:val="center"/>
          </w:tcPr>
          <w:p w14:paraId="300CF164" w14:textId="77777777" w:rsidR="00B0523D" w:rsidRPr="007C746F" w:rsidRDefault="00B0523D" w:rsidP="003C7C82">
            <w:pPr>
              <w:tabs>
                <w:tab w:val="decimal" w:pos="841"/>
              </w:tabs>
              <w:rPr>
                <w:rFonts w:ascii="Arial" w:eastAsia="Arial Unicode MS" w:hAnsi="Arial" w:cs="Arial"/>
                <w:sz w:val="24"/>
                <w:szCs w:val="24"/>
              </w:rPr>
            </w:pPr>
            <w:r w:rsidRPr="007C746F">
              <w:rPr>
                <w:rFonts w:ascii="Arial" w:hAnsi="Arial" w:cs="Arial"/>
                <w:sz w:val="24"/>
                <w:szCs w:val="24"/>
              </w:rPr>
              <w:t>37</w:t>
            </w:r>
          </w:p>
        </w:tc>
        <w:tc>
          <w:tcPr>
            <w:tcW w:w="1742" w:type="dxa"/>
            <w:vAlign w:val="center"/>
          </w:tcPr>
          <w:p w14:paraId="7B955035" w14:textId="071B286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2</w:t>
            </w:r>
            <w:r w:rsidR="00D74F12" w:rsidRPr="007C746F">
              <w:rPr>
                <w:rFonts w:ascii="Arial" w:hAnsi="Arial" w:cs="Arial"/>
                <w:sz w:val="24"/>
                <w:szCs w:val="24"/>
              </w:rPr>
              <w:t>1</w:t>
            </w:r>
          </w:p>
        </w:tc>
        <w:tc>
          <w:tcPr>
            <w:tcW w:w="1742" w:type="dxa"/>
            <w:vAlign w:val="center"/>
          </w:tcPr>
          <w:p w14:paraId="2A32FB04" w14:textId="2C5FEAF0" w:rsidR="00B0523D" w:rsidRPr="007C746F" w:rsidRDefault="00D74F12" w:rsidP="00995789">
            <w:pPr>
              <w:tabs>
                <w:tab w:val="decimal" w:pos="901"/>
              </w:tabs>
              <w:rPr>
                <w:rFonts w:ascii="Arial" w:eastAsia="Arial Unicode MS" w:hAnsi="Arial" w:cs="Arial"/>
                <w:sz w:val="24"/>
                <w:szCs w:val="24"/>
              </w:rPr>
            </w:pPr>
            <w:r w:rsidRPr="007C746F">
              <w:rPr>
                <w:rFonts w:ascii="Arial" w:hAnsi="Arial" w:cs="Arial"/>
                <w:sz w:val="24"/>
                <w:szCs w:val="24"/>
              </w:rPr>
              <w:t>2</w:t>
            </w:r>
          </w:p>
        </w:tc>
      </w:tr>
      <w:tr w:rsidR="00B0523D" w:rsidRPr="007C746F" w14:paraId="48179F33" w14:textId="77777777" w:rsidTr="0002555E">
        <w:trPr>
          <w:trHeight w:val="371"/>
        </w:trPr>
        <w:tc>
          <w:tcPr>
            <w:tcW w:w="1846" w:type="dxa"/>
            <w:vAlign w:val="center"/>
          </w:tcPr>
          <w:p w14:paraId="739A6002" w14:textId="77777777" w:rsidR="00B0523D" w:rsidRPr="007C746F" w:rsidRDefault="00B0523D" w:rsidP="00DA34F9">
            <w:pPr>
              <w:jc w:val="center"/>
              <w:rPr>
                <w:rFonts w:ascii="Arial" w:eastAsia="Arial Unicode MS" w:hAnsi="Arial" w:cs="Arial"/>
                <w:sz w:val="24"/>
                <w:szCs w:val="24"/>
              </w:rPr>
            </w:pPr>
            <w:r w:rsidRPr="007C746F">
              <w:rPr>
                <w:rFonts w:ascii="Arial" w:hAnsi="Arial" w:cs="Arial"/>
                <w:sz w:val="24"/>
                <w:szCs w:val="24"/>
              </w:rPr>
              <w:t>1990s</w:t>
            </w:r>
          </w:p>
        </w:tc>
        <w:tc>
          <w:tcPr>
            <w:tcW w:w="1814" w:type="dxa"/>
            <w:vAlign w:val="center"/>
          </w:tcPr>
          <w:p w14:paraId="04622358" w14:textId="77777777"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12</w:t>
            </w:r>
          </w:p>
        </w:tc>
        <w:tc>
          <w:tcPr>
            <w:tcW w:w="1742" w:type="dxa"/>
            <w:vAlign w:val="center"/>
          </w:tcPr>
          <w:p w14:paraId="43F2944D" w14:textId="039D28EB" w:rsidR="00B0523D" w:rsidRPr="007C746F" w:rsidRDefault="00D74F12" w:rsidP="003C7C82">
            <w:pPr>
              <w:tabs>
                <w:tab w:val="decimal" w:pos="841"/>
              </w:tabs>
              <w:rPr>
                <w:rFonts w:ascii="Arial" w:eastAsia="Arial Unicode MS" w:hAnsi="Arial" w:cs="Arial"/>
                <w:sz w:val="24"/>
                <w:szCs w:val="24"/>
              </w:rPr>
            </w:pPr>
            <w:r w:rsidRPr="007C746F">
              <w:rPr>
                <w:rFonts w:ascii="Arial" w:hAnsi="Arial" w:cs="Arial"/>
                <w:sz w:val="24"/>
                <w:szCs w:val="24"/>
              </w:rPr>
              <w:t>2</w:t>
            </w:r>
          </w:p>
        </w:tc>
        <w:tc>
          <w:tcPr>
            <w:tcW w:w="1742" w:type="dxa"/>
            <w:vAlign w:val="center"/>
          </w:tcPr>
          <w:p w14:paraId="4C3023B1" w14:textId="7777777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3</w:t>
            </w:r>
          </w:p>
        </w:tc>
        <w:tc>
          <w:tcPr>
            <w:tcW w:w="1742" w:type="dxa"/>
            <w:vAlign w:val="center"/>
          </w:tcPr>
          <w:p w14:paraId="6DD60F58" w14:textId="7331DB24" w:rsidR="00B0523D" w:rsidRPr="007C746F" w:rsidRDefault="00D74F12" w:rsidP="00995789">
            <w:pPr>
              <w:tabs>
                <w:tab w:val="decimal" w:pos="901"/>
              </w:tabs>
              <w:rPr>
                <w:rFonts w:ascii="Arial" w:eastAsia="Arial Unicode MS" w:hAnsi="Arial" w:cs="Arial"/>
                <w:sz w:val="24"/>
                <w:szCs w:val="24"/>
              </w:rPr>
            </w:pPr>
            <w:r w:rsidRPr="007C746F">
              <w:rPr>
                <w:rFonts w:ascii="Arial" w:hAnsi="Arial" w:cs="Arial"/>
                <w:sz w:val="24"/>
                <w:szCs w:val="24"/>
              </w:rPr>
              <w:t>7</w:t>
            </w:r>
          </w:p>
        </w:tc>
      </w:tr>
      <w:tr w:rsidR="00B0523D" w:rsidRPr="007C746F" w14:paraId="5612752B" w14:textId="77777777" w:rsidTr="0002555E">
        <w:trPr>
          <w:trHeight w:val="371"/>
        </w:trPr>
        <w:tc>
          <w:tcPr>
            <w:tcW w:w="1846" w:type="dxa"/>
            <w:vAlign w:val="center"/>
          </w:tcPr>
          <w:p w14:paraId="4D4347A9" w14:textId="6B7DF3DA" w:rsidR="00B0523D" w:rsidRPr="007C746F" w:rsidRDefault="00B0523D" w:rsidP="00DA34F9">
            <w:pPr>
              <w:jc w:val="center"/>
              <w:rPr>
                <w:rFonts w:ascii="Arial" w:eastAsia="Arial Unicode MS" w:hAnsi="Arial" w:cs="Arial"/>
                <w:sz w:val="24"/>
                <w:szCs w:val="24"/>
              </w:rPr>
            </w:pPr>
            <w:bookmarkStart w:id="2" w:name="_Hlk66696753"/>
            <w:r w:rsidRPr="007C746F">
              <w:rPr>
                <w:rFonts w:ascii="Arial" w:hAnsi="Arial" w:cs="Arial"/>
                <w:sz w:val="24"/>
                <w:szCs w:val="24"/>
              </w:rPr>
              <w:t>2000s</w:t>
            </w:r>
            <w:bookmarkEnd w:id="2"/>
          </w:p>
        </w:tc>
        <w:tc>
          <w:tcPr>
            <w:tcW w:w="1814" w:type="dxa"/>
            <w:vAlign w:val="center"/>
          </w:tcPr>
          <w:p w14:paraId="2920F9F5" w14:textId="2B28E40E"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2</w:t>
            </w:r>
            <w:r w:rsidR="00B90FCF" w:rsidRPr="007C746F">
              <w:rPr>
                <w:rFonts w:ascii="Arial" w:hAnsi="Arial" w:cs="Arial"/>
                <w:sz w:val="24"/>
                <w:szCs w:val="24"/>
              </w:rPr>
              <w:t>1</w:t>
            </w:r>
          </w:p>
        </w:tc>
        <w:tc>
          <w:tcPr>
            <w:tcW w:w="1742" w:type="dxa"/>
            <w:vAlign w:val="center"/>
          </w:tcPr>
          <w:p w14:paraId="7122047E" w14:textId="00B26289" w:rsidR="00B0523D" w:rsidRPr="007C746F" w:rsidRDefault="00B90FCF" w:rsidP="003C7C82">
            <w:pPr>
              <w:tabs>
                <w:tab w:val="decimal" w:pos="841"/>
              </w:tabs>
              <w:rPr>
                <w:rFonts w:ascii="Arial" w:eastAsia="Arial Unicode MS" w:hAnsi="Arial" w:cs="Arial"/>
                <w:sz w:val="24"/>
                <w:szCs w:val="24"/>
              </w:rPr>
            </w:pPr>
            <w:r w:rsidRPr="007C746F">
              <w:rPr>
                <w:rFonts w:ascii="Arial" w:hAnsi="Arial" w:cs="Arial"/>
                <w:sz w:val="24"/>
                <w:szCs w:val="24"/>
              </w:rPr>
              <w:t>0</w:t>
            </w:r>
          </w:p>
        </w:tc>
        <w:tc>
          <w:tcPr>
            <w:tcW w:w="1742" w:type="dxa"/>
            <w:vAlign w:val="center"/>
          </w:tcPr>
          <w:p w14:paraId="41134378" w14:textId="7777777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0</w:t>
            </w:r>
          </w:p>
        </w:tc>
        <w:tc>
          <w:tcPr>
            <w:tcW w:w="1742" w:type="dxa"/>
            <w:vAlign w:val="center"/>
          </w:tcPr>
          <w:p w14:paraId="1B102970" w14:textId="7054AFEC" w:rsidR="00B0523D" w:rsidRPr="007C746F" w:rsidRDefault="00F92237" w:rsidP="00995789">
            <w:pPr>
              <w:tabs>
                <w:tab w:val="decimal" w:pos="901"/>
              </w:tabs>
              <w:rPr>
                <w:rFonts w:ascii="Arial" w:eastAsia="Arial Unicode MS" w:hAnsi="Arial" w:cs="Arial"/>
                <w:sz w:val="24"/>
                <w:szCs w:val="24"/>
              </w:rPr>
            </w:pPr>
            <w:r w:rsidRPr="007C746F">
              <w:rPr>
                <w:rFonts w:ascii="Arial" w:hAnsi="Arial" w:cs="Arial"/>
                <w:sz w:val="24"/>
                <w:szCs w:val="24"/>
              </w:rPr>
              <w:t>21</w:t>
            </w:r>
          </w:p>
        </w:tc>
      </w:tr>
      <w:tr w:rsidR="00877327" w:rsidRPr="007C746F" w14:paraId="5BC10C4E" w14:textId="77777777" w:rsidTr="0002555E">
        <w:trPr>
          <w:trHeight w:val="371"/>
        </w:trPr>
        <w:tc>
          <w:tcPr>
            <w:tcW w:w="1846" w:type="dxa"/>
            <w:vAlign w:val="center"/>
          </w:tcPr>
          <w:p w14:paraId="494A26E6" w14:textId="18A0AF56" w:rsidR="00877327" w:rsidRPr="007C746F" w:rsidRDefault="00877327" w:rsidP="00DA34F9">
            <w:pPr>
              <w:jc w:val="center"/>
              <w:rPr>
                <w:rFonts w:ascii="Arial" w:hAnsi="Arial" w:cs="Arial"/>
                <w:sz w:val="24"/>
                <w:szCs w:val="24"/>
              </w:rPr>
            </w:pPr>
            <w:r w:rsidRPr="007C746F">
              <w:rPr>
                <w:rFonts w:ascii="Arial" w:hAnsi="Arial" w:cs="Arial"/>
                <w:sz w:val="24"/>
                <w:szCs w:val="24"/>
              </w:rPr>
              <w:t>20</w:t>
            </w:r>
            <w:r w:rsidR="0048649F" w:rsidRPr="007C746F">
              <w:rPr>
                <w:rFonts w:ascii="Arial" w:hAnsi="Arial" w:cs="Arial"/>
                <w:sz w:val="24"/>
                <w:szCs w:val="24"/>
              </w:rPr>
              <w:t>10</w:t>
            </w:r>
            <w:r w:rsidRPr="007C746F">
              <w:rPr>
                <w:rFonts w:ascii="Arial" w:hAnsi="Arial" w:cs="Arial"/>
                <w:sz w:val="24"/>
                <w:szCs w:val="24"/>
              </w:rPr>
              <w:t>s</w:t>
            </w:r>
          </w:p>
        </w:tc>
        <w:tc>
          <w:tcPr>
            <w:tcW w:w="1814" w:type="dxa"/>
            <w:vAlign w:val="center"/>
          </w:tcPr>
          <w:p w14:paraId="3CC31102" w14:textId="2C276A29" w:rsidR="00877327" w:rsidRPr="007C746F" w:rsidRDefault="007770B8" w:rsidP="00712BA7">
            <w:pPr>
              <w:tabs>
                <w:tab w:val="decimal" w:pos="916"/>
              </w:tabs>
              <w:rPr>
                <w:rFonts w:ascii="Arial" w:hAnsi="Arial" w:cs="Arial"/>
                <w:sz w:val="24"/>
                <w:szCs w:val="24"/>
              </w:rPr>
            </w:pPr>
            <w:r w:rsidRPr="007C746F">
              <w:rPr>
                <w:rFonts w:ascii="Arial" w:hAnsi="Arial" w:cs="Arial"/>
                <w:sz w:val="24"/>
                <w:szCs w:val="24"/>
              </w:rPr>
              <w:t>2</w:t>
            </w:r>
          </w:p>
        </w:tc>
        <w:tc>
          <w:tcPr>
            <w:tcW w:w="1742" w:type="dxa"/>
            <w:vAlign w:val="center"/>
          </w:tcPr>
          <w:p w14:paraId="22705032" w14:textId="567ADB17" w:rsidR="00877327" w:rsidRPr="007C746F" w:rsidRDefault="00B90FCF" w:rsidP="003C7C82">
            <w:pPr>
              <w:tabs>
                <w:tab w:val="decimal" w:pos="841"/>
              </w:tabs>
              <w:rPr>
                <w:rFonts w:ascii="Arial" w:hAnsi="Arial" w:cs="Arial"/>
                <w:sz w:val="24"/>
                <w:szCs w:val="24"/>
              </w:rPr>
            </w:pPr>
            <w:r w:rsidRPr="007C746F">
              <w:rPr>
                <w:rFonts w:ascii="Arial" w:hAnsi="Arial" w:cs="Arial"/>
                <w:sz w:val="24"/>
                <w:szCs w:val="24"/>
              </w:rPr>
              <w:t>1</w:t>
            </w:r>
          </w:p>
        </w:tc>
        <w:tc>
          <w:tcPr>
            <w:tcW w:w="1742" w:type="dxa"/>
            <w:vAlign w:val="center"/>
          </w:tcPr>
          <w:p w14:paraId="49C1592B" w14:textId="4233D979" w:rsidR="00877327" w:rsidRPr="007C746F" w:rsidRDefault="00B90FCF" w:rsidP="00995789">
            <w:pPr>
              <w:tabs>
                <w:tab w:val="decimal" w:pos="901"/>
              </w:tabs>
              <w:rPr>
                <w:rFonts w:ascii="Arial" w:hAnsi="Arial" w:cs="Arial"/>
                <w:sz w:val="24"/>
                <w:szCs w:val="24"/>
              </w:rPr>
            </w:pPr>
            <w:r w:rsidRPr="007C746F">
              <w:rPr>
                <w:rFonts w:ascii="Arial" w:hAnsi="Arial" w:cs="Arial"/>
                <w:sz w:val="24"/>
                <w:szCs w:val="24"/>
              </w:rPr>
              <w:t>0</w:t>
            </w:r>
          </w:p>
        </w:tc>
        <w:tc>
          <w:tcPr>
            <w:tcW w:w="1742" w:type="dxa"/>
            <w:vAlign w:val="center"/>
          </w:tcPr>
          <w:p w14:paraId="198699A5" w14:textId="3EA84AF5" w:rsidR="00877327" w:rsidRPr="007C746F" w:rsidRDefault="00F92237" w:rsidP="00995789">
            <w:pPr>
              <w:tabs>
                <w:tab w:val="decimal" w:pos="901"/>
              </w:tabs>
              <w:rPr>
                <w:rFonts w:ascii="Arial" w:hAnsi="Arial" w:cs="Arial"/>
                <w:sz w:val="24"/>
                <w:szCs w:val="24"/>
              </w:rPr>
            </w:pPr>
            <w:r w:rsidRPr="007C746F">
              <w:rPr>
                <w:rFonts w:ascii="Arial" w:hAnsi="Arial" w:cs="Arial"/>
                <w:sz w:val="24"/>
                <w:szCs w:val="24"/>
              </w:rPr>
              <w:t>1</w:t>
            </w:r>
          </w:p>
        </w:tc>
      </w:tr>
      <w:tr w:rsidR="007770B8" w:rsidRPr="007C746F" w14:paraId="266E921F" w14:textId="77777777" w:rsidTr="0002555E">
        <w:trPr>
          <w:trHeight w:val="371"/>
        </w:trPr>
        <w:tc>
          <w:tcPr>
            <w:tcW w:w="1846" w:type="dxa"/>
            <w:vAlign w:val="center"/>
          </w:tcPr>
          <w:p w14:paraId="25B8AA36" w14:textId="5F457E28" w:rsidR="007770B8" w:rsidRPr="007C746F" w:rsidRDefault="007770B8" w:rsidP="00DA34F9">
            <w:pPr>
              <w:jc w:val="center"/>
              <w:rPr>
                <w:rFonts w:ascii="Arial" w:hAnsi="Arial" w:cs="Arial"/>
                <w:sz w:val="24"/>
                <w:szCs w:val="24"/>
              </w:rPr>
            </w:pPr>
            <w:r w:rsidRPr="007C746F">
              <w:rPr>
                <w:rFonts w:ascii="Arial" w:hAnsi="Arial" w:cs="Arial"/>
                <w:sz w:val="24"/>
                <w:szCs w:val="24"/>
              </w:rPr>
              <w:t>2020s</w:t>
            </w:r>
          </w:p>
        </w:tc>
        <w:tc>
          <w:tcPr>
            <w:tcW w:w="1814" w:type="dxa"/>
            <w:vAlign w:val="center"/>
          </w:tcPr>
          <w:p w14:paraId="3866A0BA" w14:textId="2AE32AC7" w:rsidR="007770B8" w:rsidRPr="007C746F" w:rsidRDefault="00985D6D" w:rsidP="00712BA7">
            <w:pPr>
              <w:tabs>
                <w:tab w:val="decimal" w:pos="916"/>
              </w:tabs>
              <w:rPr>
                <w:rFonts w:ascii="Arial" w:hAnsi="Arial" w:cs="Arial"/>
                <w:sz w:val="24"/>
                <w:szCs w:val="24"/>
              </w:rPr>
            </w:pPr>
            <w:r>
              <w:rPr>
                <w:rFonts w:ascii="Arial" w:hAnsi="Arial" w:cs="Arial"/>
                <w:sz w:val="24"/>
                <w:szCs w:val="24"/>
              </w:rPr>
              <w:t>3</w:t>
            </w:r>
          </w:p>
        </w:tc>
        <w:tc>
          <w:tcPr>
            <w:tcW w:w="1742" w:type="dxa"/>
            <w:vAlign w:val="center"/>
          </w:tcPr>
          <w:p w14:paraId="5430C182" w14:textId="7F2074D1" w:rsidR="007770B8" w:rsidRPr="007C746F" w:rsidRDefault="007770B8" w:rsidP="003C7C82">
            <w:pPr>
              <w:tabs>
                <w:tab w:val="decimal" w:pos="841"/>
              </w:tabs>
              <w:rPr>
                <w:rFonts w:ascii="Arial" w:hAnsi="Arial" w:cs="Arial"/>
                <w:sz w:val="24"/>
                <w:szCs w:val="24"/>
              </w:rPr>
            </w:pPr>
            <w:r w:rsidRPr="007C746F">
              <w:rPr>
                <w:rFonts w:ascii="Arial" w:hAnsi="Arial" w:cs="Arial"/>
                <w:sz w:val="24"/>
                <w:szCs w:val="24"/>
              </w:rPr>
              <w:t>0</w:t>
            </w:r>
          </w:p>
        </w:tc>
        <w:tc>
          <w:tcPr>
            <w:tcW w:w="1742" w:type="dxa"/>
            <w:vAlign w:val="center"/>
          </w:tcPr>
          <w:p w14:paraId="6D7C6C12" w14:textId="1B2E7289" w:rsidR="007770B8" w:rsidRPr="007C746F" w:rsidRDefault="007770B8" w:rsidP="00995789">
            <w:pPr>
              <w:tabs>
                <w:tab w:val="decimal" w:pos="901"/>
              </w:tabs>
              <w:rPr>
                <w:rFonts w:ascii="Arial" w:hAnsi="Arial" w:cs="Arial"/>
                <w:sz w:val="24"/>
                <w:szCs w:val="24"/>
              </w:rPr>
            </w:pPr>
            <w:r w:rsidRPr="007C746F">
              <w:rPr>
                <w:rFonts w:ascii="Arial" w:hAnsi="Arial" w:cs="Arial"/>
                <w:sz w:val="24"/>
                <w:szCs w:val="24"/>
              </w:rPr>
              <w:t>0</w:t>
            </w:r>
          </w:p>
        </w:tc>
        <w:tc>
          <w:tcPr>
            <w:tcW w:w="1742" w:type="dxa"/>
            <w:vAlign w:val="center"/>
          </w:tcPr>
          <w:p w14:paraId="594AD231" w14:textId="3E7F8562" w:rsidR="007770B8" w:rsidRPr="007C746F" w:rsidRDefault="00236C8D" w:rsidP="00995789">
            <w:pPr>
              <w:tabs>
                <w:tab w:val="decimal" w:pos="901"/>
              </w:tabs>
              <w:rPr>
                <w:rFonts w:ascii="Arial" w:hAnsi="Arial" w:cs="Arial"/>
                <w:sz w:val="24"/>
                <w:szCs w:val="24"/>
              </w:rPr>
            </w:pPr>
            <w:r>
              <w:rPr>
                <w:rFonts w:ascii="Arial" w:hAnsi="Arial" w:cs="Arial"/>
                <w:sz w:val="24"/>
                <w:szCs w:val="24"/>
              </w:rPr>
              <w:t>3</w:t>
            </w:r>
          </w:p>
        </w:tc>
      </w:tr>
      <w:tr w:rsidR="00B0523D" w:rsidRPr="007C746F" w14:paraId="54070E96" w14:textId="77777777" w:rsidTr="0002555E">
        <w:trPr>
          <w:trHeight w:val="349"/>
        </w:trPr>
        <w:tc>
          <w:tcPr>
            <w:tcW w:w="1846" w:type="dxa"/>
            <w:vAlign w:val="center"/>
          </w:tcPr>
          <w:p w14:paraId="1D25D767" w14:textId="77777777" w:rsidR="00B0523D" w:rsidRPr="007F4FD3" w:rsidRDefault="00B0523D" w:rsidP="00DA34F9">
            <w:pPr>
              <w:jc w:val="center"/>
              <w:rPr>
                <w:rFonts w:ascii="Arial" w:eastAsia="Arial Unicode MS" w:hAnsi="Arial" w:cs="Arial"/>
                <w:i/>
                <w:iCs/>
                <w:sz w:val="24"/>
                <w:szCs w:val="24"/>
              </w:rPr>
            </w:pPr>
            <w:r w:rsidRPr="007F4FD3">
              <w:rPr>
                <w:rFonts w:ascii="Arial" w:hAnsi="Arial" w:cs="Arial"/>
                <w:i/>
                <w:iCs/>
                <w:sz w:val="24"/>
                <w:szCs w:val="24"/>
              </w:rPr>
              <w:t>TOTAL</w:t>
            </w:r>
          </w:p>
        </w:tc>
        <w:tc>
          <w:tcPr>
            <w:tcW w:w="1814" w:type="dxa"/>
            <w:vAlign w:val="center"/>
          </w:tcPr>
          <w:p w14:paraId="4FC549A8" w14:textId="6DE00B3E" w:rsidR="00B0523D" w:rsidRPr="007F4FD3" w:rsidRDefault="00A31DD3" w:rsidP="00712BA7">
            <w:pPr>
              <w:tabs>
                <w:tab w:val="decimal" w:pos="916"/>
              </w:tabs>
              <w:rPr>
                <w:rFonts w:ascii="Arial" w:eastAsia="Arial Unicode MS" w:hAnsi="Arial" w:cs="Arial"/>
                <w:i/>
                <w:iCs/>
                <w:sz w:val="24"/>
                <w:szCs w:val="24"/>
              </w:rPr>
            </w:pPr>
            <w:r w:rsidRPr="007F4FD3">
              <w:rPr>
                <w:rFonts w:ascii="Arial" w:hAnsi="Arial" w:cs="Arial"/>
                <w:i/>
                <w:iCs/>
                <w:sz w:val="24"/>
                <w:szCs w:val="24"/>
              </w:rPr>
              <w:t>98</w:t>
            </w:r>
          </w:p>
        </w:tc>
        <w:tc>
          <w:tcPr>
            <w:tcW w:w="1742" w:type="dxa"/>
            <w:vAlign w:val="center"/>
          </w:tcPr>
          <w:p w14:paraId="5EA7978F" w14:textId="1C24C821" w:rsidR="00B0523D" w:rsidRPr="007F4FD3" w:rsidRDefault="00D74F12" w:rsidP="003C7C82">
            <w:pPr>
              <w:tabs>
                <w:tab w:val="decimal" w:pos="841"/>
              </w:tabs>
              <w:rPr>
                <w:rFonts w:ascii="Arial" w:eastAsia="Arial Unicode MS" w:hAnsi="Arial" w:cs="Arial"/>
                <w:i/>
                <w:iCs/>
                <w:sz w:val="24"/>
                <w:szCs w:val="24"/>
              </w:rPr>
            </w:pPr>
            <w:r w:rsidRPr="007F4FD3">
              <w:rPr>
                <w:rFonts w:ascii="Arial" w:hAnsi="Arial" w:cs="Arial"/>
                <w:i/>
                <w:iCs/>
                <w:sz w:val="24"/>
                <w:szCs w:val="24"/>
              </w:rPr>
              <w:t>40</w:t>
            </w:r>
          </w:p>
        </w:tc>
        <w:tc>
          <w:tcPr>
            <w:tcW w:w="1742" w:type="dxa"/>
            <w:vAlign w:val="center"/>
          </w:tcPr>
          <w:p w14:paraId="5E6E2782" w14:textId="6A536E8D" w:rsidR="00B0523D" w:rsidRPr="007F4FD3" w:rsidRDefault="00D74F12" w:rsidP="00995789">
            <w:pPr>
              <w:tabs>
                <w:tab w:val="decimal" w:pos="901"/>
              </w:tabs>
              <w:rPr>
                <w:rFonts w:ascii="Arial" w:eastAsia="Arial Unicode MS" w:hAnsi="Arial" w:cs="Arial"/>
                <w:i/>
                <w:iCs/>
                <w:sz w:val="24"/>
                <w:szCs w:val="24"/>
              </w:rPr>
            </w:pPr>
            <w:r w:rsidRPr="007F4FD3">
              <w:rPr>
                <w:rFonts w:ascii="Arial" w:hAnsi="Arial" w:cs="Arial"/>
                <w:i/>
                <w:iCs/>
                <w:sz w:val="24"/>
                <w:szCs w:val="24"/>
              </w:rPr>
              <w:t>24</w:t>
            </w:r>
          </w:p>
        </w:tc>
        <w:tc>
          <w:tcPr>
            <w:tcW w:w="1742" w:type="dxa"/>
            <w:vAlign w:val="center"/>
          </w:tcPr>
          <w:p w14:paraId="42EE88E8" w14:textId="7608CE09" w:rsidR="00B0523D" w:rsidRPr="007F4FD3" w:rsidRDefault="00A31DD3" w:rsidP="00995789">
            <w:pPr>
              <w:tabs>
                <w:tab w:val="decimal" w:pos="901"/>
              </w:tabs>
              <w:rPr>
                <w:rFonts w:ascii="Arial" w:eastAsia="Arial Unicode MS" w:hAnsi="Arial" w:cs="Arial"/>
                <w:i/>
                <w:iCs/>
                <w:sz w:val="24"/>
                <w:szCs w:val="24"/>
              </w:rPr>
            </w:pPr>
            <w:r w:rsidRPr="007F4FD3">
              <w:rPr>
                <w:rFonts w:ascii="Arial" w:hAnsi="Arial" w:cs="Arial"/>
                <w:i/>
                <w:iCs/>
                <w:sz w:val="24"/>
                <w:szCs w:val="24"/>
              </w:rPr>
              <w:t>34</w:t>
            </w:r>
          </w:p>
        </w:tc>
      </w:tr>
    </w:tbl>
    <w:p w14:paraId="35E5D7B4" w14:textId="77777777" w:rsidR="00B0523D" w:rsidRPr="007C746F" w:rsidRDefault="00B0523D" w:rsidP="00965FA2">
      <w:pPr>
        <w:pStyle w:val="Heading2"/>
        <w:spacing w:before="240" w:after="120" w:line="240" w:lineRule="auto"/>
      </w:pPr>
      <w:r w:rsidRPr="007C746F">
        <w:t>Determination of Notification Levels</w:t>
      </w:r>
    </w:p>
    <w:p w14:paraId="4D90EC22" w14:textId="77777777" w:rsidR="00B0523D" w:rsidRPr="007C746F" w:rsidRDefault="00B0523D" w:rsidP="00D83FCE">
      <w:pPr>
        <w:spacing w:after="120" w:line="240" w:lineRule="auto"/>
        <w:rPr>
          <w:rFonts w:ascii="Arial" w:hAnsi="Arial" w:cs="Arial"/>
          <w:sz w:val="24"/>
          <w:szCs w:val="24"/>
        </w:rPr>
      </w:pPr>
      <w:r w:rsidRPr="007C746F">
        <w:rPr>
          <w:rFonts w:ascii="Arial" w:hAnsi="Arial" w:cs="Arial"/>
          <w:sz w:val="24"/>
          <w:szCs w:val="24"/>
        </w:rPr>
        <w:t>Notification levels are calculated using standard risk assessment methods (see Appendix 1) for non-cancer and cancer endpoints, and typical exposure assumptions, including a 2-liter per day ingestion rate, a 70-kilogram adult body weight, and a 70-year lifetime.</w:t>
      </w:r>
    </w:p>
    <w:p w14:paraId="4BBFA2BA" w14:textId="4E6F81BD" w:rsidR="00B0523D" w:rsidRPr="007C746F" w:rsidRDefault="00B0523D" w:rsidP="0095052C">
      <w:pPr>
        <w:numPr>
          <w:ilvl w:val="0"/>
          <w:numId w:val="11"/>
        </w:numPr>
        <w:tabs>
          <w:tab w:val="clear" w:pos="1440"/>
        </w:tabs>
        <w:spacing w:after="120" w:line="240" w:lineRule="auto"/>
        <w:ind w:left="720"/>
        <w:rPr>
          <w:rFonts w:ascii="Arial" w:hAnsi="Arial" w:cs="Arial"/>
          <w:sz w:val="24"/>
          <w:szCs w:val="24"/>
        </w:rPr>
      </w:pPr>
      <w:r w:rsidRPr="007C746F">
        <w:rPr>
          <w:rFonts w:ascii="Arial" w:hAnsi="Arial" w:cs="Arial"/>
          <w:sz w:val="24"/>
          <w:szCs w:val="24"/>
        </w:rPr>
        <w:t>For chemicals that are not considered carcinogens, the notification level is derived from the no observed adverse effect level (NOAEL), adjusted by appropriate factors to take into account uncertainties in the available data. An estimate of drinking water's contribution to total exposure to the contaminant is also included, referred to as the relative source contribution.</w:t>
      </w:r>
    </w:p>
    <w:p w14:paraId="56683513" w14:textId="0AF96BA9" w:rsidR="00B0523D" w:rsidRPr="007C746F" w:rsidRDefault="00B0523D" w:rsidP="0095052C">
      <w:pPr>
        <w:numPr>
          <w:ilvl w:val="0"/>
          <w:numId w:val="11"/>
        </w:numPr>
        <w:tabs>
          <w:tab w:val="clear" w:pos="1440"/>
        </w:tabs>
        <w:spacing w:after="240" w:line="240" w:lineRule="auto"/>
        <w:ind w:left="720"/>
        <w:rPr>
          <w:rFonts w:ascii="Arial" w:hAnsi="Arial" w:cs="Arial"/>
          <w:sz w:val="24"/>
          <w:szCs w:val="24"/>
        </w:rPr>
      </w:pPr>
      <w:r w:rsidRPr="007C746F">
        <w:rPr>
          <w:rFonts w:ascii="Arial" w:hAnsi="Arial" w:cs="Arial"/>
          <w:sz w:val="24"/>
          <w:szCs w:val="24"/>
        </w:rPr>
        <w:t xml:space="preserve">For those that are considered carcinogens, the notification level is considered to pose </w:t>
      </w:r>
      <w:r w:rsidRPr="007C746F">
        <w:rPr>
          <w:rStyle w:val="Emphasis"/>
          <w:rFonts w:ascii="Arial" w:hAnsi="Arial" w:cs="Arial"/>
          <w:color w:val="000000"/>
          <w:sz w:val="24"/>
          <w:szCs w:val="24"/>
        </w:rPr>
        <w:t>"de minimis</w:t>
      </w:r>
      <w:r w:rsidRPr="007C746F">
        <w:rPr>
          <w:rFonts w:ascii="Arial" w:hAnsi="Arial" w:cs="Arial"/>
          <w:sz w:val="24"/>
          <w:szCs w:val="24"/>
        </w:rPr>
        <w:t xml:space="preserve">" risk, </w:t>
      </w:r>
      <w:r w:rsidRPr="007C746F">
        <w:rPr>
          <w:rFonts w:ascii="Arial" w:hAnsi="Arial" w:cs="Arial"/>
          <w:i/>
          <w:iCs/>
          <w:sz w:val="24"/>
          <w:szCs w:val="24"/>
        </w:rPr>
        <w:t>i.e.,</w:t>
      </w:r>
      <w:r w:rsidRPr="007C746F">
        <w:rPr>
          <w:rFonts w:ascii="Arial" w:hAnsi="Arial" w:cs="Arial"/>
          <w:sz w:val="24"/>
          <w:szCs w:val="24"/>
        </w:rPr>
        <w:t xml:space="preserve"> a theoretical lifetime risk of up to one excess case of cancer in a population of 1,000,000 people—the 10</w:t>
      </w:r>
      <w:r w:rsidRPr="007C746F">
        <w:rPr>
          <w:rFonts w:ascii="Arial" w:hAnsi="Arial" w:cs="Arial"/>
          <w:sz w:val="24"/>
          <w:szCs w:val="24"/>
          <w:vertAlign w:val="superscript"/>
        </w:rPr>
        <w:t>-6</w:t>
      </w:r>
      <w:r w:rsidRPr="007C746F">
        <w:rPr>
          <w:rFonts w:ascii="Arial" w:hAnsi="Arial" w:cs="Arial"/>
          <w:sz w:val="24"/>
          <w:szCs w:val="24"/>
        </w:rPr>
        <w:t xml:space="preserve"> risk level. In several instances, we established notification levels above the 10</w:t>
      </w:r>
      <w:r w:rsidRPr="007C746F">
        <w:rPr>
          <w:rFonts w:ascii="Arial" w:hAnsi="Arial" w:cs="Arial"/>
          <w:sz w:val="24"/>
          <w:szCs w:val="24"/>
          <w:vertAlign w:val="superscript"/>
        </w:rPr>
        <w:t>-6</w:t>
      </w:r>
      <w:r w:rsidRPr="007C746F">
        <w:rPr>
          <w:rFonts w:ascii="Arial" w:hAnsi="Arial" w:cs="Arial"/>
          <w:sz w:val="24"/>
          <w:szCs w:val="24"/>
        </w:rPr>
        <w:t xml:space="preserve"> risk level.</w:t>
      </w:r>
    </w:p>
    <w:p w14:paraId="76C8FB88" w14:textId="6F5176A5" w:rsidR="00B0523D" w:rsidRPr="007C746F" w:rsidRDefault="00B0523D" w:rsidP="00F8705F">
      <w:pPr>
        <w:keepLines/>
        <w:spacing w:after="240" w:line="240" w:lineRule="auto"/>
        <w:rPr>
          <w:rFonts w:ascii="Arial" w:hAnsi="Arial" w:cs="Arial"/>
          <w:sz w:val="24"/>
          <w:szCs w:val="24"/>
        </w:rPr>
      </w:pPr>
      <w:r w:rsidRPr="007C746F">
        <w:rPr>
          <w:rFonts w:ascii="Arial" w:hAnsi="Arial" w:cs="Arial"/>
          <w:sz w:val="24"/>
          <w:szCs w:val="24"/>
        </w:rPr>
        <w:lastRenderedPageBreak/>
        <w:t>On occasion, the chemical may not be detectable as low as the notification level by usual laboratory analytical methods.</w:t>
      </w:r>
      <w:r w:rsidR="00E87AF8" w:rsidRPr="007C746F">
        <w:rPr>
          <w:rFonts w:ascii="Arial" w:hAnsi="Arial" w:cs="Arial"/>
          <w:sz w:val="24"/>
          <w:szCs w:val="24"/>
        </w:rPr>
        <w:t xml:space="preserve"> </w:t>
      </w:r>
      <w:r w:rsidRPr="007C746F">
        <w:rPr>
          <w:rFonts w:ascii="Arial" w:hAnsi="Arial" w:cs="Arial"/>
          <w:sz w:val="24"/>
          <w:szCs w:val="24"/>
        </w:rPr>
        <w:t>In this case, detectability prevails, and our approach is to consider a detectable quantity as over the notification level until a more sensitive method is available.</w:t>
      </w:r>
    </w:p>
    <w:p w14:paraId="17668440" w14:textId="77777777" w:rsidR="00B0523D" w:rsidRPr="007C746F" w:rsidRDefault="00B0523D" w:rsidP="005D7E67">
      <w:pPr>
        <w:pStyle w:val="Heading2"/>
        <w:spacing w:before="240" w:after="120" w:line="240" w:lineRule="auto"/>
      </w:pPr>
      <w:r w:rsidRPr="007C746F">
        <w:t>Monitoring for Chemicals with Notification Levels</w:t>
      </w:r>
    </w:p>
    <w:p w14:paraId="52EC37D5" w14:textId="2341984C" w:rsidR="00B0523D" w:rsidRPr="007C746F" w:rsidRDefault="00B0523D" w:rsidP="005D7E67">
      <w:pPr>
        <w:pStyle w:val="NormalWeb"/>
        <w:spacing w:before="0" w:beforeAutospacing="0" w:after="240" w:afterAutospacing="0"/>
        <w:rPr>
          <w:rFonts w:ascii="Arial" w:hAnsi="Arial" w:cs="Arial"/>
        </w:rPr>
      </w:pPr>
      <w:r w:rsidRPr="007C746F">
        <w:rPr>
          <w:rFonts w:ascii="Arial" w:hAnsi="Arial" w:cs="Arial"/>
        </w:rPr>
        <w:t>Monitoring by public water systems for chemicals with notification levels is not required, except for unregulated contaminants for which monitoring is required (</w:t>
      </w:r>
      <w:hyperlink r:id="rId11" w:history="1">
        <w:r w:rsidRPr="007C746F">
          <w:rPr>
            <w:rStyle w:val="Hyperlink"/>
            <w:rFonts w:ascii="Arial" w:hAnsi="Arial" w:cs="Arial"/>
          </w:rPr>
          <w:t>UCMR</w:t>
        </w:r>
      </w:hyperlink>
      <w:r w:rsidRPr="007C746F">
        <w:rPr>
          <w:rFonts w:ascii="Arial" w:hAnsi="Arial" w:cs="Arial"/>
        </w:rPr>
        <w:t xml:space="preserve">). Projects for groundwater replenishment using </w:t>
      </w:r>
      <w:hyperlink r:id="rId12" w:history="1">
        <w:r w:rsidRPr="007C746F">
          <w:rPr>
            <w:rStyle w:val="Hyperlink"/>
            <w:rFonts w:ascii="Arial" w:hAnsi="Arial" w:cs="Arial"/>
          </w:rPr>
          <w:t>recycled water</w:t>
        </w:r>
      </w:hyperlink>
      <w:r w:rsidRPr="007C746F">
        <w:rPr>
          <w:rFonts w:ascii="Arial" w:hAnsi="Arial" w:cs="Arial"/>
        </w:rPr>
        <w:t xml:space="preserve"> and systems proposing to use extremely impaired sources may need to monitor for certain chemicals with notification levels. </w:t>
      </w:r>
    </w:p>
    <w:p w14:paraId="4B26C324" w14:textId="77777777" w:rsidR="00B0523D" w:rsidRPr="007C746F" w:rsidRDefault="00B0523D" w:rsidP="005D7E67">
      <w:pPr>
        <w:pStyle w:val="NormalWeb"/>
        <w:spacing w:before="0" w:beforeAutospacing="0" w:after="240" w:afterAutospacing="0"/>
        <w:rPr>
          <w:rFonts w:ascii="Arial" w:hAnsi="Arial" w:cs="Arial"/>
        </w:rPr>
      </w:pPr>
      <w:r w:rsidRPr="007C746F">
        <w:rPr>
          <w:rFonts w:ascii="Arial" w:hAnsi="Arial" w:cs="Arial"/>
        </w:rPr>
        <w:t>Should a chemical be detected over its notification level, we recommend a confirmation sample as soon as possible, with the average value compared to the notification level.</w:t>
      </w:r>
    </w:p>
    <w:p w14:paraId="41ACF294" w14:textId="32756802" w:rsidR="00D92325" w:rsidRPr="007C746F" w:rsidRDefault="00B0523D" w:rsidP="005D7E67">
      <w:pPr>
        <w:pStyle w:val="BodyText2"/>
        <w:spacing w:after="240"/>
        <w:rPr>
          <w:rFonts w:ascii="Arial" w:hAnsi="Arial" w:cs="Arial"/>
          <w:sz w:val="24"/>
        </w:rPr>
      </w:pPr>
      <w:r w:rsidRPr="007C746F">
        <w:rPr>
          <w:rFonts w:ascii="Arial" w:hAnsi="Arial" w:cs="Arial"/>
          <w:sz w:val="24"/>
        </w:rPr>
        <w:t>We recommend tracking the presence of the chemical by follow-up sampling at a reasonable frequency.</w:t>
      </w:r>
    </w:p>
    <w:p w14:paraId="22E2F49B" w14:textId="6E0BD9A3" w:rsidR="00B0523D" w:rsidRPr="007C746F" w:rsidRDefault="00B0523D" w:rsidP="005D7E67">
      <w:pPr>
        <w:pStyle w:val="Heading2"/>
        <w:spacing w:before="240" w:after="120" w:line="240" w:lineRule="auto"/>
      </w:pPr>
      <w:r w:rsidRPr="007C746F">
        <w:t xml:space="preserve">Notification Levels (see </w:t>
      </w:r>
      <w:r w:rsidR="00B42D87">
        <w:fldChar w:fldCharType="begin"/>
      </w:r>
      <w:r w:rsidR="00B42D87">
        <w:instrText xml:space="preserve"> REF _Ref227918191 \h </w:instrText>
      </w:r>
      <w:r w:rsidR="00B42D87">
        <w:fldChar w:fldCharType="separate"/>
      </w:r>
      <w:r w:rsidR="00B42D87" w:rsidRPr="00A47469">
        <w:rPr>
          <w:b w:val="0"/>
          <w:bCs/>
        </w:rPr>
        <w:t xml:space="preserve">Table </w:t>
      </w:r>
      <w:r w:rsidR="00B42D87">
        <w:rPr>
          <w:b w:val="0"/>
          <w:bCs/>
          <w:noProof/>
        </w:rPr>
        <w:t>1</w:t>
      </w:r>
      <w:r w:rsidR="00B42D87">
        <w:fldChar w:fldCharType="end"/>
      </w:r>
      <w:r w:rsidRPr="007C746F">
        <w:t>)</w:t>
      </w:r>
    </w:p>
    <w:p w14:paraId="77CE93CE" w14:textId="77777777" w:rsidR="00B0523D" w:rsidRPr="007C746F" w:rsidRDefault="00B0523D" w:rsidP="0062372B">
      <w:pPr>
        <w:spacing w:after="120" w:line="240" w:lineRule="auto"/>
        <w:rPr>
          <w:rFonts w:ascii="Arial" w:hAnsi="Arial" w:cs="Arial"/>
          <w:sz w:val="24"/>
          <w:szCs w:val="24"/>
        </w:rPr>
      </w:pPr>
      <w:r w:rsidRPr="007C746F">
        <w:rPr>
          <w:rFonts w:ascii="Arial" w:hAnsi="Arial" w:cs="Arial"/>
          <w:sz w:val="24"/>
          <w:szCs w:val="24"/>
        </w:rPr>
        <w:t>Notification levels are advisory in nature and not enforceable standards. However, if a chemical is present over its notification level, the following apply:</w:t>
      </w:r>
    </w:p>
    <w:p w14:paraId="3C0A93D0" w14:textId="397413AD" w:rsidR="00B0523D" w:rsidRPr="007C746F" w:rsidRDefault="00B0523D" w:rsidP="00F56556">
      <w:pPr>
        <w:numPr>
          <w:ilvl w:val="0"/>
          <w:numId w:val="15"/>
        </w:numPr>
        <w:spacing w:after="120" w:line="240" w:lineRule="auto"/>
        <w:rPr>
          <w:rFonts w:ascii="Arial" w:hAnsi="Arial" w:cs="Arial"/>
          <w:sz w:val="24"/>
          <w:szCs w:val="24"/>
        </w:rPr>
      </w:pPr>
      <w:r w:rsidRPr="007C746F">
        <w:rPr>
          <w:rFonts w:ascii="Arial" w:hAnsi="Arial" w:cs="Arial"/>
          <w:b/>
          <w:bCs/>
          <w:sz w:val="24"/>
          <w:szCs w:val="24"/>
        </w:rPr>
        <w:t>Required by Statute:  Local Government Notification—</w:t>
      </w:r>
      <w:r w:rsidRPr="007C746F">
        <w:rPr>
          <w:rFonts w:ascii="Arial" w:hAnsi="Arial" w:cs="Arial"/>
          <w:sz w:val="24"/>
          <w:szCs w:val="24"/>
        </w:rPr>
        <w:t>Health and Safety Code §116455 requires a drinking water system to notify the governing body of the local agency in which users of the drinking water reside (</w:t>
      </w:r>
      <w:r w:rsidRPr="007C746F">
        <w:rPr>
          <w:rFonts w:ascii="Arial" w:hAnsi="Arial" w:cs="Arial"/>
          <w:i/>
          <w:iCs/>
          <w:sz w:val="24"/>
          <w:szCs w:val="24"/>
        </w:rPr>
        <w:t>i.e.</w:t>
      </w:r>
      <w:r w:rsidRPr="007C746F">
        <w:rPr>
          <w:rFonts w:ascii="Arial" w:hAnsi="Arial" w:cs="Arial"/>
          <w:sz w:val="24"/>
          <w:szCs w:val="24"/>
        </w:rPr>
        <w:t>, city council and/or county board of supervisors) when a chemical in excess of a notification level is discovered in a drinking water source.  See Appendix 2.</w:t>
      </w:r>
    </w:p>
    <w:p w14:paraId="7CD571DE" w14:textId="77777777" w:rsidR="00B0523D" w:rsidRPr="007C746F" w:rsidRDefault="00B0523D" w:rsidP="00F56556">
      <w:pPr>
        <w:numPr>
          <w:ilvl w:val="0"/>
          <w:numId w:val="15"/>
        </w:numPr>
        <w:spacing w:after="240" w:line="240" w:lineRule="auto"/>
        <w:rPr>
          <w:rFonts w:ascii="Arial" w:hAnsi="Arial" w:cs="Arial"/>
          <w:sz w:val="24"/>
          <w:szCs w:val="24"/>
        </w:rPr>
      </w:pPr>
      <w:r w:rsidRPr="007C746F">
        <w:rPr>
          <w:rFonts w:ascii="Arial" w:hAnsi="Arial" w:cs="Arial"/>
          <w:b/>
          <w:bCs/>
          <w:sz w:val="24"/>
          <w:szCs w:val="24"/>
        </w:rPr>
        <w:t>Consumer Notice (Recommendation)—</w:t>
      </w:r>
      <w:r w:rsidRPr="007C746F">
        <w:rPr>
          <w:rFonts w:ascii="Arial" w:hAnsi="Arial" w:cs="Arial"/>
          <w:sz w:val="24"/>
          <w:szCs w:val="24"/>
        </w:rPr>
        <w:t>If a chemical is over its notification level in drinking water that is provided to consumers, we recommend that the utility inform its customers and consumers about the presence of the contaminant, and about the health concerns associated with exposure to it.  If the utility decides to provide consumer notice, it may want to consider using its annual Consumer Confidence Report, a separate mailing, or other method.</w:t>
      </w:r>
    </w:p>
    <w:p w14:paraId="405BE6D7" w14:textId="120164A8" w:rsidR="00B0523D" w:rsidRPr="007C746F" w:rsidRDefault="00B0523D" w:rsidP="000E30A7">
      <w:pPr>
        <w:pStyle w:val="Heading2"/>
        <w:spacing w:before="240" w:after="120" w:line="240" w:lineRule="auto"/>
        <w:rPr>
          <w:rFonts w:eastAsia="Arial Unicode MS"/>
        </w:rPr>
      </w:pPr>
      <w:r w:rsidRPr="007C746F">
        <w:t xml:space="preserve">Response Levels (see </w:t>
      </w:r>
      <w:r w:rsidR="00B42D87">
        <w:fldChar w:fldCharType="begin"/>
      </w:r>
      <w:r w:rsidR="00B42D87">
        <w:instrText xml:space="preserve"> REF _Ref227918229 \h </w:instrText>
      </w:r>
      <w:r w:rsidR="00B42D87">
        <w:fldChar w:fldCharType="separate"/>
      </w:r>
      <w:r w:rsidR="00B42D87" w:rsidRPr="00165410">
        <w:rPr>
          <w:b w:val="0"/>
          <w:bCs/>
        </w:rPr>
        <w:t xml:space="preserve">Table </w:t>
      </w:r>
      <w:r w:rsidR="00B42D87" w:rsidRPr="00165410">
        <w:rPr>
          <w:b w:val="0"/>
          <w:bCs/>
          <w:noProof/>
        </w:rPr>
        <w:t>2</w:t>
      </w:r>
      <w:r w:rsidR="00B42D87">
        <w:fldChar w:fldCharType="end"/>
      </w:r>
      <w:r w:rsidRPr="007C746F">
        <w:t>)</w:t>
      </w:r>
    </w:p>
    <w:p w14:paraId="20B39049" w14:textId="1F568A5B" w:rsidR="00B0523D" w:rsidRPr="007C746F" w:rsidRDefault="000F45D5" w:rsidP="0062372B">
      <w:pPr>
        <w:spacing w:after="240" w:line="240" w:lineRule="auto"/>
        <w:rPr>
          <w:rFonts w:ascii="Arial" w:hAnsi="Arial" w:cs="Arial"/>
          <w:sz w:val="24"/>
          <w:szCs w:val="24"/>
        </w:rPr>
      </w:pPr>
      <w:r>
        <w:rPr>
          <w:rFonts w:ascii="Arial" w:hAnsi="Arial" w:cs="Arial"/>
          <w:sz w:val="24"/>
          <w:szCs w:val="24"/>
        </w:rPr>
        <w:t>DDW</w:t>
      </w:r>
      <w:r w:rsidR="00B0523D" w:rsidRPr="007C746F">
        <w:rPr>
          <w:rFonts w:ascii="Arial" w:hAnsi="Arial" w:cs="Arial"/>
          <w:sz w:val="24"/>
          <w:szCs w:val="24"/>
        </w:rPr>
        <w:t xml:space="preserve"> recommends that </w:t>
      </w:r>
      <w:r w:rsidR="00664FA3">
        <w:rPr>
          <w:rFonts w:ascii="Arial" w:hAnsi="Arial" w:cs="Arial"/>
          <w:sz w:val="24"/>
          <w:szCs w:val="24"/>
        </w:rPr>
        <w:t>a</w:t>
      </w:r>
      <w:r w:rsidR="00B0523D" w:rsidRPr="007C746F">
        <w:rPr>
          <w:rFonts w:ascii="Arial" w:hAnsi="Arial" w:cs="Arial"/>
          <w:sz w:val="24"/>
          <w:szCs w:val="24"/>
        </w:rPr>
        <w:t xml:space="preserve"> drinking water system take </w:t>
      </w:r>
      <w:r w:rsidR="00664FA3">
        <w:rPr>
          <w:rFonts w:ascii="Arial" w:hAnsi="Arial" w:cs="Arial"/>
          <w:sz w:val="24"/>
          <w:szCs w:val="24"/>
        </w:rPr>
        <w:t>a</w:t>
      </w:r>
      <w:r w:rsidR="00B0523D" w:rsidRPr="007C746F">
        <w:rPr>
          <w:rFonts w:ascii="Arial" w:hAnsi="Arial" w:cs="Arial"/>
          <w:sz w:val="24"/>
          <w:szCs w:val="24"/>
        </w:rPr>
        <w:t xml:space="preserve"> source out of service if a chemical is present at levels considerably higher than its notification level. The level at which the recommendation occurs is called the “Response Level.” The specific recommendation depends on the toxicological endpoint that provided the basis for the notification level.</w:t>
      </w:r>
    </w:p>
    <w:p w14:paraId="40380B3A" w14:textId="1DC58872" w:rsidR="00C115E4" w:rsidRPr="007C746F" w:rsidRDefault="00C115E4" w:rsidP="006B4555">
      <w:pPr>
        <w:keepNext/>
        <w:spacing w:after="120" w:line="240" w:lineRule="auto"/>
        <w:rPr>
          <w:rFonts w:ascii="Arial" w:hAnsi="Arial" w:cs="Arial"/>
          <w:sz w:val="24"/>
          <w:szCs w:val="24"/>
        </w:rPr>
      </w:pPr>
      <w:r w:rsidRPr="007C746F">
        <w:rPr>
          <w:rFonts w:ascii="Arial" w:hAnsi="Arial" w:cs="Arial"/>
          <w:sz w:val="24"/>
          <w:szCs w:val="24"/>
        </w:rPr>
        <w:t xml:space="preserve">Perfluoroalkyl substances and polyfluoroalkyl substances with notification levels have additional requirements per state law. When a confirmed detection exceeds the </w:t>
      </w:r>
      <w:r w:rsidRPr="007C746F">
        <w:rPr>
          <w:rFonts w:ascii="Arial" w:hAnsi="Arial" w:cs="Arial"/>
          <w:sz w:val="24"/>
          <w:szCs w:val="24"/>
        </w:rPr>
        <w:lastRenderedPageBreak/>
        <w:t xml:space="preserve">response level, a community water system or a </w:t>
      </w:r>
      <w:proofErr w:type="spellStart"/>
      <w:r w:rsidRPr="007C746F">
        <w:rPr>
          <w:rFonts w:ascii="Arial" w:hAnsi="Arial" w:cs="Arial"/>
          <w:sz w:val="24"/>
          <w:szCs w:val="24"/>
        </w:rPr>
        <w:t>nontransient</w:t>
      </w:r>
      <w:proofErr w:type="spellEnd"/>
      <w:r w:rsidRPr="007C746F">
        <w:rPr>
          <w:rFonts w:ascii="Arial" w:hAnsi="Arial" w:cs="Arial"/>
          <w:sz w:val="24"/>
          <w:szCs w:val="24"/>
        </w:rPr>
        <w:t xml:space="preserve"> noncommunity public water system is required to:</w:t>
      </w:r>
    </w:p>
    <w:p w14:paraId="38A7F64B" w14:textId="17FCDCAE" w:rsidR="00C115E4" w:rsidRPr="007C746F" w:rsidRDefault="00C115E4" w:rsidP="00F8705F">
      <w:pPr>
        <w:keepLines/>
        <w:numPr>
          <w:ilvl w:val="0"/>
          <w:numId w:val="14"/>
        </w:numPr>
        <w:spacing w:after="120" w:line="240" w:lineRule="auto"/>
        <w:rPr>
          <w:rFonts w:ascii="Arial" w:hAnsi="Arial" w:cs="Arial"/>
          <w:sz w:val="24"/>
          <w:szCs w:val="24"/>
        </w:rPr>
      </w:pPr>
      <w:r w:rsidRPr="007C746F">
        <w:rPr>
          <w:rFonts w:ascii="Arial" w:hAnsi="Arial" w:cs="Arial"/>
          <w:sz w:val="24"/>
          <w:szCs w:val="24"/>
        </w:rPr>
        <w:t xml:space="preserve">Report that detection in the water system’s annual consumer confidence report. </w:t>
      </w:r>
    </w:p>
    <w:p w14:paraId="6A6BF569" w14:textId="0AC1954D" w:rsidR="00C115E4" w:rsidRPr="007C746F" w:rsidRDefault="00C115E4" w:rsidP="00F8705F">
      <w:pPr>
        <w:keepLines/>
        <w:numPr>
          <w:ilvl w:val="0"/>
          <w:numId w:val="14"/>
        </w:numPr>
        <w:spacing w:after="240" w:line="240" w:lineRule="auto"/>
        <w:rPr>
          <w:rFonts w:ascii="Arial" w:hAnsi="Arial" w:cs="Arial"/>
          <w:sz w:val="24"/>
          <w:szCs w:val="24"/>
        </w:rPr>
      </w:pPr>
      <w:r w:rsidRPr="007C746F">
        <w:rPr>
          <w:rFonts w:ascii="Arial" w:hAnsi="Arial" w:cs="Arial"/>
          <w:sz w:val="24"/>
          <w:szCs w:val="24"/>
        </w:rPr>
        <w:t>Take a water source where detected levels exceed the response level out of use or provide public notification (as specified in Health and Safety §116378) within 30 days of the confirmed detection.</w:t>
      </w:r>
    </w:p>
    <w:p w14:paraId="23B3139E" w14:textId="393F33BE" w:rsidR="00B0523D" w:rsidRPr="007C746F" w:rsidRDefault="00B0523D" w:rsidP="0062372B">
      <w:pPr>
        <w:spacing w:after="120" w:line="240" w:lineRule="auto"/>
        <w:rPr>
          <w:rFonts w:ascii="Arial" w:hAnsi="Arial" w:cs="Arial"/>
          <w:sz w:val="24"/>
          <w:szCs w:val="24"/>
        </w:rPr>
      </w:pPr>
      <w:r w:rsidRPr="007C746F">
        <w:rPr>
          <w:rFonts w:ascii="Arial" w:hAnsi="Arial" w:cs="Arial"/>
          <w:sz w:val="24"/>
          <w:szCs w:val="24"/>
        </w:rPr>
        <w:t>DDW recommends source removal when the chemical's concentration is:</w:t>
      </w:r>
    </w:p>
    <w:p w14:paraId="49CCF0F3" w14:textId="6DBD9C37" w:rsidR="00B0523D" w:rsidRPr="007C746F" w:rsidRDefault="00B0523D" w:rsidP="0062372B">
      <w:pPr>
        <w:numPr>
          <w:ilvl w:val="0"/>
          <w:numId w:val="14"/>
        </w:numPr>
        <w:spacing w:after="120" w:line="240" w:lineRule="auto"/>
        <w:rPr>
          <w:rFonts w:ascii="Arial" w:hAnsi="Arial" w:cs="Arial"/>
          <w:sz w:val="24"/>
          <w:szCs w:val="24"/>
        </w:rPr>
      </w:pPr>
      <w:r w:rsidRPr="007C746F">
        <w:rPr>
          <w:rFonts w:ascii="Arial" w:hAnsi="Arial" w:cs="Arial"/>
          <w:sz w:val="24"/>
          <w:szCs w:val="24"/>
        </w:rPr>
        <w:t xml:space="preserve">10 times the notification level, if it is based on non-cancer endpoints.  A level greater than 10 times the notification level reduces the margin of safety provided. </w:t>
      </w:r>
    </w:p>
    <w:p w14:paraId="1A1C209A" w14:textId="036CF108" w:rsidR="00B0523D" w:rsidRPr="007C746F" w:rsidRDefault="00B0523D" w:rsidP="0062372B">
      <w:pPr>
        <w:numPr>
          <w:ilvl w:val="0"/>
          <w:numId w:val="13"/>
        </w:numPr>
        <w:spacing w:after="120" w:line="240" w:lineRule="auto"/>
        <w:ind w:right="-90"/>
        <w:rPr>
          <w:rFonts w:ascii="Arial" w:hAnsi="Arial" w:cs="Arial"/>
          <w:sz w:val="24"/>
          <w:szCs w:val="24"/>
        </w:rPr>
      </w:pPr>
      <w:r w:rsidRPr="007C746F">
        <w:rPr>
          <w:rFonts w:ascii="Arial" w:hAnsi="Arial" w:cs="Arial"/>
          <w:sz w:val="24"/>
          <w:szCs w:val="24"/>
        </w:rPr>
        <w:t>100 times the notification level, if it is based on cancer risk and established at the 10</w:t>
      </w:r>
      <w:r w:rsidRPr="007C746F">
        <w:rPr>
          <w:rFonts w:ascii="Arial" w:hAnsi="Arial" w:cs="Arial"/>
          <w:sz w:val="24"/>
          <w:szCs w:val="24"/>
          <w:vertAlign w:val="superscript"/>
        </w:rPr>
        <w:t>-6</w:t>
      </w:r>
      <w:r w:rsidRPr="007C746F">
        <w:rPr>
          <w:rFonts w:ascii="Arial" w:hAnsi="Arial" w:cs="Arial"/>
          <w:sz w:val="24"/>
          <w:szCs w:val="24"/>
        </w:rPr>
        <w:t xml:space="preserve"> risk level. A level 100 times the notification level corresponds to a theoretical lifetime risk of up to one excess case of cancer in 10,000 people, the upper value of the 10</w:t>
      </w:r>
      <w:r w:rsidRPr="007C746F">
        <w:rPr>
          <w:rFonts w:ascii="Arial" w:hAnsi="Arial" w:cs="Arial"/>
          <w:sz w:val="24"/>
          <w:szCs w:val="24"/>
          <w:vertAlign w:val="superscript"/>
        </w:rPr>
        <w:t>-6</w:t>
      </w:r>
      <w:r w:rsidRPr="007C746F">
        <w:rPr>
          <w:rFonts w:ascii="Arial" w:hAnsi="Arial" w:cs="Arial"/>
          <w:sz w:val="24"/>
          <w:szCs w:val="24"/>
        </w:rPr>
        <w:t xml:space="preserve"> to 10</w:t>
      </w:r>
      <w:r w:rsidRPr="007C746F">
        <w:rPr>
          <w:rFonts w:ascii="Arial" w:hAnsi="Arial" w:cs="Arial"/>
          <w:sz w:val="24"/>
          <w:szCs w:val="24"/>
          <w:vertAlign w:val="superscript"/>
        </w:rPr>
        <w:t>-4</w:t>
      </w:r>
      <w:r w:rsidRPr="007C746F">
        <w:rPr>
          <w:rFonts w:ascii="Arial" w:hAnsi="Arial" w:cs="Arial"/>
          <w:sz w:val="24"/>
          <w:szCs w:val="24"/>
        </w:rPr>
        <w:t xml:space="preserve"> risk range typically allowed by regulatory agencies.</w:t>
      </w:r>
    </w:p>
    <w:p w14:paraId="6B9EB149" w14:textId="310DB230" w:rsidR="00D55501" w:rsidRPr="007C746F" w:rsidRDefault="00B0523D" w:rsidP="0062372B">
      <w:pPr>
        <w:numPr>
          <w:ilvl w:val="0"/>
          <w:numId w:val="13"/>
        </w:numPr>
        <w:spacing w:after="240" w:line="240" w:lineRule="auto"/>
        <w:rPr>
          <w:rFonts w:ascii="Arial" w:hAnsi="Arial" w:cs="Arial"/>
          <w:sz w:val="24"/>
          <w:szCs w:val="24"/>
        </w:rPr>
      </w:pPr>
      <w:r w:rsidRPr="007C746F">
        <w:rPr>
          <w:rFonts w:ascii="Arial" w:hAnsi="Arial" w:cs="Arial"/>
          <w:sz w:val="24"/>
          <w:szCs w:val="24"/>
        </w:rPr>
        <w:t>If the notification level is established at a risk greater than 10</w:t>
      </w:r>
      <w:r w:rsidRPr="007C746F">
        <w:rPr>
          <w:rFonts w:ascii="Arial" w:hAnsi="Arial" w:cs="Arial"/>
          <w:sz w:val="24"/>
          <w:szCs w:val="24"/>
          <w:vertAlign w:val="superscript"/>
        </w:rPr>
        <w:t>-6</w:t>
      </w:r>
      <w:r w:rsidRPr="007C746F">
        <w:rPr>
          <w:rFonts w:ascii="Arial" w:hAnsi="Arial" w:cs="Arial"/>
          <w:sz w:val="24"/>
          <w:szCs w:val="24"/>
        </w:rPr>
        <w:t>, as it is for 1,4-dioxane, NDEA, NDMA</w:t>
      </w:r>
      <w:r w:rsidR="00B7112A">
        <w:rPr>
          <w:rFonts w:ascii="Arial" w:hAnsi="Arial" w:cs="Arial"/>
          <w:sz w:val="24"/>
          <w:szCs w:val="24"/>
        </w:rPr>
        <w:t>,</w:t>
      </w:r>
      <w:r w:rsidRPr="007C746F">
        <w:rPr>
          <w:rFonts w:ascii="Arial" w:hAnsi="Arial" w:cs="Arial"/>
          <w:sz w:val="24"/>
          <w:szCs w:val="24"/>
        </w:rPr>
        <w:t xml:space="preserve"> NDPA, </w:t>
      </w:r>
      <w:r w:rsidR="00B7112A">
        <w:rPr>
          <w:rFonts w:ascii="Arial" w:hAnsi="Arial" w:cs="Arial"/>
          <w:sz w:val="24"/>
          <w:szCs w:val="24"/>
        </w:rPr>
        <w:t xml:space="preserve">PFOA, and PFOS, </w:t>
      </w:r>
      <w:r w:rsidRPr="007C746F">
        <w:rPr>
          <w:rFonts w:ascii="Arial" w:hAnsi="Arial" w:cs="Arial"/>
          <w:sz w:val="24"/>
          <w:szCs w:val="24"/>
        </w:rPr>
        <w:t>the response level for this recommendation is adjusted downward accordingly, so that it corresponds to the 10</w:t>
      </w:r>
      <w:r w:rsidRPr="007C746F">
        <w:rPr>
          <w:rFonts w:ascii="Arial" w:hAnsi="Arial" w:cs="Arial"/>
          <w:sz w:val="24"/>
          <w:szCs w:val="24"/>
          <w:vertAlign w:val="superscript"/>
        </w:rPr>
        <w:t>-4</w:t>
      </w:r>
      <w:r w:rsidRPr="007C746F">
        <w:rPr>
          <w:rFonts w:ascii="Arial" w:hAnsi="Arial" w:cs="Arial"/>
          <w:sz w:val="24"/>
          <w:szCs w:val="24"/>
        </w:rPr>
        <w:t xml:space="preserve"> risk level, as discussed in the second bullet.</w:t>
      </w:r>
    </w:p>
    <w:p w14:paraId="3BE6F0D0" w14:textId="75341F39" w:rsidR="00B0523D" w:rsidRPr="007C746F" w:rsidRDefault="00B0523D" w:rsidP="002E6AEA">
      <w:pPr>
        <w:pStyle w:val="Heading2"/>
        <w:keepNext/>
        <w:spacing w:before="240" w:after="120" w:line="240" w:lineRule="auto"/>
        <w:rPr>
          <w:rFonts w:eastAsia="Arial Unicode MS"/>
        </w:rPr>
      </w:pPr>
      <w:r w:rsidRPr="007C746F">
        <w:t xml:space="preserve">Additional Notification When Water Is Served above the Response Level:  </w:t>
      </w:r>
    </w:p>
    <w:p w14:paraId="25B12405" w14:textId="77777777" w:rsidR="00B0523D" w:rsidRPr="007C746F" w:rsidRDefault="00B0523D" w:rsidP="002E7143">
      <w:pPr>
        <w:spacing w:after="120"/>
        <w:rPr>
          <w:rFonts w:ascii="Arial" w:hAnsi="Arial" w:cs="Arial"/>
          <w:sz w:val="24"/>
          <w:szCs w:val="24"/>
        </w:rPr>
      </w:pPr>
      <w:r w:rsidRPr="007C746F">
        <w:rPr>
          <w:rFonts w:ascii="Arial" w:hAnsi="Arial" w:cs="Arial"/>
          <w:sz w:val="24"/>
          <w:szCs w:val="24"/>
        </w:rPr>
        <w:t>When a drinking water system does not take a source out of service despite the presence of a contaminant in drinking water at a level confirmed to be greater than the response level, DDW recommends the following:</w:t>
      </w:r>
    </w:p>
    <w:p w14:paraId="17BFA019"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Notification of the local governing body (i.e., city council or board of supervisors, or both) that indicates water is being provided that exceeds the chemical’s response level, and the reason for the continued use of the source.</w:t>
      </w:r>
    </w:p>
    <w:p w14:paraId="2D6D8F1D"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Notification of the water system’s customers and other water consumers that the contaminant is present in their drinking water at a concentration greater than its response level, the level at which source removal is recommended, and the reason for the continued use of the source.</w:t>
      </w:r>
    </w:p>
    <w:p w14:paraId="5F180F92"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Whenever such a public "right-to-know" notice occurs, it should be provided to customers and to the water-consuming population in the affected area that would not directly receive such information, including renters, workers and students.</w:t>
      </w:r>
    </w:p>
    <w:p w14:paraId="391A2B2E"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Notification should be provided directly to consumers, for example by posted notices, hand-delivered notices, and water bill inserts.</w:t>
      </w:r>
    </w:p>
    <w:p w14:paraId="1D39CB79" w14:textId="44DF7658" w:rsidR="00B0523D" w:rsidRPr="007C746F" w:rsidRDefault="00B0523D" w:rsidP="002E7143">
      <w:pPr>
        <w:numPr>
          <w:ilvl w:val="0"/>
          <w:numId w:val="16"/>
        </w:numPr>
        <w:spacing w:after="240" w:line="240" w:lineRule="auto"/>
        <w:rPr>
          <w:rFonts w:ascii="Arial" w:hAnsi="Arial" w:cs="Arial"/>
          <w:sz w:val="24"/>
          <w:szCs w:val="24"/>
        </w:rPr>
      </w:pPr>
      <w:r w:rsidRPr="007C746F">
        <w:rPr>
          <w:rFonts w:ascii="Arial" w:hAnsi="Arial" w:cs="Arial"/>
          <w:sz w:val="24"/>
          <w:szCs w:val="24"/>
        </w:rPr>
        <w:t>A press release from the water system should also be issued to the local media.</w:t>
      </w:r>
    </w:p>
    <w:p w14:paraId="4D3FA1B2" w14:textId="77777777" w:rsidR="00B0523D" w:rsidRPr="007C746F" w:rsidRDefault="00B0523D" w:rsidP="006B4555">
      <w:pPr>
        <w:keepNext/>
        <w:spacing w:after="120"/>
        <w:rPr>
          <w:rFonts w:ascii="Arial" w:hAnsi="Arial" w:cs="Arial"/>
          <w:sz w:val="24"/>
          <w:szCs w:val="24"/>
        </w:rPr>
      </w:pPr>
      <w:r w:rsidRPr="007C746F">
        <w:rPr>
          <w:rFonts w:ascii="Arial" w:hAnsi="Arial" w:cs="Arial"/>
          <w:sz w:val="24"/>
          <w:szCs w:val="24"/>
        </w:rPr>
        <w:lastRenderedPageBreak/>
        <w:t>Thereafter, DDW recommends the following:</w:t>
      </w:r>
    </w:p>
    <w:p w14:paraId="1D2B011C" w14:textId="77777777" w:rsidR="00B0523D" w:rsidRPr="007C746F" w:rsidRDefault="00B0523D" w:rsidP="002E7143">
      <w:pPr>
        <w:numPr>
          <w:ilvl w:val="0"/>
          <w:numId w:val="17"/>
        </w:numPr>
        <w:spacing w:after="120" w:line="240" w:lineRule="auto"/>
        <w:rPr>
          <w:rFonts w:ascii="Arial" w:hAnsi="Arial" w:cs="Arial"/>
          <w:sz w:val="24"/>
          <w:szCs w:val="24"/>
        </w:rPr>
      </w:pPr>
      <w:r w:rsidRPr="007C746F">
        <w:rPr>
          <w:rFonts w:ascii="Arial" w:hAnsi="Arial" w:cs="Arial"/>
          <w:sz w:val="24"/>
          <w:szCs w:val="24"/>
        </w:rPr>
        <w:t>Monthly sampling and analysis of the drinking water supply for as long as the contaminant exceeds its response level, and quarterly sampling for 12 months, should the concentration drop below the response level.</w:t>
      </w:r>
    </w:p>
    <w:p w14:paraId="57A24DA8" w14:textId="551A65BA" w:rsidR="00B0523D" w:rsidRPr="007C746F" w:rsidRDefault="00B0523D" w:rsidP="002E7143">
      <w:pPr>
        <w:numPr>
          <w:ilvl w:val="0"/>
          <w:numId w:val="17"/>
        </w:numPr>
        <w:spacing w:after="240" w:line="240" w:lineRule="auto"/>
        <w:rPr>
          <w:rFonts w:ascii="Arial" w:hAnsi="Arial" w:cs="Arial"/>
          <w:sz w:val="24"/>
          <w:szCs w:val="24"/>
        </w:rPr>
      </w:pPr>
      <w:r w:rsidRPr="007C746F">
        <w:rPr>
          <w:rFonts w:ascii="Arial" w:hAnsi="Arial" w:cs="Arial"/>
          <w:sz w:val="24"/>
          <w:szCs w:val="24"/>
        </w:rPr>
        <w:t>Quarterly notification of the water system’s customers and other water consumers for as long as the contaminant is present at a concentration greater than its response level, using the methods described above.</w:t>
      </w:r>
    </w:p>
    <w:p w14:paraId="33602635" w14:textId="3031B297" w:rsidR="00186D25" w:rsidRPr="007C746F" w:rsidRDefault="00B0523D" w:rsidP="002E7143">
      <w:pPr>
        <w:spacing w:after="240" w:line="240" w:lineRule="auto"/>
        <w:rPr>
          <w:rFonts w:ascii="Arial" w:hAnsi="Arial" w:cs="Arial"/>
          <w:sz w:val="24"/>
          <w:szCs w:val="24"/>
        </w:rPr>
      </w:pPr>
      <w:r w:rsidRPr="007C746F">
        <w:rPr>
          <w:rFonts w:ascii="Arial" w:hAnsi="Arial" w:cs="Arial"/>
          <w:sz w:val="24"/>
          <w:szCs w:val="24"/>
        </w:rPr>
        <w:t>Should the water system refuse to provide additional consumer notification, DDW may provide that notification.</w:t>
      </w:r>
    </w:p>
    <w:p w14:paraId="0AA6926E" w14:textId="77777777" w:rsidR="00B0523D" w:rsidRPr="007C746F" w:rsidRDefault="00B0523D" w:rsidP="001126AA">
      <w:pPr>
        <w:pStyle w:val="Heading2"/>
        <w:spacing w:before="240" w:after="120" w:line="240" w:lineRule="auto"/>
      </w:pPr>
      <w:bookmarkStart w:id="3" w:name="_Notes_for_Chemicals"/>
      <w:bookmarkEnd w:id="3"/>
      <w:r w:rsidRPr="007C746F">
        <w:t>Notes for Chemicals with Notification Levels</w:t>
      </w:r>
    </w:p>
    <w:p w14:paraId="0C16A874" w14:textId="41538938"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Boron</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 xml:space="preserve">decreased fetal weight (developmental) in rats. REFERENCE: US EPA Integrated Risk Information System (IRIS), 2004. [Date refers to latest date in revision history.] Boron and Compounds.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August 5, 2004. HISTORY: Notification level first established at 1</w:t>
      </w:r>
      <w:r w:rsidR="00A02234">
        <w:rPr>
          <w:rFonts w:ascii="Arial" w:hAnsi="Arial" w:cs="Arial"/>
          <w:sz w:val="24"/>
          <w:szCs w:val="24"/>
        </w:rPr>
        <w:t> </w:t>
      </w:r>
      <w:r w:rsidRPr="007C746F">
        <w:rPr>
          <w:rFonts w:ascii="Arial" w:hAnsi="Arial" w:cs="Arial"/>
          <w:sz w:val="24"/>
          <w:szCs w:val="24"/>
        </w:rPr>
        <w:t>mg/L at an uncertain date but thought to be early to mid-1990s. ADDITIONAL INFORMATION: The relatively large number of sources with boron detections r</w:t>
      </w:r>
      <w:r w:rsidR="00D92325" w:rsidRPr="007C746F">
        <w:rPr>
          <w:rFonts w:ascii="Arial" w:hAnsi="Arial" w:cs="Arial"/>
          <w:sz w:val="24"/>
          <w:szCs w:val="24"/>
        </w:rPr>
        <w:t>eflects its natural occurrence.</w:t>
      </w:r>
    </w:p>
    <w:p w14:paraId="5C491705" w14:textId="34CBA364"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n-Butylbenzene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xml:space="preserve">) as a surrogate. REFERENCES: (1) National Center for Environmental Assessment (NCEA), 1997, Risk Assessment Issue Paper for: Derivation of Provisional Chronic </w:t>
      </w:r>
      <w:proofErr w:type="spellStart"/>
      <w:r w:rsidRPr="007C746F">
        <w:rPr>
          <w:rFonts w:ascii="Arial" w:hAnsi="Arial" w:cs="Arial"/>
          <w:sz w:val="24"/>
          <w:szCs w:val="24"/>
        </w:rPr>
        <w:t>RfDs</w:t>
      </w:r>
      <w:proofErr w:type="spellEnd"/>
      <w:r w:rsidRPr="007C746F">
        <w:rPr>
          <w:rFonts w:ascii="Arial" w:hAnsi="Arial" w:cs="Arial"/>
          <w:sz w:val="24"/>
          <w:szCs w:val="24"/>
        </w:rPr>
        <w:t xml:space="preserve"> for n-Butylbenzene, sec-Butylbenzene, tert-Butylbenzene, and n-</w:t>
      </w:r>
      <w:proofErr w:type="spellStart"/>
      <w:r w:rsidRPr="007C746F">
        <w:rPr>
          <w:rFonts w:ascii="Arial" w:hAnsi="Arial" w:cs="Arial"/>
          <w:sz w:val="24"/>
          <w:szCs w:val="24"/>
        </w:rPr>
        <w:t>Propylbenzene</w:t>
      </w:r>
      <w:proofErr w:type="spellEnd"/>
      <w:r w:rsidRPr="007C746F">
        <w:rPr>
          <w:rFonts w:ascii="Arial" w:hAnsi="Arial" w:cs="Arial"/>
          <w:sz w:val="24"/>
          <w:szCs w:val="24"/>
        </w:rPr>
        <w:t>. NCEA, US EPA (97-009/6-5-97) and (2) Memorandum from R. Howd, Office of Environmental Health Hazard Assessment (OEHHA), to D. Spath, CDHS, "Proposed Action Level for n-</w:t>
      </w:r>
      <w:proofErr w:type="spellStart"/>
      <w:r w:rsidRPr="007C746F">
        <w:rPr>
          <w:rFonts w:ascii="Arial" w:hAnsi="Arial" w:cs="Arial"/>
          <w:sz w:val="24"/>
          <w:szCs w:val="24"/>
        </w:rPr>
        <w:t>Propylbenzene</w:t>
      </w:r>
      <w:proofErr w:type="spellEnd"/>
      <w:r w:rsidRPr="007C746F">
        <w:rPr>
          <w:rFonts w:ascii="Arial" w:hAnsi="Arial" w:cs="Arial"/>
          <w:sz w:val="24"/>
          <w:szCs w:val="24"/>
        </w:rPr>
        <w:t>," October 27, 2000. HISTORY: Notification level was first established as 0.045 mg/L (date uncertain), and revised to 0.07 mg/L in 2000</w:t>
      </w:r>
      <w:r w:rsidR="00D92325" w:rsidRPr="007C746F">
        <w:rPr>
          <w:rFonts w:ascii="Arial" w:hAnsi="Arial" w:cs="Arial"/>
          <w:sz w:val="24"/>
          <w:szCs w:val="24"/>
        </w:rPr>
        <w:t>, and to current level in 2003.</w:t>
      </w:r>
    </w:p>
    <w:p w14:paraId="7B051373" w14:textId="38268377"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sec-Butylbenzene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as a surrogate. REFERENCE: OEHHA, 2000.</w:t>
      </w:r>
      <w:r w:rsidR="00D0181F" w:rsidRPr="007C746F">
        <w:rPr>
          <w:rFonts w:ascii="Arial" w:hAnsi="Arial" w:cs="Arial"/>
          <w:sz w:val="24"/>
          <w:szCs w:val="24"/>
        </w:rPr>
        <w:t xml:space="preserve"> </w:t>
      </w:r>
      <w:r w:rsidRPr="007C746F">
        <w:rPr>
          <w:rFonts w:ascii="Arial" w:hAnsi="Arial" w:cs="Arial"/>
          <w:sz w:val="24"/>
          <w:szCs w:val="24"/>
        </w:rPr>
        <w:t>Memorandum from R. Howd, OEHHA, to D. Spath, CDHS, "Proposed Action Levels for sec-Butylbenzene and tert-B</w:t>
      </w:r>
      <w:r w:rsidR="00D92325" w:rsidRPr="007C746F">
        <w:rPr>
          <w:rFonts w:ascii="Arial" w:hAnsi="Arial" w:cs="Arial"/>
          <w:sz w:val="24"/>
          <w:szCs w:val="24"/>
        </w:rPr>
        <w:t>utylbenzene," October 27, 2000.</w:t>
      </w:r>
    </w:p>
    <w:p w14:paraId="71BCADEA" w14:textId="5E678F2A"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tert-Butylbenzene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as a surrogate.</w:t>
      </w:r>
      <w:r w:rsidR="00D0181F" w:rsidRPr="007C746F">
        <w:rPr>
          <w:rFonts w:ascii="Arial" w:hAnsi="Arial" w:cs="Arial"/>
          <w:sz w:val="24"/>
          <w:szCs w:val="24"/>
        </w:rPr>
        <w:t xml:space="preserve"> </w:t>
      </w:r>
      <w:r w:rsidRPr="007C746F">
        <w:rPr>
          <w:rFonts w:ascii="Arial" w:hAnsi="Arial" w:cs="Arial"/>
          <w:sz w:val="24"/>
          <w:szCs w:val="24"/>
        </w:rPr>
        <w:t>REFERENCE: OEHHA, 2000.  Memorandum from R. Howd, OEHHA, to D. Spath, CDHS, "Proposed Action Levels for sec-Butylbenzene and tert-B</w:t>
      </w:r>
      <w:r w:rsidR="00D92325" w:rsidRPr="007C746F">
        <w:rPr>
          <w:rFonts w:ascii="Arial" w:hAnsi="Arial" w:cs="Arial"/>
          <w:sz w:val="24"/>
          <w:szCs w:val="24"/>
        </w:rPr>
        <w:t>utylbenzene," October 27, 2000.</w:t>
      </w:r>
    </w:p>
    <w:p w14:paraId="494FD267" w14:textId="04DF8451"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Carbon disulfide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decreased motor conduction velocity in people. REFERENCE: OEHHA, 2001. Memorandum from R. Howd, OEHHA, to D. Spath, CDHS, "Proposed Action Level for Ca</w:t>
      </w:r>
      <w:r w:rsidR="00D92325" w:rsidRPr="007C746F">
        <w:rPr>
          <w:rFonts w:ascii="Arial" w:hAnsi="Arial" w:cs="Arial"/>
          <w:sz w:val="24"/>
          <w:szCs w:val="24"/>
        </w:rPr>
        <w:t xml:space="preserve">rbon Disulfide," July 5, 2001. </w:t>
      </w:r>
    </w:p>
    <w:p w14:paraId="5253A35F" w14:textId="1F047186" w:rsidR="00B0523D" w:rsidRPr="007C746F" w:rsidRDefault="00B0523D" w:rsidP="00F8705F">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Chlorate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pituitary gland vacuolization &amp; thyroid gland depletion in rats. REFERENCE: OEHHA, 2002. Memorandum from R. Howd, OEHHA, to D. Spath, CDHS, "Proposed Action Level for Chlorate," January 7, 2002. HISTORY: Notification level was established in 2002. ADDITIONAL INFORMATI0N: Notification level is derived from standard risk assessment method</w:t>
      </w:r>
      <w:r w:rsidR="00D92325" w:rsidRPr="007C746F">
        <w:rPr>
          <w:rFonts w:ascii="Arial" w:hAnsi="Arial" w:cs="Arial"/>
          <w:sz w:val="24"/>
          <w:szCs w:val="24"/>
        </w:rPr>
        <w:t>s with RSC = 0.8.</w:t>
      </w:r>
    </w:p>
    <w:p w14:paraId="7C846158" w14:textId="4F9C1F38" w:rsidR="00722906"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2-Chlorotoluene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decrease in body weight gain in rats. REFERENCE: IRIS, 2003. 2-Chlorotoluene.</w:t>
      </w:r>
      <w:r w:rsidR="00D0181F" w:rsidRPr="007C746F">
        <w:rPr>
          <w:rFonts w:ascii="Arial" w:hAnsi="Arial" w:cs="Arial"/>
          <w:sz w:val="24"/>
          <w:szCs w:val="24"/>
        </w:rPr>
        <w:t xml:space="preserve"> </w:t>
      </w:r>
      <w:r w:rsidRPr="007C746F">
        <w:rPr>
          <w:rFonts w:ascii="Arial" w:hAnsi="Arial" w:cs="Arial"/>
          <w:sz w:val="24"/>
          <w:szCs w:val="24"/>
        </w:rPr>
        <w:t xml:space="preserve">The last revision for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February 1, 1990. OEHHA concurred with the notification level via a June 7, </w:t>
      </w:r>
      <w:r w:rsidR="0065470A" w:rsidRPr="007C746F">
        <w:rPr>
          <w:rFonts w:ascii="Arial" w:hAnsi="Arial" w:cs="Arial"/>
          <w:sz w:val="24"/>
          <w:szCs w:val="24"/>
        </w:rPr>
        <w:t>2000,</w:t>
      </w:r>
      <w:r w:rsidRPr="007C746F">
        <w:rPr>
          <w:rFonts w:ascii="Arial" w:hAnsi="Arial" w:cs="Arial"/>
          <w:sz w:val="24"/>
          <w:szCs w:val="24"/>
        </w:rPr>
        <w:t xml:space="preserve"> memorandum.</w:t>
      </w:r>
    </w:p>
    <w:p w14:paraId="7D975664" w14:textId="54690BE4"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4-Chlorotoluene</w:t>
      </w:r>
      <w:r w:rsidRPr="007C746F">
        <w:rPr>
          <w:rFonts w:ascii="Arial" w:hAnsi="Arial" w:cs="Arial"/>
          <w:sz w:val="24"/>
          <w:szCs w:val="24"/>
        </w:rPr>
        <w:t>: See notification level for 2-chlorotoluene</w:t>
      </w:r>
      <w:r w:rsidR="00722906" w:rsidRPr="007C746F">
        <w:rPr>
          <w:rFonts w:ascii="Arial" w:hAnsi="Arial" w:cs="Arial"/>
          <w:sz w:val="24"/>
          <w:szCs w:val="24"/>
        </w:rPr>
        <w:t xml:space="preserve">, which is used as a </w:t>
      </w:r>
      <w:r w:rsidR="00D92325" w:rsidRPr="007C746F">
        <w:rPr>
          <w:rFonts w:ascii="Arial" w:hAnsi="Arial" w:cs="Arial"/>
          <w:sz w:val="24"/>
          <w:szCs w:val="24"/>
        </w:rPr>
        <w:t>surrogate.</w:t>
      </w:r>
    </w:p>
    <w:p w14:paraId="198BE19B" w14:textId="28617502"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Diazinon</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neurotoxicity. REFERENCE: ATSDR toxicological profile update (ATSDR, 2008) and Health Effects Advisory Summary Tables (HEAST), FY 1997 Update, US Environmental Protection Agency (US EPA), Solid Waste and Emergency Response, 9200.6-303 (97-1), EPA-540-R-97-036, July 1997. HISTORY: NL for was first established in 1982 as 14 µg/L, revised to 0.006 mg/L in 2000, and updated to current level in 2010. NL uses standard risk assessment methods and these assumptions: adult: Body Weight (BW) = 70 kg, Drinking Water Consumption (DWC) = 2 L/day, Relative Source Contribution (RSC) = 0.2, Uncertainty Factor (UF) = 1,000, No Observable Adverse Effect Level (NOAEL) = 0.6 mg/kg/day.</w:t>
      </w:r>
    </w:p>
    <w:p w14:paraId="03F41D8B" w14:textId="043FA07A"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Dichlorodifluoromethane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 xml:space="preserve">reduced body weight in rats. REFERENCE: IRIS, 2005. Dichlorodifluoromethane.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January 31, 1987. HISTORY: Notification level was initially established at 1 mg/L (exact date uncertain, but likely mid-1990s).</w:t>
      </w:r>
    </w:p>
    <w:p w14:paraId="668F5CDC" w14:textId="69420F7D"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1,4-Dioxane</w:t>
      </w:r>
      <w:r w:rsidRPr="007C746F">
        <w:rPr>
          <w:rFonts w:ascii="Arial" w:hAnsi="Arial" w:cs="Arial"/>
          <w:sz w:val="24"/>
          <w:szCs w:val="24"/>
        </w:rPr>
        <w:t>: ENDPOINT: Cancer in laboratory rodents. REFERENCE: IRIS, 2013.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0.00035 mg/L. The last revision for oral slope factor for cancer risk was September 20, 2013. HISTORY: Notification level first established in 1998 at a 0.003-mg/L concentration, based on 1990 IRIS documentation, and revised to the current level on November 22, 2010. ADDITIONAL INFORMATION: The notification level's cancer risk is 3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1,4-dioxane at very low levels. Source removal is recommended at (response level=) 0.035 mg/L. </w:t>
      </w:r>
      <w:hyperlink r:id="rId13" w:history="1">
        <w:r w:rsidRPr="007C746F">
          <w:rPr>
            <w:rStyle w:val="Hyperlink"/>
            <w:rFonts w:ascii="Arial" w:hAnsi="Arial" w:cs="Arial"/>
            <w:sz w:val="24"/>
            <w:szCs w:val="24"/>
          </w:rPr>
          <w:t>More about 1,4-dioxane</w:t>
        </w:r>
      </w:hyperlink>
      <w:r w:rsidRPr="007C746F">
        <w:rPr>
          <w:rFonts w:ascii="Arial" w:hAnsi="Arial" w:cs="Arial"/>
          <w:sz w:val="24"/>
          <w:szCs w:val="24"/>
        </w:rPr>
        <w:t>.</w:t>
      </w:r>
    </w:p>
    <w:p w14:paraId="4E8317A2" w14:textId="6D76C5F9"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Ethylene glycol</w:t>
      </w:r>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kidney toxicity in rats. REFERENCE: IRIS, 2003, Ethylene glycol.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30, 1987. HISTORY: Notification level was first established in May 2002.</w:t>
      </w:r>
    </w:p>
    <w:p w14:paraId="11BED64B" w14:textId="77DFDF94"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Formaldehyde</w:t>
      </w:r>
      <w:r w:rsidRPr="007C746F">
        <w:rPr>
          <w:rFonts w:ascii="Arial" w:hAnsi="Arial" w:cs="Arial"/>
          <w:sz w:val="24"/>
          <w:szCs w:val="24"/>
        </w:rPr>
        <w:t>: ENDPOINT: Noncancer by ingestion</w:t>
      </w:r>
      <w:r w:rsidR="009F2B61">
        <w:rPr>
          <w:rFonts w:ascii="Arial" w:hAnsi="Arial" w:cs="Arial"/>
          <w:sz w:val="24"/>
          <w:szCs w:val="24"/>
        </w:rPr>
        <w:t xml:space="preserve"> - </w:t>
      </w:r>
      <w:r w:rsidRPr="007C746F">
        <w:rPr>
          <w:rFonts w:ascii="Arial" w:hAnsi="Arial" w:cs="Arial"/>
          <w:sz w:val="24"/>
          <w:szCs w:val="24"/>
        </w:rPr>
        <w:t xml:space="preserve">reduced weight gain, histopathology in rats. REFERENCE: IRIS, 1990. Formaldehyde.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1, 1990. HISTORY: Notification level first established in 1983 as 30 µg/</w:t>
      </w:r>
      <w:r w:rsidR="0065470A" w:rsidRPr="007C746F">
        <w:rPr>
          <w:rFonts w:ascii="Arial" w:hAnsi="Arial" w:cs="Arial"/>
          <w:sz w:val="24"/>
          <w:szCs w:val="24"/>
        </w:rPr>
        <w:t>L and</w:t>
      </w:r>
      <w:r w:rsidRPr="007C746F">
        <w:rPr>
          <w:rFonts w:ascii="Arial" w:hAnsi="Arial" w:cs="Arial"/>
          <w:sz w:val="24"/>
          <w:szCs w:val="24"/>
        </w:rPr>
        <w:t xml:space="preserve"> revised to current level in 2000. ADDITIONAL INFORMATION: Notification level is derived from standard risk assessment methods, with MF = 10 (because of formaldehyde's cancer risk associated with inhalation exposures, as shown in a variety of animals studies). Though rarely detected in drinking water sources, formaldehyde is of interest because of its possible production as a disinfection byproduct from the use of ozone and/or hydrogen peroxide.</w:t>
      </w:r>
    </w:p>
    <w:p w14:paraId="7E0F5836" w14:textId="0F49F5CD"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HMX</w:t>
      </w:r>
      <w:r w:rsidRPr="007C746F">
        <w:rPr>
          <w:rFonts w:ascii="Arial" w:hAnsi="Arial" w:cs="Arial"/>
          <w:sz w:val="24"/>
          <w:szCs w:val="24"/>
        </w:rPr>
        <w:t xml:space="preserve"> (Octahydro-1,3,5,7-tetranitro-1,3,5,7-tetrazocine): ENDPOINT:</w:t>
      </w:r>
      <w:r w:rsidR="00FF7A64" w:rsidRPr="007C746F">
        <w:rPr>
          <w:rFonts w:ascii="Arial" w:hAnsi="Arial" w:cs="Arial"/>
          <w:sz w:val="24"/>
          <w:szCs w:val="24"/>
        </w:rPr>
        <w:t xml:space="preserve"> </w:t>
      </w:r>
      <w:r w:rsidRPr="007C746F">
        <w:rPr>
          <w:rFonts w:ascii="Arial" w:hAnsi="Arial" w:cs="Arial"/>
          <w:sz w:val="24"/>
          <w:szCs w:val="24"/>
        </w:rPr>
        <w:t>Noncancer</w:t>
      </w:r>
      <w:r w:rsidR="00B1041F">
        <w:rPr>
          <w:rFonts w:ascii="Arial" w:hAnsi="Arial" w:cs="Arial"/>
          <w:sz w:val="24"/>
          <w:szCs w:val="24"/>
        </w:rPr>
        <w:t xml:space="preserve"> - </w:t>
      </w:r>
      <w:r w:rsidRPr="007C746F">
        <w:rPr>
          <w:rFonts w:ascii="Arial" w:hAnsi="Arial" w:cs="Arial"/>
          <w:sz w:val="24"/>
          <w:szCs w:val="24"/>
        </w:rPr>
        <w:t>liver lesions in rats.  REFERENCE: IRIS, 2003.</w:t>
      </w:r>
      <w:r w:rsidR="009F2B61">
        <w:rPr>
          <w:rFonts w:ascii="Arial" w:hAnsi="Arial" w:cs="Arial"/>
          <w:sz w:val="24"/>
          <w:szCs w:val="24"/>
        </w:rPr>
        <w:t xml:space="preserve"> </w:t>
      </w:r>
      <w:r w:rsidRPr="007C746F">
        <w:rPr>
          <w:rFonts w:ascii="Arial" w:hAnsi="Arial" w:cs="Arial"/>
          <w:sz w:val="24"/>
          <w:szCs w:val="24"/>
        </w:rPr>
        <w:t xml:space="preserve">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26, 1988. HISTORY: Notification level was first established September 30, 2005.</w:t>
      </w:r>
    </w:p>
    <w:p w14:paraId="333A2B8D" w14:textId="54A88279" w:rsidR="00C34989"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proofErr w:type="spellStart"/>
      <w:r w:rsidRPr="00A32BD0">
        <w:rPr>
          <w:rFonts w:ascii="Arial" w:hAnsi="Arial" w:cs="Arial"/>
          <w:b/>
          <w:bCs/>
          <w:sz w:val="24"/>
          <w:szCs w:val="24"/>
        </w:rPr>
        <w:t>Isopropylbenzene</w:t>
      </w:r>
      <w:proofErr w:type="spellEnd"/>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increased kidney weight in rats. REFERENCE: IRIS, 1997. Cumene (also known as </w:t>
      </w:r>
      <w:proofErr w:type="spellStart"/>
      <w:r w:rsidRPr="007C746F">
        <w:rPr>
          <w:rFonts w:ascii="Arial" w:hAnsi="Arial" w:cs="Arial"/>
          <w:sz w:val="24"/>
          <w:szCs w:val="24"/>
        </w:rPr>
        <w:t>Isopropylbenzene</w:t>
      </w:r>
      <w:proofErr w:type="spellEnd"/>
      <w:r w:rsidRPr="007C746F">
        <w:rPr>
          <w:rFonts w:ascii="Arial" w:hAnsi="Arial" w:cs="Arial"/>
          <w:sz w:val="24"/>
          <w:szCs w:val="24"/>
        </w:rPr>
        <w:t>).</w:t>
      </w:r>
      <w:r w:rsidR="009F2B61">
        <w:rPr>
          <w:rFonts w:ascii="Arial" w:hAnsi="Arial" w:cs="Arial"/>
          <w:sz w:val="24"/>
          <w:szCs w:val="24"/>
        </w:rPr>
        <w:t xml:space="preserve"> </w:t>
      </w:r>
      <w:r w:rsidRPr="007C746F">
        <w:rPr>
          <w:rFonts w:ascii="Arial" w:hAnsi="Arial" w:cs="Arial"/>
          <w:sz w:val="24"/>
          <w:szCs w:val="24"/>
        </w:rPr>
        <w:t xml:space="preserve">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August 1, 1997. OEHHA concurred with the notification level via a November 1, 2000 memorandum. HISTORY: Notification level was first established in 2000.</w:t>
      </w:r>
    </w:p>
    <w:p w14:paraId="6F46C074" w14:textId="1BC7786A"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Manganese</w:t>
      </w:r>
      <w:r w:rsidRPr="007C746F">
        <w:rPr>
          <w:rFonts w:ascii="Arial" w:hAnsi="Arial" w:cs="Arial"/>
          <w:sz w:val="24"/>
          <w:szCs w:val="24"/>
        </w:rPr>
        <w:t xml:space="preserve">: </w:t>
      </w:r>
      <w:r w:rsidR="009A60D6" w:rsidRPr="009A60D6">
        <w:rPr>
          <w:rFonts w:ascii="Arial" w:hAnsi="Arial" w:cs="Arial"/>
          <w:sz w:val="24"/>
          <w:szCs w:val="24"/>
        </w:rPr>
        <w:t>ENDPOINT: Noncancer - neurotoxicity </w:t>
      </w:r>
      <w:r w:rsidR="0058763E">
        <w:rPr>
          <w:rFonts w:ascii="Arial" w:hAnsi="Arial" w:cs="Arial"/>
          <w:sz w:val="24"/>
          <w:szCs w:val="24"/>
        </w:rPr>
        <w:t>in</w:t>
      </w:r>
      <w:r w:rsidR="009A60D6" w:rsidRPr="009A60D6">
        <w:rPr>
          <w:rFonts w:ascii="Arial" w:hAnsi="Arial" w:cs="Arial"/>
          <w:sz w:val="24"/>
          <w:szCs w:val="24"/>
        </w:rPr>
        <w:t xml:space="preserve"> neonatal rats. REFERENCE: Notification Level Issuance – Manganese, </w:t>
      </w:r>
      <w:r w:rsidR="0058763E">
        <w:rPr>
          <w:rFonts w:ascii="Arial" w:hAnsi="Arial" w:cs="Arial"/>
          <w:sz w:val="24"/>
          <w:szCs w:val="24"/>
        </w:rPr>
        <w:t>June 2,</w:t>
      </w:r>
      <w:r w:rsidR="009A60D6" w:rsidRPr="009A60D6">
        <w:rPr>
          <w:rFonts w:ascii="Arial" w:hAnsi="Arial" w:cs="Arial"/>
          <w:sz w:val="24"/>
          <w:szCs w:val="24"/>
        </w:rPr>
        <w:t xml:space="preserve"> 2026; U.S. EPA IRIS </w:t>
      </w:r>
      <w:hyperlink r:id="rId14" w:tooltip="https://iris.epa.gov/static/pdfs/0373_summary.pdf" w:history="1">
        <w:r w:rsidR="009A60D6" w:rsidRPr="009A60D6">
          <w:rPr>
            <w:rStyle w:val="Hyperlink"/>
            <w:rFonts w:ascii="Arial" w:hAnsi="Arial" w:cs="Arial"/>
            <w:sz w:val="24"/>
            <w:szCs w:val="24"/>
          </w:rPr>
          <w:t>Manganese (CASRN 7439-96-5)</w:t>
        </w:r>
      </w:hyperlink>
      <w:r w:rsidR="009A60D6" w:rsidRPr="009A60D6">
        <w:rPr>
          <w:rFonts w:ascii="Arial" w:hAnsi="Arial" w:cs="Arial"/>
          <w:sz w:val="24"/>
          <w:szCs w:val="24"/>
        </w:rPr>
        <w:t>. HISTORY: AL (later renamed as notification level) was established on March 20, 2003 as 0.5 mg/L and revised in 2026 to the current level. ADDITIONAL INFORMATION: Current health protective concentration of 0.02 mg/L is derived from standard risk assessment methods with RSC = 0.2.</w:t>
      </w:r>
      <w:r w:rsidR="009A60D6">
        <w:rPr>
          <w:rFonts w:ascii="Arial" w:hAnsi="Arial" w:cs="Arial"/>
          <w:sz w:val="24"/>
          <w:szCs w:val="24"/>
        </w:rPr>
        <w:t xml:space="preserve"> </w:t>
      </w:r>
      <w:r w:rsidRPr="007C746F">
        <w:rPr>
          <w:rFonts w:ascii="Arial" w:hAnsi="Arial" w:cs="Arial"/>
          <w:sz w:val="24"/>
          <w:szCs w:val="24"/>
        </w:rPr>
        <w:t xml:space="preserve">Manganese has an enforceable secondary MCL of 0.05 mg/L that is based upon aesthetics. Secondary MCLs apply only to community water systems. The relatively large number of sources with manganese detections reflects its natural occurrence. </w:t>
      </w:r>
      <w:r w:rsidR="009F08A6">
        <w:rPr>
          <w:rFonts w:ascii="Arial" w:hAnsi="Arial" w:cs="Arial"/>
          <w:sz w:val="24"/>
          <w:szCs w:val="24"/>
        </w:rPr>
        <w:t>The current notification level is set to (a)</w:t>
      </w:r>
      <w:r w:rsidR="00D92CB9">
        <w:rPr>
          <w:rFonts w:ascii="Arial" w:hAnsi="Arial" w:cs="Arial"/>
          <w:sz w:val="24"/>
          <w:szCs w:val="24"/>
        </w:rPr>
        <w:t xml:space="preserve"> align with</w:t>
      </w:r>
      <w:r w:rsidR="009F08A6">
        <w:rPr>
          <w:rFonts w:ascii="Arial" w:hAnsi="Arial" w:cs="Arial"/>
          <w:sz w:val="24"/>
          <w:szCs w:val="24"/>
        </w:rPr>
        <w:t xml:space="preserve"> </w:t>
      </w:r>
      <w:r w:rsidR="00E9758A" w:rsidRPr="00E9758A">
        <w:rPr>
          <w:rFonts w:ascii="Arial" w:hAnsi="Arial" w:cs="Arial"/>
          <w:sz w:val="24"/>
          <w:szCs w:val="24"/>
        </w:rPr>
        <w:t>the public health benefit provided by existing</w:t>
      </w:r>
      <w:r w:rsidR="00E9758A" w:rsidRPr="00E9758A" w:rsidDel="000D3639">
        <w:rPr>
          <w:rFonts w:ascii="Arial" w:hAnsi="Arial" w:cs="Arial"/>
          <w:sz w:val="24"/>
          <w:szCs w:val="24"/>
        </w:rPr>
        <w:t xml:space="preserve"> </w:t>
      </w:r>
      <w:r w:rsidR="00E9758A" w:rsidRPr="00E9758A">
        <w:rPr>
          <w:rFonts w:ascii="Arial" w:hAnsi="Arial" w:cs="Arial"/>
          <w:sz w:val="24"/>
          <w:szCs w:val="24"/>
        </w:rPr>
        <w:t xml:space="preserve">water quality regulations for bottled </w:t>
      </w:r>
      <w:r w:rsidR="00E9758A" w:rsidRPr="00E9758A" w:rsidDel="00441EA6">
        <w:rPr>
          <w:rFonts w:ascii="Arial" w:hAnsi="Arial" w:cs="Arial"/>
          <w:sz w:val="24"/>
          <w:szCs w:val="24"/>
        </w:rPr>
        <w:t>water</w:t>
      </w:r>
      <w:r w:rsidR="009F08A6">
        <w:rPr>
          <w:rFonts w:ascii="Arial" w:hAnsi="Arial" w:cs="Arial"/>
          <w:sz w:val="24"/>
          <w:szCs w:val="24"/>
        </w:rPr>
        <w:t>, (b) align with the</w:t>
      </w:r>
      <w:r w:rsidR="009F08A6" w:rsidRPr="007C746F">
        <w:rPr>
          <w:rFonts w:ascii="Arial" w:hAnsi="Arial" w:cs="Arial"/>
          <w:sz w:val="24"/>
          <w:szCs w:val="24"/>
        </w:rPr>
        <w:t xml:space="preserve"> </w:t>
      </w:r>
      <w:r w:rsidR="009F08A6">
        <w:rPr>
          <w:rFonts w:ascii="Arial" w:hAnsi="Arial" w:cs="Arial"/>
          <w:sz w:val="24"/>
          <w:szCs w:val="24"/>
        </w:rPr>
        <w:t xml:space="preserve">manganese </w:t>
      </w:r>
      <w:r w:rsidR="009F08A6" w:rsidRPr="007C746F">
        <w:rPr>
          <w:rFonts w:ascii="Arial" w:hAnsi="Arial" w:cs="Arial"/>
          <w:sz w:val="24"/>
          <w:szCs w:val="24"/>
        </w:rPr>
        <w:t xml:space="preserve">secondary MCL </w:t>
      </w:r>
      <w:r w:rsidR="009F08A6">
        <w:rPr>
          <w:rFonts w:ascii="Arial" w:hAnsi="Arial" w:cs="Arial"/>
          <w:sz w:val="24"/>
          <w:szCs w:val="24"/>
        </w:rPr>
        <w:t>public notice requirements for</w:t>
      </w:r>
      <w:r w:rsidR="009F08A6" w:rsidRPr="007C746F">
        <w:rPr>
          <w:rFonts w:ascii="Arial" w:hAnsi="Arial" w:cs="Arial"/>
          <w:sz w:val="24"/>
          <w:szCs w:val="24"/>
        </w:rPr>
        <w:t xml:space="preserve"> community water systems</w:t>
      </w:r>
      <w:r w:rsidR="009F08A6">
        <w:rPr>
          <w:rFonts w:ascii="Arial" w:hAnsi="Arial" w:cs="Arial"/>
          <w:sz w:val="24"/>
          <w:szCs w:val="24"/>
        </w:rPr>
        <w:t>, and (c) account for the fluctuation of</w:t>
      </w:r>
      <w:r w:rsidR="009F08A6" w:rsidRPr="007C746F">
        <w:rPr>
          <w:rFonts w:ascii="Arial" w:hAnsi="Arial" w:cs="Arial"/>
          <w:sz w:val="24"/>
          <w:szCs w:val="24"/>
        </w:rPr>
        <w:t xml:space="preserve"> manganese </w:t>
      </w:r>
      <w:r w:rsidR="009F08A6">
        <w:rPr>
          <w:rFonts w:ascii="Arial" w:hAnsi="Arial" w:cs="Arial"/>
          <w:sz w:val="24"/>
          <w:szCs w:val="24"/>
        </w:rPr>
        <w:t>levels over time</w:t>
      </w:r>
      <w:r w:rsidR="006A306B">
        <w:rPr>
          <w:rFonts w:ascii="Arial" w:hAnsi="Arial" w:cs="Arial"/>
          <w:sz w:val="24"/>
          <w:szCs w:val="24"/>
        </w:rPr>
        <w:t>.</w:t>
      </w:r>
      <w:r w:rsidRPr="007C746F">
        <w:rPr>
          <w:rFonts w:ascii="Arial" w:hAnsi="Arial" w:cs="Arial"/>
          <w:sz w:val="24"/>
          <w:szCs w:val="24"/>
        </w:rPr>
        <w:t xml:space="preserve"> </w:t>
      </w:r>
      <w:hyperlink r:id="rId15" w:history="1">
        <w:r w:rsidRPr="007C746F">
          <w:rPr>
            <w:rStyle w:val="Hyperlink"/>
            <w:rFonts w:ascii="Arial" w:hAnsi="Arial" w:cs="Arial"/>
            <w:sz w:val="24"/>
            <w:szCs w:val="24"/>
          </w:rPr>
          <w:t>More about manganese</w:t>
        </w:r>
      </w:hyperlink>
      <w:r w:rsidRPr="007C746F">
        <w:rPr>
          <w:rFonts w:ascii="Arial" w:hAnsi="Arial" w:cs="Arial"/>
          <w:sz w:val="24"/>
          <w:szCs w:val="24"/>
        </w:rPr>
        <w:t>.</w:t>
      </w:r>
    </w:p>
    <w:p w14:paraId="4FFCB2BC" w14:textId="3872D962" w:rsidR="00B0523D" w:rsidRPr="007C746F" w:rsidRDefault="00355F58"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Methyl iso</w:t>
      </w:r>
      <w:r w:rsidR="004923BE" w:rsidRPr="00A32BD0">
        <w:rPr>
          <w:rFonts w:ascii="Arial" w:hAnsi="Arial" w:cs="Arial"/>
          <w:b/>
          <w:bCs/>
          <w:sz w:val="24"/>
          <w:szCs w:val="24"/>
        </w:rPr>
        <w:t>butyl ketone</w:t>
      </w:r>
      <w:r w:rsidR="004923BE">
        <w:rPr>
          <w:rFonts w:ascii="Arial" w:hAnsi="Arial" w:cs="Arial"/>
          <w:sz w:val="24"/>
          <w:szCs w:val="24"/>
        </w:rPr>
        <w:t xml:space="preserve"> (</w:t>
      </w:r>
      <w:r w:rsidR="00B0523D" w:rsidRPr="007C746F">
        <w:rPr>
          <w:rFonts w:ascii="Arial" w:hAnsi="Arial" w:cs="Arial"/>
          <w:sz w:val="24"/>
          <w:szCs w:val="24"/>
        </w:rPr>
        <w:t>MIBK</w:t>
      </w:r>
      <w:r w:rsidR="004923BE">
        <w:rPr>
          <w:rFonts w:ascii="Arial" w:hAnsi="Arial" w:cs="Arial"/>
          <w:sz w:val="24"/>
          <w:szCs w:val="24"/>
        </w:rPr>
        <w:t>)</w:t>
      </w:r>
      <w:r w:rsidR="00B0523D" w:rsidRPr="007C746F">
        <w:rPr>
          <w:rFonts w:ascii="Arial" w:hAnsi="Arial" w:cs="Arial"/>
          <w:sz w:val="24"/>
          <w:szCs w:val="24"/>
        </w:rPr>
        <w:t>: ENDPOINT: Noncancer</w:t>
      </w:r>
      <w:r w:rsidR="00B1041F">
        <w:rPr>
          <w:rFonts w:ascii="Arial" w:hAnsi="Arial" w:cs="Arial"/>
          <w:sz w:val="24"/>
          <w:szCs w:val="24"/>
        </w:rPr>
        <w:t xml:space="preserve"> - </w:t>
      </w:r>
      <w:r w:rsidR="00B0523D" w:rsidRPr="007C746F">
        <w:rPr>
          <w:rFonts w:ascii="Arial" w:hAnsi="Arial" w:cs="Arial"/>
          <w:sz w:val="24"/>
          <w:szCs w:val="24"/>
        </w:rPr>
        <w:t xml:space="preserve">increased kidney and liver weight, kidney pathology in rats. REFERENCE: OEHHA, 1999. Memorandum from G. Alexeeff, OEHHA, to D. Spath, CDHS, "Proposed Action Level for Methyl Isobutyl Ketone," December 29, 1999. HISTORY: Notification level established in 2000. </w:t>
      </w:r>
    </w:p>
    <w:p w14:paraId="3C5B4D1E" w14:textId="0D0F8FA6" w:rsidR="00B0523D" w:rsidRPr="007C746F" w:rsidRDefault="00B0523D" w:rsidP="00F8705F">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Naphthalene</w:t>
      </w:r>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decreased body weight in rats.  REFERENCE: IRIS, 1998. Naphthalene.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17, 1998. OEHHA concurred with the notification level via an April 20, 2000 memorandum. HISTORY: Notification level was first established in 2000 at a concentration of 0.17 mg/L, and revised to current level in April 2005. ADDITIONAL INFORMATION: Subsequent to the establishment of the notification level, naphthalene was identified by OEHHA in 2002 as a chemical known to the state to cause cancer for purposes of Proposition 65, and was identified by OEHHA in 2004 as a toxic air contaminant and potential carcinogen when inhaled. Notification level is derived from standard risk assessment methods, with MF = 10 (because of naphthalene's cancer risk associated with inhalation exposures, as shown in animal studies). </w:t>
      </w:r>
    </w:p>
    <w:p w14:paraId="41F4B27F" w14:textId="318108DC" w:rsidR="00B0523D" w:rsidRPr="007C746F" w:rsidRDefault="00B0523D" w:rsidP="00B67FD7">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Nitrosodiethylamine</w:t>
      </w:r>
      <w:proofErr w:type="spellEnd"/>
      <w:r w:rsidRPr="007C746F">
        <w:rPr>
          <w:rFonts w:ascii="Arial" w:hAnsi="Arial" w:cs="Arial"/>
          <w:sz w:val="24"/>
          <w:szCs w:val="24"/>
        </w:rPr>
        <w:t xml:space="preserve"> (NDEA):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0.000001 mg/L, derived from the 10</w:t>
      </w:r>
      <w:r w:rsidRPr="007C746F">
        <w:rPr>
          <w:rFonts w:ascii="Arial" w:hAnsi="Arial" w:cs="Arial"/>
          <w:sz w:val="24"/>
          <w:szCs w:val="24"/>
          <w:vertAlign w:val="superscript"/>
        </w:rPr>
        <w:t>-5</w:t>
      </w:r>
      <w:r w:rsidRPr="007C746F">
        <w:rPr>
          <w:rFonts w:ascii="Arial" w:hAnsi="Arial" w:cs="Arial"/>
          <w:sz w:val="24"/>
          <w:szCs w:val="24"/>
        </w:rPr>
        <w:t xml:space="preserve"> lifetime cancer risk level in 27 CCR §12705. HISTORY: Notification level first established September 2004. ADDITIONAL INFORMATION: The notification level's cancer risk is 1 x 10</w:t>
      </w:r>
      <w:r w:rsidRPr="007C746F">
        <w:rPr>
          <w:rFonts w:ascii="Arial" w:hAnsi="Arial" w:cs="Arial"/>
          <w:sz w:val="24"/>
          <w:szCs w:val="24"/>
          <w:vertAlign w:val="superscript"/>
        </w:rPr>
        <w:t>-5</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NDEA at very low levels, and because it may be produced in drinking water treatment. Source removal is recommended at (response level=) 0.0001 mg/L. </w:t>
      </w:r>
      <w:hyperlink r:id="rId16" w:history="1">
        <w:r w:rsidRPr="007C746F">
          <w:rPr>
            <w:rStyle w:val="Hyperlink"/>
            <w:rFonts w:ascii="Arial" w:hAnsi="Arial" w:cs="Arial"/>
            <w:sz w:val="24"/>
            <w:szCs w:val="24"/>
          </w:rPr>
          <w:t>More about NDEA</w:t>
        </w:r>
      </w:hyperlink>
      <w:r w:rsidRPr="007C746F">
        <w:rPr>
          <w:rFonts w:ascii="Arial" w:hAnsi="Arial" w:cs="Arial"/>
          <w:sz w:val="24"/>
          <w:szCs w:val="24"/>
        </w:rPr>
        <w:t>.</w:t>
      </w:r>
    </w:p>
    <w:p w14:paraId="6F74AA77" w14:textId="21C6BA5E"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Nitrosodimethylamine</w:t>
      </w:r>
      <w:proofErr w:type="spellEnd"/>
      <w:r w:rsidRPr="007C746F">
        <w:rPr>
          <w:rFonts w:ascii="Arial" w:hAnsi="Arial" w:cs="Arial"/>
          <w:sz w:val="24"/>
          <w:szCs w:val="24"/>
        </w:rPr>
        <w:t xml:space="preserve"> (NDMA):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0.000003 mg/L, according to OEHHA’s public health goal for NDMA. HISTORY: Notification level first established in 1998, and revised to current level in 2002. ADDITIONAL INFORMATION: The notification level's cancer risk is 3.3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NDMA at very low levels, and because it may be produced in drinking water treatment. Source removal is recommended at (response level=) 0.0003 mg/L. </w:t>
      </w:r>
      <w:hyperlink r:id="rId17" w:history="1">
        <w:r w:rsidRPr="007C746F">
          <w:rPr>
            <w:rStyle w:val="Hyperlink"/>
            <w:rFonts w:ascii="Arial" w:hAnsi="Arial" w:cs="Arial"/>
            <w:sz w:val="24"/>
            <w:szCs w:val="24"/>
          </w:rPr>
          <w:t>More about NDMA</w:t>
        </w:r>
      </w:hyperlink>
      <w:r w:rsidRPr="007C746F">
        <w:rPr>
          <w:rFonts w:ascii="Arial" w:hAnsi="Arial" w:cs="Arial"/>
          <w:sz w:val="24"/>
          <w:szCs w:val="24"/>
        </w:rPr>
        <w:t>.</w:t>
      </w:r>
    </w:p>
    <w:p w14:paraId="7FEE12F7" w14:textId="4AFCAA24"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w:t>
      </w:r>
      <w:proofErr w:type="spellEnd"/>
      <w:r w:rsidRPr="00A32BD0">
        <w:rPr>
          <w:rFonts w:ascii="Arial" w:hAnsi="Arial" w:cs="Arial"/>
          <w:b/>
          <w:bCs/>
          <w:sz w:val="24"/>
          <w:szCs w:val="24"/>
        </w:rPr>
        <w:t>-n-propylamine</w:t>
      </w:r>
      <w:r w:rsidRPr="007C746F">
        <w:rPr>
          <w:rFonts w:ascii="Arial" w:hAnsi="Arial" w:cs="Arial"/>
          <w:sz w:val="24"/>
          <w:szCs w:val="24"/>
        </w:rPr>
        <w:t xml:space="preserve"> (NDPA):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0.000005 mg/L, derived from the 10</w:t>
      </w:r>
      <w:r w:rsidRPr="007C746F">
        <w:rPr>
          <w:rFonts w:ascii="Arial" w:hAnsi="Arial" w:cs="Arial"/>
          <w:sz w:val="24"/>
          <w:szCs w:val="24"/>
          <w:vertAlign w:val="superscript"/>
        </w:rPr>
        <w:t>-5</w:t>
      </w:r>
      <w:r w:rsidRPr="007C746F">
        <w:rPr>
          <w:rFonts w:ascii="Arial" w:hAnsi="Arial" w:cs="Arial"/>
          <w:sz w:val="24"/>
          <w:szCs w:val="24"/>
        </w:rPr>
        <w:t xml:space="preserve"> lifetime cancer risk level in 27 CCR §12705. HISTORY: Notification level first established in May 2005. ADDITIONAL INFORMATION:</w:t>
      </w:r>
      <w:r w:rsidR="00FF7A64" w:rsidRPr="007C746F">
        <w:rPr>
          <w:rFonts w:ascii="Arial" w:hAnsi="Arial" w:cs="Arial"/>
          <w:sz w:val="24"/>
          <w:szCs w:val="24"/>
        </w:rPr>
        <w:t xml:space="preserve"> </w:t>
      </w:r>
      <w:r w:rsidRPr="007C746F">
        <w:rPr>
          <w:rFonts w:ascii="Arial" w:hAnsi="Arial" w:cs="Arial"/>
          <w:sz w:val="24"/>
          <w:szCs w:val="24"/>
        </w:rPr>
        <w:t>The notification level's cancer risk is 2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NDPA at very low levels, and because it may be produced in drinking water treatment. Source removal is recommended at (response level=) 0.0005 mg/L. </w:t>
      </w:r>
      <w:hyperlink r:id="rId18" w:history="1">
        <w:r w:rsidRPr="007C746F">
          <w:rPr>
            <w:rStyle w:val="Hyperlink"/>
            <w:rFonts w:ascii="Arial" w:hAnsi="Arial" w:cs="Arial"/>
            <w:sz w:val="24"/>
            <w:szCs w:val="24"/>
          </w:rPr>
          <w:t>More about NDPA</w:t>
        </w:r>
      </w:hyperlink>
      <w:r w:rsidRPr="007C746F">
        <w:rPr>
          <w:rFonts w:ascii="Arial" w:hAnsi="Arial" w:cs="Arial"/>
          <w:sz w:val="24"/>
          <w:szCs w:val="24"/>
        </w:rPr>
        <w:t xml:space="preserve">. </w:t>
      </w:r>
    </w:p>
    <w:p w14:paraId="486E391C" w14:textId="0373A9C6" w:rsidR="0058351D" w:rsidRPr="007C746F" w:rsidRDefault="0058351D" w:rsidP="00F8705F">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lastRenderedPageBreak/>
        <w:t>Perfluorobutanesulfonic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(PFBS): </w:t>
      </w:r>
      <w:r w:rsidRPr="007C746F">
        <w:rPr>
          <w:rFonts w:ascii="Arial" w:eastAsia="Times New Roman" w:hAnsi="Arial" w:cs="Arial"/>
          <w:sz w:val="24"/>
          <w:szCs w:val="24"/>
        </w:rPr>
        <w:t>ENDPOINT: Noncancer</w:t>
      </w:r>
      <w:r w:rsidR="0010160D">
        <w:rPr>
          <w:rFonts w:ascii="Arial" w:hAnsi="Arial" w:cs="Arial"/>
          <w:sz w:val="24"/>
          <w:szCs w:val="24"/>
        </w:rPr>
        <w:t xml:space="preserve"> - </w:t>
      </w:r>
      <w:r w:rsidRPr="007C746F">
        <w:rPr>
          <w:rFonts w:ascii="Arial" w:eastAsia="Times New Roman" w:hAnsi="Arial" w:cs="Arial"/>
          <w:sz w:val="24"/>
          <w:szCs w:val="24"/>
        </w:rPr>
        <w:t>decreased thyroid hormone</w:t>
      </w:r>
      <w:r w:rsidR="00701F19" w:rsidRPr="007C746F">
        <w:rPr>
          <w:rFonts w:ascii="Arial" w:eastAsia="Times New Roman" w:hAnsi="Arial" w:cs="Arial"/>
          <w:sz w:val="24"/>
          <w:szCs w:val="24"/>
        </w:rPr>
        <w:t xml:space="preserve"> in lab animals</w:t>
      </w:r>
      <w:r w:rsidRPr="007C746F">
        <w:rPr>
          <w:rFonts w:ascii="Arial" w:eastAsia="Times New Roman" w:hAnsi="Arial" w:cs="Arial"/>
          <w:sz w:val="24"/>
          <w:szCs w:val="24"/>
        </w:rPr>
        <w:t>, REFERENCES:</w:t>
      </w:r>
      <w:r w:rsidRPr="007C746F">
        <w:rPr>
          <w:rFonts w:ascii="Arial" w:hAnsi="Arial" w:cs="Arial"/>
          <w:sz w:val="24"/>
          <w:szCs w:val="24"/>
        </w:rPr>
        <w:t xml:space="preserve"> </w:t>
      </w:r>
      <w:hyperlink r:id="rId19" w:history="1">
        <w:r w:rsidR="00687CA9" w:rsidRPr="00454FF5">
          <w:rPr>
            <w:rStyle w:val="Hyperlink"/>
            <w:rFonts w:ascii="Arial" w:hAnsi="Arial" w:cs="Arial"/>
            <w:sz w:val="24"/>
            <w:szCs w:val="24"/>
          </w:rPr>
          <w:t xml:space="preserve">Notification Level Issuance </w:t>
        </w:r>
        <w:r w:rsidR="00341996" w:rsidRPr="00454FF5">
          <w:rPr>
            <w:rStyle w:val="Hyperlink"/>
            <w:rFonts w:ascii="Arial" w:hAnsi="Arial" w:cs="Arial"/>
            <w:sz w:val="24"/>
            <w:szCs w:val="24"/>
          </w:rPr>
          <w:t>–</w:t>
        </w:r>
        <w:r w:rsidR="00687CA9" w:rsidRPr="00454FF5">
          <w:rPr>
            <w:rStyle w:val="Hyperlink"/>
            <w:rFonts w:ascii="Arial" w:hAnsi="Arial" w:cs="Arial"/>
            <w:sz w:val="24"/>
            <w:szCs w:val="24"/>
          </w:rPr>
          <w:t xml:space="preserve"> </w:t>
        </w:r>
        <w:proofErr w:type="spellStart"/>
        <w:r w:rsidR="00341996" w:rsidRPr="00454FF5">
          <w:rPr>
            <w:rStyle w:val="Hyperlink"/>
            <w:rFonts w:ascii="Arial" w:hAnsi="Arial" w:cs="Arial"/>
            <w:sz w:val="24"/>
            <w:szCs w:val="24"/>
          </w:rPr>
          <w:t>perfluorobutane</w:t>
        </w:r>
        <w:proofErr w:type="spellEnd"/>
        <w:r w:rsidR="00341996" w:rsidRPr="00454FF5">
          <w:rPr>
            <w:rStyle w:val="Hyperlink"/>
            <w:rFonts w:ascii="Arial" w:hAnsi="Arial" w:cs="Arial"/>
            <w:sz w:val="24"/>
            <w:szCs w:val="24"/>
          </w:rPr>
          <w:t xml:space="preserve"> sulfonic acid (PFBS)</w:t>
        </w:r>
      </w:hyperlink>
      <w:r w:rsidR="00FA42A0">
        <w:rPr>
          <w:rFonts w:ascii="Arial" w:hAnsi="Arial" w:cs="Arial"/>
          <w:sz w:val="24"/>
          <w:szCs w:val="24"/>
        </w:rPr>
        <w:t xml:space="preserve">, </w:t>
      </w:r>
      <w:r w:rsidR="00AB62F0">
        <w:rPr>
          <w:rFonts w:ascii="Arial" w:hAnsi="Arial" w:cs="Arial"/>
          <w:sz w:val="24"/>
          <w:szCs w:val="24"/>
        </w:rPr>
        <w:t>March 05, 2021</w:t>
      </w:r>
      <w:r w:rsidR="00851150">
        <w:rPr>
          <w:rFonts w:ascii="Arial" w:hAnsi="Arial" w:cs="Arial"/>
          <w:sz w:val="24"/>
          <w:szCs w:val="24"/>
        </w:rPr>
        <w:t>,</w:t>
      </w:r>
      <w:r w:rsidR="00454FF5">
        <w:rPr>
          <w:rFonts w:ascii="Arial" w:hAnsi="Arial" w:cs="Arial"/>
          <w:sz w:val="24"/>
          <w:szCs w:val="24"/>
        </w:rPr>
        <w:t xml:space="preserve"> </w:t>
      </w:r>
      <w:hyperlink r:id="rId20" w:history="1">
        <w:r w:rsidR="00623D4D" w:rsidRPr="007C746F">
          <w:rPr>
            <w:rStyle w:val="Hyperlink"/>
            <w:rFonts w:ascii="Arial" w:eastAsia="Times New Roman" w:hAnsi="Arial" w:cs="Arial"/>
            <w:sz w:val="24"/>
            <w:szCs w:val="24"/>
          </w:rPr>
          <w:t xml:space="preserve">Notification Level Recommendation - </w:t>
        </w:r>
        <w:proofErr w:type="spellStart"/>
        <w:r w:rsidR="00623D4D" w:rsidRPr="007C746F">
          <w:rPr>
            <w:rStyle w:val="Hyperlink"/>
            <w:rFonts w:ascii="Arial" w:eastAsia="Times New Roman" w:hAnsi="Arial" w:cs="Arial"/>
            <w:sz w:val="24"/>
            <w:szCs w:val="24"/>
          </w:rPr>
          <w:t>Perfluorobutane</w:t>
        </w:r>
        <w:proofErr w:type="spellEnd"/>
        <w:r w:rsidR="00623D4D" w:rsidRPr="007C746F">
          <w:rPr>
            <w:rStyle w:val="Hyperlink"/>
            <w:rFonts w:ascii="Arial" w:eastAsia="Times New Roman" w:hAnsi="Arial" w:cs="Arial"/>
            <w:sz w:val="24"/>
            <w:szCs w:val="24"/>
          </w:rPr>
          <w:t xml:space="preserve"> Sulfonic Acid in Drinking Water, O</w:t>
        </w:r>
        <w:r w:rsidRPr="007C746F">
          <w:rPr>
            <w:rStyle w:val="Hyperlink"/>
            <w:rFonts w:ascii="Arial" w:eastAsia="Times New Roman" w:hAnsi="Arial" w:cs="Arial"/>
            <w:sz w:val="24"/>
            <w:szCs w:val="24"/>
          </w:rPr>
          <w:t>EHHA</w:t>
        </w:r>
        <w:r w:rsidR="00623D4D" w:rsidRPr="007C746F">
          <w:rPr>
            <w:rStyle w:val="Hyperlink"/>
            <w:rFonts w:ascii="Arial" w:eastAsia="Times New Roman" w:hAnsi="Arial" w:cs="Arial"/>
            <w:sz w:val="24"/>
            <w:szCs w:val="24"/>
          </w:rPr>
          <w:t xml:space="preserve"> (January 14, 2021)</w:t>
        </w:r>
      </w:hyperlink>
      <w:r w:rsidRPr="007C746F">
        <w:rPr>
          <w:rFonts w:ascii="Arial" w:eastAsia="Times New Roman" w:hAnsi="Arial" w:cs="Arial"/>
          <w:sz w:val="24"/>
          <w:szCs w:val="24"/>
        </w:rPr>
        <w:t xml:space="preserve">, </w:t>
      </w:r>
      <w:hyperlink r:id="rId21" w:history="1">
        <w:r w:rsidRPr="007C746F">
          <w:rPr>
            <w:rStyle w:val="Hyperlink"/>
            <w:rFonts w:ascii="Arial" w:eastAsia="Times New Roman" w:hAnsi="Arial" w:cs="Arial"/>
            <w:sz w:val="24"/>
            <w:szCs w:val="24"/>
          </w:rPr>
          <w:t xml:space="preserve">National Toxicology Program </w:t>
        </w:r>
        <w:r w:rsidR="00623D4D" w:rsidRPr="007C746F">
          <w:rPr>
            <w:rStyle w:val="Hyperlink"/>
            <w:rFonts w:ascii="Arial" w:eastAsia="Times New Roman" w:hAnsi="Arial" w:cs="Arial"/>
            <w:sz w:val="24"/>
            <w:szCs w:val="24"/>
          </w:rPr>
          <w:t>(</w:t>
        </w:r>
        <w:r w:rsidRPr="007C746F">
          <w:rPr>
            <w:rStyle w:val="Hyperlink"/>
            <w:rFonts w:ascii="Arial" w:eastAsia="Times New Roman" w:hAnsi="Arial" w:cs="Arial"/>
            <w:sz w:val="24"/>
            <w:szCs w:val="24"/>
          </w:rPr>
          <w:t>2019</w:t>
        </w:r>
      </w:hyperlink>
      <w:r w:rsidRPr="007C746F">
        <w:rPr>
          <w:rFonts w:ascii="Arial" w:eastAsia="Times New Roman" w:hAnsi="Arial" w:cs="Arial"/>
          <w:sz w:val="24"/>
          <w:szCs w:val="24"/>
        </w:rPr>
        <w:t>), </w:t>
      </w:r>
      <w:hyperlink r:id="rId22" w:history="1">
        <w:r w:rsidRPr="007C746F">
          <w:rPr>
            <w:rStyle w:val="Hyperlink"/>
            <w:rFonts w:ascii="Arial" w:eastAsia="Times New Roman" w:hAnsi="Arial" w:cs="Arial"/>
            <w:sz w:val="24"/>
            <w:szCs w:val="24"/>
          </w:rPr>
          <w:t>Lieder et al., 2009a</w:t>
        </w:r>
      </w:hyperlink>
      <w:r w:rsidRPr="007C746F">
        <w:rPr>
          <w:rFonts w:ascii="Arial" w:eastAsia="Times New Roman" w:hAnsi="Arial" w:cs="Arial"/>
          <w:sz w:val="24"/>
          <w:szCs w:val="24"/>
        </w:rPr>
        <w:t xml:space="preserve">, </w:t>
      </w:r>
      <w:hyperlink r:id="rId23" w:history="1">
        <w:r w:rsidRPr="007C746F">
          <w:rPr>
            <w:rStyle w:val="Hyperlink"/>
            <w:rFonts w:ascii="Arial" w:eastAsia="Times New Roman" w:hAnsi="Arial" w:cs="Arial"/>
            <w:sz w:val="24"/>
            <w:szCs w:val="24"/>
          </w:rPr>
          <w:t>Lieder et al., 2009b</w:t>
        </w:r>
      </w:hyperlink>
      <w:r w:rsidRPr="007C746F">
        <w:rPr>
          <w:rFonts w:ascii="Arial" w:eastAsia="Times New Roman" w:hAnsi="Arial" w:cs="Arial"/>
          <w:sz w:val="24"/>
          <w:szCs w:val="24"/>
        </w:rPr>
        <w:t xml:space="preserve">  and </w:t>
      </w:r>
      <w:hyperlink r:id="rId24" w:history="1">
        <w:r w:rsidRPr="007C746F">
          <w:rPr>
            <w:rStyle w:val="Hyperlink"/>
            <w:rFonts w:ascii="Arial" w:eastAsia="Times New Roman" w:hAnsi="Arial" w:cs="Arial"/>
            <w:sz w:val="24"/>
            <w:szCs w:val="24"/>
          </w:rPr>
          <w:t>Feng et al., 2017</w:t>
        </w:r>
      </w:hyperlink>
      <w:r w:rsidRPr="007C746F">
        <w:rPr>
          <w:rFonts w:ascii="Arial" w:eastAsia="Times New Roman" w:hAnsi="Arial" w:cs="Arial"/>
          <w:sz w:val="24"/>
          <w:szCs w:val="24"/>
        </w:rPr>
        <w:t>)</w:t>
      </w:r>
      <w:r w:rsidR="00720307">
        <w:rPr>
          <w:rFonts w:ascii="Arial" w:eastAsia="Times New Roman" w:hAnsi="Arial" w:cs="Arial"/>
          <w:sz w:val="24"/>
          <w:szCs w:val="24"/>
        </w:rPr>
        <w:t xml:space="preserve">. </w:t>
      </w:r>
      <w:hyperlink r:id="rId25" w:history="1">
        <w:r w:rsidR="00B9427C" w:rsidRPr="00FF54C5">
          <w:rPr>
            <w:rStyle w:val="Hyperlink"/>
            <w:rFonts w:ascii="Arial" w:eastAsia="Times New Roman" w:hAnsi="Arial" w:cs="Arial"/>
            <w:sz w:val="24"/>
            <w:szCs w:val="24"/>
          </w:rPr>
          <w:t>More about Per- and Polyfluoroalkyl Substances (PFAS)</w:t>
        </w:r>
      </w:hyperlink>
      <w:r w:rsidR="00FF54C5">
        <w:rPr>
          <w:rFonts w:ascii="Arial" w:eastAsia="Times New Roman" w:hAnsi="Arial" w:cs="Arial"/>
          <w:sz w:val="24"/>
          <w:szCs w:val="24"/>
        </w:rPr>
        <w:t>.</w:t>
      </w:r>
    </w:p>
    <w:p w14:paraId="4D45C895" w14:textId="689BE472" w:rsidR="00FF7A64" w:rsidRPr="007C746F" w:rsidRDefault="00A80AE5" w:rsidP="00E41370">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t>Perfluorohexanesulfonic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w:t>
      </w:r>
      <w:proofErr w:type="spellStart"/>
      <w:r w:rsidRPr="007C746F">
        <w:rPr>
          <w:rFonts w:ascii="Arial" w:hAnsi="Arial" w:cs="Arial"/>
          <w:sz w:val="24"/>
          <w:szCs w:val="24"/>
          <w:lang w:val="en"/>
        </w:rPr>
        <w:t>PFHxS</w:t>
      </w:r>
      <w:proofErr w:type="spellEnd"/>
      <w:r w:rsidRPr="007C746F">
        <w:rPr>
          <w:rFonts w:ascii="Arial" w:hAnsi="Arial" w:cs="Arial"/>
          <w:sz w:val="24"/>
          <w:szCs w:val="24"/>
          <w:lang w:val="en"/>
        </w:rPr>
        <w:t xml:space="preserve">): </w:t>
      </w:r>
      <w:r w:rsidRPr="007C746F">
        <w:rPr>
          <w:rFonts w:ascii="Arial" w:eastAsia="Times New Roman" w:hAnsi="Arial" w:cs="Arial"/>
          <w:sz w:val="24"/>
          <w:szCs w:val="24"/>
        </w:rPr>
        <w:t>ENDPOINT: Noncancer</w:t>
      </w:r>
      <w:r w:rsidR="0010160D">
        <w:rPr>
          <w:rFonts w:ascii="Arial" w:hAnsi="Arial" w:cs="Arial"/>
          <w:sz w:val="24"/>
          <w:szCs w:val="24"/>
        </w:rPr>
        <w:t xml:space="preserve"> - </w:t>
      </w:r>
      <w:r w:rsidRPr="007C746F">
        <w:rPr>
          <w:rFonts w:ascii="Arial" w:eastAsia="Times New Roman" w:hAnsi="Arial" w:cs="Arial"/>
          <w:sz w:val="24"/>
          <w:szCs w:val="24"/>
        </w:rPr>
        <w:t>decreased thyroid hormone in lab animals, REFERENCES:</w:t>
      </w:r>
      <w:r w:rsidR="00AB62F0" w:rsidRPr="00AB62F0">
        <w:rPr>
          <w:rFonts w:ascii="Arial" w:hAnsi="Arial" w:cs="Arial"/>
          <w:sz w:val="24"/>
          <w:szCs w:val="24"/>
        </w:rPr>
        <w:t xml:space="preserve"> </w:t>
      </w:r>
      <w:hyperlink r:id="rId26" w:history="1">
        <w:r w:rsidR="00AB62F0" w:rsidRPr="007A6B67">
          <w:rPr>
            <w:rStyle w:val="Hyperlink"/>
            <w:rFonts w:ascii="Arial" w:hAnsi="Arial" w:cs="Arial"/>
            <w:sz w:val="24"/>
            <w:szCs w:val="24"/>
          </w:rPr>
          <w:t xml:space="preserve">Notification Level Issuance – </w:t>
        </w:r>
        <w:proofErr w:type="spellStart"/>
        <w:r w:rsidR="00FD7EAA" w:rsidRPr="007A6B67">
          <w:rPr>
            <w:rStyle w:val="Hyperlink"/>
            <w:rFonts w:ascii="Arial" w:hAnsi="Arial" w:cs="Arial"/>
            <w:sz w:val="24"/>
            <w:szCs w:val="24"/>
          </w:rPr>
          <w:t>P</w:t>
        </w:r>
        <w:r w:rsidR="00AB62F0" w:rsidRPr="007A6B67">
          <w:rPr>
            <w:rStyle w:val="Hyperlink"/>
            <w:rFonts w:ascii="Arial" w:hAnsi="Arial" w:cs="Arial"/>
            <w:sz w:val="24"/>
            <w:szCs w:val="24"/>
          </w:rPr>
          <w:t>erfluoro</w:t>
        </w:r>
        <w:r w:rsidR="00FD7EAA" w:rsidRPr="007A6B67">
          <w:rPr>
            <w:rStyle w:val="Hyperlink"/>
            <w:rFonts w:ascii="Arial" w:hAnsi="Arial" w:cs="Arial"/>
            <w:sz w:val="24"/>
            <w:szCs w:val="24"/>
          </w:rPr>
          <w:t>hex</w:t>
        </w:r>
        <w:r w:rsidR="00AB62F0" w:rsidRPr="007A6B67">
          <w:rPr>
            <w:rStyle w:val="Hyperlink"/>
            <w:rFonts w:ascii="Arial" w:hAnsi="Arial" w:cs="Arial"/>
            <w:sz w:val="24"/>
            <w:szCs w:val="24"/>
          </w:rPr>
          <w:t>ane</w:t>
        </w:r>
        <w:proofErr w:type="spellEnd"/>
        <w:r w:rsidR="00AB62F0" w:rsidRPr="007A6B67">
          <w:rPr>
            <w:rStyle w:val="Hyperlink"/>
            <w:rFonts w:ascii="Arial" w:hAnsi="Arial" w:cs="Arial"/>
            <w:sz w:val="24"/>
            <w:szCs w:val="24"/>
          </w:rPr>
          <w:t xml:space="preserve"> </w:t>
        </w:r>
        <w:r w:rsidR="00FD7EAA" w:rsidRPr="007A6B67">
          <w:rPr>
            <w:rStyle w:val="Hyperlink"/>
            <w:rFonts w:ascii="Arial" w:hAnsi="Arial" w:cs="Arial"/>
            <w:sz w:val="24"/>
            <w:szCs w:val="24"/>
          </w:rPr>
          <w:t>S</w:t>
        </w:r>
        <w:r w:rsidR="00AB62F0" w:rsidRPr="007A6B67">
          <w:rPr>
            <w:rStyle w:val="Hyperlink"/>
            <w:rFonts w:ascii="Arial" w:hAnsi="Arial" w:cs="Arial"/>
            <w:sz w:val="24"/>
            <w:szCs w:val="24"/>
          </w:rPr>
          <w:t xml:space="preserve">ulfonic </w:t>
        </w:r>
        <w:r w:rsidR="00FD7EAA" w:rsidRPr="007A6B67">
          <w:rPr>
            <w:rStyle w:val="Hyperlink"/>
            <w:rFonts w:ascii="Arial" w:hAnsi="Arial" w:cs="Arial"/>
            <w:sz w:val="24"/>
            <w:szCs w:val="24"/>
          </w:rPr>
          <w:t>A</w:t>
        </w:r>
        <w:r w:rsidR="00AB62F0" w:rsidRPr="007A6B67">
          <w:rPr>
            <w:rStyle w:val="Hyperlink"/>
            <w:rFonts w:ascii="Arial" w:hAnsi="Arial" w:cs="Arial"/>
            <w:sz w:val="24"/>
            <w:szCs w:val="24"/>
          </w:rPr>
          <w:t>cid (</w:t>
        </w:r>
        <w:proofErr w:type="spellStart"/>
        <w:r w:rsidR="00AB62F0" w:rsidRPr="007A6B67">
          <w:rPr>
            <w:rStyle w:val="Hyperlink"/>
            <w:rFonts w:ascii="Arial" w:hAnsi="Arial" w:cs="Arial"/>
            <w:sz w:val="24"/>
            <w:szCs w:val="24"/>
          </w:rPr>
          <w:t>PF</w:t>
        </w:r>
        <w:r w:rsidR="00FD7EAA" w:rsidRPr="007A6B67">
          <w:rPr>
            <w:rStyle w:val="Hyperlink"/>
            <w:rFonts w:ascii="Arial" w:hAnsi="Arial" w:cs="Arial"/>
            <w:sz w:val="24"/>
            <w:szCs w:val="24"/>
          </w:rPr>
          <w:t>Hx</w:t>
        </w:r>
        <w:r w:rsidR="00AB62F0" w:rsidRPr="007A6B67">
          <w:rPr>
            <w:rStyle w:val="Hyperlink"/>
            <w:rFonts w:ascii="Arial" w:hAnsi="Arial" w:cs="Arial"/>
            <w:sz w:val="24"/>
            <w:szCs w:val="24"/>
          </w:rPr>
          <w:t>S</w:t>
        </w:r>
        <w:proofErr w:type="spellEnd"/>
        <w:r w:rsidR="00AB62F0" w:rsidRPr="007A6B67">
          <w:rPr>
            <w:rStyle w:val="Hyperlink"/>
            <w:rFonts w:ascii="Arial" w:hAnsi="Arial" w:cs="Arial"/>
            <w:sz w:val="24"/>
            <w:szCs w:val="24"/>
          </w:rPr>
          <w:t>)</w:t>
        </w:r>
        <w:r w:rsidR="007A6B67" w:rsidRPr="007A6B67">
          <w:rPr>
            <w:rStyle w:val="Hyperlink"/>
            <w:rFonts w:ascii="Arial" w:hAnsi="Arial" w:cs="Arial"/>
            <w:sz w:val="24"/>
            <w:szCs w:val="24"/>
          </w:rPr>
          <w:t>, October 29, 2025</w:t>
        </w:r>
      </w:hyperlink>
      <w:r w:rsidR="00762951">
        <w:rPr>
          <w:rFonts w:ascii="Arial" w:hAnsi="Arial" w:cs="Arial"/>
          <w:sz w:val="24"/>
          <w:szCs w:val="24"/>
        </w:rPr>
        <w:t>,</w:t>
      </w:r>
      <w:r w:rsidRPr="007C746F">
        <w:rPr>
          <w:rFonts w:ascii="Arial" w:eastAsia="Times New Roman" w:hAnsi="Arial" w:cs="Arial"/>
          <w:sz w:val="24"/>
          <w:szCs w:val="24"/>
        </w:rPr>
        <w:t xml:space="preserve"> </w:t>
      </w:r>
      <w:hyperlink r:id="rId27" w:history="1">
        <w:r w:rsidRPr="007C746F">
          <w:rPr>
            <w:rStyle w:val="Hyperlink"/>
            <w:rFonts w:ascii="Arial" w:eastAsia="Times New Roman" w:hAnsi="Arial" w:cs="Arial"/>
            <w:sz w:val="24"/>
            <w:szCs w:val="24"/>
          </w:rPr>
          <w:t xml:space="preserve">Notification Level Recommendation - </w:t>
        </w:r>
        <w:proofErr w:type="spellStart"/>
        <w:r w:rsidRPr="007C746F">
          <w:rPr>
            <w:rStyle w:val="Hyperlink"/>
            <w:rFonts w:ascii="Arial" w:eastAsia="Times New Roman" w:hAnsi="Arial" w:cs="Arial"/>
            <w:sz w:val="24"/>
            <w:szCs w:val="24"/>
          </w:rPr>
          <w:t>Perfluorohexane</w:t>
        </w:r>
        <w:proofErr w:type="spellEnd"/>
        <w:r w:rsidRPr="007C746F">
          <w:rPr>
            <w:rStyle w:val="Hyperlink"/>
            <w:rFonts w:ascii="Arial" w:eastAsia="Times New Roman" w:hAnsi="Arial" w:cs="Arial"/>
            <w:sz w:val="24"/>
            <w:szCs w:val="24"/>
          </w:rPr>
          <w:t xml:space="preserve"> Sulfonic Acid in Drinking Water, OEHHA (March 2022)</w:t>
        </w:r>
      </w:hyperlink>
      <w:r w:rsidRPr="007C746F">
        <w:rPr>
          <w:rFonts w:ascii="Arial" w:eastAsia="Times New Roman" w:hAnsi="Arial" w:cs="Arial"/>
          <w:sz w:val="24"/>
          <w:szCs w:val="24"/>
        </w:rPr>
        <w:t xml:space="preserve">, </w:t>
      </w:r>
      <w:hyperlink r:id="rId28" w:history="1">
        <w:r w:rsidRPr="007C746F">
          <w:rPr>
            <w:rStyle w:val="Hyperlink"/>
            <w:rFonts w:ascii="Arial" w:eastAsia="Times New Roman" w:hAnsi="Arial" w:cs="Arial"/>
            <w:sz w:val="24"/>
            <w:szCs w:val="24"/>
          </w:rPr>
          <w:t>N</w:t>
        </w:r>
        <w:r w:rsidR="00C01624">
          <w:rPr>
            <w:rStyle w:val="Hyperlink"/>
            <w:rFonts w:ascii="Arial" w:eastAsia="Times New Roman" w:hAnsi="Arial" w:cs="Arial"/>
            <w:sz w:val="24"/>
            <w:szCs w:val="24"/>
          </w:rPr>
          <w:t xml:space="preserve">ational </w:t>
        </w:r>
        <w:r w:rsidRPr="007C746F">
          <w:rPr>
            <w:rStyle w:val="Hyperlink"/>
            <w:rFonts w:ascii="Arial" w:eastAsia="Times New Roman" w:hAnsi="Arial" w:cs="Arial"/>
            <w:sz w:val="24"/>
            <w:szCs w:val="24"/>
          </w:rPr>
          <w:t>T</w:t>
        </w:r>
        <w:r w:rsidR="00C01624">
          <w:rPr>
            <w:rStyle w:val="Hyperlink"/>
            <w:rFonts w:ascii="Arial" w:eastAsia="Times New Roman" w:hAnsi="Arial" w:cs="Arial"/>
            <w:sz w:val="24"/>
            <w:szCs w:val="24"/>
          </w:rPr>
          <w:t xml:space="preserve">oxicology </w:t>
        </w:r>
        <w:r w:rsidRPr="007C746F">
          <w:rPr>
            <w:rStyle w:val="Hyperlink"/>
            <w:rFonts w:ascii="Arial" w:eastAsia="Times New Roman" w:hAnsi="Arial" w:cs="Arial"/>
            <w:sz w:val="24"/>
            <w:szCs w:val="24"/>
          </w:rPr>
          <w:t>P</w:t>
        </w:r>
        <w:r w:rsidR="00C01624">
          <w:rPr>
            <w:rStyle w:val="Hyperlink"/>
            <w:rFonts w:ascii="Arial" w:eastAsia="Times New Roman" w:hAnsi="Arial" w:cs="Arial"/>
            <w:sz w:val="24"/>
            <w:szCs w:val="24"/>
          </w:rPr>
          <w:t>rogram</w:t>
        </w:r>
        <w:r w:rsidRPr="007C746F">
          <w:rPr>
            <w:rStyle w:val="Hyperlink"/>
            <w:rFonts w:ascii="Arial" w:eastAsia="Times New Roman" w:hAnsi="Arial" w:cs="Arial"/>
            <w:sz w:val="24"/>
            <w:szCs w:val="24"/>
          </w:rPr>
          <w:t xml:space="preserve"> (2019)</w:t>
        </w:r>
      </w:hyperlink>
      <w:r w:rsidRPr="007C746F">
        <w:rPr>
          <w:rFonts w:ascii="Arial" w:eastAsia="Times New Roman" w:hAnsi="Arial" w:cs="Arial"/>
          <w:sz w:val="24"/>
          <w:szCs w:val="24"/>
        </w:rPr>
        <w:t xml:space="preserve">, </w:t>
      </w:r>
      <w:hyperlink r:id="rId29" w:history="1">
        <w:r w:rsidRPr="007C746F">
          <w:rPr>
            <w:rStyle w:val="Hyperlink"/>
            <w:rFonts w:ascii="Arial" w:eastAsia="Times New Roman" w:hAnsi="Arial" w:cs="Arial"/>
            <w:sz w:val="24"/>
            <w:szCs w:val="24"/>
          </w:rPr>
          <w:t>Chang et al. (2018)</w:t>
        </w:r>
      </w:hyperlink>
      <w:r w:rsidRPr="007C746F">
        <w:rPr>
          <w:rFonts w:ascii="Arial" w:eastAsia="Times New Roman" w:hAnsi="Arial" w:cs="Arial"/>
          <w:sz w:val="24"/>
          <w:szCs w:val="24"/>
        </w:rPr>
        <w:t xml:space="preserve"> and </w:t>
      </w:r>
      <w:hyperlink r:id="rId30" w:history="1">
        <w:r w:rsidRPr="007C746F">
          <w:rPr>
            <w:rStyle w:val="Hyperlink"/>
            <w:rFonts w:ascii="Arial" w:eastAsia="Times New Roman" w:hAnsi="Arial" w:cs="Arial"/>
            <w:sz w:val="24"/>
            <w:szCs w:val="24"/>
          </w:rPr>
          <w:t>Butenhoff et al. (2009)</w:t>
        </w:r>
      </w:hyperlink>
      <w:r w:rsidRPr="007C746F">
        <w:rPr>
          <w:rFonts w:ascii="Arial" w:eastAsia="Times New Roman" w:hAnsi="Arial" w:cs="Arial"/>
          <w:sz w:val="24"/>
          <w:szCs w:val="24"/>
        </w:rPr>
        <w:t>.</w:t>
      </w:r>
      <w:r w:rsidR="008C4B03">
        <w:rPr>
          <w:rFonts w:ascii="Arial" w:eastAsia="Times New Roman" w:hAnsi="Arial" w:cs="Arial"/>
          <w:sz w:val="24"/>
          <w:szCs w:val="24"/>
        </w:rPr>
        <w:t xml:space="preserve"> </w:t>
      </w:r>
      <w:r w:rsidR="008C4B03" w:rsidRPr="007C746F">
        <w:rPr>
          <w:rFonts w:ascii="Arial" w:hAnsi="Arial" w:cs="Arial"/>
          <w:sz w:val="24"/>
          <w:szCs w:val="24"/>
        </w:rPr>
        <w:t xml:space="preserve">HISTORY: </w:t>
      </w:r>
      <w:r w:rsidR="00325FF3">
        <w:rPr>
          <w:rFonts w:ascii="Arial" w:hAnsi="Arial" w:cs="Arial"/>
          <w:sz w:val="24"/>
          <w:szCs w:val="24"/>
        </w:rPr>
        <w:t>N</w:t>
      </w:r>
      <w:r w:rsidR="008C4B03" w:rsidRPr="007C746F">
        <w:rPr>
          <w:rFonts w:ascii="Arial" w:hAnsi="Arial" w:cs="Arial"/>
          <w:sz w:val="24"/>
          <w:szCs w:val="24"/>
        </w:rPr>
        <w:t xml:space="preserve">otification </w:t>
      </w:r>
      <w:r w:rsidR="0027793E">
        <w:rPr>
          <w:rFonts w:ascii="Arial" w:hAnsi="Arial" w:cs="Arial"/>
          <w:sz w:val="24"/>
          <w:szCs w:val="24"/>
        </w:rPr>
        <w:t>L</w:t>
      </w:r>
      <w:r w:rsidR="008C4B03" w:rsidRPr="007C746F">
        <w:rPr>
          <w:rFonts w:ascii="Arial" w:hAnsi="Arial" w:cs="Arial"/>
          <w:sz w:val="24"/>
          <w:szCs w:val="24"/>
        </w:rPr>
        <w:t>evel first established in 20</w:t>
      </w:r>
      <w:r w:rsidR="004849D2">
        <w:rPr>
          <w:rFonts w:ascii="Arial" w:hAnsi="Arial" w:cs="Arial"/>
          <w:sz w:val="24"/>
          <w:szCs w:val="24"/>
        </w:rPr>
        <w:t>22</w:t>
      </w:r>
      <w:r w:rsidR="008C4B03" w:rsidRPr="007C746F">
        <w:rPr>
          <w:rFonts w:ascii="Arial" w:hAnsi="Arial" w:cs="Arial"/>
          <w:sz w:val="24"/>
          <w:szCs w:val="24"/>
        </w:rPr>
        <w:t xml:space="preserve"> as </w:t>
      </w:r>
      <w:r w:rsidR="00B4244E">
        <w:rPr>
          <w:rFonts w:ascii="Arial" w:hAnsi="Arial" w:cs="Arial"/>
          <w:sz w:val="24"/>
          <w:szCs w:val="24"/>
        </w:rPr>
        <w:t>3</w:t>
      </w:r>
      <w:r w:rsidR="008C4B03" w:rsidRPr="007C746F">
        <w:rPr>
          <w:rFonts w:ascii="Arial" w:hAnsi="Arial" w:cs="Arial"/>
          <w:sz w:val="24"/>
          <w:szCs w:val="24"/>
        </w:rPr>
        <w:t xml:space="preserve"> ng/L</w:t>
      </w:r>
      <w:r w:rsidR="000C2B04">
        <w:rPr>
          <w:rFonts w:ascii="Arial" w:hAnsi="Arial" w:cs="Arial"/>
          <w:sz w:val="24"/>
          <w:szCs w:val="24"/>
        </w:rPr>
        <w:t>; t</w:t>
      </w:r>
      <w:r w:rsidR="003C3C4C" w:rsidRPr="007C746F">
        <w:rPr>
          <w:rFonts w:ascii="Arial" w:hAnsi="Arial" w:cs="Arial"/>
          <w:sz w:val="24"/>
          <w:szCs w:val="24"/>
        </w:rPr>
        <w:t xml:space="preserve">he level is </w:t>
      </w:r>
      <w:r w:rsidR="00942D39" w:rsidRPr="00322284">
        <w:rPr>
          <w:rFonts w:ascii="Arial" w:hAnsi="Arial" w:cs="Arial"/>
          <w:sz w:val="24"/>
          <w:szCs w:val="24"/>
        </w:rPr>
        <w:t>based on the federal Fifth Unregulated Contaminant Monitoring Rule minimum reporting level</w:t>
      </w:r>
      <w:r w:rsidR="003C3C4C">
        <w:rPr>
          <w:rFonts w:ascii="Arial" w:hAnsi="Arial" w:cs="Arial"/>
          <w:sz w:val="24"/>
          <w:szCs w:val="24"/>
        </w:rPr>
        <w:t>.</w:t>
      </w:r>
      <w:r w:rsidR="00FF54C5" w:rsidRPr="00FF54C5">
        <w:rPr>
          <w:rFonts w:ascii="Arial" w:eastAsia="Times New Roman" w:hAnsi="Arial" w:cs="Arial"/>
          <w:sz w:val="24"/>
          <w:szCs w:val="24"/>
        </w:rPr>
        <w:t xml:space="preserve"> </w:t>
      </w:r>
      <w:hyperlink r:id="rId31" w:history="1">
        <w:r w:rsidR="00FF54C5" w:rsidRPr="00FF54C5">
          <w:rPr>
            <w:rStyle w:val="Hyperlink"/>
            <w:rFonts w:ascii="Arial" w:eastAsia="Times New Roman" w:hAnsi="Arial" w:cs="Arial"/>
            <w:sz w:val="24"/>
            <w:szCs w:val="24"/>
          </w:rPr>
          <w:t>More about Per- and Polyfluoroalkyl Substances (PFAS)</w:t>
        </w:r>
      </w:hyperlink>
      <w:r w:rsidR="00FF54C5">
        <w:rPr>
          <w:rFonts w:ascii="Arial" w:eastAsia="Times New Roman" w:hAnsi="Arial" w:cs="Arial"/>
          <w:sz w:val="24"/>
          <w:szCs w:val="24"/>
        </w:rPr>
        <w:t>.</w:t>
      </w:r>
    </w:p>
    <w:p w14:paraId="14B05E74" w14:textId="3D60D852" w:rsidR="002C2B9F" w:rsidRPr="00AD6FFA" w:rsidRDefault="00614C39" w:rsidP="00B67FD7">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eastAsia="Times New Roman" w:hAnsi="Arial" w:cs="Arial"/>
          <w:b/>
          <w:bCs/>
          <w:sz w:val="24"/>
          <w:szCs w:val="24"/>
        </w:rPr>
        <w:t>Perfluoro</w:t>
      </w:r>
      <w:r w:rsidR="00F10F2C" w:rsidRPr="00A32BD0">
        <w:rPr>
          <w:rFonts w:ascii="Arial" w:eastAsia="Times New Roman" w:hAnsi="Arial" w:cs="Arial"/>
          <w:b/>
          <w:bCs/>
          <w:sz w:val="24"/>
          <w:szCs w:val="24"/>
        </w:rPr>
        <w:t>hexanoic</w:t>
      </w:r>
      <w:proofErr w:type="spellEnd"/>
      <w:r w:rsidR="00F10F2C" w:rsidRPr="00A32BD0">
        <w:rPr>
          <w:rFonts w:ascii="Arial" w:eastAsia="Times New Roman" w:hAnsi="Arial" w:cs="Arial"/>
          <w:b/>
          <w:bCs/>
          <w:sz w:val="24"/>
          <w:szCs w:val="24"/>
        </w:rPr>
        <w:t xml:space="preserve"> acid</w:t>
      </w:r>
      <w:r w:rsidR="00F10F2C">
        <w:rPr>
          <w:rFonts w:ascii="Arial" w:eastAsia="Times New Roman" w:hAnsi="Arial" w:cs="Arial"/>
          <w:sz w:val="24"/>
          <w:szCs w:val="24"/>
        </w:rPr>
        <w:t xml:space="preserve"> (</w:t>
      </w:r>
      <w:proofErr w:type="spellStart"/>
      <w:r w:rsidR="00F10F2C">
        <w:rPr>
          <w:rFonts w:ascii="Arial" w:eastAsia="Times New Roman" w:hAnsi="Arial" w:cs="Arial"/>
          <w:sz w:val="24"/>
          <w:szCs w:val="24"/>
        </w:rPr>
        <w:t>PFHxA</w:t>
      </w:r>
      <w:proofErr w:type="spellEnd"/>
      <w:r w:rsidR="00F10F2C">
        <w:rPr>
          <w:rFonts w:ascii="Arial" w:eastAsia="Times New Roman" w:hAnsi="Arial" w:cs="Arial"/>
          <w:sz w:val="24"/>
          <w:szCs w:val="24"/>
        </w:rPr>
        <w:t xml:space="preserve">): ENDPOINT: </w:t>
      </w:r>
      <w:r w:rsidR="00D87279" w:rsidRPr="007C746F">
        <w:rPr>
          <w:rFonts w:ascii="Arial" w:eastAsia="Times New Roman" w:hAnsi="Arial" w:cs="Arial"/>
          <w:sz w:val="24"/>
          <w:szCs w:val="24"/>
        </w:rPr>
        <w:t>Noncancer</w:t>
      </w:r>
      <w:r w:rsidR="0010160D">
        <w:rPr>
          <w:rFonts w:ascii="Arial" w:hAnsi="Arial" w:cs="Arial"/>
          <w:sz w:val="24"/>
          <w:szCs w:val="24"/>
        </w:rPr>
        <w:t xml:space="preserve"> - </w:t>
      </w:r>
      <w:r w:rsidR="00D87279" w:rsidRPr="007C746F">
        <w:rPr>
          <w:rFonts w:ascii="Arial" w:eastAsia="Times New Roman" w:hAnsi="Arial" w:cs="Arial"/>
          <w:sz w:val="24"/>
          <w:szCs w:val="24"/>
        </w:rPr>
        <w:t>decreased thyroid hormone in lab animals</w:t>
      </w:r>
      <w:r w:rsidR="00F10F2C">
        <w:rPr>
          <w:rFonts w:ascii="Arial" w:eastAsia="Times New Roman" w:hAnsi="Arial" w:cs="Arial"/>
          <w:sz w:val="24"/>
          <w:szCs w:val="24"/>
        </w:rPr>
        <w:t>, REFERENCE</w:t>
      </w:r>
      <w:r w:rsidR="00291A5B">
        <w:rPr>
          <w:rFonts w:ascii="Arial" w:eastAsia="Times New Roman" w:hAnsi="Arial" w:cs="Arial"/>
          <w:sz w:val="24"/>
          <w:szCs w:val="24"/>
        </w:rPr>
        <w:t>S</w:t>
      </w:r>
      <w:r w:rsidR="00534968">
        <w:rPr>
          <w:rFonts w:ascii="Arial" w:eastAsia="Times New Roman" w:hAnsi="Arial" w:cs="Arial"/>
          <w:sz w:val="24"/>
          <w:szCs w:val="24"/>
        </w:rPr>
        <w:t>:</w:t>
      </w:r>
      <w:r w:rsidR="00534968" w:rsidRPr="00534968">
        <w:rPr>
          <w:rFonts w:ascii="Arial" w:hAnsi="Arial" w:cs="Arial"/>
          <w:sz w:val="24"/>
          <w:szCs w:val="24"/>
        </w:rPr>
        <w:t xml:space="preserve"> </w:t>
      </w:r>
      <w:hyperlink r:id="rId32" w:history="1">
        <w:r w:rsidR="00534968" w:rsidRPr="007A6B67">
          <w:rPr>
            <w:rStyle w:val="Hyperlink"/>
            <w:rFonts w:ascii="Arial" w:hAnsi="Arial" w:cs="Arial"/>
            <w:sz w:val="24"/>
            <w:szCs w:val="24"/>
          </w:rPr>
          <w:t xml:space="preserve">Notification Level Issuance – </w:t>
        </w:r>
        <w:proofErr w:type="spellStart"/>
        <w:r w:rsidR="00534968" w:rsidRPr="007A6B67">
          <w:rPr>
            <w:rStyle w:val="Hyperlink"/>
            <w:rFonts w:ascii="Arial" w:hAnsi="Arial" w:cs="Arial"/>
            <w:sz w:val="24"/>
            <w:szCs w:val="24"/>
          </w:rPr>
          <w:t>Perfluorohexan</w:t>
        </w:r>
        <w:r w:rsidR="00712C35">
          <w:rPr>
            <w:rStyle w:val="Hyperlink"/>
            <w:rFonts w:ascii="Arial" w:hAnsi="Arial" w:cs="Arial"/>
            <w:sz w:val="24"/>
            <w:szCs w:val="24"/>
          </w:rPr>
          <w:t>oic</w:t>
        </w:r>
        <w:proofErr w:type="spellEnd"/>
        <w:r w:rsidR="00534968" w:rsidRPr="007A6B67">
          <w:rPr>
            <w:rStyle w:val="Hyperlink"/>
            <w:rFonts w:ascii="Arial" w:hAnsi="Arial" w:cs="Arial"/>
            <w:sz w:val="24"/>
            <w:szCs w:val="24"/>
          </w:rPr>
          <w:t xml:space="preserve"> Acid (</w:t>
        </w:r>
        <w:proofErr w:type="spellStart"/>
        <w:r w:rsidR="00534968" w:rsidRPr="007A6B67">
          <w:rPr>
            <w:rStyle w:val="Hyperlink"/>
            <w:rFonts w:ascii="Arial" w:hAnsi="Arial" w:cs="Arial"/>
            <w:sz w:val="24"/>
            <w:szCs w:val="24"/>
          </w:rPr>
          <w:t>PFHx</w:t>
        </w:r>
        <w:r w:rsidR="00712C35">
          <w:rPr>
            <w:rStyle w:val="Hyperlink"/>
            <w:rFonts w:ascii="Arial" w:hAnsi="Arial" w:cs="Arial"/>
            <w:sz w:val="24"/>
            <w:szCs w:val="24"/>
          </w:rPr>
          <w:t>A</w:t>
        </w:r>
        <w:proofErr w:type="spellEnd"/>
        <w:r w:rsidR="00534968" w:rsidRPr="007A6B67">
          <w:rPr>
            <w:rStyle w:val="Hyperlink"/>
            <w:rFonts w:ascii="Arial" w:hAnsi="Arial" w:cs="Arial"/>
            <w:sz w:val="24"/>
            <w:szCs w:val="24"/>
          </w:rPr>
          <w:t>), October 29, 2025</w:t>
        </w:r>
      </w:hyperlink>
      <w:r w:rsidR="00762951">
        <w:rPr>
          <w:rFonts w:ascii="Arial" w:hAnsi="Arial" w:cs="Arial"/>
          <w:sz w:val="24"/>
          <w:szCs w:val="24"/>
        </w:rPr>
        <w:t xml:space="preserve">, </w:t>
      </w:r>
      <w:hyperlink r:id="rId33" w:history="1">
        <w:r w:rsidR="007B32CE" w:rsidRPr="00283015">
          <w:rPr>
            <w:rStyle w:val="Hyperlink"/>
            <w:rFonts w:ascii="Arial" w:hAnsi="Arial" w:cs="Arial"/>
            <w:sz w:val="24"/>
            <w:szCs w:val="24"/>
          </w:rPr>
          <w:t xml:space="preserve">Notification Level Recommendation - </w:t>
        </w:r>
        <w:proofErr w:type="spellStart"/>
        <w:r w:rsidR="007B32CE" w:rsidRPr="00283015">
          <w:rPr>
            <w:rStyle w:val="Hyperlink"/>
            <w:rFonts w:ascii="Arial" w:hAnsi="Arial" w:cs="Arial"/>
            <w:sz w:val="24"/>
            <w:szCs w:val="24"/>
          </w:rPr>
          <w:t>Perfluorohexanoic</w:t>
        </w:r>
        <w:proofErr w:type="spellEnd"/>
        <w:r w:rsidR="007B32CE" w:rsidRPr="00283015">
          <w:rPr>
            <w:rStyle w:val="Hyperlink"/>
            <w:rFonts w:ascii="Arial" w:hAnsi="Arial" w:cs="Arial"/>
            <w:sz w:val="24"/>
            <w:szCs w:val="24"/>
          </w:rPr>
          <w:t xml:space="preserve"> Acid in Drinking Water, OEHHA (</w:t>
        </w:r>
        <w:r w:rsidR="00283015" w:rsidRPr="00283015">
          <w:rPr>
            <w:rStyle w:val="Hyperlink"/>
            <w:rFonts w:ascii="Arial" w:hAnsi="Arial" w:cs="Arial"/>
            <w:sz w:val="24"/>
            <w:szCs w:val="24"/>
          </w:rPr>
          <w:t>September 2024)</w:t>
        </w:r>
      </w:hyperlink>
      <w:r w:rsidR="00283015">
        <w:rPr>
          <w:rFonts w:ascii="Arial" w:hAnsi="Arial" w:cs="Arial"/>
          <w:sz w:val="24"/>
          <w:szCs w:val="24"/>
        </w:rPr>
        <w:t xml:space="preserve">, </w:t>
      </w:r>
      <w:hyperlink r:id="rId34" w:history="1">
        <w:r w:rsidR="009E1F54" w:rsidRPr="007C746F">
          <w:rPr>
            <w:rStyle w:val="Hyperlink"/>
            <w:rFonts w:ascii="Arial" w:eastAsia="Times New Roman" w:hAnsi="Arial" w:cs="Arial"/>
            <w:sz w:val="24"/>
            <w:szCs w:val="24"/>
          </w:rPr>
          <w:t>N</w:t>
        </w:r>
        <w:r w:rsidR="00C01624">
          <w:rPr>
            <w:rStyle w:val="Hyperlink"/>
            <w:rFonts w:ascii="Arial" w:eastAsia="Times New Roman" w:hAnsi="Arial" w:cs="Arial"/>
            <w:sz w:val="24"/>
            <w:szCs w:val="24"/>
          </w:rPr>
          <w:t xml:space="preserve">ational </w:t>
        </w:r>
        <w:r w:rsidR="009E1F54" w:rsidRPr="007C746F">
          <w:rPr>
            <w:rStyle w:val="Hyperlink"/>
            <w:rFonts w:ascii="Arial" w:eastAsia="Times New Roman" w:hAnsi="Arial" w:cs="Arial"/>
            <w:sz w:val="24"/>
            <w:szCs w:val="24"/>
          </w:rPr>
          <w:t>T</w:t>
        </w:r>
        <w:r w:rsidR="00C01624">
          <w:rPr>
            <w:rStyle w:val="Hyperlink"/>
            <w:rFonts w:ascii="Arial" w:eastAsia="Times New Roman" w:hAnsi="Arial" w:cs="Arial"/>
            <w:sz w:val="24"/>
            <w:szCs w:val="24"/>
          </w:rPr>
          <w:t xml:space="preserve">oxicology </w:t>
        </w:r>
        <w:r w:rsidR="009E1F54" w:rsidRPr="007C746F">
          <w:rPr>
            <w:rStyle w:val="Hyperlink"/>
            <w:rFonts w:ascii="Arial" w:eastAsia="Times New Roman" w:hAnsi="Arial" w:cs="Arial"/>
            <w:sz w:val="24"/>
            <w:szCs w:val="24"/>
          </w:rPr>
          <w:t>P</w:t>
        </w:r>
        <w:r w:rsidR="00C01624">
          <w:rPr>
            <w:rStyle w:val="Hyperlink"/>
            <w:rFonts w:ascii="Arial" w:eastAsia="Times New Roman" w:hAnsi="Arial" w:cs="Arial"/>
            <w:sz w:val="24"/>
            <w:szCs w:val="24"/>
          </w:rPr>
          <w:t>rogram</w:t>
        </w:r>
        <w:r w:rsidR="009E1F54" w:rsidRPr="007C746F">
          <w:rPr>
            <w:rStyle w:val="Hyperlink"/>
            <w:rFonts w:ascii="Arial" w:eastAsia="Times New Roman" w:hAnsi="Arial" w:cs="Arial"/>
            <w:sz w:val="24"/>
            <w:szCs w:val="24"/>
          </w:rPr>
          <w:t xml:space="preserve"> (2019)</w:t>
        </w:r>
      </w:hyperlink>
      <w:r w:rsidR="009E1F54" w:rsidRPr="007C746F">
        <w:rPr>
          <w:rFonts w:ascii="Arial" w:eastAsia="Times New Roman" w:hAnsi="Arial" w:cs="Arial"/>
          <w:sz w:val="24"/>
          <w:szCs w:val="24"/>
        </w:rPr>
        <w:t>,</w:t>
      </w:r>
      <w:r w:rsidR="009E1F54">
        <w:rPr>
          <w:rFonts w:ascii="Arial" w:eastAsia="Times New Roman" w:hAnsi="Arial" w:cs="Arial"/>
          <w:sz w:val="24"/>
          <w:szCs w:val="24"/>
        </w:rPr>
        <w:t xml:space="preserve"> </w:t>
      </w:r>
      <w:r w:rsidR="0072032B">
        <w:rPr>
          <w:rFonts w:ascii="Arial" w:eastAsia="Times New Roman" w:hAnsi="Arial" w:cs="Arial"/>
          <w:sz w:val="24"/>
          <w:szCs w:val="24"/>
        </w:rPr>
        <w:t xml:space="preserve">and </w:t>
      </w:r>
      <w:hyperlink r:id="rId35" w:history="1">
        <w:r w:rsidR="0072032B" w:rsidRPr="0072032B">
          <w:rPr>
            <w:rStyle w:val="Hyperlink"/>
            <w:rFonts w:ascii="Arial" w:eastAsia="Times New Roman" w:hAnsi="Arial" w:cs="Arial"/>
            <w:sz w:val="24"/>
            <w:szCs w:val="24"/>
          </w:rPr>
          <w:t>Loveless et al. (2009)</w:t>
        </w:r>
      </w:hyperlink>
      <w:r w:rsidR="0072032B">
        <w:rPr>
          <w:rFonts w:ascii="Arial" w:eastAsia="Times New Roman" w:hAnsi="Arial" w:cs="Arial"/>
          <w:sz w:val="24"/>
          <w:szCs w:val="24"/>
        </w:rPr>
        <w:t>.</w:t>
      </w:r>
      <w:r w:rsidR="00FC0A5E">
        <w:rPr>
          <w:rFonts w:ascii="Arial" w:eastAsia="Times New Roman" w:hAnsi="Arial" w:cs="Arial"/>
          <w:sz w:val="24"/>
          <w:szCs w:val="24"/>
        </w:rPr>
        <w:t xml:space="preserve"> </w:t>
      </w:r>
      <w:hyperlink r:id="rId36" w:history="1">
        <w:r w:rsidR="00FC0A5E" w:rsidRPr="00FF54C5">
          <w:rPr>
            <w:rStyle w:val="Hyperlink"/>
            <w:rFonts w:ascii="Arial" w:eastAsia="Times New Roman" w:hAnsi="Arial" w:cs="Arial"/>
            <w:sz w:val="24"/>
            <w:szCs w:val="24"/>
          </w:rPr>
          <w:t>More about Per- and Polyfluoroalkyl Substances (PFAS)</w:t>
        </w:r>
      </w:hyperlink>
      <w:r w:rsidR="00FC0A5E">
        <w:rPr>
          <w:rFonts w:ascii="Arial" w:eastAsia="Times New Roman" w:hAnsi="Arial" w:cs="Arial"/>
          <w:sz w:val="24"/>
          <w:szCs w:val="24"/>
        </w:rPr>
        <w:t>.</w:t>
      </w:r>
    </w:p>
    <w:p w14:paraId="6B5A920D" w14:textId="7291AE13" w:rsidR="00006D48" w:rsidRPr="007C746F" w:rsidRDefault="00EB108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lang w:val="en"/>
        </w:rPr>
        <w:t>Perfluorooctanoic acid</w:t>
      </w:r>
      <w:r w:rsidRPr="007C746F">
        <w:rPr>
          <w:rFonts w:ascii="Arial" w:hAnsi="Arial" w:cs="Arial"/>
          <w:sz w:val="24"/>
          <w:szCs w:val="24"/>
          <w:lang w:val="en"/>
        </w:rPr>
        <w:t xml:space="preserve"> (PFOA)</w:t>
      </w:r>
      <w:r w:rsidR="00B0523D" w:rsidRPr="007C746F">
        <w:rPr>
          <w:rFonts w:ascii="Arial" w:eastAsia="Times New Roman" w:hAnsi="Arial" w:cs="Arial"/>
          <w:sz w:val="24"/>
          <w:szCs w:val="24"/>
        </w:rPr>
        <w:t xml:space="preserve">: ENDPOINT: </w:t>
      </w:r>
      <w:r w:rsidR="00701F19" w:rsidRPr="007C746F">
        <w:rPr>
          <w:rFonts w:ascii="Arial" w:eastAsia="Times New Roman" w:hAnsi="Arial" w:cs="Arial"/>
          <w:sz w:val="24"/>
          <w:szCs w:val="24"/>
        </w:rPr>
        <w:t>C</w:t>
      </w:r>
      <w:r w:rsidR="00006D48" w:rsidRPr="007C746F">
        <w:rPr>
          <w:rFonts w:ascii="Arial" w:eastAsia="Times New Roman" w:hAnsi="Arial" w:cs="Arial"/>
          <w:sz w:val="24"/>
          <w:szCs w:val="24"/>
        </w:rPr>
        <w:t>ancer</w:t>
      </w:r>
      <w:r w:rsidR="0010160D">
        <w:rPr>
          <w:rFonts w:ascii="Arial" w:hAnsi="Arial" w:cs="Arial"/>
          <w:sz w:val="24"/>
          <w:szCs w:val="24"/>
        </w:rPr>
        <w:t xml:space="preserve"> - </w:t>
      </w:r>
      <w:r w:rsidR="00701F19" w:rsidRPr="007C746F">
        <w:rPr>
          <w:rFonts w:ascii="Arial" w:eastAsia="Times New Roman" w:hAnsi="Arial" w:cs="Arial"/>
          <w:sz w:val="24"/>
          <w:szCs w:val="24"/>
        </w:rPr>
        <w:t>pancreatic and liver tumors in male rats</w:t>
      </w:r>
      <w:r w:rsidRPr="007C746F">
        <w:rPr>
          <w:rFonts w:ascii="Arial" w:eastAsia="Times New Roman" w:hAnsi="Arial" w:cs="Arial"/>
          <w:sz w:val="24"/>
          <w:szCs w:val="24"/>
        </w:rPr>
        <w:t>,</w:t>
      </w:r>
      <w:r w:rsidR="00D55501" w:rsidRPr="007C746F">
        <w:rPr>
          <w:rFonts w:ascii="Arial" w:eastAsia="Times New Roman" w:hAnsi="Arial" w:cs="Arial"/>
          <w:sz w:val="24"/>
          <w:szCs w:val="24"/>
        </w:rPr>
        <w:t xml:space="preserve"> </w:t>
      </w:r>
      <w:r w:rsidR="00106A92" w:rsidRPr="007C746F">
        <w:rPr>
          <w:rFonts w:ascii="Arial" w:hAnsi="Arial" w:cs="Arial"/>
          <w:sz w:val="24"/>
          <w:szCs w:val="24"/>
        </w:rPr>
        <w:t xml:space="preserve">theoretical </w:t>
      </w:r>
      <w:r w:rsidR="00106A92" w:rsidRPr="007C746F">
        <w:rPr>
          <w:rStyle w:val="Emphasis"/>
          <w:rFonts w:ascii="Arial" w:hAnsi="Arial" w:cs="Arial"/>
          <w:sz w:val="24"/>
          <w:szCs w:val="24"/>
        </w:rPr>
        <w:t>de minimis</w:t>
      </w:r>
      <w:r w:rsidR="00106A92" w:rsidRPr="007C746F">
        <w:rPr>
          <w:rFonts w:ascii="Arial" w:hAnsi="Arial" w:cs="Arial"/>
          <w:sz w:val="24"/>
          <w:szCs w:val="24"/>
        </w:rPr>
        <w:t xml:space="preserve"> cancer risk level</w:t>
      </w:r>
      <w:r w:rsidR="00106A92" w:rsidRPr="007C746F">
        <w:rPr>
          <w:rFonts w:ascii="Arial" w:eastAsia="Times New Roman" w:hAnsi="Arial" w:cs="Arial"/>
          <w:sz w:val="24"/>
          <w:szCs w:val="24"/>
        </w:rPr>
        <w:t xml:space="preserve"> (10</w:t>
      </w:r>
      <w:r w:rsidR="00106A92" w:rsidRPr="007C746F">
        <w:rPr>
          <w:rFonts w:ascii="Arial" w:eastAsia="Times New Roman" w:hAnsi="Arial" w:cs="Arial"/>
          <w:sz w:val="24"/>
          <w:szCs w:val="24"/>
          <w:vertAlign w:val="superscript"/>
        </w:rPr>
        <w:t>-6</w:t>
      </w:r>
      <w:r w:rsidR="00106A92" w:rsidRPr="007C746F">
        <w:rPr>
          <w:rFonts w:ascii="Arial" w:eastAsia="Times New Roman" w:hAnsi="Arial" w:cs="Arial"/>
          <w:sz w:val="24"/>
          <w:szCs w:val="24"/>
        </w:rPr>
        <w:t xml:space="preserve">) at </w:t>
      </w:r>
      <w:r w:rsidR="00D55501" w:rsidRPr="007C746F">
        <w:rPr>
          <w:rFonts w:ascii="Arial" w:eastAsia="Times New Roman" w:hAnsi="Arial" w:cs="Arial"/>
          <w:sz w:val="24"/>
          <w:szCs w:val="24"/>
        </w:rPr>
        <w:t>0.1 ng/L,</w:t>
      </w:r>
      <w:r w:rsidRPr="007C746F">
        <w:rPr>
          <w:rFonts w:ascii="Arial" w:eastAsia="Times New Roman" w:hAnsi="Arial" w:cs="Arial"/>
          <w:sz w:val="24"/>
          <w:szCs w:val="24"/>
        </w:rPr>
        <w:t xml:space="preserve"> </w:t>
      </w:r>
      <w:r w:rsidR="00925A02" w:rsidRPr="007C746F">
        <w:rPr>
          <w:rFonts w:ascii="Arial" w:eastAsia="Times New Roman" w:hAnsi="Arial" w:cs="Arial"/>
          <w:sz w:val="24"/>
          <w:szCs w:val="24"/>
        </w:rPr>
        <w:t xml:space="preserve">REFERENCES: </w:t>
      </w:r>
      <w:hyperlink r:id="rId37" w:history="1">
        <w:r w:rsidR="00623D4D" w:rsidRPr="007C746F">
          <w:rPr>
            <w:rStyle w:val="Hyperlink"/>
            <w:rFonts w:ascii="Arial" w:eastAsia="Times New Roman" w:hAnsi="Arial" w:cs="Arial"/>
            <w:sz w:val="24"/>
            <w:szCs w:val="24"/>
          </w:rPr>
          <w:t xml:space="preserve">Notification Level Recommendations - Perfluorooctanoic Acid and </w:t>
        </w:r>
        <w:proofErr w:type="spellStart"/>
        <w:r w:rsidR="00623D4D" w:rsidRPr="007C746F">
          <w:rPr>
            <w:rStyle w:val="Hyperlink"/>
            <w:rFonts w:ascii="Arial" w:eastAsia="Times New Roman" w:hAnsi="Arial" w:cs="Arial"/>
            <w:sz w:val="24"/>
            <w:szCs w:val="24"/>
          </w:rPr>
          <w:t>Perfluorooctane</w:t>
        </w:r>
        <w:proofErr w:type="spellEnd"/>
        <w:r w:rsidR="00623D4D" w:rsidRPr="007C746F">
          <w:rPr>
            <w:rStyle w:val="Hyperlink"/>
            <w:rFonts w:ascii="Arial" w:eastAsia="Times New Roman" w:hAnsi="Arial" w:cs="Arial"/>
            <w:sz w:val="24"/>
            <w:szCs w:val="24"/>
          </w:rPr>
          <w:t xml:space="preserve"> Sulfonate</w:t>
        </w:r>
        <w:r w:rsidR="00701F19" w:rsidRPr="007C746F">
          <w:rPr>
            <w:rStyle w:val="Hyperlink"/>
            <w:rFonts w:ascii="Arial" w:eastAsia="Times New Roman" w:hAnsi="Arial" w:cs="Arial"/>
            <w:sz w:val="24"/>
            <w:szCs w:val="24"/>
          </w:rPr>
          <w:t xml:space="preserve"> </w:t>
        </w:r>
        <w:r w:rsidR="00623D4D" w:rsidRPr="007C746F">
          <w:rPr>
            <w:rStyle w:val="Hyperlink"/>
            <w:rFonts w:ascii="Arial" w:eastAsia="Times New Roman" w:hAnsi="Arial" w:cs="Arial"/>
            <w:sz w:val="24"/>
            <w:szCs w:val="24"/>
          </w:rPr>
          <w:t>in Drinking Water</w:t>
        </w:r>
        <w:r w:rsidR="00701F19" w:rsidRPr="007C746F">
          <w:rPr>
            <w:rStyle w:val="Hyperlink"/>
            <w:rFonts w:ascii="Arial" w:eastAsia="Times New Roman" w:hAnsi="Arial" w:cs="Arial"/>
            <w:sz w:val="24"/>
            <w:szCs w:val="24"/>
          </w:rPr>
          <w:t>, OEHHA (August 2019)</w:t>
        </w:r>
      </w:hyperlink>
      <w:r w:rsidR="00772227">
        <w:t>,</w:t>
      </w:r>
      <w:r w:rsidR="00772227" w:rsidRPr="00772227">
        <w:rPr>
          <w:rFonts w:ascii="Arial" w:eastAsia="Times New Roman" w:hAnsi="Arial" w:cs="Arial"/>
          <w:sz w:val="24"/>
          <w:szCs w:val="24"/>
        </w:rPr>
        <w:t xml:space="preserve"> </w:t>
      </w:r>
      <w:hyperlink r:id="rId38" w:history="1">
        <w:r w:rsidR="00772227" w:rsidRPr="004A49CE">
          <w:rPr>
            <w:rStyle w:val="Hyperlink"/>
            <w:rFonts w:ascii="Arial" w:eastAsia="Times New Roman" w:hAnsi="Arial" w:cs="Arial"/>
            <w:sz w:val="24"/>
            <w:szCs w:val="24"/>
          </w:rPr>
          <w:t>National Toxicology Program (2018)</w:t>
        </w:r>
      </w:hyperlink>
      <w:r w:rsidR="00772227">
        <w:rPr>
          <w:rFonts w:ascii="Arial" w:eastAsia="Times New Roman" w:hAnsi="Arial" w:cs="Arial"/>
          <w:sz w:val="24"/>
          <w:szCs w:val="24"/>
        </w:rPr>
        <w:t xml:space="preserve">, </w:t>
      </w:r>
      <w:hyperlink r:id="rId39" w:history="1">
        <w:r w:rsidR="00772227" w:rsidRPr="004A49CE">
          <w:rPr>
            <w:rStyle w:val="Hyperlink"/>
            <w:rFonts w:ascii="Arial" w:eastAsia="Times New Roman" w:hAnsi="Arial" w:cs="Arial"/>
            <w:sz w:val="24"/>
            <w:szCs w:val="24"/>
          </w:rPr>
          <w:t>Butenhoff et al</w:t>
        </w:r>
        <w:r w:rsidR="00396C17">
          <w:rPr>
            <w:rStyle w:val="Hyperlink"/>
            <w:rFonts w:ascii="Arial" w:eastAsia="Times New Roman" w:hAnsi="Arial" w:cs="Arial"/>
            <w:sz w:val="24"/>
            <w:szCs w:val="24"/>
          </w:rPr>
          <w:t>.</w:t>
        </w:r>
        <w:r w:rsidR="00772227" w:rsidRPr="004A49CE">
          <w:rPr>
            <w:rStyle w:val="Hyperlink"/>
            <w:rFonts w:ascii="Arial" w:eastAsia="Times New Roman" w:hAnsi="Arial" w:cs="Arial"/>
            <w:sz w:val="24"/>
            <w:szCs w:val="24"/>
          </w:rPr>
          <w:t xml:space="preserve"> (2012)</w:t>
        </w:r>
      </w:hyperlink>
      <w:r w:rsidR="00AF36C8">
        <w:rPr>
          <w:rFonts w:ascii="Arial" w:eastAsia="Times New Roman" w:hAnsi="Arial" w:cs="Arial"/>
          <w:sz w:val="24"/>
          <w:szCs w:val="24"/>
        </w:rPr>
        <w:t xml:space="preserve">, </w:t>
      </w:r>
      <w:r w:rsidR="00313730">
        <w:rPr>
          <w:rFonts w:ascii="Arial" w:eastAsia="Times New Roman" w:hAnsi="Arial" w:cs="Arial"/>
          <w:sz w:val="24"/>
          <w:szCs w:val="24"/>
        </w:rPr>
        <w:t xml:space="preserve">and </w:t>
      </w:r>
      <w:hyperlink r:id="rId40" w:history="1">
        <w:r w:rsidR="00AF36C8" w:rsidRPr="00396C17">
          <w:rPr>
            <w:rStyle w:val="Hyperlink"/>
            <w:rFonts w:ascii="Arial" w:eastAsia="Times New Roman" w:hAnsi="Arial" w:cs="Arial"/>
            <w:sz w:val="24"/>
            <w:szCs w:val="24"/>
          </w:rPr>
          <w:t>Biegel et al. (2001)</w:t>
        </w:r>
      </w:hyperlink>
      <w:r w:rsidR="00AF36C8">
        <w:rPr>
          <w:rFonts w:ascii="Arial" w:eastAsia="Times New Roman" w:hAnsi="Arial" w:cs="Arial"/>
          <w:sz w:val="24"/>
          <w:szCs w:val="24"/>
        </w:rPr>
        <w:t xml:space="preserve">, </w:t>
      </w:r>
      <w:hyperlink r:id="rId41" w:history="1">
        <w:r w:rsidR="00AF36C8" w:rsidRPr="00313730">
          <w:rPr>
            <w:rStyle w:val="Hyperlink"/>
            <w:rFonts w:ascii="Arial" w:eastAsia="Times New Roman" w:hAnsi="Arial" w:cs="Arial"/>
            <w:sz w:val="24"/>
            <w:szCs w:val="24"/>
          </w:rPr>
          <w:t>Fi</w:t>
        </w:r>
        <w:r w:rsidR="00396C17" w:rsidRPr="00313730">
          <w:rPr>
            <w:rStyle w:val="Hyperlink"/>
            <w:rFonts w:ascii="Arial" w:eastAsia="Times New Roman" w:hAnsi="Arial" w:cs="Arial"/>
            <w:sz w:val="24"/>
            <w:szCs w:val="24"/>
          </w:rPr>
          <w:t>lgo et al. (2015)</w:t>
        </w:r>
      </w:hyperlink>
      <w:r w:rsidR="003565DE" w:rsidRPr="007C746F">
        <w:rPr>
          <w:rFonts w:ascii="Arial" w:eastAsia="Times New Roman" w:hAnsi="Arial" w:cs="Arial"/>
          <w:sz w:val="24"/>
          <w:szCs w:val="24"/>
        </w:rPr>
        <w:t xml:space="preserve">. </w:t>
      </w:r>
      <w:r w:rsidR="003565DE" w:rsidRPr="007C746F">
        <w:rPr>
          <w:rFonts w:ascii="Arial" w:hAnsi="Arial" w:cs="Arial"/>
          <w:sz w:val="24"/>
          <w:szCs w:val="24"/>
        </w:rPr>
        <w:t xml:space="preserve">HISTORY: Notification level first established in 2018 as </w:t>
      </w:r>
      <w:r w:rsidR="00150945" w:rsidRPr="007C746F">
        <w:rPr>
          <w:rFonts w:ascii="Arial" w:hAnsi="Arial" w:cs="Arial"/>
          <w:sz w:val="24"/>
          <w:szCs w:val="24"/>
        </w:rPr>
        <w:t>14</w:t>
      </w:r>
      <w:r w:rsidR="003565DE" w:rsidRPr="007C746F">
        <w:rPr>
          <w:rFonts w:ascii="Arial" w:hAnsi="Arial" w:cs="Arial"/>
          <w:sz w:val="24"/>
          <w:szCs w:val="24"/>
        </w:rPr>
        <w:t xml:space="preserve"> </w:t>
      </w:r>
      <w:r w:rsidR="00150945" w:rsidRPr="007C746F">
        <w:rPr>
          <w:rFonts w:ascii="Arial" w:hAnsi="Arial" w:cs="Arial"/>
          <w:sz w:val="24"/>
          <w:szCs w:val="24"/>
        </w:rPr>
        <w:t>n</w:t>
      </w:r>
      <w:r w:rsidR="003565DE" w:rsidRPr="007C746F">
        <w:rPr>
          <w:rFonts w:ascii="Arial" w:hAnsi="Arial" w:cs="Arial"/>
          <w:sz w:val="24"/>
          <w:szCs w:val="24"/>
        </w:rPr>
        <w:t>g/</w:t>
      </w:r>
      <w:r w:rsidR="00D37E15" w:rsidRPr="007C746F">
        <w:rPr>
          <w:rFonts w:ascii="Arial" w:hAnsi="Arial" w:cs="Arial"/>
          <w:sz w:val="24"/>
          <w:szCs w:val="24"/>
        </w:rPr>
        <w:t>L</w:t>
      </w:r>
      <w:r w:rsidR="007243D1" w:rsidRPr="007C746F">
        <w:rPr>
          <w:rFonts w:ascii="Arial" w:hAnsi="Arial" w:cs="Arial"/>
          <w:sz w:val="24"/>
          <w:szCs w:val="24"/>
        </w:rPr>
        <w:t>,</w:t>
      </w:r>
      <w:r w:rsidR="00D37E15" w:rsidRPr="007C746F">
        <w:rPr>
          <w:rFonts w:ascii="Arial" w:hAnsi="Arial" w:cs="Arial"/>
          <w:sz w:val="24"/>
          <w:szCs w:val="24"/>
        </w:rPr>
        <w:t xml:space="preserve"> </w:t>
      </w:r>
      <w:r w:rsidR="003565DE" w:rsidRPr="007C746F">
        <w:rPr>
          <w:rFonts w:ascii="Arial" w:hAnsi="Arial" w:cs="Arial"/>
          <w:sz w:val="24"/>
          <w:szCs w:val="24"/>
        </w:rPr>
        <w:t xml:space="preserve">revised </w:t>
      </w:r>
      <w:r w:rsidR="00F602FD">
        <w:rPr>
          <w:rFonts w:ascii="Arial" w:hAnsi="Arial" w:cs="Arial"/>
          <w:sz w:val="24"/>
          <w:szCs w:val="24"/>
        </w:rPr>
        <w:t xml:space="preserve">in 2019 </w:t>
      </w:r>
      <w:r w:rsidR="003565DE" w:rsidRPr="007C746F">
        <w:rPr>
          <w:rFonts w:ascii="Arial" w:hAnsi="Arial" w:cs="Arial"/>
          <w:sz w:val="24"/>
          <w:szCs w:val="24"/>
        </w:rPr>
        <w:t xml:space="preserve">to </w:t>
      </w:r>
      <w:r w:rsidR="00ED5D35">
        <w:rPr>
          <w:rFonts w:ascii="Arial" w:hAnsi="Arial" w:cs="Arial"/>
          <w:sz w:val="24"/>
          <w:szCs w:val="24"/>
        </w:rPr>
        <w:t>5.1 ng/L</w:t>
      </w:r>
      <w:r w:rsidR="00F602FD">
        <w:rPr>
          <w:rFonts w:ascii="Arial" w:hAnsi="Arial" w:cs="Arial"/>
          <w:sz w:val="24"/>
          <w:szCs w:val="24"/>
        </w:rPr>
        <w:t xml:space="preserve"> </w:t>
      </w:r>
      <w:r w:rsidR="00F46873">
        <w:rPr>
          <w:rFonts w:ascii="Arial" w:hAnsi="Arial" w:cs="Arial"/>
          <w:sz w:val="24"/>
          <w:szCs w:val="24"/>
        </w:rPr>
        <w:t xml:space="preserve">and </w:t>
      </w:r>
      <w:r w:rsidR="0015366E">
        <w:rPr>
          <w:rFonts w:ascii="Arial" w:hAnsi="Arial" w:cs="Arial"/>
          <w:sz w:val="24"/>
          <w:szCs w:val="24"/>
        </w:rPr>
        <w:t>in 2025</w:t>
      </w:r>
      <w:r w:rsidR="00B05D9A">
        <w:rPr>
          <w:rFonts w:ascii="Arial" w:hAnsi="Arial" w:cs="Arial"/>
          <w:sz w:val="24"/>
          <w:szCs w:val="24"/>
        </w:rPr>
        <w:t xml:space="preserve"> to the </w:t>
      </w:r>
      <w:r w:rsidR="003565DE" w:rsidRPr="007C746F">
        <w:rPr>
          <w:rFonts w:ascii="Arial" w:hAnsi="Arial" w:cs="Arial"/>
          <w:sz w:val="24"/>
          <w:szCs w:val="24"/>
        </w:rPr>
        <w:t>current level</w:t>
      </w:r>
      <w:r w:rsidR="00150945" w:rsidRPr="007C746F">
        <w:rPr>
          <w:rFonts w:ascii="Arial" w:hAnsi="Arial" w:cs="Arial"/>
          <w:sz w:val="24"/>
          <w:szCs w:val="24"/>
        </w:rPr>
        <w:t xml:space="preserve">. The current level is </w:t>
      </w:r>
      <w:r w:rsidR="00132F5F" w:rsidRPr="00322284">
        <w:rPr>
          <w:rFonts w:ascii="Arial" w:hAnsi="Arial" w:cs="Arial"/>
          <w:sz w:val="24"/>
          <w:szCs w:val="24"/>
        </w:rPr>
        <w:t>based on the federal Fifth Unregulated Contaminant Monitoring Rule minimum reporting level</w:t>
      </w:r>
      <w:r w:rsidR="00150945" w:rsidRPr="007C746F">
        <w:rPr>
          <w:rFonts w:ascii="Arial" w:hAnsi="Arial" w:cs="Arial"/>
          <w:sz w:val="24"/>
          <w:szCs w:val="24"/>
        </w:rPr>
        <w:t>.</w:t>
      </w:r>
      <w:r w:rsidR="008F2D68">
        <w:rPr>
          <w:rFonts w:ascii="Arial" w:hAnsi="Arial" w:cs="Arial"/>
          <w:sz w:val="24"/>
          <w:szCs w:val="24"/>
        </w:rPr>
        <w:t xml:space="preserve"> </w:t>
      </w:r>
      <w:hyperlink r:id="rId42" w:history="1">
        <w:r w:rsidR="008F2D68" w:rsidRPr="00FF54C5">
          <w:rPr>
            <w:rStyle w:val="Hyperlink"/>
            <w:rFonts w:ascii="Arial" w:eastAsia="Times New Roman" w:hAnsi="Arial" w:cs="Arial"/>
            <w:sz w:val="24"/>
            <w:szCs w:val="24"/>
          </w:rPr>
          <w:t>More about Per- and Polyfluoroalkyl Substances (PFAS)</w:t>
        </w:r>
      </w:hyperlink>
      <w:r w:rsidR="008F2D68">
        <w:rPr>
          <w:rFonts w:ascii="Arial" w:eastAsia="Times New Roman" w:hAnsi="Arial" w:cs="Arial"/>
          <w:sz w:val="24"/>
          <w:szCs w:val="24"/>
        </w:rPr>
        <w:t>.</w:t>
      </w:r>
    </w:p>
    <w:p w14:paraId="013CEC68" w14:textId="1AC13483" w:rsidR="00C34989" w:rsidRPr="007C746F" w:rsidRDefault="00006D48" w:rsidP="00F8705F">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lastRenderedPageBreak/>
        <w:t>Perfluorooctanesulfonic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(PFOS)</w:t>
      </w:r>
      <w:r w:rsidRPr="007C746F">
        <w:rPr>
          <w:rFonts w:ascii="Arial" w:eastAsia="Times New Roman" w:hAnsi="Arial" w:cs="Arial"/>
          <w:sz w:val="24"/>
          <w:szCs w:val="24"/>
        </w:rPr>
        <w:t xml:space="preserve">: ENDPOINT: </w:t>
      </w:r>
      <w:r w:rsidR="003565DE" w:rsidRPr="007C746F">
        <w:rPr>
          <w:rFonts w:ascii="Arial" w:eastAsia="Times New Roman" w:hAnsi="Arial" w:cs="Arial"/>
          <w:sz w:val="24"/>
          <w:szCs w:val="24"/>
        </w:rPr>
        <w:t>Cancer</w:t>
      </w:r>
      <w:r w:rsidR="0010160D">
        <w:rPr>
          <w:rFonts w:ascii="Arial" w:hAnsi="Arial" w:cs="Arial"/>
          <w:sz w:val="24"/>
          <w:szCs w:val="24"/>
        </w:rPr>
        <w:t xml:space="preserve"> - </w:t>
      </w:r>
      <w:r w:rsidR="003565DE" w:rsidRPr="007C746F">
        <w:rPr>
          <w:rFonts w:ascii="Arial" w:eastAsia="Times New Roman" w:hAnsi="Arial" w:cs="Arial"/>
          <w:sz w:val="24"/>
          <w:szCs w:val="24"/>
        </w:rPr>
        <w:t>liver tumors in male rats</w:t>
      </w:r>
      <w:r w:rsidR="00D55501" w:rsidRPr="007C746F">
        <w:rPr>
          <w:rFonts w:ascii="Arial" w:eastAsia="Times New Roman" w:hAnsi="Arial" w:cs="Arial"/>
          <w:sz w:val="24"/>
          <w:szCs w:val="24"/>
        </w:rPr>
        <w:t xml:space="preserve"> and the structural and biological similarity of PFOS to PFOA</w:t>
      </w:r>
      <w:r w:rsidR="003565DE" w:rsidRPr="007C746F">
        <w:rPr>
          <w:rFonts w:ascii="Arial" w:eastAsia="Times New Roman" w:hAnsi="Arial" w:cs="Arial"/>
          <w:sz w:val="24"/>
          <w:szCs w:val="24"/>
        </w:rPr>
        <w:t xml:space="preserve">, </w:t>
      </w:r>
      <w:r w:rsidR="00106A92" w:rsidRPr="007C746F">
        <w:rPr>
          <w:rFonts w:ascii="Arial" w:hAnsi="Arial" w:cs="Arial"/>
          <w:sz w:val="24"/>
          <w:szCs w:val="24"/>
        </w:rPr>
        <w:t xml:space="preserve">theoretical </w:t>
      </w:r>
      <w:r w:rsidR="00106A92" w:rsidRPr="007C746F">
        <w:rPr>
          <w:rStyle w:val="Emphasis"/>
          <w:rFonts w:ascii="Arial" w:hAnsi="Arial" w:cs="Arial"/>
          <w:sz w:val="24"/>
          <w:szCs w:val="24"/>
        </w:rPr>
        <w:t>de minimis</w:t>
      </w:r>
      <w:r w:rsidR="00106A92" w:rsidRPr="007C746F">
        <w:rPr>
          <w:rFonts w:ascii="Arial" w:hAnsi="Arial" w:cs="Arial"/>
          <w:sz w:val="24"/>
          <w:szCs w:val="24"/>
        </w:rPr>
        <w:t xml:space="preserve"> cancer risk level</w:t>
      </w:r>
      <w:r w:rsidR="00106A92" w:rsidRPr="007C746F">
        <w:rPr>
          <w:rFonts w:ascii="Arial" w:eastAsia="Times New Roman" w:hAnsi="Arial" w:cs="Arial"/>
          <w:sz w:val="24"/>
          <w:szCs w:val="24"/>
        </w:rPr>
        <w:t xml:space="preserve"> </w:t>
      </w:r>
      <w:r w:rsidR="00D55501" w:rsidRPr="007C746F">
        <w:rPr>
          <w:rFonts w:ascii="Arial" w:eastAsia="Times New Roman" w:hAnsi="Arial" w:cs="Arial"/>
          <w:sz w:val="24"/>
          <w:szCs w:val="24"/>
        </w:rPr>
        <w:t>(10</w:t>
      </w:r>
      <w:r w:rsidR="00D55501" w:rsidRPr="007C746F">
        <w:rPr>
          <w:rFonts w:ascii="Arial" w:eastAsia="Times New Roman" w:hAnsi="Arial" w:cs="Arial"/>
          <w:sz w:val="24"/>
          <w:szCs w:val="24"/>
          <w:vertAlign w:val="superscript"/>
        </w:rPr>
        <w:t>-6</w:t>
      </w:r>
      <w:r w:rsidR="00D55501" w:rsidRPr="007C746F">
        <w:rPr>
          <w:rFonts w:ascii="Arial" w:eastAsia="Times New Roman" w:hAnsi="Arial" w:cs="Arial"/>
          <w:sz w:val="24"/>
          <w:szCs w:val="24"/>
        </w:rPr>
        <w:t>) at 0.4 ng/L</w:t>
      </w:r>
      <w:r w:rsidR="00D37E15" w:rsidRPr="007C746F">
        <w:rPr>
          <w:rFonts w:ascii="Arial" w:eastAsia="Times New Roman" w:hAnsi="Arial" w:cs="Arial"/>
          <w:sz w:val="24"/>
          <w:szCs w:val="24"/>
        </w:rPr>
        <w:t xml:space="preserve">, </w:t>
      </w:r>
      <w:r w:rsidRPr="007C746F">
        <w:rPr>
          <w:rFonts w:ascii="Arial" w:eastAsia="Times New Roman" w:hAnsi="Arial" w:cs="Arial"/>
          <w:sz w:val="24"/>
          <w:szCs w:val="24"/>
        </w:rPr>
        <w:t xml:space="preserve">REFERENCES: </w:t>
      </w:r>
      <w:hyperlink r:id="rId43" w:history="1">
        <w:r w:rsidR="00701F19" w:rsidRPr="007C746F">
          <w:rPr>
            <w:rStyle w:val="Hyperlink"/>
            <w:rFonts w:ascii="Arial" w:eastAsia="Times New Roman" w:hAnsi="Arial" w:cs="Arial"/>
            <w:sz w:val="24"/>
            <w:szCs w:val="24"/>
          </w:rPr>
          <w:t xml:space="preserve">Notification Level Recommendations - Perfluorooctanoic Acid and </w:t>
        </w:r>
        <w:proofErr w:type="spellStart"/>
        <w:r w:rsidR="00701F19" w:rsidRPr="007C746F">
          <w:rPr>
            <w:rStyle w:val="Hyperlink"/>
            <w:rFonts w:ascii="Arial" w:eastAsia="Times New Roman" w:hAnsi="Arial" w:cs="Arial"/>
            <w:sz w:val="24"/>
            <w:szCs w:val="24"/>
          </w:rPr>
          <w:t>Perfluorooctane</w:t>
        </w:r>
        <w:proofErr w:type="spellEnd"/>
        <w:r w:rsidR="00701F19" w:rsidRPr="007C746F">
          <w:rPr>
            <w:rStyle w:val="Hyperlink"/>
            <w:rFonts w:ascii="Arial" w:eastAsia="Times New Roman" w:hAnsi="Arial" w:cs="Arial"/>
            <w:sz w:val="24"/>
            <w:szCs w:val="24"/>
          </w:rPr>
          <w:t xml:space="preserve"> Sulfonate in Drinking Water, OEHHA (August 2019)</w:t>
        </w:r>
      </w:hyperlink>
      <w:r w:rsidR="00150945" w:rsidRPr="007C746F">
        <w:rPr>
          <w:rFonts w:ascii="Arial" w:eastAsia="Times New Roman" w:hAnsi="Arial" w:cs="Arial"/>
          <w:sz w:val="24"/>
          <w:szCs w:val="24"/>
        </w:rPr>
        <w:t xml:space="preserve">, </w:t>
      </w:r>
      <w:hyperlink r:id="rId44" w:history="1">
        <w:r w:rsidR="003D46A8" w:rsidRPr="004A49CE">
          <w:rPr>
            <w:rStyle w:val="Hyperlink"/>
            <w:rFonts w:ascii="Arial" w:eastAsia="Times New Roman" w:hAnsi="Arial" w:cs="Arial"/>
            <w:sz w:val="24"/>
            <w:szCs w:val="24"/>
          </w:rPr>
          <w:t>National Toxicology Program (2018)</w:t>
        </w:r>
      </w:hyperlink>
      <w:r w:rsidR="00134395">
        <w:rPr>
          <w:rFonts w:ascii="Arial" w:eastAsia="Times New Roman" w:hAnsi="Arial" w:cs="Arial"/>
          <w:sz w:val="24"/>
          <w:szCs w:val="24"/>
        </w:rPr>
        <w:t>,</w:t>
      </w:r>
      <w:r w:rsidR="008945DB">
        <w:rPr>
          <w:rFonts w:ascii="Arial" w:eastAsia="Times New Roman" w:hAnsi="Arial" w:cs="Arial"/>
          <w:sz w:val="24"/>
          <w:szCs w:val="24"/>
        </w:rPr>
        <w:t xml:space="preserve"> and</w:t>
      </w:r>
      <w:r w:rsidR="00134395">
        <w:rPr>
          <w:rFonts w:ascii="Arial" w:eastAsia="Times New Roman" w:hAnsi="Arial" w:cs="Arial"/>
          <w:sz w:val="24"/>
          <w:szCs w:val="24"/>
        </w:rPr>
        <w:t xml:space="preserve"> </w:t>
      </w:r>
      <w:hyperlink r:id="rId45" w:history="1">
        <w:r w:rsidR="00134395" w:rsidRPr="004A49CE">
          <w:rPr>
            <w:rStyle w:val="Hyperlink"/>
            <w:rFonts w:ascii="Arial" w:eastAsia="Times New Roman" w:hAnsi="Arial" w:cs="Arial"/>
            <w:sz w:val="24"/>
            <w:szCs w:val="24"/>
          </w:rPr>
          <w:t>Butenhoff et al</w:t>
        </w:r>
        <w:r w:rsidR="008945DB">
          <w:rPr>
            <w:rStyle w:val="Hyperlink"/>
            <w:rFonts w:ascii="Arial" w:eastAsia="Times New Roman" w:hAnsi="Arial" w:cs="Arial"/>
            <w:sz w:val="24"/>
            <w:szCs w:val="24"/>
          </w:rPr>
          <w:t>.</w:t>
        </w:r>
        <w:r w:rsidR="00134395" w:rsidRPr="004A49CE">
          <w:rPr>
            <w:rStyle w:val="Hyperlink"/>
            <w:rFonts w:ascii="Arial" w:eastAsia="Times New Roman" w:hAnsi="Arial" w:cs="Arial"/>
            <w:sz w:val="24"/>
            <w:szCs w:val="24"/>
          </w:rPr>
          <w:t xml:space="preserve"> (2012)</w:t>
        </w:r>
      </w:hyperlink>
      <w:r w:rsidR="00134395">
        <w:rPr>
          <w:rFonts w:ascii="Arial" w:eastAsia="Times New Roman" w:hAnsi="Arial" w:cs="Arial"/>
          <w:sz w:val="24"/>
          <w:szCs w:val="24"/>
        </w:rPr>
        <w:t xml:space="preserve">. </w:t>
      </w:r>
      <w:r w:rsidR="00150945" w:rsidRPr="007C746F">
        <w:rPr>
          <w:rFonts w:ascii="Arial" w:hAnsi="Arial" w:cs="Arial"/>
          <w:sz w:val="24"/>
          <w:szCs w:val="24"/>
        </w:rPr>
        <w:t xml:space="preserve">HISTORY: Notification level first established in 2018 as 13 ng/L, revised </w:t>
      </w:r>
      <w:r w:rsidR="00540EB2">
        <w:rPr>
          <w:rFonts w:ascii="Arial" w:hAnsi="Arial" w:cs="Arial"/>
          <w:sz w:val="24"/>
          <w:szCs w:val="24"/>
        </w:rPr>
        <w:t xml:space="preserve">in 2019 </w:t>
      </w:r>
      <w:r w:rsidR="00150945" w:rsidRPr="007C746F">
        <w:rPr>
          <w:rFonts w:ascii="Arial" w:hAnsi="Arial" w:cs="Arial"/>
          <w:sz w:val="24"/>
          <w:szCs w:val="24"/>
        </w:rPr>
        <w:t xml:space="preserve">to </w:t>
      </w:r>
      <w:r w:rsidR="00E12D5F">
        <w:rPr>
          <w:rFonts w:ascii="Arial" w:hAnsi="Arial" w:cs="Arial"/>
          <w:sz w:val="24"/>
          <w:szCs w:val="24"/>
        </w:rPr>
        <w:t xml:space="preserve">6.5 ng/L, revised again in 2025 to the </w:t>
      </w:r>
      <w:r w:rsidR="00150945" w:rsidRPr="007C746F">
        <w:rPr>
          <w:rFonts w:ascii="Arial" w:hAnsi="Arial" w:cs="Arial"/>
          <w:sz w:val="24"/>
          <w:szCs w:val="24"/>
        </w:rPr>
        <w:t xml:space="preserve">current level. The current level is </w:t>
      </w:r>
      <w:r w:rsidR="00132F5F" w:rsidRPr="00322284">
        <w:rPr>
          <w:rFonts w:ascii="Arial" w:hAnsi="Arial" w:cs="Arial"/>
          <w:sz w:val="24"/>
          <w:szCs w:val="24"/>
        </w:rPr>
        <w:t>based on the federal Fifth Unregulated Contaminant Monitoring Rule minimum reporting level</w:t>
      </w:r>
      <w:r w:rsidR="00150945" w:rsidRPr="007C746F">
        <w:rPr>
          <w:rFonts w:ascii="Arial" w:hAnsi="Arial" w:cs="Arial"/>
          <w:sz w:val="24"/>
          <w:szCs w:val="24"/>
        </w:rPr>
        <w:t>.</w:t>
      </w:r>
    </w:p>
    <w:p w14:paraId="2BD81C43" w14:textId="33B2F0A6" w:rsidR="00C34989" w:rsidRPr="007C746F" w:rsidRDefault="00EB108D" w:rsidP="001126AA">
      <w:pPr>
        <w:pStyle w:val="BodyText"/>
        <w:numPr>
          <w:ilvl w:val="0"/>
          <w:numId w:val="22"/>
        </w:numPr>
        <w:spacing w:after="240" w:line="264" w:lineRule="auto"/>
        <w:ind w:right="-360"/>
        <w:rPr>
          <w:rFonts w:ascii="Arial" w:eastAsia="Times New Roman" w:hAnsi="Arial" w:cs="Arial"/>
          <w:sz w:val="24"/>
          <w:szCs w:val="24"/>
        </w:rPr>
      </w:pPr>
      <w:proofErr w:type="spellStart"/>
      <w:r w:rsidRPr="00A32BD0">
        <w:rPr>
          <w:rFonts w:ascii="Arial" w:eastAsia="Times New Roman" w:hAnsi="Arial" w:cs="Arial"/>
          <w:b/>
          <w:bCs/>
          <w:sz w:val="24"/>
          <w:szCs w:val="24"/>
        </w:rPr>
        <w:t>Propachlor</w:t>
      </w:r>
      <w:proofErr w:type="spellEnd"/>
      <w:r w:rsidRPr="007C746F">
        <w:rPr>
          <w:rFonts w:ascii="Arial" w:eastAsia="Times New Roman" w:hAnsi="Arial" w:cs="Arial"/>
          <w:sz w:val="24"/>
          <w:szCs w:val="24"/>
        </w:rPr>
        <w:t>: ENDPOINT: Noncancer</w:t>
      </w:r>
      <w:r w:rsidR="0010160D">
        <w:rPr>
          <w:rFonts w:ascii="Arial" w:hAnsi="Arial" w:cs="Arial"/>
          <w:sz w:val="24"/>
          <w:szCs w:val="24"/>
        </w:rPr>
        <w:t xml:space="preserve"> - </w:t>
      </w:r>
      <w:r w:rsidRPr="007C746F">
        <w:rPr>
          <w:rFonts w:ascii="Arial" w:eastAsia="Times New Roman" w:hAnsi="Arial" w:cs="Arial"/>
          <w:sz w:val="24"/>
          <w:szCs w:val="24"/>
        </w:rPr>
        <w:t xml:space="preserve">decrease in weight gain, decrease in food intake, relative liver weight increase in rats. REFERENCE: IRIS, 1987. The last revision for the oral </w:t>
      </w:r>
      <w:proofErr w:type="spellStart"/>
      <w:r w:rsidRPr="007C746F">
        <w:rPr>
          <w:rFonts w:ascii="Arial" w:eastAsia="Times New Roman" w:hAnsi="Arial" w:cs="Arial"/>
          <w:sz w:val="24"/>
          <w:szCs w:val="24"/>
        </w:rPr>
        <w:t>RfD</w:t>
      </w:r>
      <w:proofErr w:type="spellEnd"/>
      <w:r w:rsidRPr="007C746F">
        <w:rPr>
          <w:rFonts w:ascii="Arial" w:eastAsia="Times New Roman" w:hAnsi="Arial" w:cs="Arial"/>
          <w:sz w:val="24"/>
          <w:szCs w:val="24"/>
        </w:rPr>
        <w:t xml:space="preserve"> was January 1, 1987. HISTORY: Notification level was first established September 30, 2005.</w:t>
      </w:r>
    </w:p>
    <w:p w14:paraId="04CAFC09" w14:textId="54FFFFE1"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t>n-</w:t>
      </w:r>
      <w:proofErr w:type="spellStart"/>
      <w:r w:rsidRPr="00A32BD0">
        <w:rPr>
          <w:rFonts w:ascii="Arial" w:eastAsia="Times New Roman" w:hAnsi="Arial" w:cs="Arial"/>
          <w:b/>
          <w:bCs/>
          <w:sz w:val="24"/>
          <w:szCs w:val="24"/>
        </w:rPr>
        <w:t>Propylbenzene</w:t>
      </w:r>
      <w:proofErr w:type="spellEnd"/>
      <w:r w:rsidRPr="007C746F">
        <w:rPr>
          <w:rFonts w:ascii="Arial" w:eastAsia="Times New Roman" w:hAnsi="Arial" w:cs="Arial"/>
          <w:sz w:val="24"/>
          <w:szCs w:val="24"/>
        </w:rPr>
        <w:t>: ENDPOINT: Noncancer</w:t>
      </w:r>
      <w:r w:rsidR="0010160D">
        <w:rPr>
          <w:rFonts w:ascii="Arial" w:hAnsi="Arial" w:cs="Arial"/>
          <w:sz w:val="24"/>
          <w:szCs w:val="24"/>
        </w:rPr>
        <w:t xml:space="preserve"> - </w:t>
      </w:r>
      <w:r w:rsidRPr="007C746F">
        <w:rPr>
          <w:rFonts w:ascii="Arial" w:eastAsia="Times New Roman" w:hAnsi="Arial" w:cs="Arial"/>
          <w:sz w:val="24"/>
          <w:szCs w:val="24"/>
        </w:rPr>
        <w:t>increased kidney weight in rats, using cumene (</w:t>
      </w:r>
      <w:proofErr w:type="spellStart"/>
      <w:r w:rsidRPr="007C746F">
        <w:rPr>
          <w:rFonts w:ascii="Arial" w:eastAsia="Times New Roman" w:hAnsi="Arial" w:cs="Arial"/>
          <w:sz w:val="24"/>
          <w:szCs w:val="24"/>
        </w:rPr>
        <w:t>isopropylbenzene</w:t>
      </w:r>
      <w:proofErr w:type="spellEnd"/>
      <w:r w:rsidRPr="007C746F">
        <w:rPr>
          <w:rFonts w:ascii="Arial" w:eastAsia="Times New Roman" w:hAnsi="Arial" w:cs="Arial"/>
          <w:sz w:val="24"/>
          <w:szCs w:val="24"/>
        </w:rPr>
        <w:t>) as a surrogate. REFERENCE: OEHHA, 2000. Memorandum from R. Howd, OEHHA, to D. Spath, CDHS, "Proposed Action Level for n-</w:t>
      </w:r>
      <w:proofErr w:type="spellStart"/>
      <w:r w:rsidRPr="007C746F">
        <w:rPr>
          <w:rFonts w:ascii="Arial" w:eastAsia="Times New Roman" w:hAnsi="Arial" w:cs="Arial"/>
          <w:sz w:val="24"/>
          <w:szCs w:val="24"/>
        </w:rPr>
        <w:t>Propylbenzene</w:t>
      </w:r>
      <w:proofErr w:type="spellEnd"/>
      <w:r w:rsidRPr="007C746F">
        <w:rPr>
          <w:rFonts w:ascii="Arial" w:eastAsia="Times New Roman" w:hAnsi="Arial" w:cs="Arial"/>
          <w:sz w:val="24"/>
          <w:szCs w:val="24"/>
        </w:rPr>
        <w:t>," October 27, 2000. HISTORY: Notification level established in 2000.</w:t>
      </w:r>
    </w:p>
    <w:p w14:paraId="5F00FC50" w14:textId="6476852C"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t>RDX</w:t>
      </w:r>
      <w:r w:rsidRPr="007C746F">
        <w:rPr>
          <w:rFonts w:ascii="Arial" w:eastAsia="Times New Roman" w:hAnsi="Arial" w:cs="Arial"/>
          <w:sz w:val="24"/>
          <w:szCs w:val="24"/>
        </w:rPr>
        <w:t xml:space="preserve"> (Hexahydro-1,3,5-trinitro-1-3-5-triazine): ENDPOINT: Cancer</w:t>
      </w:r>
      <w:r w:rsidR="0010160D">
        <w:rPr>
          <w:rFonts w:ascii="Arial" w:hAnsi="Arial" w:cs="Arial"/>
          <w:sz w:val="24"/>
          <w:szCs w:val="24"/>
        </w:rPr>
        <w:t xml:space="preserve"> - </w:t>
      </w:r>
      <w:r w:rsidRPr="007C746F">
        <w:rPr>
          <w:rFonts w:ascii="Arial" w:eastAsia="Times New Roman" w:hAnsi="Arial" w:cs="Arial"/>
          <w:sz w:val="24"/>
          <w:szCs w:val="24"/>
        </w:rPr>
        <w:t>liver carcinomas and adenomas in female mice. REFERENCE: IRIS, 1990.</w:t>
      </w:r>
      <w:r w:rsidR="00FF7A64" w:rsidRPr="007C746F">
        <w:rPr>
          <w:rFonts w:ascii="Arial" w:eastAsia="Times New Roman" w:hAnsi="Arial" w:cs="Arial"/>
          <w:sz w:val="24"/>
          <w:szCs w:val="24"/>
        </w:rPr>
        <w:t xml:space="preserve"> </w:t>
      </w:r>
      <w:r w:rsidRPr="007C746F">
        <w:rPr>
          <w:rFonts w:ascii="Arial" w:eastAsia="Times New Roman" w:hAnsi="Arial" w:cs="Arial"/>
          <w:sz w:val="24"/>
          <w:szCs w:val="24"/>
        </w:rPr>
        <w:t>The oral carcinogenicity assessment is dated August 1, 1990. HISTORY: Notification level was first established September 30, 2005.</w:t>
      </w:r>
    </w:p>
    <w:p w14:paraId="7F41F718" w14:textId="752731EF" w:rsidR="00C34989" w:rsidRPr="007C746F" w:rsidRDefault="00B0523D" w:rsidP="00B67FD7">
      <w:pPr>
        <w:pStyle w:val="BodyText"/>
        <w:keepLines/>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Tertiary butyl alcohol</w:t>
      </w:r>
      <w:r w:rsidR="00417FD6">
        <w:rPr>
          <w:rFonts w:ascii="Arial" w:hAnsi="Arial" w:cs="Arial"/>
          <w:sz w:val="24"/>
          <w:szCs w:val="24"/>
        </w:rPr>
        <w:t xml:space="preserve"> (TBA)</w:t>
      </w:r>
      <w:r w:rsidRPr="007C746F">
        <w:rPr>
          <w:rFonts w:ascii="Arial" w:hAnsi="Arial" w:cs="Arial"/>
          <w:sz w:val="24"/>
          <w:szCs w:val="24"/>
        </w:rPr>
        <w:t>:  ENDPOINT: Cancer</w:t>
      </w:r>
      <w:r w:rsidR="0010160D">
        <w:rPr>
          <w:rFonts w:ascii="Arial" w:hAnsi="Arial" w:cs="Arial"/>
          <w:sz w:val="24"/>
          <w:szCs w:val="24"/>
        </w:rPr>
        <w:t xml:space="preserve"> - </w:t>
      </w:r>
      <w:r w:rsidRPr="007C746F">
        <w:rPr>
          <w:rFonts w:ascii="Arial" w:hAnsi="Arial" w:cs="Arial"/>
          <w:sz w:val="24"/>
          <w:szCs w:val="24"/>
        </w:rPr>
        <w:t>renal adenomas and carcinomas in male rats, thyroid adenomas in female mice. REFERENCE: OEHHA, 1999. Memorandum from G. Alexeeff, OEHHA, to D. Spath, CDHS, "Expedited Evaluation of Risk Assessment for Tertiary Butyl Alcohol in Drinking Water," June 2, 1999. HISTORY: Notifica</w:t>
      </w:r>
      <w:r w:rsidR="00722906" w:rsidRPr="007C746F">
        <w:rPr>
          <w:rFonts w:ascii="Arial" w:hAnsi="Arial" w:cs="Arial"/>
          <w:sz w:val="24"/>
          <w:szCs w:val="24"/>
        </w:rPr>
        <w:t>tion level established in 1999.</w:t>
      </w:r>
    </w:p>
    <w:p w14:paraId="75DD4CE0" w14:textId="35A27A34"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1,2,4-Trimethylbenzene</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increased serum phosphorus levels in rats. REFERENCE: OEHHA, 2001. Memorandum from R. Howd, OEHHA, to D. Spath, DHS, "Proposed Action Level for 1,2,4-Trimethylbenzene and 1,3,5-Trimethylbenzene," May 24, 2001. HISTORY: Notifica</w:t>
      </w:r>
      <w:r w:rsidR="00722906" w:rsidRPr="007C746F">
        <w:rPr>
          <w:rFonts w:ascii="Arial" w:hAnsi="Arial" w:cs="Arial"/>
          <w:sz w:val="24"/>
          <w:szCs w:val="24"/>
        </w:rPr>
        <w:t>tion level established in 2001.</w:t>
      </w:r>
    </w:p>
    <w:p w14:paraId="58944E33" w14:textId="17738351"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1,3,5-Trimethylbenzene</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increased serum phosphorus levels in rats.  REFERENCE: OEHHA, 2001. Memorandum from R. Howd, OEHHA, to D. Spath, DHS, "Proposed Action Level for 1,2,4-Trimethylbenzene and 1,3,5-Trimethylbenzene," May 24, 2001. HISTORY: Notification level established in 2001.</w:t>
      </w:r>
    </w:p>
    <w:p w14:paraId="6011753B" w14:textId="1389EFC3" w:rsidR="00C34989" w:rsidRPr="007C746F" w:rsidRDefault="00B0523D" w:rsidP="00F8705F">
      <w:pPr>
        <w:pStyle w:val="BodyText"/>
        <w:keepLines/>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lastRenderedPageBreak/>
        <w:t>2,4,6-Trinitrotoluene</w:t>
      </w:r>
      <w:r w:rsidRPr="007C746F">
        <w:rPr>
          <w:rFonts w:ascii="Arial" w:eastAsia="Times New Roman" w:hAnsi="Arial" w:cs="Arial"/>
          <w:sz w:val="24"/>
          <w:szCs w:val="24"/>
        </w:rPr>
        <w:t xml:space="preserve"> (TNT): ENDPOINT: Cancer</w:t>
      </w:r>
      <w:r w:rsidR="0010160D">
        <w:rPr>
          <w:rFonts w:ascii="Arial" w:hAnsi="Arial" w:cs="Arial"/>
          <w:sz w:val="24"/>
          <w:szCs w:val="24"/>
        </w:rPr>
        <w:t xml:space="preserve"> - </w:t>
      </w:r>
      <w:r w:rsidRPr="007C746F">
        <w:rPr>
          <w:rFonts w:ascii="Arial" w:eastAsia="Times New Roman" w:hAnsi="Arial" w:cs="Arial"/>
          <w:sz w:val="24"/>
          <w:szCs w:val="24"/>
        </w:rPr>
        <w:t xml:space="preserve">urinary bladder transitional cell </w:t>
      </w:r>
      <w:proofErr w:type="spellStart"/>
      <w:r w:rsidRPr="007C746F">
        <w:rPr>
          <w:rFonts w:ascii="Arial" w:eastAsia="Times New Roman" w:hAnsi="Arial" w:cs="Arial"/>
          <w:sz w:val="24"/>
          <w:szCs w:val="24"/>
        </w:rPr>
        <w:t>papillomas</w:t>
      </w:r>
      <w:proofErr w:type="spellEnd"/>
      <w:r w:rsidRPr="007C746F">
        <w:rPr>
          <w:rFonts w:ascii="Arial" w:eastAsia="Times New Roman" w:hAnsi="Arial" w:cs="Arial"/>
          <w:sz w:val="24"/>
          <w:szCs w:val="24"/>
        </w:rPr>
        <w:t xml:space="preserve"> and squamous cell carcinomas in female rats. REFERENCE: IRIS, 2002. The oral carcinogenicity assessment is dated June 1, 1989. HISTORY:  Notification level was first established September 30, 2005.</w:t>
      </w:r>
    </w:p>
    <w:p w14:paraId="01C9376C" w14:textId="3CBA2B97" w:rsidR="00473843"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Vanadium</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developmental and reproductive effects in rats. REFERENCE: OEHHA, 2000. Memorandum from R. Howd, OEHHA, to D. Spath, CDHS, "Proposed Action Level for Vanadium," August 24, 2000. HISTORY: CDHS established the notification level in 2000 at 0.015 mg/L, and revised it in late 2000 or early 2001 to 0.05 mg/L, changing the RSC in standard risk assessment methods from the default value of 0.2 to 0.6, to take into account the high number of vanadium detections</w:t>
      </w:r>
      <w:r w:rsidR="0010160D">
        <w:rPr>
          <w:rFonts w:ascii="Arial" w:hAnsi="Arial" w:cs="Arial"/>
          <w:sz w:val="24"/>
          <w:szCs w:val="24"/>
        </w:rPr>
        <w:t xml:space="preserve"> - </w:t>
      </w:r>
      <w:r w:rsidRPr="007C746F">
        <w:rPr>
          <w:rFonts w:ascii="Arial" w:hAnsi="Arial" w:cs="Arial"/>
          <w:sz w:val="24"/>
          <w:szCs w:val="24"/>
        </w:rPr>
        <w:t>reflecting its natural occurrence</w:t>
      </w:r>
      <w:r w:rsidR="0010160D">
        <w:rPr>
          <w:rFonts w:ascii="Arial" w:hAnsi="Arial" w:cs="Arial"/>
          <w:sz w:val="24"/>
          <w:szCs w:val="24"/>
        </w:rPr>
        <w:t xml:space="preserve"> - </w:t>
      </w:r>
      <w:r w:rsidRPr="007C746F">
        <w:rPr>
          <w:rFonts w:ascii="Arial" w:hAnsi="Arial" w:cs="Arial"/>
          <w:sz w:val="24"/>
          <w:szCs w:val="24"/>
        </w:rPr>
        <w:t>and the likelihood that drinking water would contribute more to the total vanadium intake than the default value suggested.</w:t>
      </w:r>
    </w:p>
    <w:p w14:paraId="5C29878F" w14:textId="5B36EF3C" w:rsidR="003565DE" w:rsidRPr="007C746F" w:rsidRDefault="003565DE">
      <w:pPr>
        <w:rPr>
          <w:rFonts w:ascii="Arial" w:hAnsi="Arial" w:cs="Arial"/>
          <w:b/>
          <w:sz w:val="24"/>
          <w:szCs w:val="24"/>
        </w:rPr>
      </w:pPr>
      <w:r w:rsidRPr="007C746F">
        <w:rPr>
          <w:rFonts w:ascii="Arial" w:hAnsi="Arial" w:cs="Arial"/>
          <w:b/>
          <w:sz w:val="24"/>
          <w:szCs w:val="24"/>
        </w:rPr>
        <w:br w:type="page"/>
      </w:r>
    </w:p>
    <w:p w14:paraId="70CFBBA5" w14:textId="40425975" w:rsidR="00854281" w:rsidRPr="007C746F" w:rsidRDefault="00854281" w:rsidP="001B339E">
      <w:pPr>
        <w:pStyle w:val="Heading3"/>
        <w:spacing w:before="240" w:after="120" w:line="240" w:lineRule="auto"/>
      </w:pPr>
      <w:r w:rsidRPr="007C746F">
        <w:lastRenderedPageBreak/>
        <w:t>Appendix 1.  Methods for Determination of Notification Levels</w:t>
      </w:r>
    </w:p>
    <w:p w14:paraId="6C5EA88B" w14:textId="77777777"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 xml:space="preserve">DDW’s </w:t>
      </w:r>
      <w:r w:rsidRPr="007C746F">
        <w:rPr>
          <w:rStyle w:val="Strong"/>
          <w:rFonts w:ascii="Arial" w:hAnsi="Arial" w:cs="Arial"/>
          <w:b w:val="0"/>
          <w:bCs w:val="0"/>
          <w:sz w:val="24"/>
          <w:szCs w:val="24"/>
        </w:rPr>
        <w:t>notification levels indicate</w:t>
      </w:r>
      <w:r w:rsidRPr="007C746F">
        <w:rPr>
          <w:rFonts w:ascii="Arial" w:hAnsi="Arial" w:cs="Arial"/>
          <w:sz w:val="24"/>
          <w:szCs w:val="24"/>
        </w:rPr>
        <w:t xml:space="preserve"> concentrations of unregulated contaminants in drinking water that are considered to pose no adverse health risk.</w:t>
      </w:r>
    </w:p>
    <w:p w14:paraId="0674C33A" w14:textId="1B6CC22D"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 xml:space="preserve">When risk assessments have been done by other agencies for other purposes, we generally rely upon those assessments to establish notification levels.  For example, theoretical </w:t>
      </w:r>
      <w:r w:rsidRPr="007C746F">
        <w:rPr>
          <w:rStyle w:val="Emphasis"/>
          <w:rFonts w:ascii="Arial" w:hAnsi="Arial" w:cs="Arial"/>
          <w:sz w:val="24"/>
          <w:szCs w:val="24"/>
        </w:rPr>
        <w:t>de minimis</w:t>
      </w:r>
      <w:r w:rsidRPr="007C746F">
        <w:rPr>
          <w:rFonts w:ascii="Arial" w:hAnsi="Arial" w:cs="Arial"/>
          <w:sz w:val="24"/>
          <w:szCs w:val="24"/>
        </w:rPr>
        <w:t xml:space="preserve"> cancer risk levels for certain contaminants can be determined from regulatory levels established by the Office of Environmental Health Hazard Assessment (OEHHA), or from the US EPA's Integrated Risk Information System (IRIS).  Notification levels for non-carcinogens can be derived from no observed adverse effect level (NOAELs) and uncertainty factors (UFs) in IRIS.  In some cases, U</w:t>
      </w:r>
      <w:r w:rsidR="00232E84">
        <w:rPr>
          <w:rFonts w:ascii="Arial" w:hAnsi="Arial" w:cs="Arial"/>
          <w:sz w:val="24"/>
          <w:szCs w:val="24"/>
        </w:rPr>
        <w:t>.</w:t>
      </w:r>
      <w:r w:rsidRPr="007C746F">
        <w:rPr>
          <w:rFonts w:ascii="Arial" w:hAnsi="Arial" w:cs="Arial"/>
          <w:sz w:val="24"/>
          <w:szCs w:val="24"/>
        </w:rPr>
        <w:t>S</w:t>
      </w:r>
      <w:r w:rsidR="00232E84">
        <w:rPr>
          <w:rFonts w:ascii="Arial" w:hAnsi="Arial" w:cs="Arial"/>
          <w:sz w:val="24"/>
          <w:szCs w:val="24"/>
        </w:rPr>
        <w:t>.</w:t>
      </w:r>
      <w:r w:rsidRPr="007C746F">
        <w:rPr>
          <w:rFonts w:ascii="Arial" w:hAnsi="Arial" w:cs="Arial"/>
          <w:sz w:val="24"/>
          <w:szCs w:val="24"/>
        </w:rPr>
        <w:t xml:space="preserve"> EPA Region 9's Preliminary Remediation Goals (PRGs) can be used to identify NOAELs and UFs in assessments done by other organizations within US EPA, such the National Center for Environmental Assessment.</w:t>
      </w:r>
    </w:p>
    <w:p w14:paraId="48723CBF" w14:textId="1710C92D" w:rsidR="00854281" w:rsidRPr="007C746F" w:rsidRDefault="00854281" w:rsidP="004C7F53">
      <w:pPr>
        <w:spacing w:after="240" w:line="240" w:lineRule="auto"/>
        <w:rPr>
          <w:rFonts w:ascii="Arial" w:hAnsi="Arial" w:cs="Arial"/>
          <w:b/>
          <w:bCs/>
          <w:sz w:val="24"/>
          <w:szCs w:val="24"/>
        </w:rPr>
      </w:pPr>
      <w:r w:rsidRPr="007C746F">
        <w:rPr>
          <w:rFonts w:ascii="Arial" w:hAnsi="Arial" w:cs="Arial"/>
          <w:sz w:val="24"/>
          <w:szCs w:val="24"/>
        </w:rPr>
        <w:t xml:space="preserve">On occasion, </w:t>
      </w:r>
      <w:r w:rsidR="004A0BAC">
        <w:rPr>
          <w:rFonts w:ascii="Arial" w:hAnsi="Arial" w:cs="Arial"/>
          <w:sz w:val="24"/>
          <w:szCs w:val="24"/>
        </w:rPr>
        <w:t>DDW</w:t>
      </w:r>
      <w:r w:rsidRPr="007C746F">
        <w:rPr>
          <w:rFonts w:ascii="Arial" w:hAnsi="Arial" w:cs="Arial"/>
          <w:sz w:val="24"/>
          <w:szCs w:val="24"/>
        </w:rPr>
        <w:t xml:space="preserve"> may ask OEHHA for its views on specific information from IRIS or PRG tables and the derivation of a notification level from them.  When a risk assessment for a specific chemical of drinking water concern is lacking, </w:t>
      </w:r>
      <w:r w:rsidR="00D2208C">
        <w:rPr>
          <w:rFonts w:ascii="Arial" w:hAnsi="Arial" w:cs="Arial"/>
          <w:sz w:val="24"/>
          <w:szCs w:val="24"/>
        </w:rPr>
        <w:t>DDW</w:t>
      </w:r>
      <w:r w:rsidRPr="007C746F">
        <w:rPr>
          <w:rFonts w:ascii="Arial" w:hAnsi="Arial" w:cs="Arial"/>
          <w:sz w:val="24"/>
          <w:szCs w:val="24"/>
        </w:rPr>
        <w:t xml:space="preserve"> may request OEHHA to develop an assessment for use as a notification level.</w:t>
      </w:r>
    </w:p>
    <w:p w14:paraId="61913976" w14:textId="77777777"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The methods used to determine notification levels are consistent with those used for the determination of public health goals for contaminants in drinking water by OEHHA.  These methods, used by a number of state and federal regulatory agencies, are as follows:</w:t>
      </w:r>
    </w:p>
    <w:p w14:paraId="1B56480D" w14:textId="60E7146E" w:rsidR="00854281" w:rsidRPr="007C746F" w:rsidRDefault="00854281" w:rsidP="004C7F53">
      <w:pPr>
        <w:spacing w:before="240" w:after="120" w:line="240" w:lineRule="auto"/>
        <w:rPr>
          <w:rFonts w:ascii="Arial" w:hAnsi="Arial" w:cs="Arial"/>
          <w:sz w:val="24"/>
          <w:szCs w:val="24"/>
        </w:rPr>
      </w:pPr>
      <w:r w:rsidRPr="00D2208C">
        <w:rPr>
          <w:rStyle w:val="Strong"/>
          <w:rFonts w:ascii="Arial" w:hAnsi="Arial" w:cs="Arial"/>
          <w:sz w:val="24"/>
          <w:szCs w:val="24"/>
          <w:u w:val="single"/>
        </w:rPr>
        <w:t>Non-Carcinogens</w:t>
      </w:r>
    </w:p>
    <w:p w14:paraId="5816C894" w14:textId="3962D721" w:rsidR="00854281" w:rsidRPr="007C746F" w:rsidRDefault="00854281" w:rsidP="0097270E">
      <w:pPr>
        <w:spacing w:after="240" w:line="240" w:lineRule="auto"/>
        <w:rPr>
          <w:rFonts w:ascii="Arial" w:hAnsi="Arial" w:cs="Arial"/>
          <w:sz w:val="24"/>
          <w:szCs w:val="24"/>
        </w:rPr>
      </w:pPr>
      <w:r w:rsidRPr="007C746F">
        <w:rPr>
          <w:rFonts w:ascii="Arial" w:hAnsi="Arial" w:cs="Arial"/>
          <w:sz w:val="24"/>
          <w:szCs w:val="24"/>
        </w:rPr>
        <w:t xml:space="preserve">The notification level is </w:t>
      </w:r>
      <w:r w:rsidR="007F4459">
        <w:rPr>
          <w:rFonts w:ascii="Arial" w:hAnsi="Arial" w:cs="Arial"/>
          <w:sz w:val="24"/>
          <w:szCs w:val="24"/>
        </w:rPr>
        <w:t xml:space="preserve">typically set equal to </w:t>
      </w:r>
      <w:r w:rsidRPr="007C746F">
        <w:rPr>
          <w:rFonts w:ascii="Arial" w:hAnsi="Arial" w:cs="Arial"/>
          <w:sz w:val="24"/>
          <w:szCs w:val="24"/>
        </w:rPr>
        <w:t>the health protective concentration (C) for the contaminant in drinking water, and is determined by the equation:</w:t>
      </w:r>
    </w:p>
    <w:p w14:paraId="7D19B5E5" w14:textId="77777777" w:rsidR="00854281" w:rsidRPr="004C7F53" w:rsidRDefault="00854281" w:rsidP="0097270E">
      <w:pPr>
        <w:pStyle w:val="BodyText2"/>
        <w:spacing w:before="120" w:after="120"/>
        <w:jc w:val="center"/>
        <w:rPr>
          <w:rFonts w:ascii="Arial" w:hAnsi="Arial" w:cs="Arial"/>
          <w:i/>
          <w:iCs/>
          <w:sz w:val="24"/>
        </w:rPr>
      </w:pPr>
      <w:r w:rsidRPr="004C7F53">
        <w:rPr>
          <w:rFonts w:ascii="Arial" w:hAnsi="Arial" w:cs="Arial"/>
          <w:i/>
          <w:iCs/>
          <w:sz w:val="24"/>
        </w:rPr>
        <w:t>C = (NOAEL x BW x RSC)/(MF x UF x DWC)</w:t>
      </w:r>
      <w:r w:rsidRPr="004C7F53">
        <w:rPr>
          <w:rFonts w:ascii="Arial" w:hAnsi="Arial" w:cs="Arial"/>
          <w:i/>
          <w:iCs/>
          <w:sz w:val="24"/>
        </w:rPr>
        <w:tab/>
      </w:r>
      <w:r w:rsidRPr="004C7F53">
        <w:rPr>
          <w:rFonts w:ascii="Arial" w:hAnsi="Arial" w:cs="Arial"/>
          <w:i/>
          <w:iCs/>
          <w:sz w:val="24"/>
        </w:rPr>
        <w:tab/>
      </w:r>
      <w:r w:rsidRPr="004C7F53">
        <w:rPr>
          <w:rFonts w:ascii="Arial" w:hAnsi="Arial" w:cs="Arial"/>
          <w:i/>
          <w:iCs/>
          <w:sz w:val="24"/>
        </w:rPr>
        <w:tab/>
      </w:r>
      <w:r w:rsidRPr="004C7F53">
        <w:rPr>
          <w:rFonts w:ascii="Arial" w:hAnsi="Arial" w:cs="Arial"/>
          <w:i/>
          <w:iCs/>
          <w:sz w:val="24"/>
        </w:rPr>
        <w:tab/>
        <w:t>(Equation 1)</w:t>
      </w:r>
    </w:p>
    <w:p w14:paraId="40649B8A" w14:textId="77777777" w:rsidR="00854281" w:rsidRPr="007C746F" w:rsidRDefault="00854281" w:rsidP="00232E84">
      <w:pPr>
        <w:spacing w:after="120" w:line="240" w:lineRule="auto"/>
        <w:rPr>
          <w:rFonts w:ascii="Arial" w:hAnsi="Arial" w:cs="Arial"/>
          <w:sz w:val="24"/>
          <w:szCs w:val="24"/>
        </w:rPr>
      </w:pPr>
      <w:r w:rsidRPr="007C746F">
        <w:rPr>
          <w:rFonts w:ascii="Arial" w:hAnsi="Arial" w:cs="Arial"/>
          <w:sz w:val="24"/>
          <w:szCs w:val="24"/>
        </w:rPr>
        <w:t>Where:</w:t>
      </w:r>
    </w:p>
    <w:p w14:paraId="6EAFD266" w14:textId="3DD0DC33" w:rsidR="00854281" w:rsidRPr="007C746F" w:rsidRDefault="00854281" w:rsidP="00232E84">
      <w:pPr>
        <w:tabs>
          <w:tab w:val="left" w:pos="1440"/>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 xml:space="preserve">NOAEL </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No </w:t>
      </w:r>
      <w:r w:rsidR="00724E0F">
        <w:rPr>
          <w:rFonts w:ascii="Arial" w:hAnsi="Arial" w:cs="Arial"/>
          <w:sz w:val="24"/>
          <w:szCs w:val="24"/>
        </w:rPr>
        <w:t>o</w:t>
      </w:r>
      <w:r w:rsidRPr="007C746F">
        <w:rPr>
          <w:rFonts w:ascii="Arial" w:hAnsi="Arial" w:cs="Arial"/>
          <w:sz w:val="24"/>
          <w:szCs w:val="24"/>
        </w:rPr>
        <w:t xml:space="preserve">bserved </w:t>
      </w:r>
      <w:r w:rsidR="00724E0F">
        <w:rPr>
          <w:rFonts w:ascii="Arial" w:hAnsi="Arial" w:cs="Arial"/>
          <w:sz w:val="24"/>
          <w:szCs w:val="24"/>
        </w:rPr>
        <w:t>a</w:t>
      </w:r>
      <w:r w:rsidRPr="007C746F">
        <w:rPr>
          <w:rFonts w:ascii="Arial" w:hAnsi="Arial" w:cs="Arial"/>
          <w:sz w:val="24"/>
          <w:szCs w:val="24"/>
        </w:rPr>
        <w:t xml:space="preserve">dverse </w:t>
      </w:r>
      <w:r w:rsidR="00724E0F">
        <w:rPr>
          <w:rFonts w:ascii="Arial" w:hAnsi="Arial" w:cs="Arial"/>
          <w:sz w:val="24"/>
          <w:szCs w:val="24"/>
        </w:rPr>
        <w:t>e</w:t>
      </w:r>
      <w:r w:rsidRPr="007C746F">
        <w:rPr>
          <w:rFonts w:ascii="Arial" w:hAnsi="Arial" w:cs="Arial"/>
          <w:sz w:val="24"/>
          <w:szCs w:val="24"/>
        </w:rPr>
        <w:t xml:space="preserve">ffect </w:t>
      </w:r>
      <w:r w:rsidR="00724E0F">
        <w:rPr>
          <w:rFonts w:ascii="Arial" w:hAnsi="Arial" w:cs="Arial"/>
          <w:sz w:val="24"/>
          <w:szCs w:val="24"/>
        </w:rPr>
        <w:t>l</w:t>
      </w:r>
      <w:r w:rsidRPr="007C746F">
        <w:rPr>
          <w:rFonts w:ascii="Arial" w:hAnsi="Arial" w:cs="Arial"/>
          <w:sz w:val="24"/>
          <w:szCs w:val="24"/>
        </w:rPr>
        <w:t>evel, in milligrams per kilogram body weight per day (mg/kg-day)</w:t>
      </w:r>
    </w:p>
    <w:p w14:paraId="6A278804" w14:textId="77777777" w:rsidR="00854281" w:rsidRPr="007C746F" w:rsidRDefault="00854281" w:rsidP="00232E84">
      <w:pPr>
        <w:tabs>
          <w:tab w:val="left" w:pos="1440"/>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BW</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body weight, 70 kilograms (kg) as the default adult value</w:t>
      </w:r>
    </w:p>
    <w:p w14:paraId="0999F020" w14:textId="23B1E5DD" w:rsidR="00854281" w:rsidRPr="007C746F" w:rsidRDefault="00854281" w:rsidP="00232E84">
      <w:pPr>
        <w:tabs>
          <w:tab w:val="left" w:pos="1440"/>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RSC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Relative </w:t>
      </w:r>
      <w:r w:rsidR="00724E0F">
        <w:rPr>
          <w:rFonts w:ascii="Arial" w:hAnsi="Arial" w:cs="Arial"/>
          <w:sz w:val="24"/>
          <w:szCs w:val="24"/>
        </w:rPr>
        <w:t>s</w:t>
      </w:r>
      <w:r w:rsidRPr="007C746F">
        <w:rPr>
          <w:rFonts w:ascii="Arial" w:hAnsi="Arial" w:cs="Arial"/>
          <w:sz w:val="24"/>
          <w:szCs w:val="24"/>
        </w:rPr>
        <w:t xml:space="preserve">ource </w:t>
      </w:r>
      <w:r w:rsidR="00724E0F">
        <w:rPr>
          <w:rFonts w:ascii="Arial" w:hAnsi="Arial" w:cs="Arial"/>
          <w:sz w:val="24"/>
          <w:szCs w:val="24"/>
        </w:rPr>
        <w:t>c</w:t>
      </w:r>
      <w:r w:rsidRPr="007C746F">
        <w:rPr>
          <w:rFonts w:ascii="Arial" w:hAnsi="Arial" w:cs="Arial"/>
          <w:sz w:val="24"/>
          <w:szCs w:val="24"/>
        </w:rPr>
        <w:t>ontribution.  The default value = 0.2 (assumes that 20 percent of the exposure is from drinking water, 80 percent from other sources)</w:t>
      </w:r>
    </w:p>
    <w:p w14:paraId="719DB9F6" w14:textId="71419EF5" w:rsidR="00854281" w:rsidRPr="007C746F" w:rsidRDefault="00854281" w:rsidP="00232E84">
      <w:pPr>
        <w:tabs>
          <w:tab w:val="left" w:pos="1437"/>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UF</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uncertainty factor, the product of several factors, often 10 for interspecies extrapolation, 10 for differences in individual human sensitivity, 10 for use of a less-than-chronic study, and 10 for inadequacy of data, so that the UF may be from 1 to 10,000</w:t>
      </w:r>
      <w:r w:rsidR="000C6F6C">
        <w:rPr>
          <w:rFonts w:ascii="Arial" w:hAnsi="Arial" w:cs="Arial"/>
          <w:sz w:val="24"/>
          <w:szCs w:val="24"/>
        </w:rPr>
        <w:t xml:space="preserve"> </w:t>
      </w:r>
      <w:r w:rsidR="0029345A">
        <w:rPr>
          <w:rFonts w:ascii="Arial" w:hAnsi="Arial" w:cs="Arial"/>
          <w:sz w:val="24"/>
          <w:szCs w:val="24"/>
        </w:rPr>
        <w:t>(U</w:t>
      </w:r>
      <w:r w:rsidR="004C7F53">
        <w:rPr>
          <w:rFonts w:ascii="Arial" w:hAnsi="Arial" w:cs="Arial"/>
          <w:sz w:val="24"/>
          <w:szCs w:val="24"/>
        </w:rPr>
        <w:t>.</w:t>
      </w:r>
      <w:r w:rsidR="0029345A">
        <w:rPr>
          <w:rFonts w:ascii="Arial" w:hAnsi="Arial" w:cs="Arial"/>
          <w:sz w:val="24"/>
          <w:szCs w:val="24"/>
        </w:rPr>
        <w:t>S</w:t>
      </w:r>
      <w:r w:rsidR="004C7F53">
        <w:rPr>
          <w:rFonts w:ascii="Arial" w:hAnsi="Arial" w:cs="Arial"/>
          <w:sz w:val="24"/>
          <w:szCs w:val="24"/>
        </w:rPr>
        <w:t>.</w:t>
      </w:r>
      <w:r w:rsidR="00232E84">
        <w:rPr>
          <w:rFonts w:ascii="Arial" w:hAnsi="Arial" w:cs="Arial"/>
          <w:sz w:val="24"/>
          <w:szCs w:val="24"/>
        </w:rPr>
        <w:t> </w:t>
      </w:r>
      <w:r w:rsidR="0029345A">
        <w:rPr>
          <w:rFonts w:ascii="Arial" w:hAnsi="Arial" w:cs="Arial"/>
          <w:sz w:val="24"/>
          <w:szCs w:val="24"/>
        </w:rPr>
        <w:t xml:space="preserve">EPA </w:t>
      </w:r>
      <w:r w:rsidR="00796EB1">
        <w:rPr>
          <w:rFonts w:ascii="Arial" w:hAnsi="Arial" w:cs="Arial"/>
          <w:sz w:val="24"/>
          <w:szCs w:val="24"/>
        </w:rPr>
        <w:t xml:space="preserve">recommends </w:t>
      </w:r>
      <w:r w:rsidR="00AC3036">
        <w:rPr>
          <w:rFonts w:ascii="Arial" w:hAnsi="Arial" w:cs="Arial"/>
          <w:sz w:val="24"/>
          <w:szCs w:val="24"/>
        </w:rPr>
        <w:t xml:space="preserve">a </w:t>
      </w:r>
      <w:r w:rsidR="0029345A">
        <w:rPr>
          <w:rFonts w:ascii="Arial" w:hAnsi="Arial" w:cs="Arial"/>
          <w:sz w:val="24"/>
          <w:szCs w:val="24"/>
        </w:rPr>
        <w:t>maxim</w:t>
      </w:r>
      <w:r w:rsidR="00AC3036">
        <w:rPr>
          <w:rFonts w:ascii="Arial" w:hAnsi="Arial" w:cs="Arial"/>
          <w:sz w:val="24"/>
          <w:szCs w:val="24"/>
        </w:rPr>
        <w:t>um of</w:t>
      </w:r>
      <w:r w:rsidR="00796EB1">
        <w:rPr>
          <w:rFonts w:ascii="Arial" w:hAnsi="Arial" w:cs="Arial"/>
          <w:sz w:val="24"/>
          <w:szCs w:val="24"/>
        </w:rPr>
        <w:t xml:space="preserve"> 3,000)</w:t>
      </w:r>
      <w:r w:rsidRPr="007C746F">
        <w:rPr>
          <w:rFonts w:ascii="Arial" w:hAnsi="Arial" w:cs="Arial"/>
          <w:sz w:val="24"/>
          <w:szCs w:val="24"/>
        </w:rPr>
        <w:t>, depending on available information</w:t>
      </w:r>
    </w:p>
    <w:p w14:paraId="4AF4175D" w14:textId="77777777" w:rsidR="00854281" w:rsidRPr="007C746F" w:rsidRDefault="00854281" w:rsidP="00232E84">
      <w:pPr>
        <w:tabs>
          <w:tab w:val="left" w:pos="1437"/>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lastRenderedPageBreak/>
        <w:t>MF</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modifying factor, to take into account other factors that are appropriate.   Unless specifically stated, MF = 1</w:t>
      </w:r>
    </w:p>
    <w:p w14:paraId="11313483" w14:textId="421C43A1" w:rsidR="00854281" w:rsidRPr="007C746F" w:rsidRDefault="00854281" w:rsidP="00232E84">
      <w:pPr>
        <w:tabs>
          <w:tab w:val="left" w:pos="1437"/>
          <w:tab w:val="left" w:pos="2071"/>
          <w:tab w:val="left" w:pos="7869"/>
        </w:tabs>
        <w:spacing w:after="120" w:line="264" w:lineRule="auto"/>
        <w:ind w:left="1987" w:hanging="1627"/>
        <w:rPr>
          <w:rFonts w:ascii="Arial" w:eastAsia="Arial Unicode MS" w:hAnsi="Arial" w:cs="Arial"/>
          <w:sz w:val="24"/>
          <w:szCs w:val="24"/>
        </w:rPr>
      </w:pPr>
      <w:r w:rsidRPr="007C746F">
        <w:rPr>
          <w:rFonts w:ascii="Arial" w:hAnsi="Arial" w:cs="Arial"/>
          <w:sz w:val="24"/>
          <w:szCs w:val="24"/>
        </w:rPr>
        <w:t>DWC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Drinking Water Consumption rate (</w:t>
      </w:r>
      <w:r w:rsidR="008841EF">
        <w:rPr>
          <w:rFonts w:ascii="Arial" w:hAnsi="Arial" w:cs="Arial"/>
          <w:sz w:val="24"/>
          <w:szCs w:val="24"/>
        </w:rPr>
        <w:t xml:space="preserve">default </w:t>
      </w:r>
      <w:r w:rsidRPr="007C746F">
        <w:rPr>
          <w:rFonts w:ascii="Arial" w:hAnsi="Arial" w:cs="Arial"/>
          <w:sz w:val="24"/>
          <w:szCs w:val="24"/>
        </w:rPr>
        <w:t>2 liters per day, L/day)</w:t>
      </w:r>
    </w:p>
    <w:p w14:paraId="63241F51" w14:textId="00BF5178" w:rsidR="00854281" w:rsidRPr="0097270E" w:rsidRDefault="00854281" w:rsidP="0097270E">
      <w:pPr>
        <w:spacing w:before="240" w:after="120" w:line="240" w:lineRule="auto"/>
        <w:rPr>
          <w:rFonts w:ascii="Arial" w:hAnsi="Arial" w:cs="Arial"/>
          <w:sz w:val="24"/>
          <w:szCs w:val="24"/>
          <w:u w:val="single"/>
        </w:rPr>
      </w:pPr>
      <w:r w:rsidRPr="0097270E">
        <w:rPr>
          <w:rStyle w:val="Strong"/>
          <w:rFonts w:ascii="Arial" w:hAnsi="Arial" w:cs="Arial"/>
          <w:sz w:val="24"/>
          <w:szCs w:val="24"/>
          <w:u w:val="single"/>
        </w:rPr>
        <w:t>Carcinogens</w:t>
      </w:r>
    </w:p>
    <w:p w14:paraId="7BD25DB5" w14:textId="77777777" w:rsidR="00854281" w:rsidRPr="007C746F" w:rsidRDefault="00854281" w:rsidP="0097270E">
      <w:pPr>
        <w:tabs>
          <w:tab w:val="left" w:pos="7869"/>
        </w:tabs>
        <w:spacing w:after="240" w:line="240" w:lineRule="auto"/>
        <w:rPr>
          <w:rFonts w:ascii="Arial" w:eastAsia="Arial Unicode MS" w:hAnsi="Arial" w:cs="Arial"/>
          <w:sz w:val="24"/>
          <w:szCs w:val="24"/>
        </w:rPr>
      </w:pPr>
      <w:r w:rsidRPr="007C746F">
        <w:rPr>
          <w:rFonts w:ascii="Arial" w:hAnsi="Arial" w:cs="Arial"/>
          <w:sz w:val="24"/>
          <w:szCs w:val="24"/>
        </w:rPr>
        <w:t>The notification level is the concentration (C) of the contaminant that poses a theoretical negligible (</w:t>
      </w:r>
      <w:r w:rsidRPr="007C746F">
        <w:rPr>
          <w:rStyle w:val="Emphasis"/>
          <w:rFonts w:ascii="Arial" w:hAnsi="Arial" w:cs="Arial"/>
          <w:sz w:val="24"/>
          <w:szCs w:val="24"/>
        </w:rPr>
        <w:t>de minimis</w:t>
      </w:r>
      <w:r w:rsidRPr="007C746F">
        <w:rPr>
          <w:rFonts w:ascii="Arial" w:hAnsi="Arial" w:cs="Arial"/>
          <w:sz w:val="24"/>
          <w:szCs w:val="24"/>
        </w:rPr>
        <w:t xml:space="preserve">) cancer risk over a 70-year lifetime, and is determined by the equation: </w:t>
      </w:r>
    </w:p>
    <w:p w14:paraId="5061EF8D" w14:textId="77777777" w:rsidR="00854281" w:rsidRPr="0097270E" w:rsidRDefault="00854281" w:rsidP="0097270E">
      <w:pPr>
        <w:tabs>
          <w:tab w:val="left" w:pos="1437"/>
          <w:tab w:val="left" w:pos="2071"/>
          <w:tab w:val="left" w:pos="7200"/>
          <w:tab w:val="left" w:pos="7869"/>
        </w:tabs>
        <w:jc w:val="center"/>
        <w:rPr>
          <w:rFonts w:ascii="Arial" w:hAnsi="Arial" w:cs="Arial"/>
          <w:i/>
          <w:iCs/>
          <w:sz w:val="24"/>
          <w:szCs w:val="24"/>
        </w:rPr>
      </w:pPr>
      <w:r w:rsidRPr="0097270E">
        <w:rPr>
          <w:rFonts w:ascii="Arial" w:hAnsi="Arial" w:cs="Arial"/>
          <w:i/>
          <w:iCs/>
          <w:sz w:val="24"/>
          <w:szCs w:val="24"/>
        </w:rPr>
        <w:t>C = (BW x 10</w:t>
      </w:r>
      <w:r w:rsidRPr="0097270E">
        <w:rPr>
          <w:rFonts w:ascii="Arial" w:hAnsi="Arial" w:cs="Arial"/>
          <w:i/>
          <w:iCs/>
          <w:sz w:val="24"/>
          <w:szCs w:val="24"/>
          <w:vertAlign w:val="superscript"/>
        </w:rPr>
        <w:t>-6</w:t>
      </w:r>
      <w:r w:rsidRPr="0097270E">
        <w:rPr>
          <w:rFonts w:ascii="Arial" w:hAnsi="Arial" w:cs="Arial"/>
          <w:i/>
          <w:iCs/>
          <w:sz w:val="24"/>
          <w:szCs w:val="24"/>
        </w:rPr>
        <w:t>)/(q</w:t>
      </w:r>
      <w:r w:rsidRPr="0097270E">
        <w:rPr>
          <w:rFonts w:ascii="Arial" w:hAnsi="Arial" w:cs="Arial"/>
          <w:i/>
          <w:iCs/>
          <w:sz w:val="24"/>
          <w:szCs w:val="24"/>
          <w:vertAlign w:val="subscript"/>
        </w:rPr>
        <w:t>1</w:t>
      </w:r>
      <w:r w:rsidRPr="0097270E">
        <w:rPr>
          <w:rFonts w:ascii="Arial" w:hAnsi="Arial" w:cs="Arial"/>
          <w:i/>
          <w:iCs/>
          <w:sz w:val="24"/>
          <w:szCs w:val="24"/>
        </w:rPr>
        <w:t>* x DWC)</w:t>
      </w:r>
      <w:r w:rsidRPr="0097270E">
        <w:rPr>
          <w:rFonts w:ascii="Arial" w:eastAsia="Arial Unicode MS" w:hAnsi="Arial" w:cs="Arial"/>
          <w:i/>
          <w:iCs/>
          <w:sz w:val="24"/>
          <w:szCs w:val="24"/>
        </w:rPr>
        <w:tab/>
      </w:r>
      <w:r w:rsidRPr="0097270E">
        <w:rPr>
          <w:rFonts w:ascii="Arial" w:hAnsi="Arial" w:cs="Arial"/>
          <w:i/>
          <w:iCs/>
          <w:sz w:val="24"/>
          <w:szCs w:val="24"/>
        </w:rPr>
        <w:t>(Equation 2)</w:t>
      </w:r>
    </w:p>
    <w:p w14:paraId="582FC55E" w14:textId="77777777" w:rsidR="00854281" w:rsidRPr="007C746F" w:rsidRDefault="00854281" w:rsidP="0097270E">
      <w:pPr>
        <w:tabs>
          <w:tab w:val="left" w:pos="1437"/>
          <w:tab w:val="left" w:pos="2071"/>
          <w:tab w:val="left" w:pos="7869"/>
        </w:tabs>
        <w:spacing w:after="120" w:line="264" w:lineRule="auto"/>
        <w:ind w:left="1987" w:hanging="1980"/>
        <w:rPr>
          <w:rFonts w:ascii="Arial" w:eastAsia="Arial Unicode MS" w:hAnsi="Arial" w:cs="Arial"/>
          <w:sz w:val="24"/>
          <w:szCs w:val="24"/>
        </w:rPr>
      </w:pPr>
      <w:r w:rsidRPr="007C746F">
        <w:rPr>
          <w:rFonts w:ascii="Arial" w:hAnsi="Arial" w:cs="Arial"/>
          <w:sz w:val="24"/>
          <w:szCs w:val="24"/>
        </w:rPr>
        <w:t>Where:</w:t>
      </w:r>
      <w:r w:rsidRPr="007C746F">
        <w:rPr>
          <w:rFonts w:ascii="Arial" w:eastAsia="Arial Unicode MS" w:hAnsi="Arial" w:cs="Arial"/>
          <w:sz w:val="24"/>
          <w:szCs w:val="24"/>
        </w:rPr>
        <w:tab/>
      </w:r>
      <w:r w:rsidRPr="007C746F">
        <w:rPr>
          <w:rFonts w:ascii="Arial" w:eastAsia="Arial Unicode MS" w:hAnsi="Arial" w:cs="Arial"/>
          <w:sz w:val="24"/>
          <w:szCs w:val="24"/>
        </w:rPr>
        <w:tab/>
      </w:r>
    </w:p>
    <w:p w14:paraId="3BB39C7D" w14:textId="70EEB139" w:rsidR="00854281" w:rsidRPr="007C746F"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C </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concentration (mg/L) posing </w:t>
      </w:r>
      <w:r w:rsidR="00130BA7" w:rsidRPr="003A1108">
        <w:rPr>
          <w:rFonts w:ascii="Arial" w:hAnsi="Arial" w:cs="Arial"/>
          <w:i/>
          <w:iCs/>
          <w:sz w:val="24"/>
          <w:szCs w:val="24"/>
        </w:rPr>
        <w:t>de minimis</w:t>
      </w:r>
      <w:r w:rsidR="00130BA7" w:rsidRPr="007C746F">
        <w:rPr>
          <w:rFonts w:ascii="Arial" w:hAnsi="Arial" w:cs="Arial"/>
          <w:sz w:val="24"/>
          <w:szCs w:val="24"/>
        </w:rPr>
        <w:t xml:space="preserve"> </w:t>
      </w:r>
      <w:r w:rsidRPr="007C746F">
        <w:rPr>
          <w:rFonts w:ascii="Arial" w:hAnsi="Arial" w:cs="Arial"/>
          <w:sz w:val="24"/>
          <w:szCs w:val="24"/>
        </w:rPr>
        <w:t>cancer risk (10</w:t>
      </w:r>
      <w:r w:rsidRPr="007C746F">
        <w:rPr>
          <w:rFonts w:ascii="Arial" w:hAnsi="Arial" w:cs="Arial"/>
          <w:sz w:val="24"/>
          <w:szCs w:val="24"/>
          <w:vertAlign w:val="superscript"/>
        </w:rPr>
        <w:t>-6</w:t>
      </w:r>
      <w:r w:rsidRPr="007C746F">
        <w:rPr>
          <w:rFonts w:ascii="Arial" w:hAnsi="Arial" w:cs="Arial"/>
          <w:sz w:val="24"/>
          <w:szCs w:val="24"/>
        </w:rPr>
        <w:t xml:space="preserve"> risk)</w:t>
      </w:r>
    </w:p>
    <w:p w14:paraId="74872C1E" w14:textId="77777777" w:rsidR="00854281" w:rsidRPr="007C746F"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BW</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70 kg</w:t>
      </w:r>
    </w:p>
    <w:p w14:paraId="00B46A65" w14:textId="61A32924" w:rsidR="00854281" w:rsidRPr="00774936"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q</w:t>
      </w:r>
      <w:r w:rsidRPr="007C746F">
        <w:rPr>
          <w:rFonts w:ascii="Arial" w:hAnsi="Arial" w:cs="Arial"/>
          <w:sz w:val="24"/>
          <w:szCs w:val="24"/>
          <w:vertAlign w:val="subscript"/>
        </w:rPr>
        <w:t>1</w:t>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upper 95% confidence limit on the cancer potency slope, the "Slope Factor," in (mg/kg-day)</w:t>
      </w:r>
      <w:r w:rsidRPr="007C746F">
        <w:rPr>
          <w:rFonts w:ascii="Arial" w:hAnsi="Arial" w:cs="Arial"/>
          <w:sz w:val="24"/>
          <w:szCs w:val="24"/>
          <w:vertAlign w:val="superscript"/>
        </w:rPr>
        <w:t>-1</w:t>
      </w:r>
      <w:r w:rsidR="0050723D">
        <w:rPr>
          <w:rFonts w:ascii="Arial" w:hAnsi="Arial" w:cs="Arial"/>
          <w:sz w:val="24"/>
          <w:szCs w:val="24"/>
        </w:rPr>
        <w:t xml:space="preserve">; the </w:t>
      </w:r>
      <w:r w:rsidR="003A1108">
        <w:rPr>
          <w:rFonts w:ascii="Arial" w:hAnsi="Arial" w:cs="Arial"/>
          <w:sz w:val="24"/>
          <w:szCs w:val="24"/>
        </w:rPr>
        <w:t>c</w:t>
      </w:r>
      <w:r w:rsidR="0050723D">
        <w:rPr>
          <w:rFonts w:ascii="Arial" w:hAnsi="Arial" w:cs="Arial"/>
          <w:sz w:val="24"/>
          <w:szCs w:val="24"/>
        </w:rPr>
        <w:t xml:space="preserve">ancer slope </w:t>
      </w:r>
      <w:r w:rsidR="003A1108">
        <w:rPr>
          <w:rFonts w:ascii="Arial" w:hAnsi="Arial" w:cs="Arial"/>
          <w:sz w:val="24"/>
          <w:szCs w:val="24"/>
        </w:rPr>
        <w:t>f</w:t>
      </w:r>
      <w:r w:rsidR="0050723D">
        <w:rPr>
          <w:rFonts w:ascii="Arial" w:hAnsi="Arial" w:cs="Arial"/>
          <w:sz w:val="24"/>
          <w:szCs w:val="24"/>
        </w:rPr>
        <w:t xml:space="preserve">actor CSF may be applied in lieu of </w:t>
      </w:r>
      <w:r w:rsidR="001E20C4">
        <w:rPr>
          <w:rFonts w:ascii="Arial" w:hAnsi="Arial" w:cs="Arial"/>
          <w:sz w:val="24"/>
          <w:szCs w:val="24"/>
        </w:rPr>
        <w:t>q</w:t>
      </w:r>
      <w:r w:rsidR="001E20C4" w:rsidRPr="003A1108">
        <w:rPr>
          <w:rFonts w:ascii="Arial" w:hAnsi="Arial" w:cs="Arial"/>
          <w:sz w:val="24"/>
          <w:szCs w:val="24"/>
          <w:vertAlign w:val="subscript"/>
        </w:rPr>
        <w:t>1</w:t>
      </w:r>
      <w:r w:rsidR="001E20C4">
        <w:rPr>
          <w:rFonts w:ascii="Arial" w:hAnsi="Arial" w:cs="Arial"/>
          <w:sz w:val="24"/>
          <w:szCs w:val="24"/>
        </w:rPr>
        <w:t>*.</w:t>
      </w:r>
    </w:p>
    <w:p w14:paraId="4A6834AF" w14:textId="7386BE3E" w:rsidR="003565DE" w:rsidRPr="003A6E79" w:rsidRDefault="00854281" w:rsidP="0097270E">
      <w:pPr>
        <w:tabs>
          <w:tab w:val="left" w:pos="1437"/>
          <w:tab w:val="left" w:pos="2071"/>
          <w:tab w:val="left" w:pos="7869"/>
        </w:tabs>
        <w:spacing w:after="120" w:line="264" w:lineRule="auto"/>
        <w:ind w:left="1987" w:hanging="1620"/>
        <w:rPr>
          <w:rFonts w:ascii="Arial" w:hAnsi="Arial" w:cs="Arial"/>
          <w:sz w:val="24"/>
          <w:szCs w:val="24"/>
        </w:rPr>
      </w:pPr>
      <w:r w:rsidRPr="007C746F">
        <w:rPr>
          <w:rFonts w:ascii="Arial" w:hAnsi="Arial" w:cs="Arial"/>
          <w:sz w:val="24"/>
          <w:szCs w:val="24"/>
        </w:rPr>
        <w:t>DWC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2 L/day</w:t>
      </w:r>
    </w:p>
    <w:p w14:paraId="2D774622" w14:textId="04212979" w:rsidR="00585518" w:rsidRPr="003A6E79" w:rsidRDefault="00585518" w:rsidP="001E5B67">
      <w:pPr>
        <w:pStyle w:val="Heading3"/>
        <w:pageBreakBefore/>
        <w:spacing w:after="240" w:line="240" w:lineRule="auto"/>
        <w:rPr>
          <w:rFonts w:eastAsia="Times New Roman"/>
        </w:rPr>
      </w:pPr>
      <w:r w:rsidRPr="001A1285">
        <w:lastRenderedPageBreak/>
        <w:t>Appendix 2.  Health and Safety Code §116455, (Chapter 679, Statutes of 2004, AB 2528, Lowenthal)</w:t>
      </w:r>
    </w:p>
    <w:p w14:paraId="53CA540D" w14:textId="77777777" w:rsidR="00585518" w:rsidRPr="007C746F" w:rsidRDefault="00585518" w:rsidP="00585518">
      <w:pPr>
        <w:rPr>
          <w:rFonts w:ascii="Arial" w:hAnsi="Arial" w:cs="Arial"/>
          <w:sz w:val="24"/>
          <w:szCs w:val="24"/>
        </w:rPr>
      </w:pPr>
      <w:r w:rsidRPr="007C746F">
        <w:rPr>
          <w:rFonts w:ascii="Arial" w:hAnsi="Arial" w:cs="Arial"/>
          <w:sz w:val="24"/>
          <w:szCs w:val="24"/>
        </w:rPr>
        <w:t>(a) A public water system shall comply with the requirements of this section within 30 days after it is first informed of a confirmed detection of a contaminant found in drinking water delivered by the public water system for human consumption that is in excess of a maximum contaminant level, a notification level, or a response level established by the department.</w:t>
      </w:r>
    </w:p>
    <w:p w14:paraId="14075E6D" w14:textId="40086B81" w:rsidR="00585518" w:rsidRPr="007C746F" w:rsidRDefault="00585518" w:rsidP="00585518">
      <w:pPr>
        <w:ind w:left="720"/>
        <w:rPr>
          <w:rFonts w:ascii="Arial" w:hAnsi="Arial" w:cs="Arial"/>
          <w:sz w:val="24"/>
          <w:szCs w:val="24"/>
        </w:rPr>
      </w:pPr>
      <w:r w:rsidRPr="007C746F">
        <w:rPr>
          <w:rFonts w:ascii="Arial" w:hAnsi="Arial" w:cs="Arial"/>
          <w:sz w:val="24"/>
          <w:szCs w:val="24"/>
        </w:rPr>
        <w:t>(1) If the public water system is a wholesale water system, then the person operating the wholesale water system shall notify the wholesale water system's governing body and the water systems that are directly supplied with that drinking water. If the wholesale water system is a water company regulated by the California Public Utilities Commission, then the wholesale water system shall also notify the commission. The commission in the exercise of its general and specific powers to ensure the health, safety, and availability of drinking water served by the utilities subject to its jurisdiction, may order further action that is not inconsistent with the standards and regulations of the department to ensure a potable water supply.</w:t>
      </w:r>
    </w:p>
    <w:p w14:paraId="79BE3E0E" w14:textId="2BDAF3E2" w:rsidR="00585518" w:rsidRPr="007C746F" w:rsidRDefault="00585518" w:rsidP="00585518">
      <w:pPr>
        <w:ind w:left="720"/>
        <w:rPr>
          <w:rFonts w:ascii="Arial" w:hAnsi="Arial" w:cs="Arial"/>
          <w:sz w:val="24"/>
          <w:szCs w:val="24"/>
        </w:rPr>
      </w:pPr>
      <w:r w:rsidRPr="007C746F">
        <w:rPr>
          <w:rFonts w:ascii="Arial" w:hAnsi="Arial" w:cs="Arial"/>
          <w:sz w:val="24"/>
          <w:szCs w:val="24"/>
        </w:rPr>
        <w:t>(2) If the public water system is a retail water system, then the person operating the retail water system shall notify the retail water system's governing body and the governing body of any local agency whose jurisdiction includes areas supplied with drinking water by the retail water system.  If the retail water system is a water company regulated by the California Public Utilities Commission, then the retail water system shall also notify the commission. The commission, in the exercise of its general and specific powers to ensure the health, safety, and availability of drinking water served by the utilities subject to its jurisdiction, may order further action that is not inconsistent with the standards and regulations of the department to ensure a potable water supply.</w:t>
      </w:r>
    </w:p>
    <w:p w14:paraId="125FA3B6" w14:textId="4B35FA23" w:rsidR="00585518" w:rsidRPr="007C746F" w:rsidRDefault="00585518" w:rsidP="00585518">
      <w:pPr>
        <w:rPr>
          <w:rFonts w:ascii="Arial" w:hAnsi="Arial" w:cs="Arial"/>
          <w:sz w:val="24"/>
          <w:szCs w:val="24"/>
        </w:rPr>
      </w:pPr>
      <w:r w:rsidRPr="007C746F">
        <w:rPr>
          <w:rFonts w:ascii="Arial" w:hAnsi="Arial" w:cs="Arial"/>
          <w:sz w:val="24"/>
          <w:szCs w:val="24"/>
        </w:rPr>
        <w:t xml:space="preserve">(b) The notification required by subdivision (a) shall identify the drinking water source, the origin of the contaminant, if known, the maximum contaminant level, response level, or notification level, as appropriate, the concentration of the detected contaminant, and the operational status of the drinking water source, and shall provide a brief and plainly worded statement of health concerns. </w:t>
      </w:r>
    </w:p>
    <w:p w14:paraId="7A184412" w14:textId="77777777" w:rsidR="00585518" w:rsidRPr="007C746F" w:rsidRDefault="00585518" w:rsidP="00A14E22">
      <w:pPr>
        <w:keepNext/>
        <w:rPr>
          <w:rFonts w:ascii="Arial" w:hAnsi="Arial" w:cs="Arial"/>
          <w:sz w:val="24"/>
          <w:szCs w:val="24"/>
        </w:rPr>
      </w:pPr>
      <w:r w:rsidRPr="007C746F">
        <w:rPr>
          <w:rFonts w:ascii="Arial" w:hAnsi="Arial" w:cs="Arial"/>
          <w:sz w:val="24"/>
          <w:szCs w:val="24"/>
        </w:rPr>
        <w:t xml:space="preserve">(c) For purposes of this section, the following terms have the following meanings:   </w:t>
      </w:r>
    </w:p>
    <w:p w14:paraId="0FF86745" w14:textId="0D9F969B"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(1) "Drinking water source" means an individual groundwater well, an individual surface water intake, or in the case of water purchased from another water system, the water at the service connection. </w:t>
      </w:r>
    </w:p>
    <w:p w14:paraId="479E77F1"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lastRenderedPageBreak/>
        <w:t>(2) "Local agency" means a city or county, or a city and county.</w:t>
      </w:r>
    </w:p>
    <w:p w14:paraId="256C2308" w14:textId="3B28C76A"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(3) "Notification level" means the concentration level of a contaminant in drinking water delivered for human consumption that the department has determined, based on available scientific information, does not pose a significant health risk but warrants notification pursuant to this section. Notification levels are nonregulatory, health-based advisory levels established by the department for contaminants in drinking water for which maximum contaminant levels have not been established. Notification levels are established as precautionary measures for contaminants that may be considered candidates for establishment of maximum contaminant levels, but have not yet undergone or completed the regulatory standard setting process prescribed for the development of maximum contaminant levels and are not drinking water standards. </w:t>
      </w:r>
    </w:p>
    <w:p w14:paraId="4088B283" w14:textId="26770BB2"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 (4) "Response level" means the concentration of a contaminant in drinking water delivered for human consumption at which the department recommends that additional steps, beyond notification pursuant to this section, be taken to reduce public exposure to the contaminant. Response levels are established in conjunction with notification levels for contaminants that may be considered candidates for establishment of maximum contaminant levels, but have not yet undergone or completed the regulatory standard setting process prescribed for the development of maximum contaminant levels and are not drinking water standards.</w:t>
      </w:r>
    </w:p>
    <w:p w14:paraId="573525CD"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t>(5) "Retail water system" means a public water system that supplies water directly to the end user.</w:t>
      </w:r>
    </w:p>
    <w:p w14:paraId="2CF81DFD"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t>(6) "Wholesale water system" means a public water system that supplies water to other public water systems for resale.</w:t>
      </w:r>
    </w:p>
    <w:p w14:paraId="45A337B2" w14:textId="77777777" w:rsidR="00585518" w:rsidRPr="007C746F" w:rsidRDefault="00585518" w:rsidP="00854281">
      <w:pPr>
        <w:tabs>
          <w:tab w:val="left" w:pos="1437"/>
          <w:tab w:val="left" w:pos="2071"/>
          <w:tab w:val="left" w:pos="7869"/>
        </w:tabs>
        <w:rPr>
          <w:rFonts w:ascii="Arial" w:hAnsi="Arial" w:cs="Arial"/>
          <w:sz w:val="24"/>
          <w:szCs w:val="24"/>
        </w:rPr>
      </w:pPr>
    </w:p>
    <w:sectPr w:rsidR="00585518" w:rsidRPr="007C746F" w:rsidSect="00E302FE">
      <w:headerReference w:type="default" r:id="rId46"/>
      <w:footerReference w:type="default" r:id="rId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94EF" w14:textId="77777777" w:rsidR="00CF615A" w:rsidRDefault="00CF615A" w:rsidP="00005359">
      <w:pPr>
        <w:spacing w:after="0" w:line="240" w:lineRule="auto"/>
      </w:pPr>
      <w:r>
        <w:separator/>
      </w:r>
    </w:p>
    <w:p w14:paraId="65FA48AC" w14:textId="77777777" w:rsidR="00CF615A" w:rsidRDefault="00CF615A"/>
  </w:endnote>
  <w:endnote w:type="continuationSeparator" w:id="0">
    <w:p w14:paraId="488B3BC9" w14:textId="77777777" w:rsidR="00CF615A" w:rsidRDefault="00CF615A" w:rsidP="00005359">
      <w:pPr>
        <w:spacing w:after="0" w:line="240" w:lineRule="auto"/>
      </w:pPr>
      <w:r>
        <w:continuationSeparator/>
      </w:r>
    </w:p>
    <w:p w14:paraId="20815E1F" w14:textId="77777777" w:rsidR="00CF615A" w:rsidRDefault="00CF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FB7" w14:textId="6EA49EF5" w:rsidR="00C61E5F" w:rsidRPr="00B67FD7" w:rsidRDefault="00C61E5F" w:rsidP="009D3F2C">
    <w:pPr>
      <w:pStyle w:val="Footer"/>
      <w:tabs>
        <w:tab w:val="clear" w:pos="4680"/>
        <w:tab w:val="clear" w:pos="9360"/>
      </w:tabs>
      <w:spacing w:after="120"/>
      <w:jc w:val="both"/>
      <w:rPr>
        <w:rFonts w:ascii="Arial" w:hAnsi="Arial" w:cs="Arial"/>
        <w:i/>
        <w:sz w:val="24"/>
        <w:szCs w:val="24"/>
      </w:rPr>
    </w:pPr>
    <w:r w:rsidRPr="00B67FD7">
      <w:rPr>
        <w:rFonts w:ascii="Arial" w:hAnsi="Arial" w:cs="Arial"/>
        <w:i/>
        <w:sz w:val="24"/>
        <w:szCs w:val="24"/>
      </w:rPr>
      <w:t xml:space="preserve">Last Update: </w:t>
    </w:r>
    <w:r w:rsidR="00A000BB">
      <w:rPr>
        <w:rFonts w:ascii="Arial" w:hAnsi="Arial" w:cs="Arial"/>
        <w:i/>
        <w:sz w:val="24"/>
        <w:szCs w:val="24"/>
      </w:rPr>
      <w:t>June</w:t>
    </w:r>
    <w:r w:rsidR="00933EF5" w:rsidRPr="00B67FD7">
      <w:rPr>
        <w:rFonts w:ascii="Arial" w:hAnsi="Arial" w:cs="Arial"/>
        <w:i/>
        <w:sz w:val="24"/>
        <w:szCs w:val="24"/>
      </w:rPr>
      <w:t xml:space="preserve"> </w:t>
    </w:r>
    <w:r w:rsidR="007B5F74" w:rsidRPr="00B67FD7">
      <w:rPr>
        <w:rFonts w:ascii="Arial" w:hAnsi="Arial" w:cs="Arial"/>
        <w:i/>
        <w:sz w:val="24"/>
        <w:szCs w:val="24"/>
      </w:rPr>
      <w:t>202</w:t>
    </w:r>
    <w:r w:rsidR="00F61F83" w:rsidRPr="00B67FD7">
      <w:rPr>
        <w:rFonts w:ascii="Arial" w:hAnsi="Arial" w:cs="Arial"/>
        <w:i/>
        <w:sz w:val="24"/>
        <w:szCs w:val="24"/>
      </w:rPr>
      <w:t>6</w:t>
    </w:r>
    <w:r w:rsidR="001829D7" w:rsidRPr="00B67FD7">
      <w:rPr>
        <w:rFonts w:ascii="Arial" w:hAnsi="Arial" w:cs="Arial"/>
        <w:i/>
        <w:sz w:val="24"/>
        <w:szCs w:val="24"/>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sdt>
      <w:sdtPr>
        <w:rPr>
          <w:rFonts w:ascii="Arial" w:hAnsi="Arial" w:cs="Arial"/>
          <w:sz w:val="24"/>
          <w:szCs w:val="24"/>
        </w:rPr>
        <w:id w:val="860082579"/>
        <w:docPartObj>
          <w:docPartGallery w:val="Page Numbers (Top of Page)"/>
          <w:docPartUnique/>
        </w:docPartObj>
      </w:sdtPr>
      <w:sdtContent>
        <w:r w:rsidR="001829D7" w:rsidRPr="00B67FD7">
          <w:rPr>
            <w:rFonts w:ascii="Arial" w:hAnsi="Arial" w:cs="Arial"/>
            <w:sz w:val="24"/>
            <w:szCs w:val="24"/>
          </w:rPr>
          <w:t xml:space="preserve">Page </w:t>
        </w:r>
        <w:r w:rsidR="001829D7" w:rsidRPr="00B67FD7">
          <w:rPr>
            <w:rFonts w:ascii="Arial" w:hAnsi="Arial" w:cs="Arial"/>
            <w:sz w:val="24"/>
            <w:szCs w:val="24"/>
          </w:rPr>
          <w:fldChar w:fldCharType="begin"/>
        </w:r>
        <w:r w:rsidR="001829D7" w:rsidRPr="00B67FD7">
          <w:rPr>
            <w:rFonts w:ascii="Arial" w:hAnsi="Arial" w:cs="Arial"/>
            <w:sz w:val="24"/>
            <w:szCs w:val="24"/>
          </w:rPr>
          <w:instrText xml:space="preserve"> PAGE </w:instrText>
        </w:r>
        <w:r w:rsidR="001829D7" w:rsidRPr="00B67FD7">
          <w:rPr>
            <w:rFonts w:ascii="Arial" w:hAnsi="Arial" w:cs="Arial"/>
            <w:sz w:val="24"/>
            <w:szCs w:val="24"/>
          </w:rPr>
          <w:fldChar w:fldCharType="separate"/>
        </w:r>
        <w:r w:rsidR="001829D7" w:rsidRPr="00B67FD7">
          <w:rPr>
            <w:rFonts w:ascii="Arial" w:hAnsi="Arial" w:cs="Arial"/>
            <w:sz w:val="24"/>
            <w:szCs w:val="24"/>
          </w:rPr>
          <w:t>1</w:t>
        </w:r>
        <w:r w:rsidR="001829D7" w:rsidRPr="00B67FD7">
          <w:rPr>
            <w:rFonts w:ascii="Arial" w:hAnsi="Arial" w:cs="Arial"/>
            <w:sz w:val="24"/>
            <w:szCs w:val="24"/>
          </w:rPr>
          <w:fldChar w:fldCharType="end"/>
        </w:r>
        <w:r w:rsidR="001829D7" w:rsidRPr="00B67FD7">
          <w:rPr>
            <w:rFonts w:ascii="Arial" w:hAnsi="Arial" w:cs="Arial"/>
            <w:sz w:val="24"/>
            <w:szCs w:val="24"/>
          </w:rPr>
          <w:t xml:space="preserve"> of </w:t>
        </w:r>
        <w:r w:rsidR="001829D7" w:rsidRPr="00B67FD7">
          <w:rPr>
            <w:rFonts w:ascii="Arial" w:hAnsi="Arial" w:cs="Arial"/>
            <w:sz w:val="24"/>
            <w:szCs w:val="24"/>
          </w:rPr>
          <w:fldChar w:fldCharType="begin"/>
        </w:r>
        <w:r w:rsidR="001829D7" w:rsidRPr="00B67FD7">
          <w:rPr>
            <w:rFonts w:ascii="Arial" w:hAnsi="Arial" w:cs="Arial"/>
            <w:sz w:val="24"/>
            <w:szCs w:val="24"/>
          </w:rPr>
          <w:instrText xml:space="preserve"> NUMPAGES  </w:instrText>
        </w:r>
        <w:r w:rsidR="001829D7" w:rsidRPr="00B67FD7">
          <w:rPr>
            <w:rFonts w:ascii="Arial" w:hAnsi="Arial" w:cs="Arial"/>
            <w:sz w:val="24"/>
            <w:szCs w:val="24"/>
          </w:rPr>
          <w:fldChar w:fldCharType="separate"/>
        </w:r>
        <w:r w:rsidR="001829D7" w:rsidRPr="00B67FD7">
          <w:rPr>
            <w:rFonts w:ascii="Arial" w:hAnsi="Arial" w:cs="Arial"/>
            <w:sz w:val="24"/>
            <w:szCs w:val="24"/>
          </w:rPr>
          <w:t>17</w:t>
        </w:r>
        <w:r w:rsidR="001829D7" w:rsidRPr="00B67FD7">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28D6" w14:textId="77777777" w:rsidR="00CF615A" w:rsidRDefault="00CF615A" w:rsidP="00005359">
      <w:pPr>
        <w:spacing w:after="0" w:line="240" w:lineRule="auto"/>
      </w:pPr>
      <w:r>
        <w:separator/>
      </w:r>
    </w:p>
    <w:p w14:paraId="4FE74859" w14:textId="77777777" w:rsidR="00CF615A" w:rsidRDefault="00CF615A"/>
  </w:footnote>
  <w:footnote w:type="continuationSeparator" w:id="0">
    <w:p w14:paraId="0B59A2F4" w14:textId="77777777" w:rsidR="00CF615A" w:rsidRDefault="00CF615A" w:rsidP="00005359">
      <w:pPr>
        <w:spacing w:after="0" w:line="240" w:lineRule="auto"/>
      </w:pPr>
      <w:r>
        <w:continuationSeparator/>
      </w:r>
    </w:p>
    <w:p w14:paraId="08CD2085" w14:textId="77777777" w:rsidR="00CF615A" w:rsidRDefault="00CF6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BF34" w14:textId="2DFD38AD" w:rsidR="0080641B" w:rsidRPr="00B67FD7" w:rsidRDefault="0080641B" w:rsidP="0080641B">
    <w:pPr>
      <w:pStyle w:val="Header"/>
      <w:jc w:val="right"/>
      <w:rPr>
        <w:rFonts w:ascii="Arial" w:hAnsi="Arial" w:cs="Arial"/>
      </w:rPr>
    </w:pPr>
    <w:r w:rsidRPr="00B67FD7">
      <w:rPr>
        <w:rFonts w:ascii="Arial" w:hAnsi="Arial" w:cs="Arial"/>
      </w:rPr>
      <w:t>SWRCB – Division of Drinking Water</w:t>
    </w:r>
  </w:p>
  <w:p w14:paraId="192C8F83" w14:textId="2E5235C6" w:rsidR="00E302FE" w:rsidRPr="00B67FD7" w:rsidRDefault="0080641B" w:rsidP="0080641B">
    <w:pPr>
      <w:pStyle w:val="Header"/>
      <w:jc w:val="right"/>
      <w:rPr>
        <w:rFonts w:ascii="Arial" w:hAnsi="Arial" w:cs="Arial"/>
      </w:rPr>
    </w:pPr>
    <w:r w:rsidRPr="00B67FD7">
      <w:rPr>
        <w:rFonts w:ascii="Arial" w:hAnsi="Arial" w:cs="Arial"/>
      </w:rPr>
      <w:t>Notification and Response Levels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C1F"/>
    <w:multiLevelType w:val="hybridMultilevel"/>
    <w:tmpl w:val="F9FA8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54CA3"/>
    <w:multiLevelType w:val="hybridMultilevel"/>
    <w:tmpl w:val="A7A638A8"/>
    <w:lvl w:ilvl="0" w:tplc="35AED2C2">
      <w:start w:val="2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5AA6"/>
    <w:multiLevelType w:val="hybridMultilevel"/>
    <w:tmpl w:val="D662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B0522"/>
    <w:multiLevelType w:val="hybridMultilevel"/>
    <w:tmpl w:val="0E10DD82"/>
    <w:lvl w:ilvl="0" w:tplc="9E6C2BE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725F4"/>
    <w:multiLevelType w:val="hybridMultilevel"/>
    <w:tmpl w:val="A224C5B2"/>
    <w:lvl w:ilvl="0" w:tplc="70142C94">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6629"/>
    <w:multiLevelType w:val="hybridMultilevel"/>
    <w:tmpl w:val="8AEC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36441"/>
    <w:multiLevelType w:val="hybridMultilevel"/>
    <w:tmpl w:val="B202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668A8"/>
    <w:multiLevelType w:val="hybridMultilevel"/>
    <w:tmpl w:val="A1D2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E3266"/>
    <w:multiLevelType w:val="hybridMultilevel"/>
    <w:tmpl w:val="6860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357B3"/>
    <w:multiLevelType w:val="hybridMultilevel"/>
    <w:tmpl w:val="4BA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0D12"/>
    <w:multiLevelType w:val="hybridMultilevel"/>
    <w:tmpl w:val="4730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7702"/>
    <w:multiLevelType w:val="hybridMultilevel"/>
    <w:tmpl w:val="6AF4AEDE"/>
    <w:lvl w:ilvl="0" w:tplc="98BE3992">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79602A8"/>
    <w:multiLevelType w:val="hybridMultilevel"/>
    <w:tmpl w:val="B9824460"/>
    <w:lvl w:ilvl="0" w:tplc="1DF6B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B10ED"/>
    <w:multiLevelType w:val="hybridMultilevel"/>
    <w:tmpl w:val="4D24CF12"/>
    <w:lvl w:ilvl="0" w:tplc="72DCE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14292"/>
    <w:multiLevelType w:val="hybridMultilevel"/>
    <w:tmpl w:val="4132B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867EE"/>
    <w:multiLevelType w:val="hybridMultilevel"/>
    <w:tmpl w:val="A62A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439A7"/>
    <w:multiLevelType w:val="hybridMultilevel"/>
    <w:tmpl w:val="1AF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60F47"/>
    <w:multiLevelType w:val="hybridMultilevel"/>
    <w:tmpl w:val="718C6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F5807F1"/>
    <w:multiLevelType w:val="hybridMultilevel"/>
    <w:tmpl w:val="AAA6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E29C6"/>
    <w:multiLevelType w:val="hybridMultilevel"/>
    <w:tmpl w:val="A9DA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F23CC"/>
    <w:multiLevelType w:val="hybridMultilevel"/>
    <w:tmpl w:val="DE422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5189B"/>
    <w:multiLevelType w:val="hybridMultilevel"/>
    <w:tmpl w:val="F4E494C4"/>
    <w:lvl w:ilvl="0" w:tplc="98BE399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86F3AFC"/>
    <w:multiLevelType w:val="hybridMultilevel"/>
    <w:tmpl w:val="4EC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06A3B"/>
    <w:multiLevelType w:val="multilevel"/>
    <w:tmpl w:val="32F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B4BA8"/>
    <w:multiLevelType w:val="hybridMultilevel"/>
    <w:tmpl w:val="4DBCBBE6"/>
    <w:lvl w:ilvl="0" w:tplc="F0B03718">
      <w:start w:val="27"/>
      <w:numFmt w:val="decimal"/>
      <w:lvlText w:val="%1."/>
      <w:lvlJc w:val="left"/>
      <w:pPr>
        <w:ind w:left="36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15:restartNumberingAfterBreak="0">
    <w:nsid w:val="7DB5620E"/>
    <w:multiLevelType w:val="hybridMultilevel"/>
    <w:tmpl w:val="EF52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516985">
    <w:abstractNumId w:val="9"/>
  </w:num>
  <w:num w:numId="2" w16cid:durableId="2075732811">
    <w:abstractNumId w:val="5"/>
  </w:num>
  <w:num w:numId="3" w16cid:durableId="534195418">
    <w:abstractNumId w:val="6"/>
  </w:num>
  <w:num w:numId="4" w16cid:durableId="641157521">
    <w:abstractNumId w:val="15"/>
  </w:num>
  <w:num w:numId="5" w16cid:durableId="1575041572">
    <w:abstractNumId w:val="10"/>
  </w:num>
  <w:num w:numId="6" w16cid:durableId="468476354">
    <w:abstractNumId w:val="7"/>
  </w:num>
  <w:num w:numId="7" w16cid:durableId="875698511">
    <w:abstractNumId w:val="8"/>
  </w:num>
  <w:num w:numId="8" w16cid:durableId="1209031436">
    <w:abstractNumId w:val="19"/>
  </w:num>
  <w:num w:numId="9" w16cid:durableId="1064373039">
    <w:abstractNumId w:val="22"/>
  </w:num>
  <w:num w:numId="10" w16cid:durableId="1036857341">
    <w:abstractNumId w:val="16"/>
  </w:num>
  <w:num w:numId="11" w16cid:durableId="1119762262">
    <w:abstractNumId w:val="17"/>
  </w:num>
  <w:num w:numId="12" w16cid:durableId="411002764">
    <w:abstractNumId w:val="18"/>
  </w:num>
  <w:num w:numId="13" w16cid:durableId="710542358">
    <w:abstractNumId w:val="14"/>
  </w:num>
  <w:num w:numId="14" w16cid:durableId="1558588560">
    <w:abstractNumId w:val="25"/>
  </w:num>
  <w:num w:numId="15" w16cid:durableId="1661301225">
    <w:abstractNumId w:val="2"/>
  </w:num>
  <w:num w:numId="16" w16cid:durableId="1247378028">
    <w:abstractNumId w:val="0"/>
  </w:num>
  <w:num w:numId="17" w16cid:durableId="1376345738">
    <w:abstractNumId w:val="20"/>
  </w:num>
  <w:num w:numId="18" w16cid:durableId="340283828">
    <w:abstractNumId w:val="21"/>
  </w:num>
  <w:num w:numId="19" w16cid:durableId="1680502723">
    <w:abstractNumId w:val="11"/>
  </w:num>
  <w:num w:numId="20" w16cid:durableId="2007706405">
    <w:abstractNumId w:val="1"/>
  </w:num>
  <w:num w:numId="21" w16cid:durableId="782385316">
    <w:abstractNumId w:val="24"/>
  </w:num>
  <w:num w:numId="22" w16cid:durableId="250509595">
    <w:abstractNumId w:val="13"/>
  </w:num>
  <w:num w:numId="23" w16cid:durableId="1778745215">
    <w:abstractNumId w:val="3"/>
  </w:num>
  <w:num w:numId="24" w16cid:durableId="596639822">
    <w:abstractNumId w:val="12"/>
  </w:num>
  <w:num w:numId="25" w16cid:durableId="1544176469">
    <w:abstractNumId w:val="4"/>
  </w:num>
  <w:num w:numId="26" w16cid:durableId="772936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E9"/>
    <w:rsid w:val="00004648"/>
    <w:rsid w:val="00005359"/>
    <w:rsid w:val="00006D48"/>
    <w:rsid w:val="00016F7D"/>
    <w:rsid w:val="0002233F"/>
    <w:rsid w:val="0002555E"/>
    <w:rsid w:val="000335FD"/>
    <w:rsid w:val="00037E7A"/>
    <w:rsid w:val="000451AB"/>
    <w:rsid w:val="000455AE"/>
    <w:rsid w:val="000525CF"/>
    <w:rsid w:val="00055F24"/>
    <w:rsid w:val="00083403"/>
    <w:rsid w:val="00084556"/>
    <w:rsid w:val="000B05E1"/>
    <w:rsid w:val="000B1008"/>
    <w:rsid w:val="000B3098"/>
    <w:rsid w:val="000C2B04"/>
    <w:rsid w:val="000C6F6C"/>
    <w:rsid w:val="000D3811"/>
    <w:rsid w:val="000D4EDE"/>
    <w:rsid w:val="000E30A7"/>
    <w:rsid w:val="000E31C4"/>
    <w:rsid w:val="000E5DB9"/>
    <w:rsid w:val="000F45D5"/>
    <w:rsid w:val="000F5FFD"/>
    <w:rsid w:val="000F7019"/>
    <w:rsid w:val="00100790"/>
    <w:rsid w:val="0010160D"/>
    <w:rsid w:val="0010232E"/>
    <w:rsid w:val="00106A92"/>
    <w:rsid w:val="001126AA"/>
    <w:rsid w:val="00114B09"/>
    <w:rsid w:val="00120075"/>
    <w:rsid w:val="00130BA7"/>
    <w:rsid w:val="00132216"/>
    <w:rsid w:val="00132406"/>
    <w:rsid w:val="00132F5F"/>
    <w:rsid w:val="00134395"/>
    <w:rsid w:val="00137C23"/>
    <w:rsid w:val="00140C8E"/>
    <w:rsid w:val="001464A3"/>
    <w:rsid w:val="00150945"/>
    <w:rsid w:val="001531A0"/>
    <w:rsid w:val="0015366E"/>
    <w:rsid w:val="00153CE8"/>
    <w:rsid w:val="00153E1D"/>
    <w:rsid w:val="00156D4A"/>
    <w:rsid w:val="00165410"/>
    <w:rsid w:val="00165536"/>
    <w:rsid w:val="00171C6F"/>
    <w:rsid w:val="001829D7"/>
    <w:rsid w:val="00184CEB"/>
    <w:rsid w:val="00186D25"/>
    <w:rsid w:val="00197650"/>
    <w:rsid w:val="00197772"/>
    <w:rsid w:val="001979DD"/>
    <w:rsid w:val="001A11CF"/>
    <w:rsid w:val="001A121D"/>
    <w:rsid w:val="001A1285"/>
    <w:rsid w:val="001A1737"/>
    <w:rsid w:val="001A1EFD"/>
    <w:rsid w:val="001A5343"/>
    <w:rsid w:val="001B339E"/>
    <w:rsid w:val="001C7A92"/>
    <w:rsid w:val="001D2D71"/>
    <w:rsid w:val="001E0DB9"/>
    <w:rsid w:val="001E20C4"/>
    <w:rsid w:val="001E5B67"/>
    <w:rsid w:val="001F6D82"/>
    <w:rsid w:val="002003C1"/>
    <w:rsid w:val="00202562"/>
    <w:rsid w:val="002059F3"/>
    <w:rsid w:val="00214ECB"/>
    <w:rsid w:val="00216777"/>
    <w:rsid w:val="0023012B"/>
    <w:rsid w:val="00230852"/>
    <w:rsid w:val="002319C4"/>
    <w:rsid w:val="00232E84"/>
    <w:rsid w:val="0023472C"/>
    <w:rsid w:val="00236C8D"/>
    <w:rsid w:val="00240C3B"/>
    <w:rsid w:val="00244E3A"/>
    <w:rsid w:val="00253C3F"/>
    <w:rsid w:val="002555E3"/>
    <w:rsid w:val="002626D8"/>
    <w:rsid w:val="00266952"/>
    <w:rsid w:val="00267851"/>
    <w:rsid w:val="0027793E"/>
    <w:rsid w:val="00280C3B"/>
    <w:rsid w:val="00283015"/>
    <w:rsid w:val="00287D74"/>
    <w:rsid w:val="00290CB6"/>
    <w:rsid w:val="00291A5B"/>
    <w:rsid w:val="0029345A"/>
    <w:rsid w:val="002A6BA8"/>
    <w:rsid w:val="002B6E69"/>
    <w:rsid w:val="002C23E5"/>
    <w:rsid w:val="002C2B9F"/>
    <w:rsid w:val="002C3675"/>
    <w:rsid w:val="002D0172"/>
    <w:rsid w:val="002E2BED"/>
    <w:rsid w:val="002E3C1C"/>
    <w:rsid w:val="002E6AEA"/>
    <w:rsid w:val="002E7143"/>
    <w:rsid w:val="003007B2"/>
    <w:rsid w:val="00301910"/>
    <w:rsid w:val="003125D5"/>
    <w:rsid w:val="003132F3"/>
    <w:rsid w:val="00313730"/>
    <w:rsid w:val="00325FF3"/>
    <w:rsid w:val="00331F67"/>
    <w:rsid w:val="00332AB5"/>
    <w:rsid w:val="00341996"/>
    <w:rsid w:val="00346124"/>
    <w:rsid w:val="00346AE4"/>
    <w:rsid w:val="003556A2"/>
    <w:rsid w:val="00355F58"/>
    <w:rsid w:val="003565DE"/>
    <w:rsid w:val="00392C92"/>
    <w:rsid w:val="00396C17"/>
    <w:rsid w:val="003A1108"/>
    <w:rsid w:val="003A6E79"/>
    <w:rsid w:val="003B5B5D"/>
    <w:rsid w:val="003C3C4C"/>
    <w:rsid w:val="003C626C"/>
    <w:rsid w:val="003C7C82"/>
    <w:rsid w:val="003D35BF"/>
    <w:rsid w:val="003D46A8"/>
    <w:rsid w:val="003E16C6"/>
    <w:rsid w:val="003E4FAE"/>
    <w:rsid w:val="0040260C"/>
    <w:rsid w:val="00404005"/>
    <w:rsid w:val="00405540"/>
    <w:rsid w:val="00407FF5"/>
    <w:rsid w:val="0041277B"/>
    <w:rsid w:val="00414408"/>
    <w:rsid w:val="00414588"/>
    <w:rsid w:val="00417936"/>
    <w:rsid w:val="00417FD6"/>
    <w:rsid w:val="004427AC"/>
    <w:rsid w:val="00442EBF"/>
    <w:rsid w:val="00450D70"/>
    <w:rsid w:val="00454FF5"/>
    <w:rsid w:val="00461C5E"/>
    <w:rsid w:val="00465B40"/>
    <w:rsid w:val="00467CCE"/>
    <w:rsid w:val="00472D9F"/>
    <w:rsid w:val="00473843"/>
    <w:rsid w:val="004849D2"/>
    <w:rsid w:val="00484B13"/>
    <w:rsid w:val="0048649F"/>
    <w:rsid w:val="0048710B"/>
    <w:rsid w:val="004923BE"/>
    <w:rsid w:val="00492469"/>
    <w:rsid w:val="00492664"/>
    <w:rsid w:val="004A0BAC"/>
    <w:rsid w:val="004A4309"/>
    <w:rsid w:val="004A49CE"/>
    <w:rsid w:val="004A7052"/>
    <w:rsid w:val="004A77AB"/>
    <w:rsid w:val="004A7ABC"/>
    <w:rsid w:val="004B1639"/>
    <w:rsid w:val="004C7F53"/>
    <w:rsid w:val="004D5D4D"/>
    <w:rsid w:val="004D7301"/>
    <w:rsid w:val="004F1735"/>
    <w:rsid w:val="004F2335"/>
    <w:rsid w:val="004F371E"/>
    <w:rsid w:val="0050723D"/>
    <w:rsid w:val="00514FFA"/>
    <w:rsid w:val="00515FAA"/>
    <w:rsid w:val="0053292A"/>
    <w:rsid w:val="00532940"/>
    <w:rsid w:val="00534968"/>
    <w:rsid w:val="00540EB2"/>
    <w:rsid w:val="00550E20"/>
    <w:rsid w:val="00552905"/>
    <w:rsid w:val="00560ABD"/>
    <w:rsid w:val="00562766"/>
    <w:rsid w:val="005635EB"/>
    <w:rsid w:val="005669D4"/>
    <w:rsid w:val="0057035C"/>
    <w:rsid w:val="00573BED"/>
    <w:rsid w:val="00574629"/>
    <w:rsid w:val="00576698"/>
    <w:rsid w:val="005811A9"/>
    <w:rsid w:val="0058351D"/>
    <w:rsid w:val="00585518"/>
    <w:rsid w:val="00585932"/>
    <w:rsid w:val="0058763E"/>
    <w:rsid w:val="00594B44"/>
    <w:rsid w:val="005A0A78"/>
    <w:rsid w:val="005A2907"/>
    <w:rsid w:val="005D7E67"/>
    <w:rsid w:val="005E1262"/>
    <w:rsid w:val="005F03C2"/>
    <w:rsid w:val="005F12D5"/>
    <w:rsid w:val="005F36CA"/>
    <w:rsid w:val="00600EDC"/>
    <w:rsid w:val="006012FE"/>
    <w:rsid w:val="00614C39"/>
    <w:rsid w:val="00621B74"/>
    <w:rsid w:val="0062372B"/>
    <w:rsid w:val="00623D4D"/>
    <w:rsid w:val="00626DDE"/>
    <w:rsid w:val="00627D4B"/>
    <w:rsid w:val="006308AA"/>
    <w:rsid w:val="00636959"/>
    <w:rsid w:val="00641BA0"/>
    <w:rsid w:val="00647C20"/>
    <w:rsid w:val="00653B11"/>
    <w:rsid w:val="0065470A"/>
    <w:rsid w:val="006616D3"/>
    <w:rsid w:val="0066208E"/>
    <w:rsid w:val="00664FA3"/>
    <w:rsid w:val="0067099B"/>
    <w:rsid w:val="00687CA9"/>
    <w:rsid w:val="006A306B"/>
    <w:rsid w:val="006A71C9"/>
    <w:rsid w:val="006B0621"/>
    <w:rsid w:val="006B4555"/>
    <w:rsid w:val="006C392D"/>
    <w:rsid w:val="006E48DC"/>
    <w:rsid w:val="00701F19"/>
    <w:rsid w:val="007050FA"/>
    <w:rsid w:val="00712BA7"/>
    <w:rsid w:val="00712C35"/>
    <w:rsid w:val="00717C2F"/>
    <w:rsid w:val="00720307"/>
    <w:rsid w:val="0072032B"/>
    <w:rsid w:val="00722906"/>
    <w:rsid w:val="007243D1"/>
    <w:rsid w:val="00724E0F"/>
    <w:rsid w:val="00730D5D"/>
    <w:rsid w:val="00741103"/>
    <w:rsid w:val="00750FBD"/>
    <w:rsid w:val="00762951"/>
    <w:rsid w:val="00772227"/>
    <w:rsid w:val="00774936"/>
    <w:rsid w:val="007770B8"/>
    <w:rsid w:val="007866A2"/>
    <w:rsid w:val="00791452"/>
    <w:rsid w:val="00791E52"/>
    <w:rsid w:val="00793B30"/>
    <w:rsid w:val="00796EB1"/>
    <w:rsid w:val="007A6B67"/>
    <w:rsid w:val="007B32CE"/>
    <w:rsid w:val="007B5F74"/>
    <w:rsid w:val="007C125B"/>
    <w:rsid w:val="007C5BEC"/>
    <w:rsid w:val="007C746F"/>
    <w:rsid w:val="007C7503"/>
    <w:rsid w:val="007F04A1"/>
    <w:rsid w:val="007F4459"/>
    <w:rsid w:val="007F4FD3"/>
    <w:rsid w:val="007F5CDF"/>
    <w:rsid w:val="00800FFB"/>
    <w:rsid w:val="00803998"/>
    <w:rsid w:val="0080641B"/>
    <w:rsid w:val="00806B0B"/>
    <w:rsid w:val="008151E1"/>
    <w:rsid w:val="008207AA"/>
    <w:rsid w:val="00820A48"/>
    <w:rsid w:val="008211B6"/>
    <w:rsid w:val="008310BB"/>
    <w:rsid w:val="00851150"/>
    <w:rsid w:val="00854281"/>
    <w:rsid w:val="00856618"/>
    <w:rsid w:val="00856642"/>
    <w:rsid w:val="008604BF"/>
    <w:rsid w:val="00860959"/>
    <w:rsid w:val="00861964"/>
    <w:rsid w:val="00871AF1"/>
    <w:rsid w:val="00877327"/>
    <w:rsid w:val="008841EF"/>
    <w:rsid w:val="008945DB"/>
    <w:rsid w:val="008A102C"/>
    <w:rsid w:val="008B0AFB"/>
    <w:rsid w:val="008B4B8B"/>
    <w:rsid w:val="008C4B03"/>
    <w:rsid w:val="008C579F"/>
    <w:rsid w:val="008C65D3"/>
    <w:rsid w:val="008D0CC8"/>
    <w:rsid w:val="008E091C"/>
    <w:rsid w:val="008E44BD"/>
    <w:rsid w:val="008F2D68"/>
    <w:rsid w:val="008F6DAE"/>
    <w:rsid w:val="009009E6"/>
    <w:rsid w:val="00901893"/>
    <w:rsid w:val="00902E90"/>
    <w:rsid w:val="0090728D"/>
    <w:rsid w:val="009120B4"/>
    <w:rsid w:val="00925A02"/>
    <w:rsid w:val="00933EF5"/>
    <w:rsid w:val="00941D32"/>
    <w:rsid w:val="00942D39"/>
    <w:rsid w:val="00950049"/>
    <w:rsid w:val="0095052C"/>
    <w:rsid w:val="00950C02"/>
    <w:rsid w:val="00952EE2"/>
    <w:rsid w:val="00965FA2"/>
    <w:rsid w:val="0097270E"/>
    <w:rsid w:val="00985D6D"/>
    <w:rsid w:val="00995789"/>
    <w:rsid w:val="00996B68"/>
    <w:rsid w:val="009A60D6"/>
    <w:rsid w:val="009C32A3"/>
    <w:rsid w:val="009C4CC2"/>
    <w:rsid w:val="009D31DD"/>
    <w:rsid w:val="009D3F2C"/>
    <w:rsid w:val="009D4BE0"/>
    <w:rsid w:val="009E1F54"/>
    <w:rsid w:val="009E37DF"/>
    <w:rsid w:val="009E7166"/>
    <w:rsid w:val="009F08A6"/>
    <w:rsid w:val="009F22B1"/>
    <w:rsid w:val="009F2B61"/>
    <w:rsid w:val="009F686A"/>
    <w:rsid w:val="009F7D53"/>
    <w:rsid w:val="00A000BB"/>
    <w:rsid w:val="00A02234"/>
    <w:rsid w:val="00A046FE"/>
    <w:rsid w:val="00A11039"/>
    <w:rsid w:val="00A14E22"/>
    <w:rsid w:val="00A16E00"/>
    <w:rsid w:val="00A21CBF"/>
    <w:rsid w:val="00A31DD3"/>
    <w:rsid w:val="00A32BD0"/>
    <w:rsid w:val="00A3459B"/>
    <w:rsid w:val="00A34F8B"/>
    <w:rsid w:val="00A40DEF"/>
    <w:rsid w:val="00A47469"/>
    <w:rsid w:val="00A50130"/>
    <w:rsid w:val="00A71930"/>
    <w:rsid w:val="00A80AE5"/>
    <w:rsid w:val="00A819F2"/>
    <w:rsid w:val="00A904A5"/>
    <w:rsid w:val="00A91C0E"/>
    <w:rsid w:val="00AA6936"/>
    <w:rsid w:val="00AB62F0"/>
    <w:rsid w:val="00AC3036"/>
    <w:rsid w:val="00AC7FB5"/>
    <w:rsid w:val="00AD481A"/>
    <w:rsid w:val="00AD6FFA"/>
    <w:rsid w:val="00AE4051"/>
    <w:rsid w:val="00AF2C6E"/>
    <w:rsid w:val="00AF2C76"/>
    <w:rsid w:val="00AF36C8"/>
    <w:rsid w:val="00AF44A2"/>
    <w:rsid w:val="00AF5183"/>
    <w:rsid w:val="00AF6CC5"/>
    <w:rsid w:val="00B0122D"/>
    <w:rsid w:val="00B0523D"/>
    <w:rsid w:val="00B05D9A"/>
    <w:rsid w:val="00B1041F"/>
    <w:rsid w:val="00B1475E"/>
    <w:rsid w:val="00B14EB7"/>
    <w:rsid w:val="00B2422D"/>
    <w:rsid w:val="00B31EB4"/>
    <w:rsid w:val="00B4244E"/>
    <w:rsid w:val="00B42D87"/>
    <w:rsid w:val="00B4486D"/>
    <w:rsid w:val="00B44D2F"/>
    <w:rsid w:val="00B5136E"/>
    <w:rsid w:val="00B61AD5"/>
    <w:rsid w:val="00B63500"/>
    <w:rsid w:val="00B65B31"/>
    <w:rsid w:val="00B66173"/>
    <w:rsid w:val="00B67FD7"/>
    <w:rsid w:val="00B7112A"/>
    <w:rsid w:val="00B7196B"/>
    <w:rsid w:val="00B72B70"/>
    <w:rsid w:val="00B75625"/>
    <w:rsid w:val="00B83D02"/>
    <w:rsid w:val="00B86F63"/>
    <w:rsid w:val="00B90FCF"/>
    <w:rsid w:val="00B92E80"/>
    <w:rsid w:val="00B9427C"/>
    <w:rsid w:val="00B94E1B"/>
    <w:rsid w:val="00BA23FC"/>
    <w:rsid w:val="00BA5379"/>
    <w:rsid w:val="00BD05A3"/>
    <w:rsid w:val="00BE4964"/>
    <w:rsid w:val="00BE6369"/>
    <w:rsid w:val="00BF18EC"/>
    <w:rsid w:val="00BF20E9"/>
    <w:rsid w:val="00BF38B0"/>
    <w:rsid w:val="00BF6BB6"/>
    <w:rsid w:val="00C01624"/>
    <w:rsid w:val="00C115E4"/>
    <w:rsid w:val="00C139FF"/>
    <w:rsid w:val="00C15774"/>
    <w:rsid w:val="00C34989"/>
    <w:rsid w:val="00C45B65"/>
    <w:rsid w:val="00C52B7C"/>
    <w:rsid w:val="00C57605"/>
    <w:rsid w:val="00C61E5F"/>
    <w:rsid w:val="00C65078"/>
    <w:rsid w:val="00C941B6"/>
    <w:rsid w:val="00CB069B"/>
    <w:rsid w:val="00CB292F"/>
    <w:rsid w:val="00CD7187"/>
    <w:rsid w:val="00CE23EF"/>
    <w:rsid w:val="00CE2708"/>
    <w:rsid w:val="00CE7B27"/>
    <w:rsid w:val="00CF615A"/>
    <w:rsid w:val="00D0181F"/>
    <w:rsid w:val="00D019E9"/>
    <w:rsid w:val="00D06D49"/>
    <w:rsid w:val="00D14812"/>
    <w:rsid w:val="00D1666F"/>
    <w:rsid w:val="00D2208C"/>
    <w:rsid w:val="00D22E06"/>
    <w:rsid w:val="00D31046"/>
    <w:rsid w:val="00D34966"/>
    <w:rsid w:val="00D37E15"/>
    <w:rsid w:val="00D4400F"/>
    <w:rsid w:val="00D54228"/>
    <w:rsid w:val="00D55501"/>
    <w:rsid w:val="00D57B2B"/>
    <w:rsid w:val="00D60634"/>
    <w:rsid w:val="00D61248"/>
    <w:rsid w:val="00D64F6A"/>
    <w:rsid w:val="00D70DBF"/>
    <w:rsid w:val="00D74F12"/>
    <w:rsid w:val="00D83FCE"/>
    <w:rsid w:val="00D87279"/>
    <w:rsid w:val="00D91C9B"/>
    <w:rsid w:val="00D92325"/>
    <w:rsid w:val="00D92CB9"/>
    <w:rsid w:val="00D941EC"/>
    <w:rsid w:val="00D976E0"/>
    <w:rsid w:val="00DA34F9"/>
    <w:rsid w:val="00DA6620"/>
    <w:rsid w:val="00DC0720"/>
    <w:rsid w:val="00DC5B76"/>
    <w:rsid w:val="00DD143D"/>
    <w:rsid w:val="00DD19B8"/>
    <w:rsid w:val="00DE1EFF"/>
    <w:rsid w:val="00DE2B5A"/>
    <w:rsid w:val="00DF183C"/>
    <w:rsid w:val="00DF2D1E"/>
    <w:rsid w:val="00DF761C"/>
    <w:rsid w:val="00E04C10"/>
    <w:rsid w:val="00E12D5F"/>
    <w:rsid w:val="00E15509"/>
    <w:rsid w:val="00E15C87"/>
    <w:rsid w:val="00E302FE"/>
    <w:rsid w:val="00E367A9"/>
    <w:rsid w:val="00E41370"/>
    <w:rsid w:val="00E4424A"/>
    <w:rsid w:val="00E47A87"/>
    <w:rsid w:val="00E60428"/>
    <w:rsid w:val="00E64AB0"/>
    <w:rsid w:val="00E70897"/>
    <w:rsid w:val="00E719A9"/>
    <w:rsid w:val="00E87AF8"/>
    <w:rsid w:val="00E9459A"/>
    <w:rsid w:val="00E95C29"/>
    <w:rsid w:val="00E970C6"/>
    <w:rsid w:val="00E9758A"/>
    <w:rsid w:val="00EA3829"/>
    <w:rsid w:val="00EB108D"/>
    <w:rsid w:val="00ED5D35"/>
    <w:rsid w:val="00EE1D30"/>
    <w:rsid w:val="00EE4D96"/>
    <w:rsid w:val="00EF688F"/>
    <w:rsid w:val="00F013F2"/>
    <w:rsid w:val="00F02C07"/>
    <w:rsid w:val="00F10F2C"/>
    <w:rsid w:val="00F163B5"/>
    <w:rsid w:val="00F17086"/>
    <w:rsid w:val="00F3174F"/>
    <w:rsid w:val="00F37311"/>
    <w:rsid w:val="00F41EDA"/>
    <w:rsid w:val="00F46873"/>
    <w:rsid w:val="00F525B0"/>
    <w:rsid w:val="00F56556"/>
    <w:rsid w:val="00F602FD"/>
    <w:rsid w:val="00F61F83"/>
    <w:rsid w:val="00F62916"/>
    <w:rsid w:val="00F743AF"/>
    <w:rsid w:val="00F766E3"/>
    <w:rsid w:val="00F7775D"/>
    <w:rsid w:val="00F8705F"/>
    <w:rsid w:val="00F92237"/>
    <w:rsid w:val="00F94A57"/>
    <w:rsid w:val="00FA42A0"/>
    <w:rsid w:val="00FA4FC6"/>
    <w:rsid w:val="00FC0A5E"/>
    <w:rsid w:val="00FC14F6"/>
    <w:rsid w:val="00FC1566"/>
    <w:rsid w:val="00FC2827"/>
    <w:rsid w:val="00FC5BE4"/>
    <w:rsid w:val="00FD7EAA"/>
    <w:rsid w:val="00FE5A5F"/>
    <w:rsid w:val="00FF2AF4"/>
    <w:rsid w:val="00FF42D9"/>
    <w:rsid w:val="00FF54C5"/>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C1EC6"/>
  <w15:docId w15:val="{A2AF46BF-30EE-43BB-8026-86E1AAC9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05"/>
    <w:pPr>
      <w:outlineLvl w:val="0"/>
    </w:pPr>
    <w:rPr>
      <w:rFonts w:ascii="Arial" w:hAnsi="Arial" w:cs="Arial"/>
      <w:b/>
      <w:sz w:val="24"/>
      <w:szCs w:val="24"/>
      <w:u w:val="single"/>
    </w:rPr>
  </w:style>
  <w:style w:type="paragraph" w:styleId="Heading2">
    <w:name w:val="heading 2"/>
    <w:basedOn w:val="Normal"/>
    <w:next w:val="Normal"/>
    <w:link w:val="Heading2Char"/>
    <w:uiPriority w:val="9"/>
    <w:unhideWhenUsed/>
    <w:qFormat/>
    <w:rsid w:val="00404005"/>
    <w:pPr>
      <w:outlineLvl w:val="1"/>
    </w:pPr>
    <w:rPr>
      <w:rFonts w:ascii="Arial" w:hAnsi="Arial" w:cs="Arial"/>
      <w:b/>
      <w:sz w:val="24"/>
      <w:szCs w:val="24"/>
    </w:rPr>
  </w:style>
  <w:style w:type="paragraph" w:styleId="Heading3">
    <w:name w:val="heading 3"/>
    <w:basedOn w:val="Heading2"/>
    <w:next w:val="Normal"/>
    <w:link w:val="Heading3Char"/>
    <w:uiPriority w:val="9"/>
    <w:unhideWhenUsed/>
    <w:qFormat/>
    <w:rsid w:val="00791E52"/>
    <w:pPr>
      <w:outlineLvl w:val="2"/>
    </w:pPr>
  </w:style>
  <w:style w:type="paragraph" w:styleId="Heading4">
    <w:name w:val="heading 4"/>
    <w:basedOn w:val="Normal"/>
    <w:next w:val="Normal"/>
    <w:link w:val="Heading4Char"/>
    <w:uiPriority w:val="9"/>
    <w:unhideWhenUsed/>
    <w:qFormat/>
    <w:rsid w:val="00B052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0E9"/>
    <w:pPr>
      <w:keepNext/>
      <w:spacing w:after="0" w:line="240" w:lineRule="auto"/>
      <w:outlineLvl w:val="4"/>
    </w:pPr>
    <w:rPr>
      <w:rFonts w:ascii="Arial" w:eastAsia="Times New Roman"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F20E9"/>
    <w:rPr>
      <w:rFonts w:ascii="Arial" w:eastAsia="Times New Roman" w:hAnsi="Arial" w:cs="Arial"/>
      <w:b/>
      <w:bCs/>
      <w:szCs w:val="24"/>
    </w:rPr>
  </w:style>
  <w:style w:type="character" w:styleId="Emphasis">
    <w:name w:val="Emphasis"/>
    <w:qFormat/>
    <w:rsid w:val="00BF20E9"/>
    <w:rPr>
      <w:i/>
      <w:iCs/>
    </w:rPr>
  </w:style>
  <w:style w:type="character" w:styleId="Strong">
    <w:name w:val="Strong"/>
    <w:qFormat/>
    <w:rsid w:val="00BF20E9"/>
    <w:rPr>
      <w:b/>
      <w:bCs/>
    </w:rPr>
  </w:style>
  <w:style w:type="paragraph" w:styleId="BodyText2">
    <w:name w:val="Body Text 2"/>
    <w:basedOn w:val="Normal"/>
    <w:link w:val="BodyText2Char"/>
    <w:rsid w:val="00BF20E9"/>
    <w:pPr>
      <w:spacing w:after="0" w:line="240" w:lineRule="auto"/>
    </w:pPr>
    <w:rPr>
      <w:rFonts w:ascii="Verdana" w:eastAsia="Times New Roman" w:hAnsi="Verdana" w:cs="Arial Unicode MS"/>
      <w:sz w:val="20"/>
      <w:szCs w:val="24"/>
    </w:rPr>
  </w:style>
  <w:style w:type="character" w:customStyle="1" w:styleId="BodyText2Char">
    <w:name w:val="Body Text 2 Char"/>
    <w:basedOn w:val="DefaultParagraphFont"/>
    <w:link w:val="BodyText2"/>
    <w:rsid w:val="00BF20E9"/>
    <w:rPr>
      <w:rFonts w:ascii="Verdana" w:eastAsia="Times New Roman" w:hAnsi="Verdana" w:cs="Arial Unicode MS"/>
      <w:sz w:val="20"/>
      <w:szCs w:val="24"/>
    </w:rPr>
  </w:style>
  <w:style w:type="paragraph" w:styleId="ListParagraph">
    <w:name w:val="List Paragraph"/>
    <w:basedOn w:val="Normal"/>
    <w:uiPriority w:val="34"/>
    <w:qFormat/>
    <w:rsid w:val="00627D4B"/>
    <w:pPr>
      <w:ind w:left="720"/>
      <w:contextualSpacing/>
    </w:pPr>
  </w:style>
  <w:style w:type="character" w:styleId="Hyperlink">
    <w:name w:val="Hyperlink"/>
    <w:basedOn w:val="DefaultParagraphFont"/>
    <w:uiPriority w:val="99"/>
    <w:unhideWhenUsed/>
    <w:rsid w:val="003007B2"/>
    <w:rPr>
      <w:color w:val="0000FF" w:themeColor="hyperlink"/>
      <w:u w:val="single"/>
    </w:rPr>
  </w:style>
  <w:style w:type="paragraph" w:styleId="Header">
    <w:name w:val="header"/>
    <w:basedOn w:val="Normal"/>
    <w:link w:val="HeaderChar"/>
    <w:uiPriority w:val="99"/>
    <w:unhideWhenUsed/>
    <w:rsid w:val="00005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59"/>
  </w:style>
  <w:style w:type="paragraph" w:styleId="Footer">
    <w:name w:val="footer"/>
    <w:basedOn w:val="Normal"/>
    <w:link w:val="FooterChar"/>
    <w:uiPriority w:val="99"/>
    <w:unhideWhenUsed/>
    <w:rsid w:val="00005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59"/>
  </w:style>
  <w:style w:type="paragraph" w:styleId="BalloonText">
    <w:name w:val="Balloon Text"/>
    <w:basedOn w:val="Normal"/>
    <w:link w:val="BalloonTextChar"/>
    <w:uiPriority w:val="99"/>
    <w:semiHidden/>
    <w:unhideWhenUsed/>
    <w:rsid w:val="0010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2E"/>
    <w:rPr>
      <w:rFonts w:ascii="Tahoma" w:hAnsi="Tahoma" w:cs="Tahoma"/>
      <w:sz w:val="16"/>
      <w:szCs w:val="16"/>
    </w:rPr>
  </w:style>
  <w:style w:type="character" w:customStyle="1" w:styleId="Heading1Char">
    <w:name w:val="Heading 1 Char"/>
    <w:basedOn w:val="DefaultParagraphFont"/>
    <w:link w:val="Heading1"/>
    <w:uiPriority w:val="9"/>
    <w:rsid w:val="00404005"/>
    <w:rPr>
      <w:rFonts w:ascii="Arial" w:hAnsi="Arial" w:cs="Arial"/>
      <w:b/>
      <w:sz w:val="24"/>
      <w:szCs w:val="24"/>
      <w:u w:val="single"/>
    </w:rPr>
  </w:style>
  <w:style w:type="character" w:customStyle="1" w:styleId="Heading2Char">
    <w:name w:val="Heading 2 Char"/>
    <w:basedOn w:val="DefaultParagraphFont"/>
    <w:link w:val="Heading2"/>
    <w:uiPriority w:val="9"/>
    <w:rsid w:val="00404005"/>
    <w:rPr>
      <w:rFonts w:ascii="Arial" w:hAnsi="Arial" w:cs="Arial"/>
      <w:b/>
      <w:sz w:val="24"/>
      <w:szCs w:val="24"/>
    </w:rPr>
  </w:style>
  <w:style w:type="paragraph" w:styleId="TOCHeading">
    <w:name w:val="TOC Heading"/>
    <w:basedOn w:val="Heading1"/>
    <w:next w:val="Normal"/>
    <w:uiPriority w:val="39"/>
    <w:semiHidden/>
    <w:unhideWhenUsed/>
    <w:qFormat/>
    <w:rsid w:val="006A71C9"/>
    <w:pPr>
      <w:outlineLvl w:val="9"/>
    </w:pPr>
    <w:rPr>
      <w:lang w:eastAsia="ja-JP"/>
    </w:rPr>
  </w:style>
  <w:style w:type="paragraph" w:styleId="TOC2">
    <w:name w:val="toc 2"/>
    <w:basedOn w:val="Normal"/>
    <w:next w:val="Normal"/>
    <w:autoRedefine/>
    <w:uiPriority w:val="39"/>
    <w:unhideWhenUsed/>
    <w:rsid w:val="006A71C9"/>
    <w:pPr>
      <w:spacing w:after="100"/>
      <w:ind w:left="220"/>
    </w:pPr>
  </w:style>
  <w:style w:type="character" w:customStyle="1" w:styleId="Heading3Char">
    <w:name w:val="Heading 3 Char"/>
    <w:basedOn w:val="DefaultParagraphFont"/>
    <w:link w:val="Heading3"/>
    <w:uiPriority w:val="9"/>
    <w:rsid w:val="00791E52"/>
    <w:rPr>
      <w:rFonts w:ascii="Arial" w:hAnsi="Arial" w:cs="Arial"/>
      <w:b/>
      <w:sz w:val="24"/>
      <w:szCs w:val="24"/>
    </w:rPr>
  </w:style>
  <w:style w:type="character" w:customStyle="1" w:styleId="Heading4Char">
    <w:name w:val="Heading 4 Char"/>
    <w:basedOn w:val="DefaultParagraphFont"/>
    <w:link w:val="Heading4"/>
    <w:uiPriority w:val="9"/>
    <w:rsid w:val="00B0523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B0523D"/>
    <w:pPr>
      <w:spacing w:after="120"/>
    </w:pPr>
  </w:style>
  <w:style w:type="character" w:customStyle="1" w:styleId="BodyTextChar">
    <w:name w:val="Body Text Char"/>
    <w:basedOn w:val="DefaultParagraphFont"/>
    <w:link w:val="BodyText"/>
    <w:uiPriority w:val="99"/>
    <w:rsid w:val="00B0523D"/>
  </w:style>
  <w:style w:type="paragraph" w:styleId="NormalWeb">
    <w:name w:val="Normal (Web)"/>
    <w:basedOn w:val="Normal"/>
    <w:rsid w:val="00B0523D"/>
    <w:pPr>
      <w:spacing w:before="100" w:beforeAutospacing="1" w:after="100" w:afterAutospacing="1" w:line="240" w:lineRule="auto"/>
    </w:pPr>
    <w:rPr>
      <w:rFonts w:ascii="Arial Unicode MS" w:eastAsia="Arial Unicode MS" w:hAnsi="Arial Unicode MS" w:cs="Arial Unicode MS"/>
      <w:sz w:val="24"/>
      <w:szCs w:val="24"/>
    </w:rPr>
  </w:style>
  <w:style w:type="paragraph" w:styleId="CommentText">
    <w:name w:val="annotation text"/>
    <w:basedOn w:val="Normal"/>
    <w:link w:val="CommentTextChar"/>
    <w:unhideWhenUsed/>
    <w:rsid w:val="004127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1277B"/>
    <w:rPr>
      <w:rFonts w:ascii="Times New Roman" w:eastAsia="Times New Roman" w:hAnsi="Times New Roman" w:cs="Times New Roman"/>
      <w:sz w:val="20"/>
      <w:szCs w:val="20"/>
    </w:rPr>
  </w:style>
  <w:style w:type="paragraph" w:styleId="PlainText">
    <w:name w:val="Plain Text"/>
    <w:basedOn w:val="Normal"/>
    <w:link w:val="PlainTextChar"/>
    <w:semiHidden/>
    <w:unhideWhenUsed/>
    <w:rsid w:val="0041277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1277B"/>
    <w:rPr>
      <w:rFonts w:ascii="Courier New" w:eastAsia="Times New Roman" w:hAnsi="Courier New" w:cs="Courier New"/>
      <w:sz w:val="20"/>
      <w:szCs w:val="20"/>
    </w:rPr>
  </w:style>
  <w:style w:type="paragraph" w:styleId="TOC1">
    <w:name w:val="toc 1"/>
    <w:basedOn w:val="Normal"/>
    <w:next w:val="Normal"/>
    <w:autoRedefine/>
    <w:uiPriority w:val="39"/>
    <w:unhideWhenUsed/>
    <w:rsid w:val="0041277B"/>
    <w:pPr>
      <w:spacing w:after="100"/>
    </w:pPr>
  </w:style>
  <w:style w:type="paragraph" w:styleId="TOC3">
    <w:name w:val="toc 3"/>
    <w:basedOn w:val="Normal"/>
    <w:next w:val="Normal"/>
    <w:autoRedefine/>
    <w:uiPriority w:val="39"/>
    <w:unhideWhenUsed/>
    <w:rsid w:val="0041277B"/>
    <w:pPr>
      <w:spacing w:after="100"/>
      <w:ind w:left="440"/>
    </w:pPr>
  </w:style>
  <w:style w:type="character" w:styleId="CommentReference">
    <w:name w:val="annotation reference"/>
    <w:basedOn w:val="DefaultParagraphFont"/>
    <w:uiPriority w:val="99"/>
    <w:semiHidden/>
    <w:unhideWhenUsed/>
    <w:rsid w:val="001531A0"/>
    <w:rPr>
      <w:sz w:val="16"/>
      <w:szCs w:val="16"/>
    </w:rPr>
  </w:style>
  <w:style w:type="paragraph" w:styleId="CommentSubject">
    <w:name w:val="annotation subject"/>
    <w:basedOn w:val="CommentText"/>
    <w:next w:val="CommentText"/>
    <w:link w:val="CommentSubjectChar"/>
    <w:uiPriority w:val="99"/>
    <w:semiHidden/>
    <w:unhideWhenUsed/>
    <w:rsid w:val="001531A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31A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14E22"/>
    <w:rPr>
      <w:color w:val="800080" w:themeColor="followedHyperlink"/>
      <w:u w:val="single"/>
    </w:rPr>
  </w:style>
  <w:style w:type="table" w:styleId="TableGrid">
    <w:name w:val="Table Grid"/>
    <w:basedOn w:val="TableNormal"/>
    <w:uiPriority w:val="59"/>
    <w:rsid w:val="004A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55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8351D"/>
    <w:rPr>
      <w:color w:val="605E5C"/>
      <w:shd w:val="clear" w:color="auto" w:fill="E1DFDD"/>
    </w:rPr>
  </w:style>
  <w:style w:type="paragraph" w:styleId="Revision">
    <w:name w:val="Revision"/>
    <w:hidden/>
    <w:uiPriority w:val="99"/>
    <w:semiHidden/>
    <w:rsid w:val="00D0181F"/>
    <w:pPr>
      <w:spacing w:after="0" w:line="240" w:lineRule="auto"/>
    </w:pPr>
  </w:style>
  <w:style w:type="paragraph" w:styleId="Caption">
    <w:name w:val="caption"/>
    <w:basedOn w:val="Normal"/>
    <w:next w:val="Normal"/>
    <w:uiPriority w:val="35"/>
    <w:unhideWhenUsed/>
    <w:qFormat/>
    <w:rsid w:val="00750FB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532">
      <w:bodyDiv w:val="1"/>
      <w:marLeft w:val="0"/>
      <w:marRight w:val="0"/>
      <w:marTop w:val="0"/>
      <w:marBottom w:val="0"/>
      <w:divBdr>
        <w:top w:val="none" w:sz="0" w:space="0" w:color="auto"/>
        <w:left w:val="none" w:sz="0" w:space="0" w:color="auto"/>
        <w:bottom w:val="none" w:sz="0" w:space="0" w:color="auto"/>
        <w:right w:val="none" w:sz="0" w:space="0" w:color="auto"/>
      </w:divBdr>
    </w:div>
    <w:div w:id="457451051">
      <w:bodyDiv w:val="1"/>
      <w:marLeft w:val="0"/>
      <w:marRight w:val="0"/>
      <w:marTop w:val="0"/>
      <w:marBottom w:val="0"/>
      <w:divBdr>
        <w:top w:val="none" w:sz="0" w:space="0" w:color="auto"/>
        <w:left w:val="none" w:sz="0" w:space="0" w:color="auto"/>
        <w:bottom w:val="none" w:sz="0" w:space="0" w:color="auto"/>
        <w:right w:val="none" w:sz="0" w:space="0" w:color="auto"/>
      </w:divBdr>
    </w:div>
    <w:div w:id="934938225">
      <w:bodyDiv w:val="1"/>
      <w:marLeft w:val="0"/>
      <w:marRight w:val="0"/>
      <w:marTop w:val="0"/>
      <w:marBottom w:val="0"/>
      <w:divBdr>
        <w:top w:val="none" w:sz="0" w:space="0" w:color="auto"/>
        <w:left w:val="none" w:sz="0" w:space="0" w:color="auto"/>
        <w:bottom w:val="none" w:sz="0" w:space="0" w:color="auto"/>
        <w:right w:val="none" w:sz="0" w:space="0" w:color="auto"/>
      </w:divBdr>
    </w:div>
    <w:div w:id="955285031">
      <w:bodyDiv w:val="1"/>
      <w:marLeft w:val="0"/>
      <w:marRight w:val="0"/>
      <w:marTop w:val="0"/>
      <w:marBottom w:val="0"/>
      <w:divBdr>
        <w:top w:val="none" w:sz="0" w:space="0" w:color="auto"/>
        <w:left w:val="none" w:sz="0" w:space="0" w:color="auto"/>
        <w:bottom w:val="none" w:sz="0" w:space="0" w:color="auto"/>
        <w:right w:val="none" w:sz="0" w:space="0" w:color="auto"/>
      </w:divBdr>
    </w:div>
    <w:div w:id="1198547509">
      <w:bodyDiv w:val="1"/>
      <w:marLeft w:val="0"/>
      <w:marRight w:val="0"/>
      <w:marTop w:val="0"/>
      <w:marBottom w:val="0"/>
      <w:divBdr>
        <w:top w:val="none" w:sz="0" w:space="0" w:color="auto"/>
        <w:left w:val="none" w:sz="0" w:space="0" w:color="auto"/>
        <w:bottom w:val="none" w:sz="0" w:space="0" w:color="auto"/>
        <w:right w:val="none" w:sz="0" w:space="0" w:color="auto"/>
      </w:divBdr>
    </w:div>
    <w:div w:id="1285620502">
      <w:bodyDiv w:val="1"/>
      <w:marLeft w:val="0"/>
      <w:marRight w:val="0"/>
      <w:marTop w:val="0"/>
      <w:marBottom w:val="0"/>
      <w:divBdr>
        <w:top w:val="none" w:sz="0" w:space="0" w:color="auto"/>
        <w:left w:val="none" w:sz="0" w:space="0" w:color="auto"/>
        <w:bottom w:val="none" w:sz="0" w:space="0" w:color="auto"/>
        <w:right w:val="none" w:sz="0" w:space="0" w:color="auto"/>
      </w:divBdr>
    </w:div>
    <w:div w:id="18182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terboards.ca.gov/drinking_water/certlic/drinkingwater/14-Dioxane.shtml" TargetMode="External"/><Relationship Id="rId18" Type="http://schemas.openxmlformats.org/officeDocument/2006/relationships/hyperlink" Target="http://www.waterboards.ca.gov/drinking_water/certlic/drinkingwater/NDMA.shtml" TargetMode="External"/><Relationship Id="rId26" Type="http://schemas.openxmlformats.org/officeDocument/2006/relationships/hyperlink" Target="https://waterboards.ca.gov/drinking_water/certlic/drinkingwater/documents/pfos_and_pfoa/PFHxS-nl-issuance-20251028.pdf" TargetMode="External"/><Relationship Id="rId39" Type="http://schemas.openxmlformats.org/officeDocument/2006/relationships/hyperlink" Target="https://www.sciencedirect.com/science/article/abs/pii/S0300483X12000042" TargetMode="External"/><Relationship Id="rId21" Type="http://schemas.openxmlformats.org/officeDocument/2006/relationships/hyperlink" Target="https://ntp.niehs.nih.gov/ntp/htdocs/st_rpts/tox096_508.pdf?utm_source=direct&amp;utm_medium=prod&amp;utm_cam" TargetMode="External"/><Relationship Id="rId34" Type="http://schemas.openxmlformats.org/officeDocument/2006/relationships/hyperlink" Target="https://cebs.niehs.nih.gov/cebs/publication/TOX-96" TargetMode="External"/><Relationship Id="rId42" Type="http://schemas.openxmlformats.org/officeDocument/2006/relationships/hyperlink" Target="https://www.waterboards.ca.gov/pfas/"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aterboards.ca.gov/drinking_water/certlic/drinkingwater/NDMA.shtml" TargetMode="External"/><Relationship Id="rId29" Type="http://schemas.openxmlformats.org/officeDocument/2006/relationships/hyperlink" Target="https://pubmed.ncbi.nlm.nih.gov/29694846/" TargetMode="External"/><Relationship Id="rId11" Type="http://schemas.openxmlformats.org/officeDocument/2006/relationships/hyperlink" Target="http://www.waterboards.ca.gov/drinking_water/certlic/drinkingwater/UCMR.shtml" TargetMode="External"/><Relationship Id="rId24" Type="http://schemas.openxmlformats.org/officeDocument/2006/relationships/hyperlink" Target="https://academic.oup.com/toxsci/article/155/2/409/2684510" TargetMode="External"/><Relationship Id="rId32" Type="http://schemas.openxmlformats.org/officeDocument/2006/relationships/hyperlink" Target="https://waterboards.ca.gov/drinking_water/certlic/drinkingwater/documents/pfos_and_pfoa/PFHxA-nl-issuance-20251028.pdf" TargetMode="External"/><Relationship Id="rId37" Type="http://schemas.openxmlformats.org/officeDocument/2006/relationships/hyperlink" Target="https://oehha.ca.gov/media/downloads/water/chemicals/nl/final-pfoa-pfosnl082119.pdf" TargetMode="External"/><Relationship Id="rId40" Type="http://schemas.openxmlformats.org/officeDocument/2006/relationships/hyperlink" Target="https://academic.oup.com/toxsci/article/60/1/44/1686497?login=true" TargetMode="External"/><Relationship Id="rId45" Type="http://schemas.openxmlformats.org/officeDocument/2006/relationships/hyperlink" Target="https://www.sciencedirect.com/science/article/abs/pii/S0300483X12000042" TargetMode="External"/><Relationship Id="rId5" Type="http://schemas.openxmlformats.org/officeDocument/2006/relationships/webSettings" Target="webSettings.xml"/><Relationship Id="rId15" Type="http://schemas.openxmlformats.org/officeDocument/2006/relationships/hyperlink" Target="http://www.waterboards.ca.gov/drinking_water/certlic/drinkingwater/Manganese.shtml" TargetMode="External"/><Relationship Id="rId23" Type="http://schemas.openxmlformats.org/officeDocument/2006/relationships/hyperlink" Target="https://www.sciencedirect.com/science/article/abs/pii/S0300483X09000766" TargetMode="External"/><Relationship Id="rId28" Type="http://schemas.openxmlformats.org/officeDocument/2006/relationships/hyperlink" Target="https://cebs.niehs.nih.gov/cebs/publication/TOX-96" TargetMode="External"/><Relationship Id="rId36" Type="http://schemas.openxmlformats.org/officeDocument/2006/relationships/hyperlink" Target="https://www.waterboards.ca.gov/pfas/" TargetMode="External"/><Relationship Id="rId49" Type="http://schemas.openxmlformats.org/officeDocument/2006/relationships/theme" Target="theme/theme1.xml"/><Relationship Id="rId10" Type="http://schemas.openxmlformats.org/officeDocument/2006/relationships/hyperlink" Target="http://www.waterboards.ca.gov/drinking_water/certlic/drinkingwater/NotificationLevels.shtml" TargetMode="External"/><Relationship Id="rId19" Type="http://schemas.openxmlformats.org/officeDocument/2006/relationships/hyperlink" Target="https://waterboards.ca.gov/drinking_water/programs/documents/pfbs_nl_issuance_03052021_final_signed.pdf" TargetMode="External"/><Relationship Id="rId31" Type="http://schemas.openxmlformats.org/officeDocument/2006/relationships/hyperlink" Target="https://www.waterboards.ca.gov/pfas/" TargetMode="External"/><Relationship Id="rId44" Type="http://schemas.openxmlformats.org/officeDocument/2006/relationships/hyperlink" Target="https://tools.niehs.nih.gov/cebs3/views/?action=main.dataReview&amp;bin_id=13658" TargetMode="External"/><Relationship Id="rId4" Type="http://schemas.openxmlformats.org/officeDocument/2006/relationships/settings" Target="settings.xml"/><Relationship Id="rId9" Type="http://schemas.openxmlformats.org/officeDocument/2006/relationships/hyperlink" Target="https://waterboards.ca.gov/drinking_water/certlic/drinkingwater/documents/notificationlevels/archivedadvisorylevels.pdf" TargetMode="External"/><Relationship Id="rId14" Type="http://schemas.openxmlformats.org/officeDocument/2006/relationships/hyperlink" Target="https://iris.epa.gov/static/pdfs/0373_summary.pdf" TargetMode="External"/><Relationship Id="rId22" Type="http://schemas.openxmlformats.org/officeDocument/2006/relationships/hyperlink" Target="https://www.sciencedirect.com/science/article/abs/pii/S0300483X08004691" TargetMode="External"/><Relationship Id="rId27" Type="http://schemas.openxmlformats.org/officeDocument/2006/relationships/hyperlink" Target="https://oehha.ca.gov/media/pfhxsnl031722.pdf" TargetMode="External"/><Relationship Id="rId30" Type="http://schemas.openxmlformats.org/officeDocument/2006/relationships/hyperlink" Target="https://www.sciencedirect.com/science/article/abs/pii/S0890623809000173?via%0890623809000173Dihub" TargetMode="External"/><Relationship Id="rId35" Type="http://schemas.openxmlformats.org/officeDocument/2006/relationships/hyperlink" Target="https://www.sciencedirect.com/science/article/abs/pii/S0300483X09003680" TargetMode="External"/><Relationship Id="rId43" Type="http://schemas.openxmlformats.org/officeDocument/2006/relationships/hyperlink" Target="https://oehha.ca.gov/media/downloads/water/chemicals/nl/final-pfoa-pfosnl082119.pdf" TargetMode="External"/><Relationship Id="rId48" Type="http://schemas.openxmlformats.org/officeDocument/2006/relationships/fontTable" Target="fontTable.xml"/><Relationship Id="rId8" Type="http://schemas.openxmlformats.org/officeDocument/2006/relationships/hyperlink" Target="https://www.waterboards.ca.gov/drinking_water/certlic/drinkingwater/MCLReview.html" TargetMode="External"/><Relationship Id="rId3" Type="http://schemas.openxmlformats.org/officeDocument/2006/relationships/styles" Target="styles.xml"/><Relationship Id="rId12" Type="http://schemas.openxmlformats.org/officeDocument/2006/relationships/hyperlink" Target="http://www.waterboards.ca.gov/drinking_water/certlic/drinkingwater/RecycledWater.shtml" TargetMode="External"/><Relationship Id="rId17" Type="http://schemas.openxmlformats.org/officeDocument/2006/relationships/hyperlink" Target="http://www.waterboards.ca.gov/drinking_water/certlic/drinkingwater/NDMA.shtml" TargetMode="External"/><Relationship Id="rId25" Type="http://schemas.openxmlformats.org/officeDocument/2006/relationships/hyperlink" Target="https://www.waterboards.ca.gov/pfas/" TargetMode="External"/><Relationship Id="rId33" Type="http://schemas.openxmlformats.org/officeDocument/2006/relationships/hyperlink" Target="https://oehha.ca.gov/sites/default/files/media/2024-10/pfhxanl091824.pdf" TargetMode="External"/><Relationship Id="rId38" Type="http://schemas.openxmlformats.org/officeDocument/2006/relationships/hyperlink" Target="https://tools.niehs.nih.gov/cebs3/views/?action=main.dataReview&amp;bin_id=13658" TargetMode="External"/><Relationship Id="rId46" Type="http://schemas.openxmlformats.org/officeDocument/2006/relationships/header" Target="header1.xml"/><Relationship Id="rId20" Type="http://schemas.openxmlformats.org/officeDocument/2006/relationships/hyperlink" Target="https://oehha.ca.gov/media/downloads/water/chemicals/nl/pfbsnl121820.pdf" TargetMode="External"/><Relationship Id="rId41" Type="http://schemas.openxmlformats.org/officeDocument/2006/relationships/hyperlink" Target="https://pmc.ncbi.nlm.nih.gov/articles/PMC44319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4B5D-FBD2-47E0-9D81-E2274E8E45EA}">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68</TotalTime>
  <Pages>17</Pages>
  <Words>5724</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Drinking Water Notification Levels and Response Levels: An Overview</vt:lpstr>
    </vt:vector>
  </TitlesOfParts>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notification_response_level_overview_2025.10.30</dc:title>
  <dc:subject/>
  <dc:creator>SWRCB-DDW</dc:creator>
  <cp:keywords/>
  <cp:lastModifiedBy>Smith, Rachelle@Waterboards</cp:lastModifiedBy>
  <cp:revision>63</cp:revision>
  <cp:lastPrinted>2022-11-04T17:19:00Z</cp:lastPrinted>
  <dcterms:created xsi:type="dcterms:W3CDTF">2026-04-24T17:10:00Z</dcterms:created>
  <dcterms:modified xsi:type="dcterms:W3CDTF">2026-06-03T22:07:00Z</dcterms:modified>
</cp:coreProperties>
</file>