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E2F35" w14:textId="77777777" w:rsidR="004C30B6" w:rsidRDefault="004C30B6" w:rsidP="008D2140">
      <w:pPr>
        <w:jc w:val="center"/>
        <w:rPr>
          <w:rFonts w:cs="Arial"/>
          <w:b/>
          <w:bCs/>
          <w:noProof/>
          <w:sz w:val="18"/>
        </w:rPr>
      </w:pPr>
    </w:p>
    <w:p w14:paraId="5E55DC98" w14:textId="77777777" w:rsidR="004526D7" w:rsidRPr="00505823" w:rsidRDefault="003356C8" w:rsidP="008D2140">
      <w:pPr>
        <w:jc w:val="center"/>
        <w:rPr>
          <w:rStyle w:val="Strong"/>
          <w:rFonts w:cs="Arial"/>
          <w:sz w:val="32"/>
        </w:rPr>
      </w:pPr>
      <w:r w:rsidRPr="00505823">
        <w:rPr>
          <w:rFonts w:cs="Arial"/>
          <w:b/>
          <w:bCs/>
          <w:noProof/>
          <w:sz w:val="18"/>
        </w:rPr>
        <w:drawing>
          <wp:anchor distT="0" distB="0" distL="114300" distR="114300" simplePos="0" relativeHeight="251656704" behindDoc="1" locked="0" layoutInCell="1" allowOverlap="1" wp14:anchorId="7FC4FA2C" wp14:editId="42BE6DC9">
            <wp:simplePos x="0" y="0"/>
            <wp:positionH relativeFrom="column">
              <wp:posOffset>-80010</wp:posOffset>
            </wp:positionH>
            <wp:positionV relativeFrom="paragraph">
              <wp:posOffset>-116205</wp:posOffset>
            </wp:positionV>
            <wp:extent cx="6269355" cy="10953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9355" cy="1095369"/>
                    </a:xfrm>
                    <a:prstGeom prst="rect">
                      <a:avLst/>
                    </a:prstGeom>
                  </pic:spPr>
                </pic:pic>
              </a:graphicData>
            </a:graphic>
            <wp14:sizeRelH relativeFrom="margin">
              <wp14:pctWidth>0</wp14:pctWidth>
            </wp14:sizeRelH>
            <wp14:sizeRelV relativeFrom="margin">
              <wp14:pctHeight>0</wp14:pctHeight>
            </wp14:sizeRelV>
          </wp:anchor>
        </w:drawing>
      </w:r>
      <w:r w:rsidR="00276641" w:rsidRPr="00505823">
        <w:rPr>
          <w:rStyle w:val="Strong"/>
          <w:rFonts w:cs="Arial"/>
          <w:sz w:val="32"/>
        </w:rPr>
        <w:t>Lahontan Water Board</w:t>
      </w:r>
      <w:r w:rsidR="008D2140" w:rsidRPr="00505823">
        <w:rPr>
          <w:rStyle w:val="Strong"/>
          <w:rFonts w:cs="Arial"/>
          <w:sz w:val="32"/>
        </w:rPr>
        <w:t xml:space="preserve"> Program Fact Sheet</w:t>
      </w:r>
    </w:p>
    <w:p w14:paraId="1EFC92FB" w14:textId="77777777" w:rsidR="00C82BEE" w:rsidRPr="00505823" w:rsidRDefault="00C82BEE" w:rsidP="008D2140">
      <w:pPr>
        <w:jc w:val="center"/>
        <w:rPr>
          <w:rStyle w:val="Strong"/>
          <w:rFonts w:cs="Arial"/>
          <w:sz w:val="36"/>
        </w:rPr>
      </w:pPr>
      <w:r w:rsidRPr="00505823">
        <w:rPr>
          <w:rStyle w:val="Strong"/>
          <w:rFonts w:cs="Arial"/>
          <w:sz w:val="32"/>
        </w:rPr>
        <w:t>FY 20</w:t>
      </w:r>
      <w:r w:rsidR="00485EAF">
        <w:rPr>
          <w:rStyle w:val="Strong"/>
          <w:rFonts w:cs="Arial"/>
          <w:sz w:val="32"/>
        </w:rPr>
        <w:t>17</w:t>
      </w:r>
      <w:r w:rsidR="00505823">
        <w:rPr>
          <w:rStyle w:val="Strong"/>
          <w:rFonts w:cs="Arial"/>
          <w:sz w:val="32"/>
        </w:rPr>
        <w:t>-</w:t>
      </w:r>
      <w:r w:rsidRPr="00505823">
        <w:rPr>
          <w:rStyle w:val="Strong"/>
          <w:rFonts w:cs="Arial"/>
          <w:sz w:val="32"/>
        </w:rPr>
        <w:t>1</w:t>
      </w:r>
      <w:r w:rsidR="00485EAF">
        <w:rPr>
          <w:rStyle w:val="Strong"/>
          <w:rFonts w:cs="Arial"/>
          <w:sz w:val="32"/>
        </w:rPr>
        <w:t>8</w:t>
      </w:r>
    </w:p>
    <w:tbl>
      <w:tblPr>
        <w:tblStyle w:val="TableGrid"/>
        <w:tblW w:w="0" w:type="auto"/>
        <w:tblCellMar>
          <w:top w:w="216" w:type="dxa"/>
          <w:left w:w="115" w:type="dxa"/>
          <w:bottom w:w="216" w:type="dxa"/>
          <w:right w:w="115" w:type="dxa"/>
        </w:tblCellMar>
        <w:tblLook w:val="04A0" w:firstRow="1" w:lastRow="0" w:firstColumn="1" w:lastColumn="0" w:noHBand="0" w:noVBand="1"/>
      </w:tblPr>
      <w:tblGrid>
        <w:gridCol w:w="9878"/>
      </w:tblGrid>
      <w:tr w:rsidR="00D22E6D" w:rsidRPr="000E014E" w14:paraId="2F2F0E04" w14:textId="77777777" w:rsidTr="00CF2B2F">
        <w:tc>
          <w:tcPr>
            <w:tcW w:w="9878" w:type="dxa"/>
            <w:tcBorders>
              <w:top w:val="nil"/>
              <w:left w:val="nil"/>
              <w:bottom w:val="single" w:sz="4" w:space="0" w:color="auto"/>
              <w:right w:val="nil"/>
            </w:tcBorders>
            <w:shd w:val="clear" w:color="auto" w:fill="auto"/>
          </w:tcPr>
          <w:p w14:paraId="5A9F5FE7" w14:textId="77777777" w:rsidR="00F524AD" w:rsidRPr="00505823" w:rsidRDefault="00BD1C17" w:rsidP="00C82BEE">
            <w:pPr>
              <w:tabs>
                <w:tab w:val="right" w:pos="9630"/>
              </w:tabs>
              <w:jc w:val="center"/>
              <w:rPr>
                <w:rStyle w:val="Strong"/>
                <w:sz w:val="40"/>
                <w:szCs w:val="32"/>
              </w:rPr>
            </w:pPr>
            <w:r w:rsidRPr="00505823">
              <w:rPr>
                <w:rStyle w:val="Strong"/>
                <w:i/>
                <w:sz w:val="40"/>
                <w:szCs w:val="32"/>
              </w:rPr>
              <w:t>Basin Planning</w:t>
            </w:r>
          </w:p>
        </w:tc>
      </w:tr>
      <w:tr w:rsidR="00D22E6D" w14:paraId="2646F719" w14:textId="77777777" w:rsidTr="00CF2B2F">
        <w:trPr>
          <w:trHeight w:val="278"/>
        </w:trPr>
        <w:tc>
          <w:tcPr>
            <w:tcW w:w="9878" w:type="dxa"/>
            <w:tcBorders>
              <w:left w:val="nil"/>
              <w:bottom w:val="single" w:sz="4" w:space="0" w:color="auto"/>
              <w:right w:val="nil"/>
            </w:tcBorders>
            <w:tcMar>
              <w:top w:w="0" w:type="dxa"/>
              <w:bottom w:w="0" w:type="dxa"/>
            </w:tcMar>
          </w:tcPr>
          <w:p w14:paraId="3B3974EA" w14:textId="77777777" w:rsidR="00D22E6D" w:rsidRDefault="00D22E6D" w:rsidP="006E02DD">
            <w:pPr>
              <w:rPr>
                <w:rStyle w:val="Strong"/>
                <w:b w:val="0"/>
              </w:rPr>
            </w:pPr>
          </w:p>
        </w:tc>
      </w:tr>
      <w:tr w:rsidR="00D22E6D" w14:paraId="61C60CE2" w14:textId="77777777" w:rsidTr="00033EE7">
        <w:trPr>
          <w:trHeight w:val="2897"/>
        </w:trPr>
        <w:tc>
          <w:tcPr>
            <w:tcW w:w="9878" w:type="dxa"/>
            <w:tcBorders>
              <w:bottom w:val="single" w:sz="4" w:space="0" w:color="auto"/>
            </w:tcBorders>
            <w:shd w:val="clear" w:color="auto" w:fill="EAF1DD" w:themeFill="accent3" w:themeFillTint="33"/>
          </w:tcPr>
          <w:p w14:paraId="0B823581" w14:textId="77777777" w:rsidR="00685F70" w:rsidRPr="00C117BD" w:rsidRDefault="00D22E6D" w:rsidP="00572047">
            <w:pPr>
              <w:tabs>
                <w:tab w:val="left" w:pos="1800"/>
              </w:tabs>
              <w:spacing w:after="120"/>
              <w:rPr>
                <w:rStyle w:val="Strong"/>
                <w:b w:val="0"/>
                <w:sz w:val="32"/>
              </w:rPr>
            </w:pPr>
            <w:r w:rsidRPr="00C117BD">
              <w:rPr>
                <w:rStyle w:val="Strong"/>
                <w:b w:val="0"/>
                <w:sz w:val="32"/>
              </w:rPr>
              <w:t>Overview</w:t>
            </w:r>
          </w:p>
          <w:p w14:paraId="1D4B4AEA" w14:textId="24182B67" w:rsidR="00FA2A38" w:rsidRPr="00C117BD" w:rsidRDefault="007415E6" w:rsidP="009A68AA">
            <w:pPr>
              <w:pStyle w:val="NormalWeb"/>
              <w:rPr>
                <w:rStyle w:val="Strong"/>
                <w:rFonts w:ascii="Arial" w:hAnsi="Arial" w:cs="Arial"/>
                <w:b w:val="0"/>
              </w:rPr>
            </w:pPr>
            <w:r w:rsidRPr="00C117BD">
              <w:rPr>
                <w:rStyle w:val="Strong"/>
                <w:rFonts w:ascii="Arial" w:hAnsi="Arial" w:cs="Arial"/>
                <w:b w:val="0"/>
              </w:rPr>
              <w:t xml:space="preserve">The Water Quality Control Plan </w:t>
            </w:r>
            <w:r w:rsidR="00DD029B">
              <w:rPr>
                <w:rStyle w:val="Strong"/>
                <w:rFonts w:ascii="Arial" w:hAnsi="Arial" w:cs="Arial"/>
                <w:b w:val="0"/>
              </w:rPr>
              <w:t xml:space="preserve">for the Lahontan Region </w:t>
            </w:r>
            <w:r w:rsidRPr="00C117BD">
              <w:rPr>
                <w:rStyle w:val="Strong"/>
                <w:rFonts w:ascii="Arial" w:hAnsi="Arial" w:cs="Arial"/>
                <w:b w:val="0"/>
              </w:rPr>
              <w:t xml:space="preserve">(Basin Plan) contains the beneficial uses and water quality objectives to protect those beneficial uses. </w:t>
            </w:r>
            <w:r w:rsidR="00614115" w:rsidRPr="00C117BD">
              <w:rPr>
                <w:rStyle w:val="Strong"/>
                <w:rFonts w:ascii="Arial" w:hAnsi="Arial" w:cs="Arial"/>
                <w:b w:val="0"/>
              </w:rPr>
              <w:t>The Basin Plan also outlines</w:t>
            </w:r>
            <w:r w:rsidR="00425F94" w:rsidRPr="00C117BD">
              <w:rPr>
                <w:rStyle w:val="Strong"/>
                <w:rFonts w:ascii="Arial" w:hAnsi="Arial" w:cs="Arial"/>
                <w:b w:val="0"/>
              </w:rPr>
              <w:t xml:space="preserve"> control measures</w:t>
            </w:r>
            <w:r w:rsidR="00614115" w:rsidRPr="00C117BD">
              <w:rPr>
                <w:rStyle w:val="Strong"/>
                <w:rFonts w:ascii="Arial" w:hAnsi="Arial" w:cs="Arial"/>
                <w:b w:val="0"/>
              </w:rPr>
              <w:t xml:space="preserve"> to achieve water quality objectives.</w:t>
            </w:r>
            <w:r w:rsidR="0044516D">
              <w:rPr>
                <w:rStyle w:val="Strong"/>
                <w:rFonts w:ascii="Arial" w:hAnsi="Arial" w:cs="Arial"/>
                <w:b w:val="0"/>
              </w:rPr>
              <w:t xml:space="preserve">  </w:t>
            </w:r>
            <w:r w:rsidR="0085750B">
              <w:rPr>
                <w:rFonts w:ascii="Arial" w:hAnsi="Arial" w:cs="Arial"/>
                <w:lang w:val="en"/>
              </w:rPr>
              <w:t xml:space="preserve">The Water Board sets planning priorities in its Triennial Review last adopted in December 2015. </w:t>
            </w:r>
          </w:p>
          <w:p w14:paraId="6C85BD8F" w14:textId="77777777" w:rsidR="002B379E" w:rsidRPr="00441E6B" w:rsidRDefault="002B379E" w:rsidP="0003385F">
            <w:pPr>
              <w:pStyle w:val="NormalWeb"/>
              <w:spacing w:after="0"/>
              <w:rPr>
                <w:rStyle w:val="Strong"/>
                <w:rFonts w:ascii="Arial" w:hAnsi="Arial" w:cs="Arial"/>
                <w:szCs w:val="22"/>
              </w:rPr>
            </w:pPr>
            <w:r w:rsidRPr="00C117BD">
              <w:rPr>
                <w:rStyle w:val="Strong"/>
                <w:rFonts w:ascii="Arial" w:hAnsi="Arial" w:cs="Arial"/>
                <w:b w:val="0"/>
              </w:rPr>
              <w:t xml:space="preserve">Funding for the Basin Planning program is from the state Waste Discharge Permit Fee account, which has allocated </w:t>
            </w:r>
            <w:r w:rsidR="00D5386A" w:rsidRPr="00C117BD">
              <w:rPr>
                <w:rStyle w:val="Strong"/>
                <w:rFonts w:ascii="Arial" w:hAnsi="Arial" w:cs="Arial"/>
                <w:b w:val="0"/>
              </w:rPr>
              <w:t>4</w:t>
            </w:r>
            <w:r w:rsidR="00A43022" w:rsidRPr="00C117BD">
              <w:rPr>
                <w:rStyle w:val="Strong"/>
                <w:rFonts w:ascii="Arial" w:hAnsi="Arial" w:cs="Arial"/>
                <w:b w:val="0"/>
              </w:rPr>
              <w:t>.3</w:t>
            </w:r>
            <w:r w:rsidR="00C16540" w:rsidRPr="00C117BD">
              <w:rPr>
                <w:rStyle w:val="Strong"/>
                <w:rFonts w:ascii="Arial" w:hAnsi="Arial" w:cs="Arial"/>
                <w:b w:val="0"/>
              </w:rPr>
              <w:t xml:space="preserve"> </w:t>
            </w:r>
            <w:r w:rsidRPr="00C117BD">
              <w:rPr>
                <w:rStyle w:val="Strong"/>
                <w:rFonts w:ascii="Arial" w:hAnsi="Arial" w:cs="Arial"/>
                <w:b w:val="0"/>
              </w:rPr>
              <w:t>PY to complete both Basin Planning and TMDL program work</w:t>
            </w:r>
            <w:r w:rsidR="00485EAF">
              <w:rPr>
                <w:rStyle w:val="Strong"/>
                <w:rFonts w:ascii="Arial" w:hAnsi="Arial" w:cs="Arial"/>
                <w:b w:val="0"/>
              </w:rPr>
              <w:t xml:space="preserve">. </w:t>
            </w:r>
            <w:r w:rsidR="0003385F">
              <w:rPr>
                <w:rStyle w:val="Strong"/>
                <w:rFonts w:ascii="Arial" w:hAnsi="Arial" w:cs="Arial"/>
                <w:b w:val="0"/>
              </w:rPr>
              <w:t>1.8</w:t>
            </w:r>
            <w:r w:rsidR="0019714D" w:rsidRPr="00C117BD">
              <w:rPr>
                <w:rStyle w:val="Strong"/>
                <w:rFonts w:ascii="Arial" w:hAnsi="Arial" w:cs="Arial"/>
                <w:b w:val="0"/>
              </w:rPr>
              <w:t xml:space="preserve"> PY</w:t>
            </w:r>
            <w:r w:rsidR="0085750B">
              <w:rPr>
                <w:rStyle w:val="Strong"/>
                <w:rFonts w:ascii="Arial" w:hAnsi="Arial" w:cs="Arial"/>
                <w:b w:val="0"/>
              </w:rPr>
              <w:t xml:space="preserve"> are identified</w:t>
            </w:r>
            <w:r w:rsidRPr="00C117BD">
              <w:rPr>
                <w:rStyle w:val="Strong"/>
                <w:rFonts w:ascii="Arial" w:hAnsi="Arial" w:cs="Arial"/>
                <w:b w:val="0"/>
              </w:rPr>
              <w:t xml:space="preserve"> for Basin Planning work</w:t>
            </w:r>
            <w:r w:rsidR="00485EAF">
              <w:rPr>
                <w:rStyle w:val="Strong"/>
                <w:rFonts w:ascii="Arial" w:hAnsi="Arial" w:cs="Arial"/>
                <w:b w:val="0"/>
              </w:rPr>
              <w:t xml:space="preserve"> in FY 17-18</w:t>
            </w:r>
            <w:r w:rsidR="0085750B">
              <w:rPr>
                <w:rStyle w:val="Strong"/>
                <w:rFonts w:ascii="Arial" w:hAnsi="Arial" w:cs="Arial"/>
                <w:b w:val="0"/>
              </w:rPr>
              <w:t>.</w:t>
            </w:r>
            <w:r w:rsidR="004F69BC">
              <w:rPr>
                <w:rStyle w:val="Strong"/>
                <w:rFonts w:ascii="Arial" w:hAnsi="Arial" w:cs="Arial"/>
                <w:b w:val="0"/>
              </w:rPr>
              <w:t xml:space="preserve"> </w:t>
            </w:r>
          </w:p>
        </w:tc>
      </w:tr>
      <w:tr w:rsidR="00D22E6D" w:rsidRPr="007A3BCB" w14:paraId="5EE49A37" w14:textId="77777777" w:rsidTr="00CF2B2F">
        <w:tc>
          <w:tcPr>
            <w:tcW w:w="9878" w:type="dxa"/>
            <w:tcBorders>
              <w:left w:val="nil"/>
              <w:bottom w:val="single" w:sz="4" w:space="0" w:color="auto"/>
              <w:right w:val="nil"/>
            </w:tcBorders>
            <w:tcMar>
              <w:top w:w="0" w:type="dxa"/>
              <w:bottom w:w="0" w:type="dxa"/>
            </w:tcMar>
          </w:tcPr>
          <w:p w14:paraId="05E936B6" w14:textId="77777777" w:rsidR="00D22E6D" w:rsidRPr="007A3BCB" w:rsidRDefault="00D22E6D" w:rsidP="006E02DD">
            <w:pPr>
              <w:rPr>
                <w:rStyle w:val="Strong"/>
                <w:b w:val="0"/>
                <w:sz w:val="12"/>
              </w:rPr>
            </w:pPr>
          </w:p>
        </w:tc>
      </w:tr>
      <w:tr w:rsidR="00D22E6D" w14:paraId="1212C1D2" w14:textId="77777777" w:rsidTr="00594CC4">
        <w:tc>
          <w:tcPr>
            <w:tcW w:w="9878" w:type="dxa"/>
            <w:shd w:val="clear" w:color="auto" w:fill="EAF1DD" w:themeFill="accent3" w:themeFillTint="33"/>
          </w:tcPr>
          <w:p w14:paraId="02FD0F5E" w14:textId="77777777" w:rsidR="00685F70" w:rsidRPr="00C117BD" w:rsidRDefault="005A094E" w:rsidP="00572047">
            <w:pPr>
              <w:tabs>
                <w:tab w:val="left" w:pos="1815"/>
              </w:tabs>
              <w:spacing w:after="120"/>
              <w:rPr>
                <w:rStyle w:val="Strong"/>
                <w:b w:val="0"/>
                <w:sz w:val="32"/>
              </w:rPr>
            </w:pPr>
            <w:r w:rsidRPr="00C117BD">
              <w:rPr>
                <w:rStyle w:val="Strong"/>
                <w:b w:val="0"/>
                <w:sz w:val="32"/>
              </w:rPr>
              <w:t>Key Efforts</w:t>
            </w:r>
          </w:p>
          <w:p w14:paraId="41434564" w14:textId="77777777" w:rsidR="00555963" w:rsidRDefault="002535A0" w:rsidP="00DD029B">
            <w:pPr>
              <w:tabs>
                <w:tab w:val="left" w:pos="1815"/>
              </w:tabs>
              <w:rPr>
                <w:rStyle w:val="Strong"/>
                <w:rFonts w:cs="Arial"/>
                <w:b w:val="0"/>
              </w:rPr>
            </w:pPr>
            <w:r w:rsidRPr="00C117BD">
              <w:rPr>
                <w:rStyle w:val="Strong"/>
                <w:rFonts w:cs="Arial"/>
                <w:b w:val="0"/>
              </w:rPr>
              <w:t>Staff</w:t>
            </w:r>
            <w:r w:rsidR="0014671F" w:rsidRPr="00C117BD">
              <w:rPr>
                <w:rStyle w:val="Strong"/>
                <w:rFonts w:cs="Arial"/>
                <w:b w:val="0"/>
              </w:rPr>
              <w:t xml:space="preserve"> </w:t>
            </w:r>
            <w:r w:rsidR="0085750B">
              <w:rPr>
                <w:rStyle w:val="Strong"/>
                <w:rFonts w:cs="Arial"/>
                <w:b w:val="0"/>
              </w:rPr>
              <w:t>is making</w:t>
            </w:r>
            <w:r w:rsidRPr="00C117BD">
              <w:rPr>
                <w:rStyle w:val="Strong"/>
                <w:rFonts w:cs="Arial"/>
                <w:b w:val="0"/>
              </w:rPr>
              <w:t xml:space="preserve"> </w:t>
            </w:r>
            <w:r w:rsidR="0014671F" w:rsidRPr="00C117BD">
              <w:rPr>
                <w:rStyle w:val="Strong"/>
                <w:rFonts w:cs="Arial"/>
                <w:b w:val="0"/>
              </w:rPr>
              <w:t xml:space="preserve">progress </w:t>
            </w:r>
            <w:r w:rsidRPr="00C117BD">
              <w:rPr>
                <w:rStyle w:val="Strong"/>
                <w:rFonts w:cs="Arial"/>
                <w:b w:val="0"/>
              </w:rPr>
              <w:t>on</w:t>
            </w:r>
            <w:r w:rsidR="0014671F" w:rsidRPr="00C117BD">
              <w:rPr>
                <w:rStyle w:val="Strong"/>
                <w:rFonts w:cs="Arial"/>
                <w:b w:val="0"/>
              </w:rPr>
              <w:t xml:space="preserve"> projects that are identified as management priorities or</w:t>
            </w:r>
            <w:r w:rsidR="00D651F8">
              <w:rPr>
                <w:rStyle w:val="Strong"/>
                <w:rFonts w:cs="Arial"/>
                <w:b w:val="0"/>
              </w:rPr>
              <w:t xml:space="preserve"> </w:t>
            </w:r>
            <w:r w:rsidR="00A64D12" w:rsidRPr="00C117BD">
              <w:rPr>
                <w:rStyle w:val="Strong"/>
                <w:rFonts w:cs="Arial"/>
                <w:b w:val="0"/>
              </w:rPr>
              <w:t xml:space="preserve">listed </w:t>
            </w:r>
            <w:r w:rsidR="0014671F" w:rsidRPr="00C117BD">
              <w:rPr>
                <w:rStyle w:val="Strong"/>
                <w:rFonts w:cs="Arial"/>
                <w:b w:val="0"/>
              </w:rPr>
              <w:t xml:space="preserve">on the 2015 Triennial Review priority list. </w:t>
            </w:r>
            <w:r w:rsidR="00C15A4C" w:rsidRPr="00C117BD">
              <w:rPr>
                <w:rStyle w:val="Strong"/>
                <w:rFonts w:cs="Arial"/>
                <w:b w:val="0"/>
              </w:rPr>
              <w:t>These efforts include:</w:t>
            </w:r>
          </w:p>
          <w:p w14:paraId="4CC9E8AB" w14:textId="77777777" w:rsidR="00503828" w:rsidRPr="00C117BD" w:rsidRDefault="00503828" w:rsidP="00DD029B">
            <w:pPr>
              <w:tabs>
                <w:tab w:val="left" w:pos="1815"/>
              </w:tabs>
              <w:rPr>
                <w:rStyle w:val="Strong"/>
                <w:rFonts w:cs="Arial"/>
                <w:b w:val="0"/>
              </w:rPr>
            </w:pPr>
          </w:p>
          <w:p w14:paraId="78EFC2B5" w14:textId="77777777" w:rsidR="004F69BC" w:rsidRDefault="004F69BC" w:rsidP="004F69BC">
            <w:pPr>
              <w:pStyle w:val="ListParagraph"/>
              <w:numPr>
                <w:ilvl w:val="0"/>
                <w:numId w:val="9"/>
              </w:numPr>
              <w:tabs>
                <w:tab w:val="left" w:pos="1815"/>
              </w:tabs>
              <w:spacing w:after="120"/>
              <w:rPr>
                <w:rFonts w:cs="Arial"/>
                <w:lang w:val="en"/>
              </w:rPr>
            </w:pPr>
            <w:r w:rsidRPr="00964F65">
              <w:rPr>
                <w:rFonts w:cs="Arial"/>
                <w:lang w:val="en"/>
              </w:rPr>
              <w:t>2018 Triennial Review</w:t>
            </w:r>
            <w:r>
              <w:rPr>
                <w:rFonts w:cs="Arial"/>
                <w:lang w:val="en"/>
              </w:rPr>
              <w:t xml:space="preserve"> – </w:t>
            </w:r>
            <w:r w:rsidR="0044516D">
              <w:rPr>
                <w:rFonts w:cs="Arial"/>
                <w:lang w:val="en"/>
              </w:rPr>
              <w:t>C</w:t>
            </w:r>
            <w:r>
              <w:rPr>
                <w:rFonts w:cs="Arial"/>
                <w:lang w:val="en"/>
              </w:rPr>
              <w:t xml:space="preserve">onduct stakeholder outreach, workshops, and present to </w:t>
            </w:r>
            <w:r w:rsidR="0044516D">
              <w:rPr>
                <w:rFonts w:cs="Arial"/>
                <w:lang w:val="en"/>
              </w:rPr>
              <w:t xml:space="preserve">the Water </w:t>
            </w:r>
            <w:r>
              <w:rPr>
                <w:rFonts w:cs="Arial"/>
                <w:lang w:val="en"/>
              </w:rPr>
              <w:t xml:space="preserve">Board for adoption in November 2018 </w:t>
            </w:r>
          </w:p>
          <w:p w14:paraId="210D8ABF" w14:textId="77777777" w:rsidR="0003385F" w:rsidRDefault="004F69BC" w:rsidP="002535A0">
            <w:pPr>
              <w:pStyle w:val="ListParagraph"/>
              <w:numPr>
                <w:ilvl w:val="0"/>
                <w:numId w:val="9"/>
              </w:numPr>
              <w:tabs>
                <w:tab w:val="left" w:pos="1815"/>
              </w:tabs>
              <w:spacing w:after="120"/>
              <w:rPr>
                <w:rFonts w:cs="Arial"/>
                <w:lang w:val="en"/>
              </w:rPr>
            </w:pPr>
            <w:r>
              <w:rPr>
                <w:rFonts w:cs="Arial"/>
                <w:lang w:val="en"/>
              </w:rPr>
              <w:t xml:space="preserve">Continue working on </w:t>
            </w:r>
            <w:r w:rsidR="0003385F" w:rsidRPr="00964F65">
              <w:rPr>
                <w:rFonts w:cs="Arial"/>
                <w:lang w:val="en"/>
              </w:rPr>
              <w:t xml:space="preserve">Mojave River </w:t>
            </w:r>
            <w:r w:rsidR="0003385F">
              <w:rPr>
                <w:rFonts w:cs="Arial"/>
                <w:lang w:val="en"/>
              </w:rPr>
              <w:t>Basin Plan Amendments for beneficial uses and water quality objectives</w:t>
            </w:r>
          </w:p>
          <w:p w14:paraId="1F9097EE" w14:textId="77777777" w:rsidR="00A006FF" w:rsidRPr="00964F65" w:rsidRDefault="00A006FF" w:rsidP="002535A0">
            <w:pPr>
              <w:pStyle w:val="ListParagraph"/>
              <w:numPr>
                <w:ilvl w:val="0"/>
                <w:numId w:val="9"/>
              </w:numPr>
              <w:tabs>
                <w:tab w:val="left" w:pos="1815"/>
              </w:tabs>
              <w:spacing w:after="120"/>
              <w:rPr>
                <w:rFonts w:cs="Arial"/>
                <w:lang w:val="en"/>
              </w:rPr>
            </w:pPr>
            <w:r>
              <w:rPr>
                <w:rFonts w:cs="Arial"/>
                <w:lang w:val="en"/>
              </w:rPr>
              <w:t xml:space="preserve">Finalize </w:t>
            </w:r>
            <w:r w:rsidRPr="00964F65">
              <w:rPr>
                <w:rFonts w:cs="Arial"/>
                <w:lang w:val="en"/>
              </w:rPr>
              <w:t>Mean of Monthly Means Recommendation</w:t>
            </w:r>
            <w:r w:rsidR="0044516D" w:rsidRPr="00964F65">
              <w:rPr>
                <w:rFonts w:cs="Arial"/>
                <w:lang w:val="en"/>
              </w:rPr>
              <w:t>s</w:t>
            </w:r>
          </w:p>
          <w:p w14:paraId="09215770" w14:textId="075CBD64" w:rsidR="00DF7DC9" w:rsidRPr="00C117BD" w:rsidRDefault="0085750B" w:rsidP="002535A0">
            <w:pPr>
              <w:pStyle w:val="ListParagraph"/>
              <w:numPr>
                <w:ilvl w:val="0"/>
                <w:numId w:val="9"/>
              </w:numPr>
              <w:tabs>
                <w:tab w:val="left" w:pos="1815"/>
              </w:tabs>
              <w:spacing w:after="120"/>
              <w:rPr>
                <w:rFonts w:cs="Arial"/>
                <w:lang w:val="en"/>
              </w:rPr>
            </w:pPr>
            <w:r w:rsidRPr="00964F65">
              <w:rPr>
                <w:rFonts w:cs="Arial"/>
                <w:lang w:val="en"/>
              </w:rPr>
              <w:t xml:space="preserve">Participation in </w:t>
            </w:r>
            <w:r w:rsidR="00DF7DC9" w:rsidRPr="00964F65">
              <w:rPr>
                <w:rFonts w:cs="Arial"/>
                <w:lang w:val="en"/>
              </w:rPr>
              <w:t xml:space="preserve">State </w:t>
            </w:r>
            <w:r w:rsidR="002535A0" w:rsidRPr="00964F65">
              <w:rPr>
                <w:rFonts w:cs="Arial"/>
                <w:lang w:val="en"/>
              </w:rPr>
              <w:t>Board Standards U</w:t>
            </w:r>
            <w:r w:rsidR="00DF7DC9" w:rsidRPr="00964F65">
              <w:rPr>
                <w:rFonts w:cs="Arial"/>
                <w:lang w:val="en"/>
              </w:rPr>
              <w:t>nit project</w:t>
            </w:r>
            <w:r w:rsidR="00DA1C1B" w:rsidRPr="00964F65">
              <w:rPr>
                <w:rFonts w:cs="Arial"/>
                <w:lang w:val="en"/>
              </w:rPr>
              <w:t xml:space="preserve"> to address nutrients </w:t>
            </w:r>
            <w:r w:rsidR="007B308C" w:rsidRPr="00964F65">
              <w:rPr>
                <w:rFonts w:cs="Arial"/>
                <w:lang w:val="en"/>
              </w:rPr>
              <w:t>w</w:t>
            </w:r>
            <w:r w:rsidR="007B308C">
              <w:rPr>
                <w:rFonts w:cs="Arial"/>
                <w:lang w:val="en"/>
              </w:rPr>
              <w:t>ith</w:t>
            </w:r>
            <w:r w:rsidR="00DA1C1B">
              <w:rPr>
                <w:rFonts w:cs="Arial"/>
                <w:lang w:val="en"/>
              </w:rPr>
              <w:t xml:space="preserve"> a biostimulatory substances objective</w:t>
            </w:r>
            <w:r w:rsidR="00964F65">
              <w:rPr>
                <w:rFonts w:cs="Arial"/>
                <w:lang w:val="en"/>
              </w:rPr>
              <w:t xml:space="preserve"> </w:t>
            </w:r>
            <w:r w:rsidR="00DA1C1B">
              <w:rPr>
                <w:rFonts w:cs="Arial"/>
                <w:lang w:val="en"/>
              </w:rPr>
              <w:t xml:space="preserve">and </w:t>
            </w:r>
            <w:r w:rsidR="0044516D">
              <w:rPr>
                <w:rFonts w:cs="Arial"/>
                <w:lang w:val="en"/>
              </w:rPr>
              <w:t xml:space="preserve">develop a </w:t>
            </w:r>
            <w:r w:rsidR="00DA1C1B">
              <w:rPr>
                <w:rFonts w:cs="Arial"/>
                <w:lang w:val="en"/>
              </w:rPr>
              <w:t>program to implement biological integrity.</w:t>
            </w:r>
            <w:r w:rsidR="00DF7DC9" w:rsidRPr="00C117BD">
              <w:rPr>
                <w:rFonts w:cs="Arial"/>
                <w:lang w:val="en"/>
              </w:rPr>
              <w:t xml:space="preserve"> </w:t>
            </w:r>
          </w:p>
          <w:p w14:paraId="5F240C39" w14:textId="77777777" w:rsidR="001F3B87" w:rsidRPr="00C117BD" w:rsidRDefault="001F3B87" w:rsidP="00DD029B">
            <w:pPr>
              <w:pStyle w:val="ListParagraph"/>
              <w:numPr>
                <w:ilvl w:val="0"/>
                <w:numId w:val="9"/>
              </w:numPr>
              <w:tabs>
                <w:tab w:val="left" w:pos="1815"/>
              </w:tabs>
              <w:contextualSpacing w:val="0"/>
              <w:rPr>
                <w:rStyle w:val="Strong"/>
                <w:b w:val="0"/>
              </w:rPr>
            </w:pPr>
            <w:r w:rsidRPr="00964F65">
              <w:rPr>
                <w:rStyle w:val="Strong"/>
                <w:b w:val="0"/>
              </w:rPr>
              <w:t>Lake Tahoe Shor</w:t>
            </w:r>
            <w:r w:rsidR="00F83BEF" w:rsidRPr="00964F65">
              <w:rPr>
                <w:rStyle w:val="Strong"/>
                <w:b w:val="0"/>
              </w:rPr>
              <w:t xml:space="preserve">eline </w:t>
            </w:r>
            <w:r w:rsidR="00DA098C">
              <w:rPr>
                <w:rStyle w:val="Strong"/>
                <w:b w:val="0"/>
              </w:rPr>
              <w:t>Basin Plan A</w:t>
            </w:r>
            <w:r w:rsidR="00F83BEF">
              <w:rPr>
                <w:rStyle w:val="Strong"/>
                <w:b w:val="0"/>
              </w:rPr>
              <w:t xml:space="preserve">mendment to remove the prohibition on pier development in fish habitat, </w:t>
            </w:r>
            <w:r w:rsidR="00DD029B">
              <w:rPr>
                <w:rStyle w:val="Strong"/>
                <w:b w:val="0"/>
              </w:rPr>
              <w:t xml:space="preserve">to </w:t>
            </w:r>
            <w:r w:rsidR="00DA098C">
              <w:rPr>
                <w:rStyle w:val="Strong"/>
                <w:b w:val="0"/>
              </w:rPr>
              <w:t>be</w:t>
            </w:r>
            <w:r w:rsidR="00DD029B">
              <w:rPr>
                <w:rStyle w:val="Strong"/>
                <w:b w:val="0"/>
              </w:rPr>
              <w:t xml:space="preserve"> </w:t>
            </w:r>
            <w:r w:rsidR="00F83BEF">
              <w:rPr>
                <w:rStyle w:val="Strong"/>
                <w:b w:val="0"/>
              </w:rPr>
              <w:t>consisten</w:t>
            </w:r>
            <w:r w:rsidR="00DA098C">
              <w:rPr>
                <w:rStyle w:val="Strong"/>
                <w:b w:val="0"/>
              </w:rPr>
              <w:t>t</w:t>
            </w:r>
            <w:r w:rsidR="00F83BEF">
              <w:rPr>
                <w:rStyle w:val="Strong"/>
                <w:b w:val="0"/>
              </w:rPr>
              <w:t xml:space="preserve"> with </w:t>
            </w:r>
            <w:r w:rsidR="00DA098C">
              <w:rPr>
                <w:rStyle w:val="Strong"/>
                <w:b w:val="0"/>
              </w:rPr>
              <w:t>t</w:t>
            </w:r>
            <w:r w:rsidR="00DD029B">
              <w:rPr>
                <w:rStyle w:val="Strong"/>
                <w:b w:val="0"/>
              </w:rPr>
              <w:t xml:space="preserve">he </w:t>
            </w:r>
            <w:r w:rsidR="00F83BEF">
              <w:rPr>
                <w:rStyle w:val="Strong"/>
                <w:b w:val="0"/>
              </w:rPr>
              <w:t>Tahoe Regional Planning Agency</w:t>
            </w:r>
            <w:r w:rsidR="00DD029B">
              <w:rPr>
                <w:rStyle w:val="Strong"/>
                <w:b w:val="0"/>
              </w:rPr>
              <w:t>’s</w:t>
            </w:r>
            <w:r w:rsidR="00F83BEF">
              <w:rPr>
                <w:rStyle w:val="Strong"/>
                <w:b w:val="0"/>
              </w:rPr>
              <w:t xml:space="preserve"> </w:t>
            </w:r>
            <w:r w:rsidR="0044516D">
              <w:rPr>
                <w:rStyle w:val="Strong"/>
                <w:b w:val="0"/>
              </w:rPr>
              <w:t xml:space="preserve">(TRPA) </w:t>
            </w:r>
            <w:r w:rsidR="00DA098C">
              <w:rPr>
                <w:rStyle w:val="Strong"/>
                <w:b w:val="0"/>
              </w:rPr>
              <w:t>Lake Tahoe Shoreline Plan</w:t>
            </w:r>
          </w:p>
          <w:p w14:paraId="04F5CAD1" w14:textId="77777777" w:rsidR="00503828" w:rsidRDefault="00503828" w:rsidP="00DD029B">
            <w:pPr>
              <w:rPr>
                <w:rStyle w:val="Strong"/>
                <w:b w:val="0"/>
              </w:rPr>
            </w:pPr>
          </w:p>
          <w:p w14:paraId="64725AD0" w14:textId="77777777" w:rsidR="00C15A4C" w:rsidRPr="00D651F8" w:rsidRDefault="00D651F8" w:rsidP="00DA098C">
            <w:pPr>
              <w:rPr>
                <w:rStyle w:val="Strong"/>
                <w:b w:val="0"/>
              </w:rPr>
            </w:pPr>
            <w:r>
              <w:rPr>
                <w:rStyle w:val="Strong"/>
                <w:b w:val="0"/>
              </w:rPr>
              <w:t xml:space="preserve">Other </w:t>
            </w:r>
            <w:r w:rsidR="00C15A4C" w:rsidRPr="00D651F8">
              <w:rPr>
                <w:rStyle w:val="Strong"/>
                <w:b w:val="0"/>
              </w:rPr>
              <w:t>Triennial Review</w:t>
            </w:r>
            <w:r>
              <w:rPr>
                <w:rStyle w:val="Strong"/>
                <w:b w:val="0"/>
              </w:rPr>
              <w:t xml:space="preserve"> priorities </w:t>
            </w:r>
            <w:r w:rsidR="004F69BC">
              <w:rPr>
                <w:rStyle w:val="Strong"/>
                <w:b w:val="0"/>
              </w:rPr>
              <w:t xml:space="preserve">may be assigned to seek consistency or clarification related to State Board actions, </w:t>
            </w:r>
            <w:r w:rsidR="00DA098C">
              <w:rPr>
                <w:rStyle w:val="Strong"/>
                <w:b w:val="0"/>
              </w:rPr>
              <w:t>in response to</w:t>
            </w:r>
            <w:r w:rsidR="004F69BC">
              <w:rPr>
                <w:rStyle w:val="Strong"/>
                <w:b w:val="0"/>
              </w:rPr>
              <w:t xml:space="preserve"> recommendations in the Climate Change Adaptation Strategy, or in response to </w:t>
            </w:r>
            <w:r w:rsidR="00DA098C">
              <w:rPr>
                <w:rStyle w:val="Strong"/>
                <w:b w:val="0"/>
              </w:rPr>
              <w:t>Water B</w:t>
            </w:r>
            <w:r w:rsidR="004F69BC">
              <w:rPr>
                <w:rStyle w:val="Strong"/>
                <w:b w:val="0"/>
              </w:rPr>
              <w:t>oard direction.</w:t>
            </w:r>
            <w:r>
              <w:rPr>
                <w:rStyle w:val="Strong"/>
                <w:b w:val="0"/>
              </w:rPr>
              <w:t xml:space="preserve"> </w:t>
            </w:r>
          </w:p>
        </w:tc>
      </w:tr>
    </w:tbl>
    <w:p w14:paraId="74A24A1C" w14:textId="77777777" w:rsidR="00017119" w:rsidRDefault="00017119"/>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4939"/>
        <w:gridCol w:w="4939"/>
      </w:tblGrid>
      <w:tr w:rsidR="003F4F1C" w14:paraId="75E7B75A" w14:textId="77777777" w:rsidTr="00FE39A1">
        <w:trPr>
          <w:trHeight w:val="26"/>
        </w:trPr>
        <w:tc>
          <w:tcPr>
            <w:tcW w:w="4939" w:type="dxa"/>
            <w:tcBorders>
              <w:top w:val="nil"/>
              <w:left w:val="nil"/>
              <w:bottom w:val="nil"/>
              <w:right w:val="nil"/>
            </w:tcBorders>
            <w:shd w:val="clear" w:color="auto" w:fill="auto"/>
          </w:tcPr>
          <w:p w14:paraId="1827D4CD" w14:textId="0BDA59EE" w:rsidR="003F4F1C" w:rsidRPr="00BC03BB" w:rsidRDefault="00A21EDB" w:rsidP="0014671F">
            <w:pPr>
              <w:tabs>
                <w:tab w:val="left" w:pos="1815"/>
              </w:tabs>
              <w:spacing w:after="120"/>
              <w:rPr>
                <w:rStyle w:val="Strong"/>
                <w:b w:val="0"/>
                <w:sz w:val="32"/>
              </w:rPr>
            </w:pPr>
            <w:r>
              <w:br w:type="page"/>
            </w:r>
            <w:bookmarkStart w:id="0" w:name="_GoBack"/>
            <w:bookmarkEnd w:id="0"/>
          </w:p>
        </w:tc>
        <w:tc>
          <w:tcPr>
            <w:tcW w:w="4939" w:type="dxa"/>
            <w:tcBorders>
              <w:top w:val="nil"/>
              <w:left w:val="nil"/>
              <w:bottom w:val="nil"/>
              <w:right w:val="nil"/>
            </w:tcBorders>
            <w:shd w:val="clear" w:color="auto" w:fill="auto"/>
          </w:tcPr>
          <w:p w14:paraId="4B1B6B14" w14:textId="77777777" w:rsidR="003F4F1C" w:rsidRPr="00BC03BB" w:rsidRDefault="003F4F1C" w:rsidP="0014671F">
            <w:pPr>
              <w:tabs>
                <w:tab w:val="left" w:pos="1815"/>
              </w:tabs>
              <w:spacing w:after="120"/>
              <w:rPr>
                <w:rStyle w:val="Strong"/>
                <w:b w:val="0"/>
                <w:sz w:val="32"/>
              </w:rPr>
            </w:pPr>
          </w:p>
        </w:tc>
      </w:tr>
      <w:tr w:rsidR="00D22E6D" w14:paraId="6F66452D" w14:textId="77777777" w:rsidTr="00D745C0">
        <w:trPr>
          <w:trHeight w:val="3185"/>
        </w:trPr>
        <w:tc>
          <w:tcPr>
            <w:tcW w:w="9878" w:type="dxa"/>
            <w:gridSpan w:val="2"/>
            <w:tcBorders>
              <w:bottom w:val="single" w:sz="4" w:space="0" w:color="auto"/>
            </w:tcBorders>
            <w:shd w:val="clear" w:color="auto" w:fill="DAEEF3" w:themeFill="accent5" w:themeFillTint="33"/>
          </w:tcPr>
          <w:p w14:paraId="5571F6C6" w14:textId="77777777" w:rsidR="001254EA" w:rsidRDefault="006F1E49" w:rsidP="0014671F">
            <w:pPr>
              <w:tabs>
                <w:tab w:val="left" w:pos="1815"/>
              </w:tabs>
              <w:spacing w:after="120"/>
              <w:rPr>
                <w:rStyle w:val="Strong"/>
                <w:b w:val="0"/>
                <w:sz w:val="32"/>
              </w:rPr>
            </w:pPr>
            <w:r w:rsidRPr="006F1E49">
              <w:rPr>
                <w:bCs/>
                <w:noProof/>
                <w:sz w:val="32"/>
              </w:rPr>
              <w:lastRenderedPageBreak/>
              <w:drawing>
                <wp:anchor distT="0" distB="0" distL="114300" distR="114300" simplePos="0" relativeHeight="251658240" behindDoc="0" locked="0" layoutInCell="1" allowOverlap="1" wp14:anchorId="1E867EFB" wp14:editId="28C21730">
                  <wp:simplePos x="0" y="0"/>
                  <wp:positionH relativeFrom="column">
                    <wp:posOffset>3237865</wp:posOffset>
                  </wp:positionH>
                  <wp:positionV relativeFrom="paragraph">
                    <wp:posOffset>0</wp:posOffset>
                  </wp:positionV>
                  <wp:extent cx="2694305" cy="1975485"/>
                  <wp:effectExtent l="0" t="0" r="0" b="571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extLst>
                              <a:ext uri="{28A0092B-C50C-407E-A947-70E740481C1C}">
                                <a14:useLocalDpi xmlns:a14="http://schemas.microsoft.com/office/drawing/2010/main" val="0"/>
                              </a:ext>
                            </a:extLst>
                          </a:blip>
                          <a:srcRect b="11214"/>
                          <a:stretch/>
                        </pic:blipFill>
                        <pic:spPr>
                          <a:xfrm>
                            <a:off x="0" y="0"/>
                            <a:ext cx="2694305" cy="1975485"/>
                          </a:xfrm>
                          <a:prstGeom prst="rect">
                            <a:avLst/>
                          </a:prstGeom>
                        </pic:spPr>
                      </pic:pic>
                    </a:graphicData>
                  </a:graphic>
                </wp:anchor>
              </w:drawing>
            </w:r>
            <w:r w:rsidR="0014671F" w:rsidRPr="00BC03BB">
              <w:rPr>
                <w:rStyle w:val="Strong"/>
                <w:b w:val="0"/>
                <w:sz w:val="32"/>
              </w:rPr>
              <w:t>Accomplishment</w:t>
            </w:r>
            <w:r w:rsidR="001254EA">
              <w:rPr>
                <w:rStyle w:val="Strong"/>
                <w:b w:val="0"/>
                <w:sz w:val="32"/>
              </w:rPr>
              <w:t>s</w:t>
            </w:r>
          </w:p>
          <w:p w14:paraId="1014E62B" w14:textId="77777777" w:rsidR="00DA1C1B" w:rsidRPr="00FE39A1" w:rsidRDefault="00DA1C1B" w:rsidP="0014671F">
            <w:pPr>
              <w:tabs>
                <w:tab w:val="left" w:pos="1815"/>
              </w:tabs>
              <w:spacing w:after="120"/>
              <w:rPr>
                <w:rStyle w:val="Strong"/>
                <w:b w:val="0"/>
              </w:rPr>
            </w:pPr>
            <w:r w:rsidRPr="00FE39A1">
              <w:rPr>
                <w:rStyle w:val="Strong"/>
              </w:rPr>
              <w:t>Squaw Valley Groundwater Withdrawal and Instream Flow</w:t>
            </w:r>
            <w:r>
              <w:rPr>
                <w:rStyle w:val="Strong"/>
                <w:b w:val="0"/>
              </w:rPr>
              <w:t xml:space="preserve"> – November 2017 Board Workshop</w:t>
            </w:r>
            <w:r w:rsidR="001E6090">
              <w:rPr>
                <w:rStyle w:val="Strong"/>
                <w:b w:val="0"/>
              </w:rPr>
              <w:t xml:space="preserve"> included presentations from State Board and Region 1 on the development and implementation programs for instream flow criteria related to cannabis cultivation and other water quality factors.</w:t>
            </w:r>
          </w:p>
          <w:p w14:paraId="0CCECA1A" w14:textId="77777777" w:rsidR="0003385F" w:rsidRDefault="0003385F" w:rsidP="000A30B2">
            <w:pPr>
              <w:spacing w:before="120"/>
              <w:rPr>
                <w:rStyle w:val="Strong"/>
                <w:b w:val="0"/>
              </w:rPr>
            </w:pPr>
            <w:r>
              <w:rPr>
                <w:rStyle w:val="Strong"/>
              </w:rPr>
              <w:t xml:space="preserve">Mojave River </w:t>
            </w:r>
            <w:r w:rsidR="00A54930">
              <w:rPr>
                <w:rStyle w:val="Strong"/>
              </w:rPr>
              <w:t xml:space="preserve">Watershed </w:t>
            </w:r>
            <w:r w:rsidR="00A54930">
              <w:rPr>
                <w:rStyle w:val="Strong"/>
                <w:b w:val="0"/>
              </w:rPr>
              <w:t>–</w:t>
            </w:r>
            <w:r w:rsidR="00C77107">
              <w:rPr>
                <w:rStyle w:val="Strong"/>
              </w:rPr>
              <w:t xml:space="preserve"> </w:t>
            </w:r>
            <w:r w:rsidR="00A54930">
              <w:rPr>
                <w:rStyle w:val="Strong"/>
                <w:b w:val="0"/>
              </w:rPr>
              <w:t>I</w:t>
            </w:r>
            <w:r w:rsidR="00C77107" w:rsidRPr="00FE39A1">
              <w:rPr>
                <w:rStyle w:val="Strong"/>
                <w:b w:val="0"/>
              </w:rPr>
              <w:t>nvestigated</w:t>
            </w:r>
            <w:r>
              <w:rPr>
                <w:rStyle w:val="Strong"/>
                <w:b w:val="0"/>
              </w:rPr>
              <w:t xml:space="preserve"> and developed recommendations to address </w:t>
            </w:r>
            <w:r w:rsidR="00DA1C1B">
              <w:rPr>
                <w:rStyle w:val="Strong"/>
                <w:b w:val="0"/>
              </w:rPr>
              <w:t>three</w:t>
            </w:r>
            <w:r w:rsidR="00C77107">
              <w:rPr>
                <w:rStyle w:val="Strong"/>
                <w:b w:val="0"/>
              </w:rPr>
              <w:t xml:space="preserve"> </w:t>
            </w:r>
            <w:r>
              <w:rPr>
                <w:rStyle w:val="Strong"/>
                <w:b w:val="0"/>
              </w:rPr>
              <w:t xml:space="preserve">Triennial Review prioritized </w:t>
            </w:r>
            <w:r w:rsidR="008B7B42">
              <w:rPr>
                <w:rStyle w:val="Strong"/>
                <w:b w:val="0"/>
              </w:rPr>
              <w:t>projects</w:t>
            </w:r>
            <w:r w:rsidR="00DA1C1B">
              <w:rPr>
                <w:rStyle w:val="Strong"/>
                <w:b w:val="0"/>
              </w:rPr>
              <w:t xml:space="preserve"> related to Mojave River surface water</w:t>
            </w:r>
            <w:r w:rsidR="00A54930">
              <w:rPr>
                <w:rStyle w:val="Strong"/>
                <w:b w:val="0"/>
              </w:rPr>
              <w:t>s.  Started work on a</w:t>
            </w:r>
            <w:r w:rsidR="00DA1C1B">
              <w:rPr>
                <w:rStyle w:val="Strong"/>
                <w:b w:val="0"/>
              </w:rPr>
              <w:t xml:space="preserve"> fourth priority evaluating the need </w:t>
            </w:r>
            <w:r w:rsidR="00A54930">
              <w:rPr>
                <w:rStyle w:val="Strong"/>
                <w:b w:val="0"/>
              </w:rPr>
              <w:t>to</w:t>
            </w:r>
            <w:r w:rsidR="00DA1C1B">
              <w:rPr>
                <w:rStyle w:val="Strong"/>
                <w:b w:val="0"/>
              </w:rPr>
              <w:t xml:space="preserve"> </w:t>
            </w:r>
            <w:r w:rsidR="00042CB4">
              <w:rPr>
                <w:rStyle w:val="Strong"/>
                <w:b w:val="0"/>
              </w:rPr>
              <w:t>establish</w:t>
            </w:r>
            <w:r w:rsidR="00DA1C1B">
              <w:rPr>
                <w:rStyle w:val="Strong"/>
                <w:b w:val="0"/>
              </w:rPr>
              <w:t xml:space="preserve"> groundwater objectives.</w:t>
            </w:r>
          </w:p>
          <w:p w14:paraId="742C100C" w14:textId="77777777" w:rsidR="00DA1C1B" w:rsidRDefault="00DA1C1B" w:rsidP="000A30B2">
            <w:pPr>
              <w:spacing w:before="120"/>
              <w:rPr>
                <w:rStyle w:val="Strong"/>
                <w:b w:val="0"/>
              </w:rPr>
            </w:pPr>
            <w:r>
              <w:rPr>
                <w:rStyle w:val="Strong"/>
              </w:rPr>
              <w:t>State Board Standards Projects</w:t>
            </w:r>
            <w:r>
              <w:rPr>
                <w:rStyle w:val="Strong"/>
                <w:b w:val="0"/>
              </w:rPr>
              <w:t xml:space="preserve"> </w:t>
            </w:r>
            <w:r w:rsidRPr="0044516D">
              <w:rPr>
                <w:rStyle w:val="Strong"/>
                <w:b w:val="0"/>
              </w:rPr>
              <w:t>–</w:t>
            </w:r>
            <w:r>
              <w:rPr>
                <w:rStyle w:val="Strong"/>
              </w:rPr>
              <w:t xml:space="preserve"> </w:t>
            </w:r>
            <w:r w:rsidR="0044516D">
              <w:rPr>
                <w:rStyle w:val="Strong"/>
                <w:b w:val="0"/>
              </w:rPr>
              <w:t>P</w:t>
            </w:r>
            <w:r>
              <w:rPr>
                <w:rStyle w:val="Strong"/>
                <w:b w:val="0"/>
              </w:rPr>
              <w:t xml:space="preserve">rovided input into </w:t>
            </w:r>
            <w:r w:rsidR="0044516D">
              <w:rPr>
                <w:rStyle w:val="Strong"/>
                <w:b w:val="0"/>
              </w:rPr>
              <w:t xml:space="preserve">State Board </w:t>
            </w:r>
            <w:r>
              <w:rPr>
                <w:rStyle w:val="Strong"/>
                <w:b w:val="0"/>
              </w:rPr>
              <w:t>efforts to adopt:</w:t>
            </w:r>
          </w:p>
          <w:p w14:paraId="59709CEF" w14:textId="77777777" w:rsidR="00DA1C1B" w:rsidRPr="001F3B87" w:rsidRDefault="0044516D" w:rsidP="00A54930">
            <w:pPr>
              <w:pStyle w:val="ListParagraph"/>
              <w:numPr>
                <w:ilvl w:val="0"/>
                <w:numId w:val="13"/>
              </w:numPr>
              <w:spacing w:before="120"/>
              <w:ind w:left="417"/>
              <w:rPr>
                <w:rStyle w:val="Strong"/>
                <w:b w:val="0"/>
              </w:rPr>
            </w:pPr>
            <w:r>
              <w:rPr>
                <w:rStyle w:val="Strong"/>
                <w:b w:val="0"/>
              </w:rPr>
              <w:t>Statewide b</w:t>
            </w:r>
            <w:r w:rsidR="00DA1C1B" w:rsidRPr="00DA1C1B">
              <w:rPr>
                <w:rStyle w:val="Strong"/>
                <w:b w:val="0"/>
              </w:rPr>
              <w:t xml:space="preserve">acteria objectives for the REC-1 </w:t>
            </w:r>
            <w:r>
              <w:rPr>
                <w:rStyle w:val="Strong"/>
                <w:b w:val="0"/>
              </w:rPr>
              <w:t>B</w:t>
            </w:r>
            <w:r w:rsidR="00DA1C1B" w:rsidRPr="00DA1C1B">
              <w:rPr>
                <w:rStyle w:val="Strong"/>
                <w:b w:val="0"/>
              </w:rPr>
              <w:t>eneficial Us</w:t>
            </w:r>
            <w:r w:rsidR="00DA1C1B" w:rsidRPr="001F3B87">
              <w:rPr>
                <w:rStyle w:val="Strong"/>
                <w:b w:val="0"/>
              </w:rPr>
              <w:t>e</w:t>
            </w:r>
            <w:r w:rsidR="001F3B87">
              <w:rPr>
                <w:rStyle w:val="Strong"/>
                <w:b w:val="0"/>
              </w:rPr>
              <w:t xml:space="preserve"> (</w:t>
            </w:r>
            <w:r w:rsidR="00675214">
              <w:rPr>
                <w:rStyle w:val="Strong"/>
                <w:b w:val="0"/>
              </w:rPr>
              <w:t>Anticipated adoption</w:t>
            </w:r>
            <w:r w:rsidR="001F3B87">
              <w:rPr>
                <w:rStyle w:val="Strong"/>
                <w:b w:val="0"/>
              </w:rPr>
              <w:t xml:space="preserve"> </w:t>
            </w:r>
            <w:r w:rsidR="00675214" w:rsidRPr="009A0833">
              <w:rPr>
                <w:rStyle w:val="Strong"/>
                <w:b w:val="0"/>
              </w:rPr>
              <w:t>summer</w:t>
            </w:r>
            <w:r w:rsidR="001F3B87">
              <w:rPr>
                <w:rStyle w:val="Strong"/>
                <w:b w:val="0"/>
              </w:rPr>
              <w:t xml:space="preserve"> 2018)</w:t>
            </w:r>
          </w:p>
          <w:p w14:paraId="50417156" w14:textId="77777777" w:rsidR="00DA1C1B" w:rsidRPr="001F3B87" w:rsidRDefault="0044516D" w:rsidP="00A54930">
            <w:pPr>
              <w:pStyle w:val="ListParagraph"/>
              <w:numPr>
                <w:ilvl w:val="0"/>
                <w:numId w:val="13"/>
              </w:numPr>
              <w:spacing w:before="120"/>
              <w:ind w:left="417"/>
              <w:rPr>
                <w:rStyle w:val="Strong"/>
                <w:b w:val="0"/>
              </w:rPr>
            </w:pPr>
            <w:r>
              <w:rPr>
                <w:rStyle w:val="Strong"/>
                <w:b w:val="0"/>
              </w:rPr>
              <w:t>Statewide m</w:t>
            </w:r>
            <w:r w:rsidR="00DA1C1B" w:rsidRPr="00FE39A1">
              <w:rPr>
                <w:rStyle w:val="Strong"/>
                <w:b w:val="0"/>
              </w:rPr>
              <w:t xml:space="preserve">ercury </w:t>
            </w:r>
            <w:r>
              <w:rPr>
                <w:rStyle w:val="Strong"/>
                <w:b w:val="0"/>
              </w:rPr>
              <w:t>o</w:t>
            </w:r>
            <w:r w:rsidR="00DA1C1B" w:rsidRPr="00FE39A1">
              <w:rPr>
                <w:rStyle w:val="Strong"/>
                <w:b w:val="0"/>
              </w:rPr>
              <w:t>bjectives and accompanying Tribal Cultural, Tribal Subsistence Fishing, and Subsistence Fishing</w:t>
            </w:r>
            <w:r w:rsidR="001F3B87">
              <w:rPr>
                <w:rStyle w:val="Strong"/>
                <w:b w:val="0"/>
              </w:rPr>
              <w:t xml:space="preserve"> </w:t>
            </w:r>
            <w:r>
              <w:rPr>
                <w:rStyle w:val="Strong"/>
                <w:b w:val="0"/>
              </w:rPr>
              <w:t xml:space="preserve">Beneficial Uses </w:t>
            </w:r>
            <w:r w:rsidR="001F3B87">
              <w:rPr>
                <w:rStyle w:val="Strong"/>
                <w:b w:val="0"/>
              </w:rPr>
              <w:t>(Adopted May 2017)</w:t>
            </w:r>
          </w:p>
          <w:p w14:paraId="79A5DB63" w14:textId="77777777" w:rsidR="001E6090" w:rsidRDefault="000A30B2" w:rsidP="001E6090">
            <w:pPr>
              <w:spacing w:before="120"/>
              <w:rPr>
                <w:rStyle w:val="Strong"/>
                <w:b w:val="0"/>
              </w:rPr>
            </w:pPr>
            <w:r w:rsidRPr="000A30B2">
              <w:rPr>
                <w:rStyle w:val="Strong"/>
              </w:rPr>
              <w:t xml:space="preserve">Lake Tahoe Shoreline </w:t>
            </w:r>
            <w:r w:rsidR="0044516D">
              <w:rPr>
                <w:rStyle w:val="Strong"/>
              </w:rPr>
              <w:t>Plan</w:t>
            </w:r>
            <w:r>
              <w:rPr>
                <w:rStyle w:val="Strong"/>
              </w:rPr>
              <w:t xml:space="preserve"> </w:t>
            </w:r>
            <w:r w:rsidRPr="0044516D">
              <w:rPr>
                <w:rStyle w:val="Strong"/>
                <w:b w:val="0"/>
              </w:rPr>
              <w:t>–</w:t>
            </w:r>
            <w:r w:rsidR="001E6090">
              <w:rPr>
                <w:rStyle w:val="Strong"/>
                <w:b w:val="0"/>
              </w:rPr>
              <w:t xml:space="preserve"> </w:t>
            </w:r>
            <w:r w:rsidR="0044516D">
              <w:rPr>
                <w:rStyle w:val="Strong"/>
                <w:b w:val="0"/>
              </w:rPr>
              <w:t xml:space="preserve">The </w:t>
            </w:r>
            <w:r>
              <w:rPr>
                <w:rStyle w:val="Strong"/>
                <w:b w:val="0"/>
              </w:rPr>
              <w:t xml:space="preserve">Project will </w:t>
            </w:r>
            <w:r w:rsidR="0044516D">
              <w:rPr>
                <w:rStyle w:val="Strong"/>
                <w:b w:val="0"/>
              </w:rPr>
              <w:t>require</w:t>
            </w:r>
            <w:r>
              <w:rPr>
                <w:rStyle w:val="Strong"/>
                <w:b w:val="0"/>
              </w:rPr>
              <w:t xml:space="preserve"> </w:t>
            </w:r>
            <w:r w:rsidR="001E6090">
              <w:rPr>
                <w:rStyle w:val="Strong"/>
                <w:b w:val="0"/>
              </w:rPr>
              <w:t xml:space="preserve">independent scientific peer review and </w:t>
            </w:r>
            <w:r w:rsidR="0044516D">
              <w:rPr>
                <w:rStyle w:val="Strong"/>
                <w:b w:val="0"/>
              </w:rPr>
              <w:t xml:space="preserve">a Basin Plan Amendment related to </w:t>
            </w:r>
            <w:r w:rsidR="00195B95">
              <w:rPr>
                <w:rStyle w:val="Strong"/>
                <w:b w:val="0"/>
              </w:rPr>
              <w:t>its</w:t>
            </w:r>
            <w:r w:rsidR="0044516D">
              <w:rPr>
                <w:rStyle w:val="Strong"/>
                <w:b w:val="0"/>
              </w:rPr>
              <w:t xml:space="preserve"> </w:t>
            </w:r>
            <w:r>
              <w:rPr>
                <w:rStyle w:val="Strong"/>
                <w:b w:val="0"/>
              </w:rPr>
              <w:t>pier prohibition</w:t>
            </w:r>
            <w:r w:rsidR="001E6090">
              <w:rPr>
                <w:rStyle w:val="Strong"/>
                <w:b w:val="0"/>
              </w:rPr>
              <w:t>.</w:t>
            </w:r>
          </w:p>
          <w:p w14:paraId="6ADE5B6D" w14:textId="77777777" w:rsidR="00CA4A45" w:rsidRPr="00975874" w:rsidRDefault="006122E2" w:rsidP="009A0833">
            <w:pPr>
              <w:rPr>
                <w:rStyle w:val="Strong"/>
                <w:b w:val="0"/>
                <w:sz w:val="22"/>
                <w:szCs w:val="22"/>
              </w:rPr>
            </w:pPr>
            <w:r w:rsidRPr="000A30B2">
              <w:rPr>
                <w:rStyle w:val="Strong"/>
              </w:rPr>
              <w:t>Climate C</w:t>
            </w:r>
            <w:r w:rsidR="00D745C0" w:rsidRPr="000A30B2">
              <w:rPr>
                <w:rStyle w:val="Strong"/>
              </w:rPr>
              <w:t xml:space="preserve">hange </w:t>
            </w:r>
            <w:r w:rsidR="009A0833">
              <w:rPr>
                <w:rStyle w:val="Strong"/>
              </w:rPr>
              <w:t>Adaptation Planning</w:t>
            </w:r>
            <w:r w:rsidR="000A30B2">
              <w:rPr>
                <w:rStyle w:val="Strong"/>
              </w:rPr>
              <w:t xml:space="preserve"> - </w:t>
            </w:r>
            <w:r w:rsidR="009A0833">
              <w:t>During September and October of 2017, the Lahontan Regional Board hosted a series of public meetings throughout the region in Truckee, Bishop, and Apple Valley. The meetings were held to consider public input and foster productive relationships as we further develop key elements to include in the Climate Change Mitigation and Adaptation Strategy.</w:t>
            </w:r>
            <w:r w:rsidR="00D745C0" w:rsidRPr="003F4F1C">
              <w:rPr>
                <w:rStyle w:val="Strong"/>
                <w:b w:val="0"/>
              </w:rPr>
              <w:t xml:space="preserve"> </w:t>
            </w:r>
          </w:p>
        </w:tc>
      </w:tr>
      <w:tr w:rsidR="00D22E6D" w:rsidRPr="007A3BCB" w14:paraId="53885CEA" w14:textId="77777777" w:rsidTr="007A0399">
        <w:tc>
          <w:tcPr>
            <w:tcW w:w="9878" w:type="dxa"/>
            <w:gridSpan w:val="2"/>
            <w:tcBorders>
              <w:left w:val="nil"/>
              <w:bottom w:val="single" w:sz="4" w:space="0" w:color="auto"/>
              <w:right w:val="nil"/>
            </w:tcBorders>
            <w:tcMar>
              <w:top w:w="0" w:type="dxa"/>
              <w:bottom w:w="0" w:type="dxa"/>
            </w:tcMar>
          </w:tcPr>
          <w:p w14:paraId="4178D4CC" w14:textId="77777777" w:rsidR="00D22E6D" w:rsidRPr="007A3BCB" w:rsidRDefault="00D22E6D" w:rsidP="00555963">
            <w:pPr>
              <w:ind w:left="1440"/>
              <w:rPr>
                <w:rStyle w:val="Strong"/>
                <w:b w:val="0"/>
                <w:sz w:val="12"/>
              </w:rPr>
            </w:pPr>
          </w:p>
        </w:tc>
      </w:tr>
      <w:tr w:rsidR="00D22E6D" w14:paraId="7810C34D" w14:textId="77777777" w:rsidTr="00D745C0">
        <w:trPr>
          <w:trHeight w:val="1295"/>
        </w:trPr>
        <w:tc>
          <w:tcPr>
            <w:tcW w:w="9878" w:type="dxa"/>
            <w:gridSpan w:val="2"/>
            <w:tcBorders>
              <w:bottom w:val="single" w:sz="4" w:space="0" w:color="auto"/>
            </w:tcBorders>
            <w:shd w:val="clear" w:color="auto" w:fill="DAEEF3" w:themeFill="accent5" w:themeFillTint="33"/>
          </w:tcPr>
          <w:p w14:paraId="31616FCD" w14:textId="77777777" w:rsidR="003C1723" w:rsidRPr="003A7EFF" w:rsidRDefault="00D22E6D" w:rsidP="00572047">
            <w:pPr>
              <w:tabs>
                <w:tab w:val="left" w:pos="1815"/>
              </w:tabs>
              <w:spacing w:after="120"/>
              <w:rPr>
                <w:rStyle w:val="Strong"/>
                <w:b w:val="0"/>
                <w:sz w:val="32"/>
              </w:rPr>
            </w:pPr>
            <w:r w:rsidRPr="00BC03BB">
              <w:rPr>
                <w:rStyle w:val="Strong"/>
                <w:b w:val="0"/>
                <w:sz w:val="32"/>
              </w:rPr>
              <w:t xml:space="preserve">Performance targets </w:t>
            </w:r>
            <w:r w:rsidR="00D31127">
              <w:rPr>
                <w:rStyle w:val="Strong"/>
                <w:b w:val="0"/>
                <w:sz w:val="32"/>
              </w:rPr>
              <w:t xml:space="preserve">FY </w:t>
            </w:r>
            <w:r w:rsidR="006122E2">
              <w:rPr>
                <w:rStyle w:val="Strong"/>
                <w:b w:val="0"/>
                <w:sz w:val="32"/>
              </w:rPr>
              <w:t>15/16 and 1</w:t>
            </w:r>
            <w:r w:rsidR="00C15A4C">
              <w:rPr>
                <w:rStyle w:val="Strong"/>
                <w:b w:val="0"/>
                <w:sz w:val="32"/>
              </w:rPr>
              <w:t>6</w:t>
            </w:r>
            <w:r w:rsidR="00C16540">
              <w:rPr>
                <w:rStyle w:val="Strong"/>
                <w:b w:val="0"/>
                <w:sz w:val="32"/>
              </w:rPr>
              <w:t>/</w:t>
            </w:r>
            <w:r w:rsidR="00C15A4C">
              <w:rPr>
                <w:rStyle w:val="Strong"/>
                <w:b w:val="0"/>
                <w:sz w:val="32"/>
              </w:rPr>
              <w:t>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985"/>
              <w:gridCol w:w="2610"/>
            </w:tblGrid>
            <w:tr w:rsidR="003A7EFF" w:rsidRPr="005A094E" w14:paraId="5995C1BC" w14:textId="77777777" w:rsidTr="00AC3CBB">
              <w:tc>
                <w:tcPr>
                  <w:tcW w:w="4590" w:type="dxa"/>
                  <w:vAlign w:val="center"/>
                </w:tcPr>
                <w:p w14:paraId="020AC971" w14:textId="77777777" w:rsidR="003A7EFF" w:rsidRPr="005A094E" w:rsidRDefault="003A7EFF" w:rsidP="003A7EFF">
                  <w:pPr>
                    <w:tabs>
                      <w:tab w:val="left" w:pos="1815"/>
                    </w:tabs>
                    <w:spacing w:after="120"/>
                    <w:rPr>
                      <w:rStyle w:val="Strong"/>
                      <w:b w:val="0"/>
                      <w:u w:val="single"/>
                    </w:rPr>
                  </w:pPr>
                  <w:r w:rsidRPr="005A094E">
                    <w:rPr>
                      <w:rStyle w:val="Strong"/>
                      <w:b w:val="0"/>
                      <w:u w:val="single"/>
                    </w:rPr>
                    <w:t>Target Description</w:t>
                  </w:r>
                </w:p>
              </w:tc>
              <w:tc>
                <w:tcPr>
                  <w:tcW w:w="1985" w:type="dxa"/>
                  <w:vAlign w:val="center"/>
                </w:tcPr>
                <w:p w14:paraId="72DEAFD7" w14:textId="77777777" w:rsidR="003A7EFF" w:rsidRPr="005A094E" w:rsidRDefault="003A7EFF" w:rsidP="00AC3CBB">
                  <w:pPr>
                    <w:spacing w:after="120"/>
                    <w:jc w:val="center"/>
                    <w:rPr>
                      <w:rStyle w:val="Strong"/>
                      <w:b w:val="0"/>
                      <w:u w:val="single"/>
                    </w:rPr>
                  </w:pPr>
                  <w:r w:rsidRPr="005A094E">
                    <w:rPr>
                      <w:rStyle w:val="Strong"/>
                      <w:b w:val="0"/>
                      <w:u w:val="single"/>
                    </w:rPr>
                    <w:t>Targets</w:t>
                  </w:r>
                </w:p>
              </w:tc>
              <w:tc>
                <w:tcPr>
                  <w:tcW w:w="2610" w:type="dxa"/>
                  <w:vAlign w:val="center"/>
                </w:tcPr>
                <w:p w14:paraId="640CC95C" w14:textId="77777777" w:rsidR="003A7EFF" w:rsidRPr="005A094E" w:rsidRDefault="003A7EFF" w:rsidP="00AC3CBB">
                  <w:pPr>
                    <w:spacing w:after="120"/>
                    <w:jc w:val="center"/>
                    <w:rPr>
                      <w:rStyle w:val="Strong"/>
                      <w:b w:val="0"/>
                      <w:u w:val="single"/>
                    </w:rPr>
                  </w:pPr>
                  <w:r w:rsidRPr="005A094E">
                    <w:rPr>
                      <w:rStyle w:val="Strong"/>
                      <w:b w:val="0"/>
                      <w:u w:val="single"/>
                    </w:rPr>
                    <w:t xml:space="preserve"> </w:t>
                  </w:r>
                  <w:r w:rsidR="00505823" w:rsidRPr="005A094E">
                    <w:rPr>
                      <w:rStyle w:val="Strong"/>
                      <w:b w:val="0"/>
                      <w:u w:val="single"/>
                    </w:rPr>
                    <w:t>Achieved</w:t>
                  </w:r>
                </w:p>
              </w:tc>
            </w:tr>
          </w:tbl>
          <w:p w14:paraId="6136380A" w14:textId="77777777" w:rsidR="00CC382A" w:rsidRPr="00034565" w:rsidRDefault="00806A92" w:rsidP="00D745C0">
            <w:pPr>
              <w:tabs>
                <w:tab w:val="left" w:pos="90"/>
              </w:tabs>
              <w:spacing w:after="120"/>
              <w:rPr>
                <w:rStyle w:val="Strong"/>
                <w:b w:val="0"/>
                <w:sz w:val="20"/>
                <w:szCs w:val="20"/>
              </w:rPr>
            </w:pPr>
            <w:r w:rsidRPr="005A094E">
              <w:rPr>
                <w:rStyle w:val="Strong"/>
                <w:b w:val="0"/>
              </w:rPr>
              <w:t xml:space="preserve"># of Water Quality Objectives Adopted                         </w:t>
            </w:r>
            <w:r w:rsidR="00EE65C3" w:rsidRPr="005A094E">
              <w:rPr>
                <w:rStyle w:val="Strong"/>
                <w:b w:val="0"/>
              </w:rPr>
              <w:t xml:space="preserve"> </w:t>
            </w:r>
            <w:r w:rsidRPr="005A094E">
              <w:rPr>
                <w:rStyle w:val="Strong"/>
                <w:b w:val="0"/>
              </w:rPr>
              <w:t xml:space="preserve"> </w:t>
            </w:r>
            <w:r w:rsidR="00C15A4C">
              <w:rPr>
                <w:rStyle w:val="Strong"/>
                <w:b w:val="0"/>
              </w:rPr>
              <w:t>0</w:t>
            </w:r>
            <w:r w:rsidRPr="005A094E">
              <w:rPr>
                <w:rStyle w:val="Strong"/>
                <w:b w:val="0"/>
              </w:rPr>
              <w:t xml:space="preserve">     </w:t>
            </w:r>
            <w:r w:rsidR="00641C9C">
              <w:rPr>
                <w:rStyle w:val="Strong"/>
                <w:b w:val="0"/>
              </w:rPr>
              <w:t xml:space="preserve">                    </w:t>
            </w:r>
            <w:r w:rsidR="00EE65C3" w:rsidRPr="005A094E">
              <w:rPr>
                <w:rStyle w:val="Strong"/>
                <w:b w:val="0"/>
              </w:rPr>
              <w:t xml:space="preserve">     </w:t>
            </w:r>
            <w:r w:rsidR="00C15A4C">
              <w:rPr>
                <w:rStyle w:val="Strong"/>
                <w:b w:val="0"/>
              </w:rPr>
              <w:t>0</w:t>
            </w:r>
          </w:p>
        </w:tc>
      </w:tr>
      <w:tr w:rsidR="00641C9C" w:rsidRPr="007A3BCB" w14:paraId="39B3ABDB" w14:textId="77777777" w:rsidTr="007A0399">
        <w:tc>
          <w:tcPr>
            <w:tcW w:w="9878" w:type="dxa"/>
            <w:gridSpan w:val="2"/>
            <w:tcBorders>
              <w:left w:val="nil"/>
              <w:bottom w:val="single" w:sz="4" w:space="0" w:color="auto"/>
              <w:right w:val="nil"/>
            </w:tcBorders>
            <w:tcMar>
              <w:top w:w="0" w:type="dxa"/>
              <w:bottom w:w="0" w:type="dxa"/>
            </w:tcMar>
          </w:tcPr>
          <w:p w14:paraId="362161DA" w14:textId="77777777" w:rsidR="00641C9C" w:rsidRPr="007A3BCB" w:rsidRDefault="00641C9C" w:rsidP="006E02DD">
            <w:pPr>
              <w:rPr>
                <w:sz w:val="12"/>
              </w:rPr>
            </w:pPr>
          </w:p>
        </w:tc>
      </w:tr>
      <w:tr w:rsidR="00D22E6D" w14:paraId="4329D227" w14:textId="77777777" w:rsidTr="003F4F1C">
        <w:trPr>
          <w:trHeight w:val="1430"/>
        </w:trPr>
        <w:tc>
          <w:tcPr>
            <w:tcW w:w="9878" w:type="dxa"/>
            <w:gridSpan w:val="2"/>
            <w:shd w:val="clear" w:color="auto" w:fill="F2DBDB" w:themeFill="accent2" w:themeFillTint="33"/>
          </w:tcPr>
          <w:p w14:paraId="3CD4CB39" w14:textId="77777777" w:rsidR="00641C9C" w:rsidRPr="00215494" w:rsidRDefault="00641C9C" w:rsidP="00641C9C">
            <w:pPr>
              <w:tabs>
                <w:tab w:val="left" w:pos="1815"/>
              </w:tabs>
              <w:spacing w:after="60"/>
              <w:rPr>
                <w:rStyle w:val="Strong"/>
                <w:b w:val="0"/>
                <w:sz w:val="32"/>
                <w:szCs w:val="32"/>
              </w:rPr>
            </w:pPr>
            <w:r>
              <w:rPr>
                <w:rStyle w:val="Strong"/>
                <w:b w:val="0"/>
                <w:sz w:val="32"/>
                <w:szCs w:val="32"/>
              </w:rPr>
              <w:t>Unaddressed Work</w:t>
            </w:r>
          </w:p>
          <w:p w14:paraId="4A851B4E" w14:textId="77777777" w:rsidR="001027C0" w:rsidRDefault="00641C9C" w:rsidP="007A7C9B">
            <w:pPr>
              <w:tabs>
                <w:tab w:val="left" w:pos="1815"/>
              </w:tabs>
              <w:spacing w:after="120"/>
              <w:rPr>
                <w:rStyle w:val="Strong"/>
                <w:b w:val="0"/>
              </w:rPr>
            </w:pPr>
            <w:r w:rsidRPr="005A094E">
              <w:rPr>
                <w:rStyle w:val="Strong"/>
                <w:b w:val="0"/>
              </w:rPr>
              <w:t>Triennial Review List ado</w:t>
            </w:r>
            <w:r w:rsidR="00753BD1">
              <w:rPr>
                <w:rStyle w:val="Strong"/>
                <w:b w:val="0"/>
              </w:rPr>
              <w:t xml:space="preserve">pted by </w:t>
            </w:r>
            <w:r w:rsidR="009F1B1D">
              <w:rPr>
                <w:rStyle w:val="Strong"/>
                <w:b w:val="0"/>
              </w:rPr>
              <w:t xml:space="preserve">the Water </w:t>
            </w:r>
            <w:r w:rsidR="00753BD1">
              <w:rPr>
                <w:rStyle w:val="Strong"/>
                <w:b w:val="0"/>
              </w:rPr>
              <w:t>Board in 2015 identified</w:t>
            </w:r>
            <w:r w:rsidRPr="005A094E">
              <w:rPr>
                <w:rStyle w:val="Strong"/>
                <w:b w:val="0"/>
              </w:rPr>
              <w:t xml:space="preserve"> several basin planning projects</w:t>
            </w:r>
            <w:r w:rsidR="007A7C9B">
              <w:rPr>
                <w:rStyle w:val="Strong"/>
                <w:b w:val="0"/>
              </w:rPr>
              <w:t xml:space="preserve"> not currently </w:t>
            </w:r>
            <w:r w:rsidRPr="005A094E">
              <w:rPr>
                <w:rStyle w:val="Strong"/>
                <w:b w:val="0"/>
              </w:rPr>
              <w:t>assigned</w:t>
            </w:r>
            <w:r w:rsidR="007A7C9B">
              <w:rPr>
                <w:rStyle w:val="Strong"/>
                <w:b w:val="0"/>
              </w:rPr>
              <w:t>:</w:t>
            </w:r>
          </w:p>
          <w:p w14:paraId="6F7551C1" w14:textId="77777777" w:rsidR="004628C1" w:rsidRPr="004C30B6" w:rsidRDefault="001027C0" w:rsidP="004C30B6">
            <w:pPr>
              <w:pStyle w:val="ListParagraph"/>
              <w:numPr>
                <w:ilvl w:val="0"/>
                <w:numId w:val="9"/>
              </w:numPr>
              <w:ind w:left="450"/>
              <w:rPr>
                <w:rStyle w:val="Strong"/>
                <w:b w:val="0"/>
              </w:rPr>
            </w:pPr>
            <w:r w:rsidRPr="004C30B6">
              <w:rPr>
                <w:rStyle w:val="Strong"/>
                <w:b w:val="0"/>
              </w:rPr>
              <w:t>E</w:t>
            </w:r>
            <w:r w:rsidR="00641C9C" w:rsidRPr="004C30B6">
              <w:rPr>
                <w:rStyle w:val="Strong"/>
                <w:b w:val="0"/>
              </w:rPr>
              <w:t xml:space="preserve">stablish </w:t>
            </w:r>
            <w:r w:rsidRPr="004C30B6">
              <w:rPr>
                <w:rStyle w:val="Strong"/>
                <w:b w:val="0"/>
              </w:rPr>
              <w:t xml:space="preserve">or </w:t>
            </w:r>
            <w:r w:rsidR="00641C9C" w:rsidRPr="004C30B6">
              <w:rPr>
                <w:rStyle w:val="Strong"/>
                <w:b w:val="0"/>
              </w:rPr>
              <w:t>revise site specific objectives</w:t>
            </w:r>
            <w:r w:rsidR="007A7C9B" w:rsidRPr="004C30B6">
              <w:rPr>
                <w:rStyle w:val="Strong"/>
                <w:b w:val="0"/>
              </w:rPr>
              <w:t xml:space="preserve"> for numerous surface waters</w:t>
            </w:r>
          </w:p>
          <w:p w14:paraId="02CE51D4" w14:textId="77777777" w:rsidR="001027C0" w:rsidRPr="004C30B6" w:rsidRDefault="001027C0" w:rsidP="004C30B6">
            <w:pPr>
              <w:pStyle w:val="ListParagraph"/>
              <w:numPr>
                <w:ilvl w:val="0"/>
                <w:numId w:val="9"/>
              </w:numPr>
              <w:ind w:left="450"/>
              <w:rPr>
                <w:rStyle w:val="Strong"/>
                <w:b w:val="0"/>
              </w:rPr>
            </w:pPr>
            <w:r w:rsidRPr="004C30B6">
              <w:rPr>
                <w:rStyle w:val="Strong"/>
                <w:b w:val="0"/>
              </w:rPr>
              <w:t xml:space="preserve">Biological </w:t>
            </w:r>
            <w:r w:rsidR="009F1B1D">
              <w:rPr>
                <w:rStyle w:val="Strong"/>
                <w:b w:val="0"/>
              </w:rPr>
              <w:t>i</w:t>
            </w:r>
            <w:r w:rsidRPr="004C30B6">
              <w:rPr>
                <w:rStyle w:val="Strong"/>
                <w:b w:val="0"/>
              </w:rPr>
              <w:t>ndicators</w:t>
            </w:r>
          </w:p>
          <w:p w14:paraId="4025D71B" w14:textId="77777777" w:rsidR="001027C0" w:rsidRPr="004C30B6" w:rsidRDefault="001027C0" w:rsidP="004C30B6">
            <w:pPr>
              <w:pStyle w:val="ListParagraph"/>
              <w:numPr>
                <w:ilvl w:val="0"/>
                <w:numId w:val="9"/>
              </w:numPr>
              <w:ind w:left="450"/>
              <w:rPr>
                <w:rStyle w:val="Strong"/>
                <w:b w:val="0"/>
              </w:rPr>
            </w:pPr>
            <w:r w:rsidRPr="004C30B6">
              <w:rPr>
                <w:rStyle w:val="Strong"/>
                <w:b w:val="0"/>
              </w:rPr>
              <w:t>Region</w:t>
            </w:r>
            <w:r w:rsidR="004628C1" w:rsidRPr="004C30B6">
              <w:rPr>
                <w:rStyle w:val="Strong"/>
                <w:b w:val="0"/>
              </w:rPr>
              <w:t>-</w:t>
            </w:r>
            <w:r w:rsidRPr="004C30B6">
              <w:rPr>
                <w:rStyle w:val="Strong"/>
                <w:b w:val="0"/>
              </w:rPr>
              <w:t>wide approach to TDS objectives in surface waters</w:t>
            </w:r>
          </w:p>
          <w:p w14:paraId="06B9FD48" w14:textId="77777777" w:rsidR="004F69BC" w:rsidRPr="00FE39A1" w:rsidRDefault="004F69BC" w:rsidP="004C30B6">
            <w:pPr>
              <w:pStyle w:val="ListParagraph"/>
              <w:numPr>
                <w:ilvl w:val="0"/>
                <w:numId w:val="9"/>
              </w:numPr>
              <w:ind w:left="450"/>
              <w:rPr>
                <w:rStyle w:val="Strong"/>
                <w:b w:val="0"/>
                <w:bCs w:val="0"/>
              </w:rPr>
            </w:pPr>
            <w:r>
              <w:rPr>
                <w:rStyle w:val="Strong"/>
                <w:b w:val="0"/>
              </w:rPr>
              <w:t>Designat</w:t>
            </w:r>
            <w:r w:rsidR="009F1B1D">
              <w:rPr>
                <w:rStyle w:val="Strong"/>
                <w:b w:val="0"/>
              </w:rPr>
              <w:t>e</w:t>
            </w:r>
            <w:r>
              <w:rPr>
                <w:rStyle w:val="Strong"/>
                <w:b w:val="0"/>
              </w:rPr>
              <w:t xml:space="preserve"> Tribal </w:t>
            </w:r>
            <w:r w:rsidR="009F1B1D">
              <w:rPr>
                <w:rStyle w:val="Strong"/>
                <w:b w:val="0"/>
              </w:rPr>
              <w:t>b</w:t>
            </w:r>
            <w:r>
              <w:rPr>
                <w:rStyle w:val="Strong"/>
                <w:b w:val="0"/>
              </w:rPr>
              <w:t xml:space="preserve">eneficial </w:t>
            </w:r>
            <w:r w:rsidR="009F1B1D">
              <w:rPr>
                <w:rStyle w:val="Strong"/>
                <w:b w:val="0"/>
              </w:rPr>
              <w:t>u</w:t>
            </w:r>
            <w:r>
              <w:rPr>
                <w:rStyle w:val="Strong"/>
                <w:b w:val="0"/>
              </w:rPr>
              <w:t>ses</w:t>
            </w:r>
          </w:p>
          <w:p w14:paraId="28366ECD" w14:textId="77777777" w:rsidR="00503828" w:rsidRPr="00FE39A1" w:rsidRDefault="00503828" w:rsidP="004C30B6">
            <w:pPr>
              <w:pStyle w:val="ListParagraph"/>
              <w:numPr>
                <w:ilvl w:val="0"/>
                <w:numId w:val="9"/>
              </w:numPr>
              <w:ind w:left="450"/>
              <w:rPr>
                <w:rStyle w:val="Strong"/>
                <w:b w:val="0"/>
                <w:bCs w:val="0"/>
              </w:rPr>
            </w:pPr>
            <w:r>
              <w:rPr>
                <w:rStyle w:val="Strong"/>
                <w:b w:val="0"/>
              </w:rPr>
              <w:t xml:space="preserve">Evaluate bacteria objectives </w:t>
            </w:r>
          </w:p>
          <w:p w14:paraId="4B45786D" w14:textId="77777777" w:rsidR="006122E2" w:rsidRPr="004C30B6" w:rsidRDefault="00503828" w:rsidP="004C30B6">
            <w:pPr>
              <w:pStyle w:val="ListParagraph"/>
              <w:numPr>
                <w:ilvl w:val="0"/>
                <w:numId w:val="9"/>
              </w:numPr>
              <w:ind w:left="450"/>
              <w:rPr>
                <w:rStyle w:val="Strong"/>
                <w:b w:val="0"/>
              </w:rPr>
            </w:pPr>
            <w:r>
              <w:rPr>
                <w:rStyle w:val="Strong"/>
                <w:b w:val="0"/>
              </w:rPr>
              <w:t>Associate beneficial uses with existing water quality objectives</w:t>
            </w:r>
          </w:p>
        </w:tc>
      </w:tr>
    </w:tbl>
    <w:p w14:paraId="366FF2DE" w14:textId="77777777" w:rsidR="008D2140" w:rsidRPr="00017119" w:rsidRDefault="008D2140" w:rsidP="007A3BCB">
      <w:pPr>
        <w:rPr>
          <w:rStyle w:val="Strong"/>
          <w:b w:val="0"/>
          <w:sz w:val="12"/>
        </w:rPr>
      </w:pPr>
    </w:p>
    <w:sectPr w:rsidR="008D2140" w:rsidRPr="00017119" w:rsidSect="004C30B6">
      <w:pgSz w:w="12240" w:h="15840"/>
      <w:pgMar w:top="900" w:right="1296" w:bottom="117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4571" w14:textId="77777777" w:rsidR="00252E1C" w:rsidRDefault="00252E1C" w:rsidP="007A3BCB">
      <w:r>
        <w:separator/>
      </w:r>
    </w:p>
  </w:endnote>
  <w:endnote w:type="continuationSeparator" w:id="0">
    <w:p w14:paraId="3CE5966A" w14:textId="77777777" w:rsidR="00252E1C" w:rsidRDefault="00252E1C" w:rsidP="007A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CB141" w14:textId="77777777" w:rsidR="00252E1C" w:rsidRDefault="00252E1C" w:rsidP="007A3BCB">
      <w:r>
        <w:separator/>
      </w:r>
    </w:p>
  </w:footnote>
  <w:footnote w:type="continuationSeparator" w:id="0">
    <w:p w14:paraId="28948F93" w14:textId="77777777" w:rsidR="00252E1C" w:rsidRDefault="00252E1C" w:rsidP="007A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A9E"/>
    <w:multiLevelType w:val="hybridMultilevel"/>
    <w:tmpl w:val="A4029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21C0E"/>
    <w:multiLevelType w:val="hybridMultilevel"/>
    <w:tmpl w:val="026A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86D40"/>
    <w:multiLevelType w:val="hybridMultilevel"/>
    <w:tmpl w:val="20326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FD67A4"/>
    <w:multiLevelType w:val="hybridMultilevel"/>
    <w:tmpl w:val="8E62C84C"/>
    <w:lvl w:ilvl="0" w:tplc="FECA1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4954"/>
    <w:multiLevelType w:val="hybridMultilevel"/>
    <w:tmpl w:val="C9A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C42CB"/>
    <w:multiLevelType w:val="hybridMultilevel"/>
    <w:tmpl w:val="F5102C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358D8"/>
    <w:multiLevelType w:val="hybridMultilevel"/>
    <w:tmpl w:val="5A4A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412A9"/>
    <w:multiLevelType w:val="hybridMultilevel"/>
    <w:tmpl w:val="20000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A53F5F"/>
    <w:multiLevelType w:val="hybridMultilevel"/>
    <w:tmpl w:val="BC5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82FD9"/>
    <w:multiLevelType w:val="hybridMultilevel"/>
    <w:tmpl w:val="A16AC7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B666A3"/>
    <w:multiLevelType w:val="hybridMultilevel"/>
    <w:tmpl w:val="178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669F7"/>
    <w:multiLevelType w:val="hybridMultilevel"/>
    <w:tmpl w:val="64A0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45CE2"/>
    <w:multiLevelType w:val="hybridMultilevel"/>
    <w:tmpl w:val="735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4"/>
  </w:num>
  <w:num w:numId="5">
    <w:abstractNumId w:val="9"/>
  </w:num>
  <w:num w:numId="6">
    <w:abstractNumId w:val="2"/>
  </w:num>
  <w:num w:numId="7">
    <w:abstractNumId w:val="3"/>
  </w:num>
  <w:num w:numId="8">
    <w:abstractNumId w:val="7"/>
  </w:num>
  <w:num w:numId="9">
    <w:abstractNumId w:val="11"/>
  </w:num>
  <w:num w:numId="10">
    <w:abstractNumId w:val="5"/>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140"/>
    <w:rsid w:val="0001018C"/>
    <w:rsid w:val="00017119"/>
    <w:rsid w:val="0003385F"/>
    <w:rsid w:val="00033EE7"/>
    <w:rsid w:val="00034565"/>
    <w:rsid w:val="00042CB4"/>
    <w:rsid w:val="00057839"/>
    <w:rsid w:val="00061546"/>
    <w:rsid w:val="000762AF"/>
    <w:rsid w:val="00083B73"/>
    <w:rsid w:val="000A2D34"/>
    <w:rsid w:val="000A30B2"/>
    <w:rsid w:val="000B2DB9"/>
    <w:rsid w:val="000B393A"/>
    <w:rsid w:val="000D063C"/>
    <w:rsid w:val="000D71D5"/>
    <w:rsid w:val="000E014E"/>
    <w:rsid w:val="000E1447"/>
    <w:rsid w:val="000E2D13"/>
    <w:rsid w:val="000E7AFA"/>
    <w:rsid w:val="001027C0"/>
    <w:rsid w:val="001254EA"/>
    <w:rsid w:val="0014671F"/>
    <w:rsid w:val="00150981"/>
    <w:rsid w:val="00161EDD"/>
    <w:rsid w:val="001632AC"/>
    <w:rsid w:val="00180C04"/>
    <w:rsid w:val="00182604"/>
    <w:rsid w:val="00186F5B"/>
    <w:rsid w:val="001879A4"/>
    <w:rsid w:val="00195981"/>
    <w:rsid w:val="00195B95"/>
    <w:rsid w:val="0019714D"/>
    <w:rsid w:val="001B4098"/>
    <w:rsid w:val="001B4830"/>
    <w:rsid w:val="001C1B98"/>
    <w:rsid w:val="001D10DE"/>
    <w:rsid w:val="001E6090"/>
    <w:rsid w:val="001F2DFF"/>
    <w:rsid w:val="001F3B87"/>
    <w:rsid w:val="001F43E8"/>
    <w:rsid w:val="00215494"/>
    <w:rsid w:val="00245EC5"/>
    <w:rsid w:val="00252E1C"/>
    <w:rsid w:val="002535A0"/>
    <w:rsid w:val="00276641"/>
    <w:rsid w:val="00283629"/>
    <w:rsid w:val="00283FC4"/>
    <w:rsid w:val="00285EA9"/>
    <w:rsid w:val="00287EAF"/>
    <w:rsid w:val="00295A6E"/>
    <w:rsid w:val="002B379E"/>
    <w:rsid w:val="002C35DA"/>
    <w:rsid w:val="002D3EF7"/>
    <w:rsid w:val="002E0A12"/>
    <w:rsid w:val="002F2244"/>
    <w:rsid w:val="002F69E6"/>
    <w:rsid w:val="00300D44"/>
    <w:rsid w:val="00311105"/>
    <w:rsid w:val="003356C8"/>
    <w:rsid w:val="00335D69"/>
    <w:rsid w:val="00355867"/>
    <w:rsid w:val="00360E84"/>
    <w:rsid w:val="0038161B"/>
    <w:rsid w:val="00397597"/>
    <w:rsid w:val="003A7EFF"/>
    <w:rsid w:val="003B2832"/>
    <w:rsid w:val="003C1164"/>
    <w:rsid w:val="003C1723"/>
    <w:rsid w:val="003C23D1"/>
    <w:rsid w:val="003F4BF5"/>
    <w:rsid w:val="003F4F1C"/>
    <w:rsid w:val="00425F94"/>
    <w:rsid w:val="004279F0"/>
    <w:rsid w:val="0044007A"/>
    <w:rsid w:val="00441E6B"/>
    <w:rsid w:val="0044516D"/>
    <w:rsid w:val="004526D7"/>
    <w:rsid w:val="004628C1"/>
    <w:rsid w:val="00481FD6"/>
    <w:rsid w:val="00485EAF"/>
    <w:rsid w:val="00486F72"/>
    <w:rsid w:val="0049336F"/>
    <w:rsid w:val="004A611E"/>
    <w:rsid w:val="004B77EB"/>
    <w:rsid w:val="004C0815"/>
    <w:rsid w:val="004C30B6"/>
    <w:rsid w:val="004D171C"/>
    <w:rsid w:val="004D22EE"/>
    <w:rsid w:val="004D2DE2"/>
    <w:rsid w:val="004F69BC"/>
    <w:rsid w:val="00500FDF"/>
    <w:rsid w:val="005013DA"/>
    <w:rsid w:val="00503353"/>
    <w:rsid w:val="00503828"/>
    <w:rsid w:val="00505823"/>
    <w:rsid w:val="00505852"/>
    <w:rsid w:val="005172BB"/>
    <w:rsid w:val="0052101A"/>
    <w:rsid w:val="00521532"/>
    <w:rsid w:val="00526AEC"/>
    <w:rsid w:val="00536CAF"/>
    <w:rsid w:val="00542F59"/>
    <w:rsid w:val="005477F7"/>
    <w:rsid w:val="00554659"/>
    <w:rsid w:val="00555963"/>
    <w:rsid w:val="00565340"/>
    <w:rsid w:val="00572047"/>
    <w:rsid w:val="00581C8D"/>
    <w:rsid w:val="00584AEE"/>
    <w:rsid w:val="00584DB6"/>
    <w:rsid w:val="00590AE1"/>
    <w:rsid w:val="0059312B"/>
    <w:rsid w:val="00594CC4"/>
    <w:rsid w:val="005A094E"/>
    <w:rsid w:val="005A2F37"/>
    <w:rsid w:val="005B0632"/>
    <w:rsid w:val="005B74EA"/>
    <w:rsid w:val="005D3BD9"/>
    <w:rsid w:val="005D7BC5"/>
    <w:rsid w:val="005E3FE6"/>
    <w:rsid w:val="006122E2"/>
    <w:rsid w:val="00614115"/>
    <w:rsid w:val="006202FC"/>
    <w:rsid w:val="00635988"/>
    <w:rsid w:val="00635EC6"/>
    <w:rsid w:val="00641C9C"/>
    <w:rsid w:val="006443C5"/>
    <w:rsid w:val="006536A1"/>
    <w:rsid w:val="00655F2A"/>
    <w:rsid w:val="00675214"/>
    <w:rsid w:val="00682300"/>
    <w:rsid w:val="00682F07"/>
    <w:rsid w:val="00685F70"/>
    <w:rsid w:val="00692223"/>
    <w:rsid w:val="006A22C8"/>
    <w:rsid w:val="006B0891"/>
    <w:rsid w:val="006B1671"/>
    <w:rsid w:val="006B17B5"/>
    <w:rsid w:val="006D46FB"/>
    <w:rsid w:val="006E02DD"/>
    <w:rsid w:val="006E50B8"/>
    <w:rsid w:val="006F1E49"/>
    <w:rsid w:val="006F30E6"/>
    <w:rsid w:val="00704521"/>
    <w:rsid w:val="0071274A"/>
    <w:rsid w:val="00715C48"/>
    <w:rsid w:val="00730304"/>
    <w:rsid w:val="007415E6"/>
    <w:rsid w:val="00753BD1"/>
    <w:rsid w:val="00757181"/>
    <w:rsid w:val="00785AC3"/>
    <w:rsid w:val="00787339"/>
    <w:rsid w:val="007A0399"/>
    <w:rsid w:val="007A3BCB"/>
    <w:rsid w:val="007A7C9B"/>
    <w:rsid w:val="007B07F3"/>
    <w:rsid w:val="007B308C"/>
    <w:rsid w:val="007E5AB5"/>
    <w:rsid w:val="007F35EA"/>
    <w:rsid w:val="007F414E"/>
    <w:rsid w:val="00802548"/>
    <w:rsid w:val="00806A92"/>
    <w:rsid w:val="00810D68"/>
    <w:rsid w:val="0082107B"/>
    <w:rsid w:val="00834919"/>
    <w:rsid w:val="00835EA4"/>
    <w:rsid w:val="0083783E"/>
    <w:rsid w:val="0085750B"/>
    <w:rsid w:val="008621AB"/>
    <w:rsid w:val="00873AC4"/>
    <w:rsid w:val="00876B06"/>
    <w:rsid w:val="008829AC"/>
    <w:rsid w:val="008846B3"/>
    <w:rsid w:val="00893E86"/>
    <w:rsid w:val="008B0B01"/>
    <w:rsid w:val="008B53CE"/>
    <w:rsid w:val="008B7B42"/>
    <w:rsid w:val="008D2140"/>
    <w:rsid w:val="008D66B7"/>
    <w:rsid w:val="008E2407"/>
    <w:rsid w:val="008F102F"/>
    <w:rsid w:val="00900322"/>
    <w:rsid w:val="00905AFA"/>
    <w:rsid w:val="009142E8"/>
    <w:rsid w:val="009320CE"/>
    <w:rsid w:val="009370D6"/>
    <w:rsid w:val="00951B90"/>
    <w:rsid w:val="009622D7"/>
    <w:rsid w:val="00964F65"/>
    <w:rsid w:val="00970B81"/>
    <w:rsid w:val="00974EFD"/>
    <w:rsid w:val="00975874"/>
    <w:rsid w:val="0099215A"/>
    <w:rsid w:val="00995B11"/>
    <w:rsid w:val="009A0833"/>
    <w:rsid w:val="009A68AA"/>
    <w:rsid w:val="009E7F67"/>
    <w:rsid w:val="009F1B1D"/>
    <w:rsid w:val="009F5486"/>
    <w:rsid w:val="00A006FF"/>
    <w:rsid w:val="00A21EDB"/>
    <w:rsid w:val="00A40A83"/>
    <w:rsid w:val="00A42415"/>
    <w:rsid w:val="00A43022"/>
    <w:rsid w:val="00A51877"/>
    <w:rsid w:val="00A54930"/>
    <w:rsid w:val="00A647D7"/>
    <w:rsid w:val="00A64D12"/>
    <w:rsid w:val="00A66CE9"/>
    <w:rsid w:val="00AA0A95"/>
    <w:rsid w:val="00AA2FB0"/>
    <w:rsid w:val="00AC3CBB"/>
    <w:rsid w:val="00AC3D4B"/>
    <w:rsid w:val="00B074CD"/>
    <w:rsid w:val="00B11F51"/>
    <w:rsid w:val="00B15FA2"/>
    <w:rsid w:val="00B4298A"/>
    <w:rsid w:val="00B62260"/>
    <w:rsid w:val="00B64388"/>
    <w:rsid w:val="00B80B13"/>
    <w:rsid w:val="00B86519"/>
    <w:rsid w:val="00B86C8B"/>
    <w:rsid w:val="00B959B1"/>
    <w:rsid w:val="00BA3741"/>
    <w:rsid w:val="00BA49C7"/>
    <w:rsid w:val="00BA4FFA"/>
    <w:rsid w:val="00BB7ED0"/>
    <w:rsid w:val="00BC03BB"/>
    <w:rsid w:val="00BD1C17"/>
    <w:rsid w:val="00BD3BC2"/>
    <w:rsid w:val="00BE3B62"/>
    <w:rsid w:val="00BF019C"/>
    <w:rsid w:val="00C03BB5"/>
    <w:rsid w:val="00C117BD"/>
    <w:rsid w:val="00C15A4C"/>
    <w:rsid w:val="00C16540"/>
    <w:rsid w:val="00C43960"/>
    <w:rsid w:val="00C44C30"/>
    <w:rsid w:val="00C45DCE"/>
    <w:rsid w:val="00C7606C"/>
    <w:rsid w:val="00C77107"/>
    <w:rsid w:val="00C82BEE"/>
    <w:rsid w:val="00C95421"/>
    <w:rsid w:val="00CA4A45"/>
    <w:rsid w:val="00CC382A"/>
    <w:rsid w:val="00CD0389"/>
    <w:rsid w:val="00CD384C"/>
    <w:rsid w:val="00CF2B2F"/>
    <w:rsid w:val="00D22E6D"/>
    <w:rsid w:val="00D31127"/>
    <w:rsid w:val="00D41CD4"/>
    <w:rsid w:val="00D45922"/>
    <w:rsid w:val="00D5386A"/>
    <w:rsid w:val="00D63785"/>
    <w:rsid w:val="00D651F8"/>
    <w:rsid w:val="00D745C0"/>
    <w:rsid w:val="00D76B8B"/>
    <w:rsid w:val="00D7751B"/>
    <w:rsid w:val="00D95240"/>
    <w:rsid w:val="00DA098C"/>
    <w:rsid w:val="00DA1C1B"/>
    <w:rsid w:val="00DA6936"/>
    <w:rsid w:val="00DD029B"/>
    <w:rsid w:val="00DD4D5B"/>
    <w:rsid w:val="00DF354A"/>
    <w:rsid w:val="00DF3AC0"/>
    <w:rsid w:val="00DF6BE0"/>
    <w:rsid w:val="00DF7DC9"/>
    <w:rsid w:val="00E063F2"/>
    <w:rsid w:val="00E1192D"/>
    <w:rsid w:val="00E16BAC"/>
    <w:rsid w:val="00E21268"/>
    <w:rsid w:val="00E22A8B"/>
    <w:rsid w:val="00E704FB"/>
    <w:rsid w:val="00E97B8F"/>
    <w:rsid w:val="00EA61F8"/>
    <w:rsid w:val="00EA7D33"/>
    <w:rsid w:val="00EB186F"/>
    <w:rsid w:val="00EC3FA8"/>
    <w:rsid w:val="00ED69F7"/>
    <w:rsid w:val="00ED7766"/>
    <w:rsid w:val="00EE65C3"/>
    <w:rsid w:val="00EF7C53"/>
    <w:rsid w:val="00F025A0"/>
    <w:rsid w:val="00F2531D"/>
    <w:rsid w:val="00F26DFE"/>
    <w:rsid w:val="00F524AD"/>
    <w:rsid w:val="00F52821"/>
    <w:rsid w:val="00F83BEF"/>
    <w:rsid w:val="00F86950"/>
    <w:rsid w:val="00F93D7E"/>
    <w:rsid w:val="00FA2A38"/>
    <w:rsid w:val="00FA2C2A"/>
    <w:rsid w:val="00FC4880"/>
    <w:rsid w:val="00FD63DE"/>
    <w:rsid w:val="00FE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22EB7"/>
  <w15:docId w15:val="{0CE9A8D8-72D0-4ADF-BB29-AEE330C2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7F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character" w:styleId="Hyperlink">
    <w:name w:val="Hyperlink"/>
    <w:basedOn w:val="DefaultParagraphFont"/>
    <w:rsid w:val="00BD1C17"/>
    <w:rPr>
      <w:color w:val="0000FF" w:themeColor="hyperlink"/>
      <w:u w:val="single"/>
    </w:rPr>
  </w:style>
  <w:style w:type="character" w:styleId="CommentReference">
    <w:name w:val="annotation reference"/>
    <w:basedOn w:val="DefaultParagraphFont"/>
    <w:rsid w:val="00287EAF"/>
    <w:rPr>
      <w:sz w:val="16"/>
      <w:szCs w:val="16"/>
    </w:rPr>
  </w:style>
  <w:style w:type="paragraph" w:styleId="CommentText">
    <w:name w:val="annotation text"/>
    <w:basedOn w:val="Normal"/>
    <w:link w:val="CommentTextChar"/>
    <w:rsid w:val="00287EAF"/>
    <w:rPr>
      <w:sz w:val="20"/>
      <w:szCs w:val="20"/>
    </w:rPr>
  </w:style>
  <w:style w:type="character" w:customStyle="1" w:styleId="CommentTextChar">
    <w:name w:val="Comment Text Char"/>
    <w:basedOn w:val="DefaultParagraphFont"/>
    <w:link w:val="CommentText"/>
    <w:rsid w:val="00287EAF"/>
    <w:rPr>
      <w:rFonts w:ascii="Arial" w:hAnsi="Arial"/>
    </w:rPr>
  </w:style>
  <w:style w:type="paragraph" w:styleId="CommentSubject">
    <w:name w:val="annotation subject"/>
    <w:basedOn w:val="CommentText"/>
    <w:next w:val="CommentText"/>
    <w:link w:val="CommentSubjectChar"/>
    <w:rsid w:val="00287EAF"/>
    <w:rPr>
      <w:b/>
      <w:bCs/>
    </w:rPr>
  </w:style>
  <w:style w:type="character" w:customStyle="1" w:styleId="CommentSubjectChar">
    <w:name w:val="Comment Subject Char"/>
    <w:basedOn w:val="CommentTextChar"/>
    <w:link w:val="CommentSubject"/>
    <w:rsid w:val="00287EAF"/>
    <w:rPr>
      <w:rFonts w:ascii="Arial" w:hAnsi="Arial"/>
      <w:b/>
      <w:bCs/>
    </w:rPr>
  </w:style>
  <w:style w:type="paragraph" w:styleId="NormalWeb">
    <w:name w:val="Normal (Web)"/>
    <w:basedOn w:val="Normal"/>
    <w:uiPriority w:val="99"/>
    <w:unhideWhenUsed/>
    <w:rsid w:val="00A42415"/>
    <w:pPr>
      <w:spacing w:before="168" w:after="216"/>
    </w:pPr>
    <w:rPr>
      <w:rFonts w:ascii="Times New Roman" w:hAnsi="Times New Roman"/>
    </w:rPr>
  </w:style>
  <w:style w:type="paragraph" w:customStyle="1" w:styleId="Default">
    <w:name w:val="Default"/>
    <w:rsid w:val="006122E2"/>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7A3BCB"/>
    <w:pPr>
      <w:tabs>
        <w:tab w:val="center" w:pos="4680"/>
        <w:tab w:val="right" w:pos="9360"/>
      </w:tabs>
    </w:pPr>
  </w:style>
  <w:style w:type="character" w:customStyle="1" w:styleId="HeaderChar">
    <w:name w:val="Header Char"/>
    <w:basedOn w:val="DefaultParagraphFont"/>
    <w:link w:val="Header"/>
    <w:rsid w:val="007A3BCB"/>
    <w:rPr>
      <w:rFonts w:ascii="Arial" w:hAnsi="Arial"/>
      <w:sz w:val="24"/>
      <w:szCs w:val="24"/>
    </w:rPr>
  </w:style>
  <w:style w:type="paragraph" w:styleId="Footer">
    <w:name w:val="footer"/>
    <w:basedOn w:val="Normal"/>
    <w:link w:val="FooterChar"/>
    <w:unhideWhenUsed/>
    <w:rsid w:val="007A3BCB"/>
    <w:pPr>
      <w:tabs>
        <w:tab w:val="center" w:pos="4680"/>
        <w:tab w:val="right" w:pos="9360"/>
      </w:tabs>
    </w:pPr>
  </w:style>
  <w:style w:type="character" w:customStyle="1" w:styleId="FooterChar">
    <w:name w:val="Footer Char"/>
    <w:basedOn w:val="DefaultParagraphFont"/>
    <w:link w:val="Footer"/>
    <w:rsid w:val="007A3BC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9671">
      <w:bodyDiv w:val="1"/>
      <w:marLeft w:val="750"/>
      <w:marRight w:val="300"/>
      <w:marTop w:val="0"/>
      <w:marBottom w:val="0"/>
      <w:divBdr>
        <w:top w:val="none" w:sz="0" w:space="0" w:color="auto"/>
        <w:left w:val="none" w:sz="0" w:space="0" w:color="auto"/>
        <w:bottom w:val="none" w:sz="0" w:space="0" w:color="auto"/>
        <w:right w:val="none" w:sz="0" w:space="0" w:color="auto"/>
      </w:divBdr>
    </w:div>
    <w:div w:id="417337753">
      <w:bodyDiv w:val="1"/>
      <w:marLeft w:val="0"/>
      <w:marRight w:val="0"/>
      <w:marTop w:val="0"/>
      <w:marBottom w:val="0"/>
      <w:divBdr>
        <w:top w:val="none" w:sz="0" w:space="0" w:color="auto"/>
        <w:left w:val="none" w:sz="0" w:space="0" w:color="auto"/>
        <w:bottom w:val="none" w:sz="0" w:space="0" w:color="auto"/>
        <w:right w:val="none" w:sz="0" w:space="0" w:color="auto"/>
      </w:divBdr>
    </w:div>
    <w:div w:id="701252786">
      <w:bodyDiv w:val="1"/>
      <w:marLeft w:val="0"/>
      <w:marRight w:val="0"/>
      <w:marTop w:val="0"/>
      <w:marBottom w:val="0"/>
      <w:divBdr>
        <w:top w:val="none" w:sz="0" w:space="0" w:color="auto"/>
        <w:left w:val="none" w:sz="0" w:space="0" w:color="auto"/>
        <w:bottom w:val="none" w:sz="0" w:space="0" w:color="auto"/>
        <w:right w:val="none" w:sz="0" w:space="0" w:color="auto"/>
      </w:divBdr>
    </w:div>
    <w:div w:id="1366056999">
      <w:bodyDiv w:val="1"/>
      <w:marLeft w:val="0"/>
      <w:marRight w:val="0"/>
      <w:marTop w:val="0"/>
      <w:marBottom w:val="0"/>
      <w:divBdr>
        <w:top w:val="none" w:sz="0" w:space="0" w:color="auto"/>
        <w:left w:val="none" w:sz="0" w:space="0" w:color="auto"/>
        <w:bottom w:val="none" w:sz="0" w:space="0" w:color="auto"/>
        <w:right w:val="none" w:sz="0" w:space="0" w:color="auto"/>
      </w:divBdr>
    </w:div>
    <w:div w:id="1421026660">
      <w:bodyDiv w:val="1"/>
      <w:marLeft w:val="0"/>
      <w:marRight w:val="0"/>
      <w:marTop w:val="0"/>
      <w:marBottom w:val="0"/>
      <w:divBdr>
        <w:top w:val="none" w:sz="0" w:space="0" w:color="auto"/>
        <w:left w:val="none" w:sz="0" w:space="0" w:color="auto"/>
        <w:bottom w:val="none" w:sz="0" w:space="0" w:color="auto"/>
        <w:right w:val="none" w:sz="0" w:space="0" w:color="auto"/>
      </w:divBdr>
      <w:divsChild>
        <w:div w:id="996150235">
          <w:marLeft w:val="0"/>
          <w:marRight w:val="0"/>
          <w:marTop w:val="0"/>
          <w:marBottom w:val="0"/>
          <w:divBdr>
            <w:top w:val="none" w:sz="0" w:space="0" w:color="auto"/>
            <w:left w:val="none" w:sz="0" w:space="0" w:color="auto"/>
            <w:bottom w:val="none" w:sz="0" w:space="0" w:color="auto"/>
            <w:right w:val="none" w:sz="0" w:space="0" w:color="auto"/>
          </w:divBdr>
          <w:divsChild>
            <w:div w:id="355928156">
              <w:marLeft w:val="3195"/>
              <w:marRight w:val="225"/>
              <w:marTop w:val="0"/>
              <w:marBottom w:val="0"/>
              <w:divBdr>
                <w:top w:val="none" w:sz="0" w:space="0" w:color="auto"/>
                <w:left w:val="none" w:sz="0" w:space="0" w:color="auto"/>
                <w:bottom w:val="none" w:sz="0" w:space="0" w:color="auto"/>
                <w:right w:val="none" w:sz="0" w:space="0" w:color="auto"/>
              </w:divBdr>
              <w:divsChild>
                <w:div w:id="1617449253">
                  <w:marLeft w:val="0"/>
                  <w:marRight w:val="0"/>
                  <w:marTop w:val="0"/>
                  <w:marBottom w:val="0"/>
                  <w:divBdr>
                    <w:top w:val="none" w:sz="0" w:space="0" w:color="auto"/>
                    <w:left w:val="none" w:sz="0" w:space="0" w:color="auto"/>
                    <w:bottom w:val="none" w:sz="0" w:space="0" w:color="auto"/>
                    <w:right w:val="none" w:sz="0" w:space="0" w:color="auto"/>
                  </w:divBdr>
                  <w:divsChild>
                    <w:div w:id="1987852391">
                      <w:marLeft w:val="0"/>
                      <w:marRight w:val="0"/>
                      <w:marTop w:val="0"/>
                      <w:marBottom w:val="0"/>
                      <w:divBdr>
                        <w:top w:val="none" w:sz="0" w:space="0" w:color="auto"/>
                        <w:left w:val="none" w:sz="0" w:space="0" w:color="auto"/>
                        <w:bottom w:val="none" w:sz="0" w:space="0" w:color="auto"/>
                        <w:right w:val="none" w:sz="0" w:space="0" w:color="auto"/>
                      </w:divBdr>
                      <w:divsChild>
                        <w:div w:id="16468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940807">
      <w:bodyDiv w:val="1"/>
      <w:marLeft w:val="0"/>
      <w:marRight w:val="0"/>
      <w:marTop w:val="0"/>
      <w:marBottom w:val="0"/>
      <w:divBdr>
        <w:top w:val="none" w:sz="0" w:space="0" w:color="auto"/>
        <w:left w:val="none" w:sz="0" w:space="0" w:color="auto"/>
        <w:bottom w:val="none" w:sz="0" w:space="0" w:color="auto"/>
        <w:right w:val="none" w:sz="0" w:space="0" w:color="auto"/>
      </w:divBdr>
    </w:div>
    <w:div w:id="1484810709">
      <w:bodyDiv w:val="1"/>
      <w:marLeft w:val="0"/>
      <w:marRight w:val="0"/>
      <w:marTop w:val="0"/>
      <w:marBottom w:val="0"/>
      <w:divBdr>
        <w:top w:val="none" w:sz="0" w:space="0" w:color="auto"/>
        <w:left w:val="none" w:sz="0" w:space="0" w:color="auto"/>
        <w:bottom w:val="none" w:sz="0" w:space="0" w:color="auto"/>
        <w:right w:val="none" w:sz="0" w:space="0" w:color="auto"/>
      </w:divBdr>
      <w:divsChild>
        <w:div w:id="1676346647">
          <w:marLeft w:val="0"/>
          <w:marRight w:val="0"/>
          <w:marTop w:val="0"/>
          <w:marBottom w:val="0"/>
          <w:divBdr>
            <w:top w:val="none" w:sz="0" w:space="0" w:color="auto"/>
            <w:left w:val="none" w:sz="0" w:space="0" w:color="auto"/>
            <w:bottom w:val="none" w:sz="0" w:space="0" w:color="auto"/>
            <w:right w:val="none" w:sz="0" w:space="0" w:color="auto"/>
          </w:divBdr>
        </w:div>
      </w:divsChild>
    </w:div>
    <w:div w:id="1567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2FC0-ADB7-4BD2-ABFC-6F6D919C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Shay</dc:creator>
  <cp:lastModifiedBy>Phillips, Rebecca@Waterboards</cp:lastModifiedBy>
  <cp:revision>4</cp:revision>
  <cp:lastPrinted>2016-01-26T22:40:00Z</cp:lastPrinted>
  <dcterms:created xsi:type="dcterms:W3CDTF">2018-03-14T00:13:00Z</dcterms:created>
  <dcterms:modified xsi:type="dcterms:W3CDTF">2018-10-16T21:20:00Z</dcterms:modified>
</cp:coreProperties>
</file>