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0395" w:rsidRPr="0070280A" w:rsidRDefault="00540395" w:rsidP="00540395">
      <w:pPr>
        <w:ind w:left="720" w:firstLine="720"/>
        <w:rPr>
          <w:rStyle w:val="Strong"/>
          <w:rFonts w:cs="Arial"/>
          <w:sz w:val="32"/>
          <w:szCs w:val="32"/>
        </w:rPr>
      </w:pPr>
      <w:r w:rsidRPr="0070280A">
        <w:rPr>
          <w:rFonts w:cs="Arial"/>
          <w:b/>
          <w:bCs/>
          <w:noProof/>
          <w:sz w:val="32"/>
          <w:szCs w:val="32"/>
        </w:rPr>
        <w:drawing>
          <wp:anchor distT="0" distB="0" distL="114300" distR="114300" simplePos="0" relativeHeight="251662336" behindDoc="1" locked="0" layoutInCell="1" allowOverlap="1" wp14:anchorId="0AB456D5" wp14:editId="4373E7F2">
            <wp:simplePos x="0" y="0"/>
            <wp:positionH relativeFrom="column">
              <wp:posOffset>87630</wp:posOffset>
            </wp:positionH>
            <wp:positionV relativeFrom="paragraph">
              <wp:posOffset>76200</wp:posOffset>
            </wp:positionV>
            <wp:extent cx="6697980" cy="1369060"/>
            <wp:effectExtent l="0" t="0" r="7620" b="2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gion 6.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697980" cy="1369060"/>
                    </a:xfrm>
                    <a:prstGeom prst="rect">
                      <a:avLst/>
                    </a:prstGeom>
                  </pic:spPr>
                </pic:pic>
              </a:graphicData>
            </a:graphic>
            <wp14:sizeRelH relativeFrom="margin">
              <wp14:pctWidth>0</wp14:pctWidth>
            </wp14:sizeRelH>
            <wp14:sizeRelV relativeFrom="margin">
              <wp14:pctHeight>0</wp14:pctHeight>
            </wp14:sizeRelV>
          </wp:anchor>
        </w:drawing>
      </w:r>
      <w:r>
        <w:rPr>
          <w:rFonts w:cs="Arial"/>
          <w:b/>
          <w:bCs/>
          <w:noProof/>
          <w:sz w:val="32"/>
          <w:szCs w:val="32"/>
        </w:rPr>
        <w:t xml:space="preserve">          </w:t>
      </w:r>
      <w:r w:rsidRPr="0070280A">
        <w:rPr>
          <w:rFonts w:cs="Arial"/>
          <w:b/>
          <w:bCs/>
          <w:noProof/>
          <w:sz w:val="32"/>
          <w:szCs w:val="32"/>
        </w:rPr>
        <w:t>Lahontan Water Board</w:t>
      </w:r>
      <w:r w:rsidRPr="0070280A">
        <w:rPr>
          <w:rStyle w:val="Strong"/>
          <w:rFonts w:cs="Arial"/>
          <w:sz w:val="32"/>
          <w:szCs w:val="32"/>
        </w:rPr>
        <w:t xml:space="preserve"> Program Fact Sheet</w:t>
      </w:r>
    </w:p>
    <w:p w:rsidR="00540395" w:rsidRPr="0070280A" w:rsidRDefault="00770137" w:rsidP="00540395">
      <w:pPr>
        <w:jc w:val="center"/>
        <w:rPr>
          <w:rStyle w:val="Strong"/>
          <w:rFonts w:cs="Arial"/>
          <w:sz w:val="32"/>
          <w:szCs w:val="32"/>
        </w:rPr>
      </w:pPr>
      <w:r>
        <w:rPr>
          <w:rStyle w:val="Strong"/>
          <w:rFonts w:cs="Arial"/>
          <w:sz w:val="32"/>
          <w:szCs w:val="32"/>
        </w:rPr>
        <w:t xml:space="preserve">FY </w:t>
      </w:r>
      <w:r w:rsidR="00850FB8">
        <w:rPr>
          <w:rStyle w:val="Strong"/>
          <w:rFonts w:cs="Arial"/>
          <w:sz w:val="32"/>
          <w:szCs w:val="32"/>
        </w:rPr>
        <w:t>2017-18</w:t>
      </w:r>
    </w:p>
    <w:p w:rsidR="008D2140" w:rsidRPr="0029096C" w:rsidRDefault="008D2140" w:rsidP="008D2140">
      <w:pPr>
        <w:jc w:val="center"/>
        <w:rPr>
          <w:rStyle w:val="Strong"/>
          <w:b w:val="0"/>
          <w:sz w:val="16"/>
          <w:szCs w:val="16"/>
        </w:rPr>
      </w:pPr>
    </w:p>
    <w:tbl>
      <w:tblPr>
        <w:tblStyle w:val="TableGrid"/>
        <w:tblW w:w="10530" w:type="dxa"/>
        <w:jc w:val="center"/>
        <w:tblCellMar>
          <w:top w:w="72" w:type="dxa"/>
          <w:left w:w="115" w:type="dxa"/>
          <w:bottom w:w="72" w:type="dxa"/>
          <w:right w:w="115" w:type="dxa"/>
        </w:tblCellMar>
        <w:tblLook w:val="04A0" w:firstRow="1" w:lastRow="0" w:firstColumn="1" w:lastColumn="0" w:noHBand="0" w:noVBand="1"/>
      </w:tblPr>
      <w:tblGrid>
        <w:gridCol w:w="10530"/>
      </w:tblGrid>
      <w:tr w:rsidR="00D22E6D" w:rsidRPr="000E014E" w:rsidTr="00BC01B2">
        <w:trPr>
          <w:jc w:val="center"/>
        </w:trPr>
        <w:tc>
          <w:tcPr>
            <w:tcW w:w="10530" w:type="dxa"/>
            <w:tcBorders>
              <w:top w:val="nil"/>
              <w:left w:val="nil"/>
              <w:bottom w:val="single" w:sz="4" w:space="0" w:color="auto"/>
              <w:right w:val="nil"/>
            </w:tcBorders>
            <w:shd w:val="clear" w:color="auto" w:fill="auto"/>
            <w:tcMar>
              <w:left w:w="0" w:type="dxa"/>
              <w:right w:w="0" w:type="dxa"/>
            </w:tcMar>
          </w:tcPr>
          <w:p w:rsidR="0029096C" w:rsidRDefault="0029096C" w:rsidP="00567838">
            <w:pPr>
              <w:tabs>
                <w:tab w:val="right" w:pos="9630"/>
              </w:tabs>
              <w:jc w:val="center"/>
              <w:rPr>
                <w:rStyle w:val="Strong"/>
                <w:i/>
                <w:sz w:val="40"/>
                <w:szCs w:val="32"/>
              </w:rPr>
            </w:pPr>
            <w:r>
              <w:rPr>
                <w:rStyle w:val="Strong"/>
                <w:i/>
                <w:sz w:val="40"/>
                <w:szCs w:val="32"/>
              </w:rPr>
              <w:t>Department</w:t>
            </w:r>
            <w:r w:rsidR="00567838" w:rsidRPr="00567838">
              <w:rPr>
                <w:rStyle w:val="Strong"/>
                <w:i/>
                <w:sz w:val="40"/>
                <w:szCs w:val="32"/>
              </w:rPr>
              <w:t xml:space="preserve"> of Defense </w:t>
            </w:r>
            <w:r w:rsidRPr="00567838">
              <w:rPr>
                <w:rStyle w:val="Strong"/>
                <w:i/>
                <w:sz w:val="40"/>
                <w:szCs w:val="32"/>
              </w:rPr>
              <w:t>(DoD)</w:t>
            </w:r>
          </w:p>
          <w:p w:rsidR="00F524AD" w:rsidRDefault="00567838" w:rsidP="0029096C">
            <w:pPr>
              <w:tabs>
                <w:tab w:val="right" w:pos="9630"/>
              </w:tabs>
              <w:jc w:val="center"/>
              <w:rPr>
                <w:rStyle w:val="Strong"/>
                <w:i/>
                <w:sz w:val="40"/>
                <w:szCs w:val="32"/>
              </w:rPr>
            </w:pPr>
            <w:r w:rsidRPr="00567838">
              <w:rPr>
                <w:rStyle w:val="Strong"/>
                <w:i/>
                <w:sz w:val="40"/>
                <w:szCs w:val="32"/>
              </w:rPr>
              <w:t>Sites Cleanup</w:t>
            </w:r>
            <w:r w:rsidR="003C325B" w:rsidRPr="00567838">
              <w:rPr>
                <w:rStyle w:val="Strong"/>
                <w:i/>
                <w:sz w:val="40"/>
                <w:szCs w:val="32"/>
              </w:rPr>
              <w:t xml:space="preserve"> Program </w:t>
            </w:r>
          </w:p>
          <w:p w:rsidR="0029096C" w:rsidRPr="0029096C" w:rsidRDefault="0029096C" w:rsidP="0029096C">
            <w:pPr>
              <w:tabs>
                <w:tab w:val="right" w:pos="9630"/>
              </w:tabs>
              <w:jc w:val="center"/>
              <w:rPr>
                <w:rStyle w:val="Strong"/>
                <w:sz w:val="28"/>
                <w:szCs w:val="28"/>
              </w:rPr>
            </w:pPr>
          </w:p>
        </w:tc>
      </w:tr>
      <w:tr w:rsidR="00D22E6D" w:rsidRPr="00B616A2" w:rsidTr="00BC01B2">
        <w:trPr>
          <w:trHeight w:val="125"/>
          <w:jc w:val="center"/>
        </w:trPr>
        <w:tc>
          <w:tcPr>
            <w:tcW w:w="10530" w:type="dxa"/>
            <w:tcBorders>
              <w:left w:val="nil"/>
              <w:bottom w:val="single" w:sz="4" w:space="0" w:color="auto"/>
              <w:right w:val="nil"/>
            </w:tcBorders>
            <w:tcMar>
              <w:top w:w="0" w:type="dxa"/>
              <w:bottom w:w="0" w:type="dxa"/>
            </w:tcMar>
          </w:tcPr>
          <w:p w:rsidR="00D22E6D" w:rsidRPr="00A2549C" w:rsidRDefault="00D22E6D" w:rsidP="006E02DD">
            <w:pPr>
              <w:rPr>
                <w:rStyle w:val="Strong"/>
                <w:b w:val="0"/>
                <w:sz w:val="12"/>
                <w:szCs w:val="12"/>
              </w:rPr>
            </w:pPr>
          </w:p>
        </w:tc>
      </w:tr>
      <w:tr w:rsidR="00D22E6D" w:rsidTr="00BC468E">
        <w:trPr>
          <w:trHeight w:val="3230"/>
          <w:jc w:val="center"/>
        </w:trPr>
        <w:tc>
          <w:tcPr>
            <w:tcW w:w="10530" w:type="dxa"/>
            <w:tcBorders>
              <w:bottom w:val="single" w:sz="4" w:space="0" w:color="auto"/>
            </w:tcBorders>
            <w:shd w:val="clear" w:color="auto" w:fill="EAF1DD" w:themeFill="accent3" w:themeFillTint="33"/>
          </w:tcPr>
          <w:p w:rsidR="00A001FB" w:rsidRPr="0040102C" w:rsidRDefault="00A001FB" w:rsidP="00A001FB">
            <w:pPr>
              <w:tabs>
                <w:tab w:val="left" w:pos="1800"/>
              </w:tabs>
              <w:spacing w:after="60"/>
              <w:rPr>
                <w:rStyle w:val="Strong"/>
                <w:b w:val="0"/>
                <w:sz w:val="32"/>
                <w:szCs w:val="32"/>
              </w:rPr>
            </w:pPr>
            <w:r w:rsidRPr="0040102C">
              <w:rPr>
                <w:rStyle w:val="Strong"/>
                <w:b w:val="0"/>
                <w:sz w:val="32"/>
                <w:szCs w:val="32"/>
              </w:rPr>
              <w:t>Overview</w:t>
            </w:r>
            <w:r w:rsidR="00016899" w:rsidRPr="0040102C">
              <w:rPr>
                <w:rStyle w:val="Strong"/>
                <w:b w:val="0"/>
                <w:sz w:val="32"/>
                <w:szCs w:val="32"/>
              </w:rPr>
              <w:t xml:space="preserve"> </w:t>
            </w:r>
          </w:p>
          <w:p w:rsidR="00BC468E" w:rsidRDefault="00BC468E" w:rsidP="00972DE0">
            <w:pPr>
              <w:spacing w:after="60"/>
              <w:rPr>
                <w:rStyle w:val="Strong"/>
                <w:b w:val="0"/>
              </w:rPr>
            </w:pPr>
          </w:p>
          <w:p w:rsidR="00BC01B2" w:rsidRPr="000D43BB" w:rsidRDefault="00B05E4C" w:rsidP="00630C49">
            <w:pPr>
              <w:spacing w:after="60"/>
              <w:rPr>
                <w:rStyle w:val="Strong"/>
                <w:b w:val="0"/>
              </w:rPr>
            </w:pPr>
            <w:r w:rsidRPr="000D43BB">
              <w:rPr>
                <w:rStyle w:val="Strong"/>
                <w:b w:val="0"/>
              </w:rPr>
              <w:t xml:space="preserve">The DoD program addresses </w:t>
            </w:r>
            <w:r w:rsidR="00A001FB" w:rsidRPr="000D43BB">
              <w:rPr>
                <w:rStyle w:val="Strong"/>
                <w:b w:val="0"/>
              </w:rPr>
              <w:t xml:space="preserve">the cleanup </w:t>
            </w:r>
            <w:r w:rsidR="00972DE0">
              <w:rPr>
                <w:rStyle w:val="Strong"/>
                <w:b w:val="0"/>
              </w:rPr>
              <w:t xml:space="preserve">and abatement </w:t>
            </w:r>
            <w:r w:rsidR="00A001FB" w:rsidRPr="000D43BB">
              <w:rPr>
                <w:rStyle w:val="Strong"/>
                <w:b w:val="0"/>
              </w:rPr>
              <w:t>of pollutants at military facilities.</w:t>
            </w:r>
            <w:r w:rsidR="008479FB">
              <w:rPr>
                <w:rStyle w:val="Strong"/>
                <w:b w:val="0"/>
              </w:rPr>
              <w:t xml:space="preserve"> </w:t>
            </w:r>
            <w:r w:rsidR="00AF4410" w:rsidRPr="000D43BB">
              <w:rPr>
                <w:rStyle w:val="Strong"/>
                <w:b w:val="0"/>
              </w:rPr>
              <w:t>T</w:t>
            </w:r>
            <w:r w:rsidR="00A001FB" w:rsidRPr="000D43BB">
              <w:rPr>
                <w:rStyle w:val="Strong"/>
                <w:b w:val="0"/>
              </w:rPr>
              <w:t xml:space="preserve">he </w:t>
            </w:r>
            <w:r w:rsidR="00AF4410" w:rsidRPr="000D43BB">
              <w:rPr>
                <w:rStyle w:val="Strong"/>
                <w:b w:val="0"/>
              </w:rPr>
              <w:t xml:space="preserve">Water Board’s oversight work is conducted under the </w:t>
            </w:r>
            <w:r w:rsidR="00A001FB" w:rsidRPr="000D43BB">
              <w:rPr>
                <w:rStyle w:val="Strong"/>
                <w:b w:val="0"/>
              </w:rPr>
              <w:t>Defense and State Memorandum of Agreement (DSMOA)</w:t>
            </w:r>
            <w:r w:rsidR="00AF4410" w:rsidRPr="000D43BB">
              <w:rPr>
                <w:rStyle w:val="Strong"/>
                <w:b w:val="0"/>
              </w:rPr>
              <w:t>, which specifies the current and planned restoration efforts and provides cost recovery for regulatory oversight.</w:t>
            </w:r>
            <w:r w:rsidR="00D85555" w:rsidRPr="000D43BB">
              <w:rPr>
                <w:rStyle w:val="Strong"/>
                <w:b w:val="0"/>
              </w:rPr>
              <w:t xml:space="preserve"> </w:t>
            </w:r>
            <w:r w:rsidR="00F9606D" w:rsidRPr="000D43BB">
              <w:rPr>
                <w:rStyle w:val="Strong"/>
                <w:b w:val="0"/>
              </w:rPr>
              <w:t xml:space="preserve">There are </w:t>
            </w:r>
            <w:r w:rsidR="00F9606D" w:rsidRPr="002A1E72">
              <w:rPr>
                <w:rStyle w:val="Strong"/>
                <w:b w:val="0"/>
              </w:rPr>
              <w:t>6</w:t>
            </w:r>
            <w:r w:rsidR="007E05B5" w:rsidRPr="002A1E72">
              <w:rPr>
                <w:rStyle w:val="Strong"/>
                <w:b w:val="0"/>
              </w:rPr>
              <w:t>.6</w:t>
            </w:r>
            <w:r w:rsidR="00F9606D" w:rsidRPr="002A1E72">
              <w:rPr>
                <w:rStyle w:val="Strong"/>
                <w:b w:val="0"/>
              </w:rPr>
              <w:t xml:space="preserve"> PYs</w:t>
            </w:r>
            <w:r w:rsidR="00F9606D" w:rsidRPr="000D43BB">
              <w:rPr>
                <w:rStyle w:val="Strong"/>
                <w:b w:val="0"/>
              </w:rPr>
              <w:t xml:space="preserve"> assigned to DoD work this FY</w:t>
            </w:r>
            <w:r w:rsidR="00630C49">
              <w:rPr>
                <w:rStyle w:val="Strong"/>
                <w:b w:val="0"/>
              </w:rPr>
              <w:t xml:space="preserve"> 2017-18</w:t>
            </w:r>
            <w:r w:rsidR="00F9606D" w:rsidRPr="000D43BB">
              <w:rPr>
                <w:rStyle w:val="Strong"/>
                <w:b w:val="0"/>
              </w:rPr>
              <w:t xml:space="preserve">. </w:t>
            </w:r>
            <w:r w:rsidR="00016899" w:rsidRPr="000D43BB">
              <w:rPr>
                <w:rStyle w:val="Strong"/>
                <w:b w:val="0"/>
              </w:rPr>
              <w:t xml:space="preserve">There </w:t>
            </w:r>
            <w:r w:rsidR="00016899" w:rsidRPr="002A1E72">
              <w:rPr>
                <w:rStyle w:val="Strong"/>
                <w:b w:val="0"/>
              </w:rPr>
              <w:t xml:space="preserve">are </w:t>
            </w:r>
            <w:r w:rsidR="003806A2">
              <w:rPr>
                <w:rStyle w:val="Strong"/>
                <w:b w:val="0"/>
              </w:rPr>
              <w:t xml:space="preserve">8 military facilities and </w:t>
            </w:r>
            <w:r w:rsidR="00753537" w:rsidRPr="002A1E72">
              <w:rPr>
                <w:rStyle w:val="Strong"/>
                <w:b w:val="0"/>
              </w:rPr>
              <w:t>566</w:t>
            </w:r>
            <w:r w:rsidR="00016899" w:rsidRPr="002A1E72">
              <w:rPr>
                <w:rStyle w:val="Strong"/>
                <w:b w:val="0"/>
              </w:rPr>
              <w:t xml:space="preserve"> active cleanup </w:t>
            </w:r>
            <w:r w:rsidR="00972DE0">
              <w:rPr>
                <w:rStyle w:val="Strong"/>
                <w:b w:val="0"/>
              </w:rPr>
              <w:t>cases</w:t>
            </w:r>
            <w:r w:rsidR="00016899" w:rsidRPr="002A1E72">
              <w:rPr>
                <w:rStyle w:val="Strong"/>
                <w:b w:val="0"/>
              </w:rPr>
              <w:t xml:space="preserve"> in the </w:t>
            </w:r>
            <w:r w:rsidR="004E34A9" w:rsidRPr="002A1E72">
              <w:rPr>
                <w:rStyle w:val="Strong"/>
                <w:b w:val="0"/>
              </w:rPr>
              <w:t xml:space="preserve">Lahontan Region under the </w:t>
            </w:r>
            <w:r w:rsidR="00016899" w:rsidRPr="002A1E72">
              <w:rPr>
                <w:rStyle w:val="Strong"/>
                <w:b w:val="0"/>
              </w:rPr>
              <w:t>DoD p</w:t>
            </w:r>
            <w:r w:rsidR="00792A86" w:rsidRPr="002A1E72">
              <w:rPr>
                <w:rStyle w:val="Strong"/>
                <w:b w:val="0"/>
              </w:rPr>
              <w:t>rogram</w:t>
            </w:r>
            <w:r w:rsidR="00045916">
              <w:rPr>
                <w:rStyle w:val="Strong"/>
                <w:b w:val="0"/>
              </w:rPr>
              <w:t>,</w:t>
            </w:r>
            <w:r w:rsidR="00792A86" w:rsidRPr="002A1E72">
              <w:rPr>
                <w:rStyle w:val="Strong"/>
                <w:b w:val="0"/>
              </w:rPr>
              <w:t xml:space="preserve"> and most of the </w:t>
            </w:r>
            <w:r w:rsidR="00972DE0">
              <w:rPr>
                <w:rStyle w:val="Strong"/>
                <w:b w:val="0"/>
              </w:rPr>
              <w:t>cases</w:t>
            </w:r>
            <w:r w:rsidR="00792A86" w:rsidRPr="002A1E72">
              <w:rPr>
                <w:rStyle w:val="Strong"/>
                <w:b w:val="0"/>
              </w:rPr>
              <w:t xml:space="preserve"> consist</w:t>
            </w:r>
            <w:r w:rsidR="002965EE" w:rsidRPr="002A1E72">
              <w:rPr>
                <w:rStyle w:val="Strong"/>
                <w:b w:val="0"/>
              </w:rPr>
              <w:t xml:space="preserve"> of</w:t>
            </w:r>
            <w:r w:rsidR="00016899" w:rsidRPr="002A1E72">
              <w:rPr>
                <w:rStyle w:val="Strong"/>
                <w:b w:val="0"/>
              </w:rPr>
              <w:t xml:space="preserve"> solvent </w:t>
            </w:r>
            <w:r w:rsidR="00792A86" w:rsidRPr="002A1E72">
              <w:rPr>
                <w:rStyle w:val="Strong"/>
                <w:b w:val="0"/>
              </w:rPr>
              <w:t>or</w:t>
            </w:r>
            <w:r w:rsidR="00016899" w:rsidRPr="002A1E72">
              <w:rPr>
                <w:rStyle w:val="Strong"/>
                <w:b w:val="0"/>
              </w:rPr>
              <w:t xml:space="preserve"> petroleum</w:t>
            </w:r>
            <w:r w:rsidR="00016899" w:rsidRPr="000D43BB">
              <w:rPr>
                <w:rStyle w:val="Strong"/>
                <w:b w:val="0"/>
              </w:rPr>
              <w:t xml:space="preserve"> </w:t>
            </w:r>
            <w:r w:rsidR="00A71F9F">
              <w:rPr>
                <w:rStyle w:val="Strong"/>
                <w:b w:val="0"/>
              </w:rPr>
              <w:t xml:space="preserve">releases. </w:t>
            </w:r>
            <w:r w:rsidR="00972DE0">
              <w:rPr>
                <w:rStyle w:val="Strong"/>
                <w:b w:val="0"/>
              </w:rPr>
              <w:t xml:space="preserve">Other </w:t>
            </w:r>
            <w:r w:rsidR="00047D17">
              <w:rPr>
                <w:rStyle w:val="Strong"/>
                <w:b w:val="0"/>
              </w:rPr>
              <w:t xml:space="preserve">contaminants </w:t>
            </w:r>
            <w:r w:rsidR="003C6E74">
              <w:rPr>
                <w:rStyle w:val="Strong"/>
                <w:b w:val="0"/>
              </w:rPr>
              <w:t xml:space="preserve">also </w:t>
            </w:r>
            <w:r w:rsidR="00047D17">
              <w:rPr>
                <w:rStyle w:val="Strong"/>
                <w:b w:val="0"/>
              </w:rPr>
              <w:t>include</w:t>
            </w:r>
            <w:r w:rsidR="00792A86" w:rsidRPr="000D43BB">
              <w:rPr>
                <w:rStyle w:val="Strong"/>
                <w:b w:val="0"/>
              </w:rPr>
              <w:t xml:space="preserve"> pesticides, </w:t>
            </w:r>
            <w:r w:rsidR="00630C49">
              <w:rPr>
                <w:rStyle w:val="Strong"/>
                <w:b w:val="0"/>
              </w:rPr>
              <w:t xml:space="preserve">flame retardants, </w:t>
            </w:r>
            <w:r w:rsidR="00792A86" w:rsidRPr="000D43BB">
              <w:rPr>
                <w:rStyle w:val="Strong"/>
                <w:b w:val="0"/>
              </w:rPr>
              <w:t>metals, nitrate</w:t>
            </w:r>
            <w:r w:rsidR="00A71F9F">
              <w:rPr>
                <w:rStyle w:val="Strong"/>
                <w:b w:val="0"/>
              </w:rPr>
              <w:t>,</w:t>
            </w:r>
            <w:r w:rsidR="00792A86" w:rsidRPr="000D43BB">
              <w:rPr>
                <w:rStyle w:val="Strong"/>
                <w:b w:val="0"/>
              </w:rPr>
              <w:t xml:space="preserve"> and munitions-related chemicals</w:t>
            </w:r>
            <w:r w:rsidR="00972DE0">
              <w:rPr>
                <w:rStyle w:val="Strong"/>
                <w:b w:val="0"/>
              </w:rPr>
              <w:t>.</w:t>
            </w:r>
            <w:r w:rsidR="00016899" w:rsidRPr="000D43BB">
              <w:rPr>
                <w:rStyle w:val="Strong"/>
                <w:b w:val="0"/>
              </w:rPr>
              <w:t xml:space="preserve"> </w:t>
            </w:r>
          </w:p>
        </w:tc>
      </w:tr>
      <w:tr w:rsidR="00D22E6D" w:rsidRPr="00B616A2" w:rsidTr="00BC01B2">
        <w:trPr>
          <w:jc w:val="center"/>
        </w:trPr>
        <w:tc>
          <w:tcPr>
            <w:tcW w:w="10530" w:type="dxa"/>
            <w:tcBorders>
              <w:left w:val="nil"/>
              <w:bottom w:val="single" w:sz="4" w:space="0" w:color="auto"/>
              <w:right w:val="nil"/>
            </w:tcBorders>
            <w:tcMar>
              <w:top w:w="0" w:type="dxa"/>
              <w:bottom w:w="0" w:type="dxa"/>
            </w:tcMar>
          </w:tcPr>
          <w:p w:rsidR="00D22E6D" w:rsidRPr="00A2549C" w:rsidRDefault="00D22E6D" w:rsidP="006E02DD">
            <w:pPr>
              <w:rPr>
                <w:rStyle w:val="Strong"/>
                <w:b w:val="0"/>
                <w:sz w:val="12"/>
                <w:szCs w:val="12"/>
              </w:rPr>
            </w:pPr>
          </w:p>
        </w:tc>
      </w:tr>
      <w:tr w:rsidR="00D22E6D" w:rsidTr="00BC468E">
        <w:trPr>
          <w:trHeight w:val="7712"/>
          <w:jc w:val="center"/>
        </w:trPr>
        <w:tc>
          <w:tcPr>
            <w:tcW w:w="10530" w:type="dxa"/>
            <w:shd w:val="clear" w:color="auto" w:fill="EAF1DD" w:themeFill="accent3" w:themeFillTint="33"/>
          </w:tcPr>
          <w:p w:rsidR="00293DAE" w:rsidRPr="0040102C" w:rsidRDefault="00293DAE" w:rsidP="001858CE">
            <w:pPr>
              <w:tabs>
                <w:tab w:val="left" w:pos="1815"/>
              </w:tabs>
              <w:spacing w:after="60"/>
              <w:rPr>
                <w:rStyle w:val="Strong"/>
                <w:b w:val="0"/>
                <w:sz w:val="32"/>
              </w:rPr>
            </w:pPr>
            <w:r w:rsidRPr="0040102C">
              <w:rPr>
                <w:rStyle w:val="Strong"/>
                <w:b w:val="0"/>
                <w:sz w:val="32"/>
              </w:rPr>
              <w:t>Key Efforts</w:t>
            </w:r>
          </w:p>
          <w:p w:rsidR="00BC468E" w:rsidRDefault="00BC468E" w:rsidP="00AF4410">
            <w:pPr>
              <w:tabs>
                <w:tab w:val="left" w:pos="1815"/>
              </w:tabs>
              <w:spacing w:after="60"/>
              <w:rPr>
                <w:rStyle w:val="Strong"/>
                <w:b w:val="0"/>
              </w:rPr>
            </w:pPr>
          </w:p>
          <w:p w:rsidR="00DD1B3D" w:rsidRDefault="00847096" w:rsidP="007A1A08">
            <w:pPr>
              <w:tabs>
                <w:tab w:val="left" w:pos="1815"/>
              </w:tabs>
              <w:spacing w:after="60"/>
              <w:rPr>
                <w:rFonts w:cs="Arial"/>
              </w:rPr>
            </w:pPr>
            <w:r w:rsidRPr="00747AFF">
              <w:rPr>
                <w:rStyle w:val="Strong"/>
                <w:b w:val="0"/>
              </w:rPr>
              <w:t>Program priorities are</w:t>
            </w:r>
            <w:r w:rsidR="00AF4410" w:rsidRPr="00747AFF">
              <w:rPr>
                <w:rStyle w:val="Strong"/>
                <w:b w:val="0"/>
              </w:rPr>
              <w:t xml:space="preserve"> protection of</w:t>
            </w:r>
            <w:r w:rsidR="008451E9">
              <w:rPr>
                <w:rStyle w:val="Strong"/>
                <w:b w:val="0"/>
              </w:rPr>
              <w:t xml:space="preserve"> human health</w:t>
            </w:r>
            <w:r w:rsidRPr="00747AFF">
              <w:rPr>
                <w:rStyle w:val="Strong"/>
                <w:b w:val="0"/>
              </w:rPr>
              <w:t xml:space="preserve"> </w:t>
            </w:r>
            <w:r w:rsidR="00AF4410" w:rsidRPr="00747AFF">
              <w:rPr>
                <w:rStyle w:val="Strong"/>
                <w:b w:val="0"/>
              </w:rPr>
              <w:t xml:space="preserve">and the </w:t>
            </w:r>
            <w:r w:rsidR="00792A86" w:rsidRPr="00747AFF">
              <w:rPr>
                <w:rStyle w:val="Strong"/>
                <w:b w:val="0"/>
              </w:rPr>
              <w:t>environment</w:t>
            </w:r>
            <w:r w:rsidR="006E1228" w:rsidRPr="00747AFF">
              <w:rPr>
                <w:rStyle w:val="Strong"/>
                <w:b w:val="0"/>
              </w:rPr>
              <w:t xml:space="preserve">, which are achieved </w:t>
            </w:r>
            <w:r w:rsidRPr="00747AFF">
              <w:rPr>
                <w:rStyle w:val="Strong"/>
                <w:b w:val="0"/>
              </w:rPr>
              <w:t xml:space="preserve">by </w:t>
            </w:r>
            <w:r w:rsidR="006E1228" w:rsidRPr="00747AFF">
              <w:rPr>
                <w:rStyle w:val="Strong"/>
                <w:b w:val="0"/>
              </w:rPr>
              <w:t xml:space="preserve">remediation of soil and groundwater and </w:t>
            </w:r>
            <w:r w:rsidRPr="00747AFF">
              <w:rPr>
                <w:rStyle w:val="Strong"/>
                <w:b w:val="0"/>
              </w:rPr>
              <w:t>controlling e</w:t>
            </w:r>
            <w:r w:rsidR="00AF4410" w:rsidRPr="00747AFF">
              <w:rPr>
                <w:rStyle w:val="Strong"/>
                <w:b w:val="0"/>
              </w:rPr>
              <w:t xml:space="preserve">xposure </w:t>
            </w:r>
            <w:r w:rsidR="00F9606D" w:rsidRPr="00747AFF">
              <w:rPr>
                <w:rStyle w:val="Strong"/>
                <w:b w:val="0"/>
              </w:rPr>
              <w:t>to contaminants</w:t>
            </w:r>
            <w:r w:rsidR="00D85555" w:rsidRPr="00747AFF">
              <w:rPr>
                <w:rStyle w:val="Strong"/>
                <w:b w:val="0"/>
              </w:rPr>
              <w:t xml:space="preserve">. </w:t>
            </w:r>
            <w:r w:rsidRPr="00747AFF">
              <w:rPr>
                <w:rStyle w:val="Strong"/>
                <w:b w:val="0"/>
              </w:rPr>
              <w:t xml:space="preserve">  </w:t>
            </w:r>
            <w:r w:rsidR="00D85555" w:rsidRPr="00747AFF">
              <w:rPr>
                <w:rStyle w:val="Strong"/>
                <w:b w:val="0"/>
              </w:rPr>
              <w:t xml:space="preserve">At </w:t>
            </w:r>
            <w:r w:rsidR="00F26F7E" w:rsidRPr="00747AFF">
              <w:rPr>
                <w:rStyle w:val="Strong"/>
                <w:b w:val="0"/>
              </w:rPr>
              <w:t>many sites</w:t>
            </w:r>
            <w:r w:rsidR="009D0C68" w:rsidRPr="00747AFF">
              <w:rPr>
                <w:rStyle w:val="Strong"/>
                <w:b w:val="0"/>
              </w:rPr>
              <w:t>,</w:t>
            </w:r>
            <w:r w:rsidR="00F26F7E" w:rsidRPr="00747AFF">
              <w:rPr>
                <w:rStyle w:val="Strong"/>
                <w:b w:val="0"/>
              </w:rPr>
              <w:t xml:space="preserve"> </w:t>
            </w:r>
            <w:r w:rsidR="00972DE0">
              <w:rPr>
                <w:rStyle w:val="Strong"/>
                <w:b w:val="0"/>
              </w:rPr>
              <w:t xml:space="preserve">federal </w:t>
            </w:r>
            <w:r w:rsidR="00F26F7E" w:rsidRPr="00747AFF">
              <w:rPr>
                <w:rStyle w:val="Strong"/>
                <w:b w:val="0"/>
              </w:rPr>
              <w:t>DoD</w:t>
            </w:r>
            <w:r w:rsidR="00972DE0">
              <w:rPr>
                <w:rStyle w:val="Strong"/>
                <w:b w:val="0"/>
              </w:rPr>
              <w:t xml:space="preserve"> agencies are</w:t>
            </w:r>
            <w:r w:rsidR="00F26F7E" w:rsidRPr="00747AFF">
              <w:rPr>
                <w:rStyle w:val="Strong"/>
                <w:b w:val="0"/>
              </w:rPr>
              <w:t xml:space="preserve"> dev</w:t>
            </w:r>
            <w:r w:rsidR="00D85555" w:rsidRPr="00747AFF">
              <w:rPr>
                <w:rStyle w:val="Strong"/>
                <w:b w:val="0"/>
              </w:rPr>
              <w:t>eloping remedies that focus</w:t>
            </w:r>
            <w:r w:rsidR="00211A33">
              <w:rPr>
                <w:rStyle w:val="Strong"/>
                <w:b w:val="0"/>
              </w:rPr>
              <w:t xml:space="preserve"> on </w:t>
            </w:r>
            <w:r w:rsidR="00F26F7E" w:rsidRPr="00747AFF">
              <w:rPr>
                <w:rStyle w:val="Strong"/>
                <w:b w:val="0"/>
              </w:rPr>
              <w:t>land use controls</w:t>
            </w:r>
            <w:r w:rsidR="00211A33">
              <w:rPr>
                <w:rStyle w:val="Strong"/>
                <w:b w:val="0"/>
              </w:rPr>
              <w:t xml:space="preserve"> instead of restoration of groundwater quality in a reasonable timeframe</w:t>
            </w:r>
            <w:r w:rsidR="00D85555" w:rsidRPr="00747AFF">
              <w:rPr>
                <w:rStyle w:val="Strong"/>
                <w:b w:val="0"/>
              </w:rPr>
              <w:t>.</w:t>
            </w:r>
            <w:r w:rsidR="00747AFF">
              <w:rPr>
                <w:rFonts w:cs="Arial"/>
              </w:rPr>
              <w:t xml:space="preserve"> </w:t>
            </w:r>
            <w:r w:rsidR="000D43BB">
              <w:rPr>
                <w:rFonts w:cs="Arial"/>
              </w:rPr>
              <w:t>Major</w:t>
            </w:r>
            <w:r w:rsidR="00116387">
              <w:rPr>
                <w:rFonts w:cs="Arial"/>
              </w:rPr>
              <w:t xml:space="preserve"> staff</w:t>
            </w:r>
            <w:r w:rsidR="000D43BB">
              <w:rPr>
                <w:rFonts w:cs="Arial"/>
              </w:rPr>
              <w:t xml:space="preserve"> efforts include:</w:t>
            </w:r>
            <w:r w:rsidR="00DD1B3D">
              <w:rPr>
                <w:rFonts w:cs="Arial"/>
              </w:rPr>
              <w:t xml:space="preserve">  </w:t>
            </w:r>
          </w:p>
          <w:p w:rsidR="00BC468E" w:rsidRDefault="00BC468E" w:rsidP="007A1A08">
            <w:pPr>
              <w:tabs>
                <w:tab w:val="left" w:pos="1815"/>
              </w:tabs>
              <w:spacing w:after="60"/>
              <w:rPr>
                <w:rFonts w:cs="Arial"/>
              </w:rPr>
            </w:pPr>
          </w:p>
          <w:p w:rsidR="008C5018" w:rsidRPr="000D43BB" w:rsidRDefault="008C5018" w:rsidP="008C5018">
            <w:pPr>
              <w:pStyle w:val="ListParagraph"/>
              <w:numPr>
                <w:ilvl w:val="0"/>
                <w:numId w:val="20"/>
              </w:numPr>
              <w:tabs>
                <w:tab w:val="left" w:pos="1815"/>
              </w:tabs>
              <w:spacing w:after="60"/>
              <w:rPr>
                <w:bCs/>
                <w:sz w:val="22"/>
                <w:szCs w:val="22"/>
              </w:rPr>
            </w:pPr>
            <w:r w:rsidRPr="00972DE0">
              <w:rPr>
                <w:rFonts w:cs="Arial"/>
                <w:b/>
              </w:rPr>
              <w:t>G</w:t>
            </w:r>
            <w:r w:rsidR="00972DE0" w:rsidRPr="00972DE0">
              <w:rPr>
                <w:rFonts w:cs="Arial"/>
                <w:b/>
              </w:rPr>
              <w:t xml:space="preserve">eorge </w:t>
            </w:r>
            <w:r w:rsidRPr="00972DE0">
              <w:rPr>
                <w:rFonts w:cs="Arial"/>
                <w:b/>
              </w:rPr>
              <w:t>A</w:t>
            </w:r>
            <w:r w:rsidR="00972DE0" w:rsidRPr="00972DE0">
              <w:rPr>
                <w:rFonts w:cs="Arial"/>
                <w:b/>
              </w:rPr>
              <w:t xml:space="preserve">ir </w:t>
            </w:r>
            <w:r w:rsidRPr="00972DE0">
              <w:rPr>
                <w:rFonts w:cs="Arial"/>
                <w:b/>
              </w:rPr>
              <w:t>F</w:t>
            </w:r>
            <w:r w:rsidR="00972DE0" w:rsidRPr="00972DE0">
              <w:rPr>
                <w:rFonts w:cs="Arial"/>
                <w:b/>
              </w:rPr>
              <w:t xml:space="preserve">orce </w:t>
            </w:r>
            <w:r w:rsidRPr="00972DE0">
              <w:rPr>
                <w:rFonts w:cs="Arial"/>
                <w:b/>
              </w:rPr>
              <w:t>B</w:t>
            </w:r>
            <w:r w:rsidR="00972DE0" w:rsidRPr="00972DE0">
              <w:rPr>
                <w:rFonts w:cs="Arial"/>
                <w:b/>
              </w:rPr>
              <w:t>ase</w:t>
            </w:r>
            <w:r w:rsidR="00630C49">
              <w:rPr>
                <w:rFonts w:cs="Arial"/>
              </w:rPr>
              <w:t>: I</w:t>
            </w:r>
            <w:r w:rsidR="00972DE0">
              <w:rPr>
                <w:rFonts w:cs="Arial"/>
              </w:rPr>
              <w:t>mplement</w:t>
            </w:r>
            <w:r w:rsidR="00630C49">
              <w:rPr>
                <w:rFonts w:cs="Arial"/>
              </w:rPr>
              <w:t>ing</w:t>
            </w:r>
            <w:r w:rsidR="00045916" w:rsidRPr="00DD1B3D">
              <w:rPr>
                <w:rFonts w:cs="Arial"/>
              </w:rPr>
              <w:t xml:space="preserve"> groundwater</w:t>
            </w:r>
            <w:r w:rsidRPr="00DD1B3D">
              <w:rPr>
                <w:rFonts w:cs="Arial"/>
              </w:rPr>
              <w:t xml:space="preserve"> remediation </w:t>
            </w:r>
            <w:r w:rsidR="00101BB0">
              <w:rPr>
                <w:rFonts w:cs="Arial"/>
              </w:rPr>
              <w:t xml:space="preserve">and </w:t>
            </w:r>
            <w:r w:rsidRPr="00DD1B3D">
              <w:rPr>
                <w:rFonts w:cs="Arial"/>
              </w:rPr>
              <w:t>r</w:t>
            </w:r>
            <w:r>
              <w:rPr>
                <w:rFonts w:cs="Arial"/>
              </w:rPr>
              <w:t xml:space="preserve">estoration. </w:t>
            </w:r>
          </w:p>
          <w:p w:rsidR="00DD1B3D" w:rsidRPr="00DD1B3D" w:rsidRDefault="008451E9" w:rsidP="00AB2B8F">
            <w:pPr>
              <w:pStyle w:val="ListParagraph"/>
              <w:numPr>
                <w:ilvl w:val="0"/>
                <w:numId w:val="20"/>
              </w:numPr>
              <w:tabs>
                <w:tab w:val="left" w:pos="1815"/>
              </w:tabs>
              <w:spacing w:after="60"/>
              <w:rPr>
                <w:bCs/>
                <w:sz w:val="22"/>
                <w:szCs w:val="22"/>
              </w:rPr>
            </w:pPr>
            <w:r w:rsidRPr="00972DE0">
              <w:rPr>
                <w:rFonts w:cs="Arial"/>
                <w:b/>
              </w:rPr>
              <w:t>E</w:t>
            </w:r>
            <w:r w:rsidR="00972DE0" w:rsidRPr="00972DE0">
              <w:rPr>
                <w:rFonts w:cs="Arial"/>
                <w:b/>
              </w:rPr>
              <w:t xml:space="preserve">dwards </w:t>
            </w:r>
            <w:r w:rsidRPr="00972DE0">
              <w:rPr>
                <w:rFonts w:cs="Arial"/>
                <w:b/>
              </w:rPr>
              <w:t>A</w:t>
            </w:r>
            <w:r w:rsidR="00972DE0" w:rsidRPr="00972DE0">
              <w:rPr>
                <w:rFonts w:cs="Arial"/>
                <w:b/>
              </w:rPr>
              <w:t xml:space="preserve">ir </w:t>
            </w:r>
            <w:r w:rsidRPr="00972DE0">
              <w:rPr>
                <w:rFonts w:cs="Arial"/>
                <w:b/>
              </w:rPr>
              <w:t>F</w:t>
            </w:r>
            <w:r w:rsidR="00972DE0" w:rsidRPr="00972DE0">
              <w:rPr>
                <w:rFonts w:cs="Arial"/>
                <w:b/>
              </w:rPr>
              <w:t xml:space="preserve">orce </w:t>
            </w:r>
            <w:r w:rsidRPr="00972DE0">
              <w:rPr>
                <w:rFonts w:cs="Arial"/>
                <w:b/>
              </w:rPr>
              <w:t>B</w:t>
            </w:r>
            <w:r w:rsidR="00972DE0" w:rsidRPr="00972DE0">
              <w:rPr>
                <w:rFonts w:cs="Arial"/>
                <w:b/>
              </w:rPr>
              <w:t>ase</w:t>
            </w:r>
            <w:r w:rsidR="000D43BB">
              <w:rPr>
                <w:rFonts w:cs="Arial"/>
              </w:rPr>
              <w:t xml:space="preserve">: </w:t>
            </w:r>
            <w:r w:rsidR="00630C49">
              <w:rPr>
                <w:rFonts w:cs="Arial"/>
              </w:rPr>
              <w:t>R</w:t>
            </w:r>
            <w:r w:rsidR="00384870">
              <w:rPr>
                <w:rFonts w:cs="Arial"/>
              </w:rPr>
              <w:t>esolv</w:t>
            </w:r>
            <w:r w:rsidR="00630C49">
              <w:rPr>
                <w:rFonts w:cs="Arial"/>
              </w:rPr>
              <w:t>ing</w:t>
            </w:r>
            <w:r w:rsidR="00384870">
              <w:rPr>
                <w:rFonts w:cs="Arial"/>
              </w:rPr>
              <w:t xml:space="preserve"> dispute</w:t>
            </w:r>
            <w:r w:rsidR="00045916">
              <w:rPr>
                <w:rFonts w:cs="Arial"/>
              </w:rPr>
              <w:t>s related to decision documents;</w:t>
            </w:r>
            <w:r w:rsidR="00384870">
              <w:rPr>
                <w:rFonts w:cs="Arial"/>
              </w:rPr>
              <w:t xml:space="preserve"> r</w:t>
            </w:r>
            <w:r w:rsidR="00397ED0" w:rsidRPr="00DD1B3D">
              <w:rPr>
                <w:rFonts w:cs="Arial"/>
              </w:rPr>
              <w:t xml:space="preserve">efining </w:t>
            </w:r>
            <w:r w:rsidRPr="00DD1B3D">
              <w:rPr>
                <w:rFonts w:cs="Arial"/>
              </w:rPr>
              <w:t>conceptual site model</w:t>
            </w:r>
            <w:r w:rsidR="00384870">
              <w:rPr>
                <w:rFonts w:cs="Arial"/>
              </w:rPr>
              <w:t>s</w:t>
            </w:r>
            <w:r w:rsidR="003C6E74">
              <w:rPr>
                <w:rFonts w:cs="Arial"/>
              </w:rPr>
              <w:t>;</w:t>
            </w:r>
            <w:r w:rsidRPr="00DD1B3D">
              <w:rPr>
                <w:rFonts w:cs="Arial"/>
              </w:rPr>
              <w:t xml:space="preserve"> </w:t>
            </w:r>
            <w:r w:rsidR="00630C49">
              <w:rPr>
                <w:rFonts w:cs="Arial"/>
              </w:rPr>
              <w:t xml:space="preserve">plume containment </w:t>
            </w:r>
            <w:r w:rsidR="002965EE">
              <w:rPr>
                <w:rFonts w:cs="Arial"/>
              </w:rPr>
              <w:t xml:space="preserve">and </w:t>
            </w:r>
            <w:r w:rsidR="00045916">
              <w:rPr>
                <w:rFonts w:cs="Arial"/>
              </w:rPr>
              <w:t>ensuring</w:t>
            </w:r>
            <w:r w:rsidR="002965EE">
              <w:rPr>
                <w:rFonts w:cs="Arial"/>
              </w:rPr>
              <w:t xml:space="preserve"> investigation</w:t>
            </w:r>
            <w:r w:rsidR="00DD1B3D">
              <w:rPr>
                <w:rFonts w:cs="Arial"/>
              </w:rPr>
              <w:t xml:space="preserve">s provide </w:t>
            </w:r>
            <w:r w:rsidR="00397ED0" w:rsidRPr="00DD1B3D">
              <w:rPr>
                <w:rFonts w:cs="Arial"/>
              </w:rPr>
              <w:t>a more robust basis</w:t>
            </w:r>
            <w:r w:rsidR="00101BB0">
              <w:rPr>
                <w:rFonts w:cs="Arial"/>
              </w:rPr>
              <w:t xml:space="preserve"> for</w:t>
            </w:r>
            <w:r w:rsidR="00211A33" w:rsidRPr="00DD1B3D">
              <w:rPr>
                <w:rFonts w:cs="Arial"/>
              </w:rPr>
              <w:t xml:space="preserve"> decisions.  </w:t>
            </w:r>
          </w:p>
          <w:p w:rsidR="000D43BB" w:rsidRDefault="00F66D35" w:rsidP="00AB2B8F">
            <w:pPr>
              <w:pStyle w:val="ListParagraph"/>
              <w:numPr>
                <w:ilvl w:val="0"/>
                <w:numId w:val="20"/>
              </w:numPr>
              <w:tabs>
                <w:tab w:val="left" w:pos="1815"/>
              </w:tabs>
              <w:spacing w:after="60"/>
              <w:rPr>
                <w:rStyle w:val="Strong"/>
                <w:b w:val="0"/>
              </w:rPr>
            </w:pPr>
            <w:r w:rsidRPr="00972DE0">
              <w:rPr>
                <w:rStyle w:val="Strong"/>
              </w:rPr>
              <w:t>C</w:t>
            </w:r>
            <w:r w:rsidR="00972DE0" w:rsidRPr="00972DE0">
              <w:rPr>
                <w:rStyle w:val="Strong"/>
              </w:rPr>
              <w:t xml:space="preserve">hina </w:t>
            </w:r>
            <w:r w:rsidRPr="00972DE0">
              <w:rPr>
                <w:rStyle w:val="Strong"/>
              </w:rPr>
              <w:t>L</w:t>
            </w:r>
            <w:r w:rsidR="00972DE0" w:rsidRPr="00972DE0">
              <w:rPr>
                <w:rStyle w:val="Strong"/>
              </w:rPr>
              <w:t xml:space="preserve">ake </w:t>
            </w:r>
            <w:r w:rsidRPr="00972DE0">
              <w:rPr>
                <w:rStyle w:val="Strong"/>
              </w:rPr>
              <w:t>N</w:t>
            </w:r>
            <w:r w:rsidR="00972DE0" w:rsidRPr="00972DE0">
              <w:rPr>
                <w:rStyle w:val="Strong"/>
              </w:rPr>
              <w:t xml:space="preserve">aval </w:t>
            </w:r>
            <w:r w:rsidRPr="00972DE0">
              <w:rPr>
                <w:rStyle w:val="Strong"/>
              </w:rPr>
              <w:t>A</w:t>
            </w:r>
            <w:r w:rsidR="00972DE0" w:rsidRPr="00972DE0">
              <w:rPr>
                <w:rStyle w:val="Strong"/>
              </w:rPr>
              <w:t xml:space="preserve">ir </w:t>
            </w:r>
            <w:r w:rsidRPr="00972DE0">
              <w:rPr>
                <w:rStyle w:val="Strong"/>
              </w:rPr>
              <w:t>W</w:t>
            </w:r>
            <w:r w:rsidR="00972DE0" w:rsidRPr="00972DE0">
              <w:rPr>
                <w:rStyle w:val="Strong"/>
              </w:rPr>
              <w:t xml:space="preserve">eapons </w:t>
            </w:r>
            <w:r w:rsidRPr="00972DE0">
              <w:rPr>
                <w:rStyle w:val="Strong"/>
              </w:rPr>
              <w:t>S</w:t>
            </w:r>
            <w:r w:rsidR="00972DE0" w:rsidRPr="00972DE0">
              <w:rPr>
                <w:rStyle w:val="Strong"/>
              </w:rPr>
              <w:t>tation</w:t>
            </w:r>
            <w:r>
              <w:rPr>
                <w:rStyle w:val="Strong"/>
                <w:b w:val="0"/>
              </w:rPr>
              <w:t xml:space="preserve">: </w:t>
            </w:r>
            <w:r w:rsidR="00116387" w:rsidRPr="00116387">
              <w:rPr>
                <w:rStyle w:val="Strong"/>
                <w:b w:val="0"/>
              </w:rPr>
              <w:t>Collaborating on in</w:t>
            </w:r>
            <w:r w:rsidR="000D43BB" w:rsidRPr="00116387">
              <w:rPr>
                <w:rStyle w:val="Strong"/>
                <w:b w:val="0"/>
              </w:rPr>
              <w:t xml:space="preserve">vestigations at multiple sites </w:t>
            </w:r>
            <w:r w:rsidR="00101BB0">
              <w:rPr>
                <w:rStyle w:val="Strong"/>
                <w:b w:val="0"/>
              </w:rPr>
              <w:t>leading to</w:t>
            </w:r>
            <w:r w:rsidR="002965EE">
              <w:rPr>
                <w:rStyle w:val="Strong"/>
                <w:b w:val="0"/>
              </w:rPr>
              <w:t xml:space="preserve"> feasibility studies</w:t>
            </w:r>
            <w:r w:rsidR="00045916">
              <w:rPr>
                <w:rStyle w:val="Strong"/>
                <w:b w:val="0"/>
              </w:rPr>
              <w:t>/</w:t>
            </w:r>
            <w:r w:rsidR="002965EE">
              <w:rPr>
                <w:rStyle w:val="Strong"/>
                <w:b w:val="0"/>
              </w:rPr>
              <w:t xml:space="preserve"> r</w:t>
            </w:r>
            <w:r w:rsidR="00A71F9F">
              <w:rPr>
                <w:rStyle w:val="Strong"/>
                <w:b w:val="0"/>
              </w:rPr>
              <w:t xml:space="preserve">emedial </w:t>
            </w:r>
            <w:r w:rsidR="003B4195">
              <w:rPr>
                <w:rStyle w:val="Strong"/>
                <w:b w:val="0"/>
              </w:rPr>
              <w:t xml:space="preserve">action </w:t>
            </w:r>
            <w:r w:rsidR="00A71F9F">
              <w:rPr>
                <w:rStyle w:val="Strong"/>
                <w:b w:val="0"/>
              </w:rPr>
              <w:t xml:space="preserve">decisions. </w:t>
            </w:r>
            <w:r w:rsidR="00045916">
              <w:rPr>
                <w:rStyle w:val="Strong"/>
                <w:b w:val="0"/>
              </w:rPr>
              <w:t>S</w:t>
            </w:r>
            <w:r w:rsidR="003B4195">
              <w:rPr>
                <w:rStyle w:val="Strong"/>
                <w:b w:val="0"/>
              </w:rPr>
              <w:t xml:space="preserve">ix sites </w:t>
            </w:r>
            <w:r w:rsidR="00101BB0">
              <w:rPr>
                <w:rStyle w:val="Strong"/>
                <w:b w:val="0"/>
              </w:rPr>
              <w:t xml:space="preserve">were </w:t>
            </w:r>
            <w:r w:rsidR="003B4195">
              <w:rPr>
                <w:rStyle w:val="Strong"/>
                <w:b w:val="0"/>
              </w:rPr>
              <w:t>identified for no further action during preliminary site assessment</w:t>
            </w:r>
            <w:r w:rsidR="0042124F">
              <w:rPr>
                <w:rStyle w:val="Strong"/>
                <w:b w:val="0"/>
              </w:rPr>
              <w:t>s</w:t>
            </w:r>
            <w:r w:rsidR="003B4195">
              <w:rPr>
                <w:rStyle w:val="Strong"/>
                <w:b w:val="0"/>
              </w:rPr>
              <w:t xml:space="preserve">.  </w:t>
            </w:r>
          </w:p>
          <w:p w:rsidR="00386129" w:rsidRPr="00116387" w:rsidRDefault="00D10DDE" w:rsidP="00AB2B8F">
            <w:pPr>
              <w:pStyle w:val="ListParagraph"/>
              <w:numPr>
                <w:ilvl w:val="0"/>
                <w:numId w:val="20"/>
              </w:numPr>
              <w:tabs>
                <w:tab w:val="left" w:pos="1815"/>
              </w:tabs>
              <w:spacing w:after="60"/>
              <w:rPr>
                <w:rStyle w:val="Strong"/>
                <w:b w:val="0"/>
              </w:rPr>
            </w:pPr>
            <w:r w:rsidRPr="00972DE0">
              <w:rPr>
                <w:rStyle w:val="Strong"/>
              </w:rPr>
              <w:t>S</w:t>
            </w:r>
            <w:r w:rsidR="00972DE0" w:rsidRPr="00972DE0">
              <w:rPr>
                <w:rStyle w:val="Strong"/>
              </w:rPr>
              <w:t xml:space="preserve">ierra </w:t>
            </w:r>
            <w:r w:rsidRPr="00972DE0">
              <w:rPr>
                <w:rStyle w:val="Strong"/>
              </w:rPr>
              <w:t>A</w:t>
            </w:r>
            <w:r w:rsidR="00972DE0" w:rsidRPr="00972DE0">
              <w:rPr>
                <w:rStyle w:val="Strong"/>
              </w:rPr>
              <w:t xml:space="preserve">rmy </w:t>
            </w:r>
            <w:r w:rsidRPr="00972DE0">
              <w:rPr>
                <w:rStyle w:val="Strong"/>
              </w:rPr>
              <w:t>D</w:t>
            </w:r>
            <w:r w:rsidR="00972DE0" w:rsidRPr="00972DE0">
              <w:rPr>
                <w:rStyle w:val="Strong"/>
              </w:rPr>
              <w:t>epot</w:t>
            </w:r>
            <w:r>
              <w:rPr>
                <w:rStyle w:val="Strong"/>
                <w:b w:val="0"/>
              </w:rPr>
              <w:t xml:space="preserve">: </w:t>
            </w:r>
            <w:r w:rsidR="00972DE0">
              <w:rPr>
                <w:rStyle w:val="Strong"/>
                <w:b w:val="0"/>
              </w:rPr>
              <w:t>E</w:t>
            </w:r>
            <w:r w:rsidR="00770137">
              <w:rPr>
                <w:rStyle w:val="Strong"/>
                <w:b w:val="0"/>
              </w:rPr>
              <w:t>nsur</w:t>
            </w:r>
            <w:r w:rsidR="00972DE0">
              <w:rPr>
                <w:rStyle w:val="Strong"/>
                <w:b w:val="0"/>
              </w:rPr>
              <w:t>ing groundwater</w:t>
            </w:r>
            <w:r w:rsidR="00770137">
              <w:rPr>
                <w:rStyle w:val="Strong"/>
                <w:b w:val="0"/>
              </w:rPr>
              <w:t xml:space="preserve"> </w:t>
            </w:r>
            <w:r w:rsidR="0001031D">
              <w:rPr>
                <w:rStyle w:val="Strong"/>
                <w:b w:val="0"/>
              </w:rPr>
              <w:t>contaminants are</w:t>
            </w:r>
            <w:r w:rsidR="00C13308">
              <w:rPr>
                <w:rStyle w:val="Strong"/>
                <w:b w:val="0"/>
              </w:rPr>
              <w:t xml:space="preserve"> </w:t>
            </w:r>
            <w:r w:rsidR="008C5018">
              <w:rPr>
                <w:rStyle w:val="Strong"/>
                <w:b w:val="0"/>
              </w:rPr>
              <w:t xml:space="preserve">properly </w:t>
            </w:r>
            <w:r w:rsidR="00770137">
              <w:rPr>
                <w:rStyle w:val="Strong"/>
                <w:b w:val="0"/>
              </w:rPr>
              <w:t>characterize</w:t>
            </w:r>
            <w:r w:rsidR="00C13308">
              <w:rPr>
                <w:rStyle w:val="Strong"/>
                <w:b w:val="0"/>
              </w:rPr>
              <w:t xml:space="preserve">d to </w:t>
            </w:r>
            <w:r w:rsidR="00770137">
              <w:rPr>
                <w:rStyle w:val="Strong"/>
                <w:b w:val="0"/>
              </w:rPr>
              <w:t xml:space="preserve">evaluate </w:t>
            </w:r>
            <w:r w:rsidR="00C13308">
              <w:rPr>
                <w:rStyle w:val="Strong"/>
                <w:b w:val="0"/>
              </w:rPr>
              <w:t xml:space="preserve">the </w:t>
            </w:r>
            <w:r w:rsidR="00770137">
              <w:rPr>
                <w:rStyle w:val="Strong"/>
                <w:b w:val="0"/>
              </w:rPr>
              <w:t>threat</w:t>
            </w:r>
            <w:r w:rsidR="00C13308">
              <w:rPr>
                <w:rStyle w:val="Strong"/>
                <w:b w:val="0"/>
              </w:rPr>
              <w:t xml:space="preserve"> to human health and the environment</w:t>
            </w:r>
            <w:r w:rsidR="00A71F9F">
              <w:rPr>
                <w:rStyle w:val="Strong"/>
                <w:b w:val="0"/>
              </w:rPr>
              <w:t xml:space="preserve">. </w:t>
            </w:r>
          </w:p>
          <w:p w:rsidR="00116387" w:rsidRPr="00F66D35" w:rsidRDefault="00770137" w:rsidP="00AB2B8F">
            <w:pPr>
              <w:pStyle w:val="ListParagraph"/>
              <w:numPr>
                <w:ilvl w:val="0"/>
                <w:numId w:val="20"/>
              </w:numPr>
              <w:tabs>
                <w:tab w:val="left" w:pos="1815"/>
              </w:tabs>
              <w:spacing w:after="60"/>
              <w:rPr>
                <w:rStyle w:val="Strong"/>
                <w:b w:val="0"/>
                <w:sz w:val="22"/>
                <w:szCs w:val="22"/>
              </w:rPr>
            </w:pPr>
            <w:r w:rsidRPr="00972DE0">
              <w:rPr>
                <w:rStyle w:val="Strong"/>
              </w:rPr>
              <w:t>M</w:t>
            </w:r>
            <w:r w:rsidR="00972DE0" w:rsidRPr="00972DE0">
              <w:rPr>
                <w:rStyle w:val="Strong"/>
              </w:rPr>
              <w:t xml:space="preserve">arine </w:t>
            </w:r>
            <w:r w:rsidRPr="00972DE0">
              <w:rPr>
                <w:rStyle w:val="Strong"/>
              </w:rPr>
              <w:t>C</w:t>
            </w:r>
            <w:r w:rsidR="00972DE0" w:rsidRPr="00972DE0">
              <w:rPr>
                <w:rStyle w:val="Strong"/>
              </w:rPr>
              <w:t xml:space="preserve">orps </w:t>
            </w:r>
            <w:r w:rsidRPr="00972DE0">
              <w:rPr>
                <w:rStyle w:val="Strong"/>
              </w:rPr>
              <w:t>L</w:t>
            </w:r>
            <w:r w:rsidR="00972DE0" w:rsidRPr="00972DE0">
              <w:rPr>
                <w:rStyle w:val="Strong"/>
              </w:rPr>
              <w:t xml:space="preserve">ogistics </w:t>
            </w:r>
            <w:r w:rsidRPr="00972DE0">
              <w:rPr>
                <w:rStyle w:val="Strong"/>
              </w:rPr>
              <w:t>B</w:t>
            </w:r>
            <w:r w:rsidR="00972DE0" w:rsidRPr="00972DE0">
              <w:rPr>
                <w:rStyle w:val="Strong"/>
              </w:rPr>
              <w:t>ase</w:t>
            </w:r>
            <w:r w:rsidR="00972DE0">
              <w:rPr>
                <w:rStyle w:val="Strong"/>
                <w:b w:val="0"/>
              </w:rPr>
              <w:t xml:space="preserve"> – Barstow and </w:t>
            </w:r>
            <w:proofErr w:type="spellStart"/>
            <w:r w:rsidR="00972DE0">
              <w:rPr>
                <w:rStyle w:val="Strong"/>
                <w:b w:val="0"/>
              </w:rPr>
              <w:t>Yermo</w:t>
            </w:r>
            <w:proofErr w:type="spellEnd"/>
            <w:r w:rsidR="00116387" w:rsidRPr="00116387">
              <w:rPr>
                <w:rStyle w:val="Strong"/>
                <w:b w:val="0"/>
              </w:rPr>
              <w:t xml:space="preserve">: </w:t>
            </w:r>
            <w:r w:rsidR="00972DE0">
              <w:rPr>
                <w:rStyle w:val="Strong"/>
                <w:b w:val="0"/>
              </w:rPr>
              <w:t>Planning for</w:t>
            </w:r>
            <w:r w:rsidR="0042124F">
              <w:rPr>
                <w:rStyle w:val="Strong"/>
                <w:b w:val="0"/>
              </w:rPr>
              <w:t xml:space="preserve"> the removal of lead and PAH-</w:t>
            </w:r>
            <w:r w:rsidR="004E37B6">
              <w:rPr>
                <w:rStyle w:val="Strong"/>
                <w:b w:val="0"/>
              </w:rPr>
              <w:t>contaminated soil</w:t>
            </w:r>
            <w:r w:rsidR="0042124F">
              <w:rPr>
                <w:rStyle w:val="Strong"/>
                <w:b w:val="0"/>
              </w:rPr>
              <w:t>s</w:t>
            </w:r>
            <w:r w:rsidR="004E37B6">
              <w:rPr>
                <w:rStyle w:val="Strong"/>
                <w:b w:val="0"/>
              </w:rPr>
              <w:t xml:space="preserve"> from a former trap and skeet range. </w:t>
            </w:r>
          </w:p>
          <w:p w:rsidR="00F66D35" w:rsidRPr="00AB2B8F" w:rsidRDefault="00F66D35" w:rsidP="00AB2B8F">
            <w:pPr>
              <w:pStyle w:val="ListParagraph"/>
              <w:numPr>
                <w:ilvl w:val="0"/>
                <w:numId w:val="20"/>
              </w:numPr>
              <w:tabs>
                <w:tab w:val="left" w:pos="1815"/>
              </w:tabs>
              <w:spacing w:after="60"/>
              <w:rPr>
                <w:rStyle w:val="Strong"/>
                <w:b w:val="0"/>
                <w:sz w:val="22"/>
                <w:szCs w:val="22"/>
              </w:rPr>
            </w:pPr>
            <w:r w:rsidRPr="00972DE0">
              <w:rPr>
                <w:rStyle w:val="Strong"/>
              </w:rPr>
              <w:t>Ft. Irwin N</w:t>
            </w:r>
            <w:r w:rsidR="00972DE0" w:rsidRPr="00972DE0">
              <w:rPr>
                <w:rStyle w:val="Strong"/>
              </w:rPr>
              <w:t xml:space="preserve">ational </w:t>
            </w:r>
            <w:r w:rsidRPr="00972DE0">
              <w:rPr>
                <w:rStyle w:val="Strong"/>
              </w:rPr>
              <w:t>T</w:t>
            </w:r>
            <w:r w:rsidR="00972DE0" w:rsidRPr="00972DE0">
              <w:rPr>
                <w:rStyle w:val="Strong"/>
              </w:rPr>
              <w:t xml:space="preserve">raining </w:t>
            </w:r>
            <w:r w:rsidRPr="00972DE0">
              <w:rPr>
                <w:rStyle w:val="Strong"/>
              </w:rPr>
              <w:t>C</w:t>
            </w:r>
            <w:r w:rsidR="00972DE0" w:rsidRPr="00972DE0">
              <w:rPr>
                <w:rStyle w:val="Strong"/>
              </w:rPr>
              <w:t>enter</w:t>
            </w:r>
            <w:r>
              <w:rPr>
                <w:rStyle w:val="Strong"/>
                <w:b w:val="0"/>
              </w:rPr>
              <w:t>:  Evaluating pilot study</w:t>
            </w:r>
            <w:r w:rsidR="002965EE">
              <w:rPr>
                <w:rStyle w:val="Strong"/>
                <w:b w:val="0"/>
              </w:rPr>
              <w:t xml:space="preserve"> results</w:t>
            </w:r>
            <w:r w:rsidR="0042124F">
              <w:rPr>
                <w:rStyle w:val="Strong"/>
                <w:b w:val="0"/>
              </w:rPr>
              <w:t xml:space="preserve"> to support</w:t>
            </w:r>
            <w:r w:rsidR="00B831CF">
              <w:rPr>
                <w:rStyle w:val="Strong"/>
                <w:b w:val="0"/>
              </w:rPr>
              <w:t xml:space="preserve"> </w:t>
            </w:r>
            <w:r>
              <w:rPr>
                <w:rStyle w:val="Strong"/>
                <w:b w:val="0"/>
              </w:rPr>
              <w:t>feasibility study</w:t>
            </w:r>
            <w:r w:rsidR="00B831CF">
              <w:rPr>
                <w:rStyle w:val="Strong"/>
                <w:b w:val="0"/>
              </w:rPr>
              <w:t xml:space="preserve"> at landfill</w:t>
            </w:r>
            <w:r w:rsidR="003C6E74">
              <w:rPr>
                <w:rStyle w:val="Strong"/>
                <w:b w:val="0"/>
              </w:rPr>
              <w:t>,</w:t>
            </w:r>
            <w:r w:rsidR="0042124F">
              <w:rPr>
                <w:rStyle w:val="Strong"/>
                <w:b w:val="0"/>
              </w:rPr>
              <w:t xml:space="preserve"> and</w:t>
            </w:r>
            <w:r w:rsidR="003C6E74">
              <w:rPr>
                <w:rStyle w:val="Strong"/>
                <w:b w:val="0"/>
              </w:rPr>
              <w:t xml:space="preserve"> evaluating</w:t>
            </w:r>
            <w:r w:rsidR="00B831CF">
              <w:rPr>
                <w:rStyle w:val="Strong"/>
                <w:b w:val="0"/>
              </w:rPr>
              <w:t xml:space="preserve"> sites related to munitions and </w:t>
            </w:r>
            <w:r w:rsidR="0042124F">
              <w:rPr>
                <w:rStyle w:val="Strong"/>
                <w:b w:val="0"/>
              </w:rPr>
              <w:t>soil/</w:t>
            </w:r>
            <w:r w:rsidR="00B831CF">
              <w:rPr>
                <w:rStyle w:val="Strong"/>
                <w:b w:val="0"/>
              </w:rPr>
              <w:t>groundwater contamination.</w:t>
            </w:r>
          </w:p>
          <w:p w:rsidR="00BC468E" w:rsidRDefault="00972DE0" w:rsidP="00972DE0">
            <w:pPr>
              <w:pStyle w:val="ListParagraph"/>
              <w:numPr>
                <w:ilvl w:val="0"/>
                <w:numId w:val="20"/>
              </w:numPr>
            </w:pPr>
            <w:r>
              <w:t>Providing regulatory and technical oversight for o</w:t>
            </w:r>
            <w:r w:rsidR="0042124F">
              <w:t xml:space="preserve">ngoing efforts by </w:t>
            </w:r>
            <w:proofErr w:type="gramStart"/>
            <w:r w:rsidR="0042124F">
              <w:t>DoD</w:t>
            </w:r>
            <w:proofErr w:type="gramEnd"/>
            <w:r w:rsidR="0042124F">
              <w:t xml:space="preserve"> branches to</w:t>
            </w:r>
            <w:r w:rsidR="002969C3">
              <w:t xml:space="preserve"> evaluate</w:t>
            </w:r>
            <w:r w:rsidR="00AB2B8F">
              <w:t xml:space="preserve"> sites for presence of </w:t>
            </w:r>
            <w:proofErr w:type="spellStart"/>
            <w:r w:rsidR="00AB2B8F" w:rsidRPr="00AE61C3">
              <w:rPr>
                <w:bCs/>
              </w:rPr>
              <w:t>perfluorinated</w:t>
            </w:r>
            <w:proofErr w:type="spellEnd"/>
            <w:r w:rsidR="00AB2B8F" w:rsidRPr="00AE61C3">
              <w:rPr>
                <w:bCs/>
              </w:rPr>
              <w:t xml:space="preserve"> compounds</w:t>
            </w:r>
            <w:r w:rsidR="00AB2B8F" w:rsidRPr="00BE6B42">
              <w:t> (</w:t>
            </w:r>
            <w:r w:rsidR="00B831CF">
              <w:t>per-</w:t>
            </w:r>
            <w:r w:rsidR="002969C3">
              <w:t xml:space="preserve"> and </w:t>
            </w:r>
            <w:proofErr w:type="spellStart"/>
            <w:r w:rsidR="002969C3">
              <w:t>polyfluoroalkyl</w:t>
            </w:r>
            <w:proofErr w:type="spellEnd"/>
            <w:r w:rsidR="002969C3">
              <w:t xml:space="preserve"> substances</w:t>
            </w:r>
            <w:r w:rsidR="00AB2B8F" w:rsidRPr="00BE6B42">
              <w:t>)</w:t>
            </w:r>
            <w:r w:rsidR="008479FB">
              <w:t>.</w:t>
            </w:r>
          </w:p>
          <w:p w:rsidR="00BC01B2" w:rsidRPr="004E34A9" w:rsidRDefault="00BC468E" w:rsidP="00630C49">
            <w:pPr>
              <w:pStyle w:val="ListParagraph"/>
              <w:numPr>
                <w:ilvl w:val="0"/>
                <w:numId w:val="20"/>
              </w:numPr>
              <w:rPr>
                <w:rStyle w:val="Strong"/>
                <w:b w:val="0"/>
                <w:bCs w:val="0"/>
              </w:rPr>
            </w:pPr>
            <w:r>
              <w:t>About 70% of staff time collectively spent on Edwards AFB, George AFB, and China Lake N</w:t>
            </w:r>
            <w:r w:rsidR="00630C49">
              <w:t>aval Air Weapons Station</w:t>
            </w:r>
            <w:r>
              <w:t xml:space="preserve">. </w:t>
            </w:r>
            <w:r w:rsidR="002969C3">
              <w:t xml:space="preserve"> </w:t>
            </w:r>
          </w:p>
        </w:tc>
      </w:tr>
    </w:tbl>
    <w:p w:rsidR="00F26F7E" w:rsidRDefault="00F26F7E"/>
    <w:tbl>
      <w:tblPr>
        <w:tblStyle w:val="TableGrid"/>
        <w:tblpPr w:leftFromText="180" w:rightFromText="180" w:vertAnchor="text" w:tblpY="155"/>
        <w:tblW w:w="10944" w:type="dxa"/>
        <w:tblCellMar>
          <w:top w:w="29" w:type="dxa"/>
          <w:bottom w:w="29" w:type="dxa"/>
        </w:tblCellMar>
        <w:tblLook w:val="04A0" w:firstRow="1" w:lastRow="0" w:firstColumn="1" w:lastColumn="0" w:noHBand="0" w:noVBand="1"/>
      </w:tblPr>
      <w:tblGrid>
        <w:gridCol w:w="10944"/>
      </w:tblGrid>
      <w:tr w:rsidR="003C6E74" w:rsidTr="00BC468E">
        <w:trPr>
          <w:trHeight w:val="5633"/>
        </w:trPr>
        <w:tc>
          <w:tcPr>
            <w:tcW w:w="10944" w:type="dxa"/>
            <w:tcBorders>
              <w:bottom w:val="single" w:sz="4" w:space="0" w:color="auto"/>
            </w:tcBorders>
            <w:shd w:val="clear" w:color="auto" w:fill="DAEEF3" w:themeFill="accent5" w:themeFillTint="33"/>
          </w:tcPr>
          <w:p w:rsidR="003C6E74" w:rsidRDefault="003C6E74" w:rsidP="003C6E74">
            <w:pPr>
              <w:tabs>
                <w:tab w:val="left" w:pos="1815"/>
              </w:tabs>
              <w:spacing w:before="120" w:after="60"/>
              <w:rPr>
                <w:rStyle w:val="Strong"/>
                <w:b w:val="0"/>
                <w:sz w:val="32"/>
              </w:rPr>
            </w:pPr>
            <w:r w:rsidRPr="0040102C">
              <w:rPr>
                <w:rStyle w:val="Strong"/>
                <w:b w:val="0"/>
                <w:sz w:val="32"/>
              </w:rPr>
              <w:lastRenderedPageBreak/>
              <w:t xml:space="preserve">Accomplishments </w:t>
            </w:r>
          </w:p>
          <w:p w:rsidR="003C6E74" w:rsidRDefault="003C6E74" w:rsidP="003C6E74">
            <w:pPr>
              <w:spacing w:before="120"/>
              <w:rPr>
                <w:rStyle w:val="Strong"/>
                <w:b w:val="0"/>
              </w:rPr>
            </w:pPr>
            <w:r w:rsidRPr="003C6E74">
              <w:rPr>
                <w:rStyle w:val="Strong"/>
              </w:rPr>
              <w:t>UST Closures</w:t>
            </w:r>
            <w:r w:rsidRPr="00B52A2D">
              <w:rPr>
                <w:rStyle w:val="Strong"/>
                <w:b w:val="0"/>
              </w:rPr>
              <w:t>:</w:t>
            </w:r>
            <w:r w:rsidRPr="00FD4F03">
              <w:rPr>
                <w:rStyle w:val="Strong"/>
                <w:b w:val="0"/>
              </w:rPr>
              <w:t xml:space="preserve"> </w:t>
            </w:r>
            <w:r>
              <w:rPr>
                <w:rStyle w:val="Strong"/>
                <w:b w:val="0"/>
              </w:rPr>
              <w:t>Two USTs were closed at G</w:t>
            </w:r>
            <w:r w:rsidR="00BC468E">
              <w:rPr>
                <w:rStyle w:val="Strong"/>
                <w:b w:val="0"/>
              </w:rPr>
              <w:t xml:space="preserve">eorge </w:t>
            </w:r>
            <w:r>
              <w:rPr>
                <w:rStyle w:val="Strong"/>
                <w:b w:val="0"/>
              </w:rPr>
              <w:t>AFB.</w:t>
            </w:r>
          </w:p>
          <w:p w:rsidR="003C6E74" w:rsidRDefault="003C6E74" w:rsidP="003C6E74">
            <w:pPr>
              <w:spacing w:before="120"/>
              <w:rPr>
                <w:rStyle w:val="Strong"/>
                <w:b w:val="0"/>
              </w:rPr>
            </w:pPr>
            <w:r w:rsidRPr="003C6E74">
              <w:rPr>
                <w:rStyle w:val="Strong"/>
              </w:rPr>
              <w:t>Soil and Groundwater Remediation</w:t>
            </w:r>
            <w:r w:rsidRPr="00B52A2D">
              <w:rPr>
                <w:rStyle w:val="Strong"/>
                <w:b w:val="0"/>
              </w:rPr>
              <w:t>:</w:t>
            </w:r>
            <w:r>
              <w:rPr>
                <w:rStyle w:val="Strong"/>
                <w:b w:val="0"/>
              </w:rPr>
              <w:t xml:space="preserve"> Two </w:t>
            </w:r>
            <w:r w:rsidR="00630C49">
              <w:rPr>
                <w:rStyle w:val="Strong"/>
                <w:b w:val="0"/>
              </w:rPr>
              <w:t>soil vapor extraction</w:t>
            </w:r>
            <w:r>
              <w:rPr>
                <w:rStyle w:val="Strong"/>
                <w:b w:val="0"/>
              </w:rPr>
              <w:t xml:space="preserve"> systems were restarted at G</w:t>
            </w:r>
            <w:r w:rsidR="00BC468E">
              <w:rPr>
                <w:rStyle w:val="Strong"/>
                <w:b w:val="0"/>
              </w:rPr>
              <w:t xml:space="preserve">eorge </w:t>
            </w:r>
            <w:r>
              <w:rPr>
                <w:rStyle w:val="Strong"/>
                <w:b w:val="0"/>
              </w:rPr>
              <w:t>AFB and an additional system should be online in early 2018.  An enhance</w:t>
            </w:r>
            <w:r w:rsidR="00BC468E">
              <w:rPr>
                <w:rStyle w:val="Strong"/>
                <w:b w:val="0"/>
              </w:rPr>
              <w:t xml:space="preserve">d reductive </w:t>
            </w:r>
            <w:proofErr w:type="spellStart"/>
            <w:proofErr w:type="gramStart"/>
            <w:r w:rsidR="00BC468E">
              <w:rPr>
                <w:rStyle w:val="Strong"/>
                <w:b w:val="0"/>
              </w:rPr>
              <w:t>dechlorination</w:t>
            </w:r>
            <w:proofErr w:type="spellEnd"/>
            <w:r w:rsidR="00BC468E">
              <w:rPr>
                <w:rStyle w:val="Strong"/>
                <w:b w:val="0"/>
              </w:rPr>
              <w:t xml:space="preserve"> </w:t>
            </w:r>
            <w:r>
              <w:rPr>
                <w:rStyle w:val="Strong"/>
                <w:b w:val="0"/>
              </w:rPr>
              <w:t xml:space="preserve"> system</w:t>
            </w:r>
            <w:proofErr w:type="gramEnd"/>
            <w:r>
              <w:rPr>
                <w:rStyle w:val="Strong"/>
                <w:b w:val="0"/>
              </w:rPr>
              <w:t xml:space="preserve"> was put into operation at S</w:t>
            </w:r>
            <w:r w:rsidR="00BC468E">
              <w:rPr>
                <w:rStyle w:val="Strong"/>
                <w:b w:val="0"/>
              </w:rPr>
              <w:t xml:space="preserve">ierra Army </w:t>
            </w:r>
            <w:r>
              <w:rPr>
                <w:rStyle w:val="Strong"/>
                <w:b w:val="0"/>
              </w:rPr>
              <w:t>D</w:t>
            </w:r>
            <w:r w:rsidR="00BC468E">
              <w:rPr>
                <w:rStyle w:val="Strong"/>
                <w:b w:val="0"/>
              </w:rPr>
              <w:t>epot</w:t>
            </w:r>
            <w:r>
              <w:rPr>
                <w:rStyle w:val="Strong"/>
                <w:b w:val="0"/>
              </w:rPr>
              <w:t xml:space="preserve"> to treat TCE in groundwater.</w:t>
            </w:r>
          </w:p>
          <w:p w:rsidR="003C6E74" w:rsidRDefault="003C6E74" w:rsidP="003C6E74">
            <w:pPr>
              <w:spacing w:before="120"/>
              <w:rPr>
                <w:rStyle w:val="Strong"/>
                <w:b w:val="0"/>
              </w:rPr>
            </w:pPr>
            <w:r w:rsidRPr="003C6E74">
              <w:rPr>
                <w:rStyle w:val="Strong"/>
              </w:rPr>
              <w:t>Removal Actions</w:t>
            </w:r>
            <w:r w:rsidRPr="00B52A2D">
              <w:rPr>
                <w:rStyle w:val="Strong"/>
                <w:b w:val="0"/>
              </w:rPr>
              <w:t>:</w:t>
            </w:r>
            <w:r>
              <w:rPr>
                <w:rStyle w:val="Strong"/>
                <w:b w:val="0"/>
              </w:rPr>
              <w:t xml:space="preserve"> Investigated and removed munitions and contaminated soil at G</w:t>
            </w:r>
            <w:r w:rsidR="00BC468E">
              <w:rPr>
                <w:rStyle w:val="Strong"/>
                <w:b w:val="0"/>
              </w:rPr>
              <w:t xml:space="preserve">eorge </w:t>
            </w:r>
            <w:r>
              <w:rPr>
                <w:rStyle w:val="Strong"/>
                <w:b w:val="0"/>
              </w:rPr>
              <w:t>AFB, removal and offsite disposal of landfill waste at G</w:t>
            </w:r>
            <w:r w:rsidR="00BC468E">
              <w:rPr>
                <w:rStyle w:val="Strong"/>
                <w:b w:val="0"/>
              </w:rPr>
              <w:t xml:space="preserve">eorge </w:t>
            </w:r>
            <w:r>
              <w:rPr>
                <w:rStyle w:val="Strong"/>
                <w:b w:val="0"/>
              </w:rPr>
              <w:t>AFB, and conducted a non-time critical removal action of contaminated soil at C</w:t>
            </w:r>
            <w:r w:rsidR="00BC468E">
              <w:rPr>
                <w:rStyle w:val="Strong"/>
                <w:b w:val="0"/>
              </w:rPr>
              <w:t xml:space="preserve">hina </w:t>
            </w:r>
            <w:r>
              <w:rPr>
                <w:rStyle w:val="Strong"/>
                <w:b w:val="0"/>
              </w:rPr>
              <w:t>L</w:t>
            </w:r>
            <w:r w:rsidR="00BC468E">
              <w:rPr>
                <w:rStyle w:val="Strong"/>
                <w:b w:val="0"/>
              </w:rPr>
              <w:t xml:space="preserve">ake </w:t>
            </w:r>
            <w:r>
              <w:rPr>
                <w:rStyle w:val="Strong"/>
                <w:b w:val="0"/>
              </w:rPr>
              <w:t>N</w:t>
            </w:r>
            <w:r w:rsidR="00BC468E">
              <w:rPr>
                <w:rStyle w:val="Strong"/>
                <w:b w:val="0"/>
              </w:rPr>
              <w:t xml:space="preserve">aval </w:t>
            </w:r>
            <w:r>
              <w:rPr>
                <w:rStyle w:val="Strong"/>
                <w:b w:val="0"/>
              </w:rPr>
              <w:t>A</w:t>
            </w:r>
            <w:r w:rsidR="00BC468E">
              <w:rPr>
                <w:rStyle w:val="Strong"/>
                <w:b w:val="0"/>
              </w:rPr>
              <w:t xml:space="preserve">ir </w:t>
            </w:r>
            <w:r>
              <w:rPr>
                <w:rStyle w:val="Strong"/>
                <w:b w:val="0"/>
              </w:rPr>
              <w:t>W</w:t>
            </w:r>
            <w:r w:rsidR="00BC468E">
              <w:rPr>
                <w:rStyle w:val="Strong"/>
                <w:b w:val="0"/>
              </w:rPr>
              <w:t xml:space="preserve">eapons </w:t>
            </w:r>
            <w:r>
              <w:rPr>
                <w:rStyle w:val="Strong"/>
                <w:b w:val="0"/>
              </w:rPr>
              <w:t>S</w:t>
            </w:r>
            <w:r w:rsidR="00BC468E">
              <w:rPr>
                <w:rStyle w:val="Strong"/>
                <w:b w:val="0"/>
              </w:rPr>
              <w:t>tation</w:t>
            </w:r>
            <w:r>
              <w:rPr>
                <w:rStyle w:val="Strong"/>
                <w:b w:val="0"/>
              </w:rPr>
              <w:t>.</w:t>
            </w:r>
          </w:p>
          <w:p w:rsidR="003C6E74" w:rsidRDefault="003C6E74" w:rsidP="003C6E74">
            <w:pPr>
              <w:spacing w:before="120"/>
              <w:rPr>
                <w:rStyle w:val="Strong"/>
                <w:b w:val="0"/>
              </w:rPr>
            </w:pPr>
            <w:r w:rsidRPr="003C6E74">
              <w:rPr>
                <w:rStyle w:val="Strong"/>
              </w:rPr>
              <w:t>Five Year Reviews</w:t>
            </w:r>
            <w:r w:rsidRPr="00B52A2D">
              <w:rPr>
                <w:rStyle w:val="Strong"/>
                <w:b w:val="0"/>
              </w:rPr>
              <w:t>:</w:t>
            </w:r>
            <w:r>
              <w:rPr>
                <w:rStyle w:val="Strong"/>
                <w:b w:val="0"/>
              </w:rPr>
              <w:t xml:space="preserve"> Completed two Five-Year Reviews at </w:t>
            </w:r>
            <w:r w:rsidR="00BC468E">
              <w:rPr>
                <w:rStyle w:val="Strong"/>
                <w:b w:val="0"/>
              </w:rPr>
              <w:t xml:space="preserve">Edwards </w:t>
            </w:r>
            <w:r>
              <w:rPr>
                <w:rStyle w:val="Strong"/>
                <w:b w:val="0"/>
              </w:rPr>
              <w:t>AFB and one Five-Year Review at C</w:t>
            </w:r>
            <w:r w:rsidR="00BC468E">
              <w:rPr>
                <w:rStyle w:val="Strong"/>
                <w:b w:val="0"/>
              </w:rPr>
              <w:t xml:space="preserve">hina </w:t>
            </w:r>
            <w:r>
              <w:rPr>
                <w:rStyle w:val="Strong"/>
                <w:b w:val="0"/>
              </w:rPr>
              <w:t>L</w:t>
            </w:r>
            <w:r w:rsidR="00BC468E">
              <w:rPr>
                <w:rStyle w:val="Strong"/>
                <w:b w:val="0"/>
              </w:rPr>
              <w:t xml:space="preserve">ake </w:t>
            </w:r>
            <w:r>
              <w:rPr>
                <w:rStyle w:val="Strong"/>
                <w:b w:val="0"/>
              </w:rPr>
              <w:t>N</w:t>
            </w:r>
            <w:r w:rsidR="00BC468E">
              <w:rPr>
                <w:rStyle w:val="Strong"/>
                <w:b w:val="0"/>
              </w:rPr>
              <w:t xml:space="preserve">aval </w:t>
            </w:r>
            <w:r>
              <w:rPr>
                <w:rStyle w:val="Strong"/>
                <w:b w:val="0"/>
              </w:rPr>
              <w:t>A</w:t>
            </w:r>
            <w:r w:rsidR="00BC468E">
              <w:rPr>
                <w:rStyle w:val="Strong"/>
                <w:b w:val="0"/>
              </w:rPr>
              <w:t xml:space="preserve">ir </w:t>
            </w:r>
            <w:r>
              <w:rPr>
                <w:rStyle w:val="Strong"/>
                <w:b w:val="0"/>
              </w:rPr>
              <w:t>W</w:t>
            </w:r>
            <w:r w:rsidR="00BC468E">
              <w:rPr>
                <w:rStyle w:val="Strong"/>
                <w:b w:val="0"/>
              </w:rPr>
              <w:t xml:space="preserve">eapons </w:t>
            </w:r>
            <w:r>
              <w:rPr>
                <w:rStyle w:val="Strong"/>
                <w:b w:val="0"/>
              </w:rPr>
              <w:t>S</w:t>
            </w:r>
            <w:r w:rsidR="00BC468E">
              <w:rPr>
                <w:rStyle w:val="Strong"/>
                <w:b w:val="0"/>
              </w:rPr>
              <w:t>tation</w:t>
            </w:r>
            <w:r>
              <w:rPr>
                <w:rStyle w:val="Strong"/>
                <w:b w:val="0"/>
              </w:rPr>
              <w:t>.</w:t>
            </w:r>
          </w:p>
          <w:p w:rsidR="003C6E74" w:rsidRDefault="003C6E74" w:rsidP="003C6E74">
            <w:pPr>
              <w:spacing w:before="120"/>
              <w:rPr>
                <w:rStyle w:val="Strong"/>
                <w:b w:val="0"/>
              </w:rPr>
            </w:pPr>
            <w:r w:rsidRPr="003C6E74">
              <w:rPr>
                <w:rStyle w:val="Strong"/>
              </w:rPr>
              <w:t>Investigations</w:t>
            </w:r>
            <w:r w:rsidRPr="00B52A2D">
              <w:rPr>
                <w:rStyle w:val="Strong"/>
                <w:b w:val="0"/>
              </w:rPr>
              <w:t>:</w:t>
            </w:r>
            <w:r>
              <w:rPr>
                <w:rStyle w:val="Strong"/>
                <w:b w:val="0"/>
              </w:rPr>
              <w:t xml:space="preserve"> Groundwater investigation at S</w:t>
            </w:r>
            <w:r w:rsidR="00BC468E">
              <w:rPr>
                <w:rStyle w:val="Strong"/>
                <w:b w:val="0"/>
              </w:rPr>
              <w:t xml:space="preserve">ierra </w:t>
            </w:r>
            <w:r>
              <w:rPr>
                <w:rStyle w:val="Strong"/>
                <w:b w:val="0"/>
              </w:rPr>
              <w:t>A</w:t>
            </w:r>
            <w:r w:rsidR="00BC468E">
              <w:rPr>
                <w:rStyle w:val="Strong"/>
                <w:b w:val="0"/>
              </w:rPr>
              <w:t xml:space="preserve">rmy </w:t>
            </w:r>
            <w:r>
              <w:rPr>
                <w:rStyle w:val="Strong"/>
                <w:b w:val="0"/>
              </w:rPr>
              <w:t>D</w:t>
            </w:r>
            <w:r w:rsidR="00BC468E">
              <w:rPr>
                <w:rStyle w:val="Strong"/>
                <w:b w:val="0"/>
              </w:rPr>
              <w:t>epot</w:t>
            </w:r>
            <w:r>
              <w:rPr>
                <w:rStyle w:val="Strong"/>
                <w:b w:val="0"/>
              </w:rPr>
              <w:t xml:space="preserve"> to define explosives, perchlorate, nitrate, and other chemicals of concern in groundwater. Installed additional wells at E</w:t>
            </w:r>
            <w:r w:rsidR="00BC468E">
              <w:rPr>
                <w:rStyle w:val="Strong"/>
                <w:b w:val="0"/>
              </w:rPr>
              <w:t xml:space="preserve">dwards </w:t>
            </w:r>
            <w:r>
              <w:rPr>
                <w:rStyle w:val="Strong"/>
                <w:b w:val="0"/>
              </w:rPr>
              <w:t>AFB to assess plume stability.  Installed additional monitoring wells at M</w:t>
            </w:r>
            <w:r w:rsidR="00BC468E">
              <w:rPr>
                <w:rStyle w:val="Strong"/>
                <w:b w:val="0"/>
              </w:rPr>
              <w:t xml:space="preserve">arine </w:t>
            </w:r>
            <w:r>
              <w:rPr>
                <w:rStyle w:val="Strong"/>
                <w:b w:val="0"/>
              </w:rPr>
              <w:t>C</w:t>
            </w:r>
            <w:r w:rsidR="00BC468E">
              <w:rPr>
                <w:rStyle w:val="Strong"/>
                <w:b w:val="0"/>
              </w:rPr>
              <w:t xml:space="preserve">orps </w:t>
            </w:r>
            <w:r>
              <w:rPr>
                <w:rStyle w:val="Strong"/>
                <w:b w:val="0"/>
              </w:rPr>
              <w:t>L</w:t>
            </w:r>
            <w:r w:rsidR="00BC468E">
              <w:rPr>
                <w:rStyle w:val="Strong"/>
                <w:b w:val="0"/>
              </w:rPr>
              <w:t xml:space="preserve">ogistics </w:t>
            </w:r>
            <w:r>
              <w:rPr>
                <w:rStyle w:val="Strong"/>
                <w:b w:val="0"/>
              </w:rPr>
              <w:t>B</w:t>
            </w:r>
            <w:r w:rsidR="00BC468E">
              <w:rPr>
                <w:rStyle w:val="Strong"/>
                <w:b w:val="0"/>
              </w:rPr>
              <w:t>ase</w:t>
            </w:r>
            <w:r>
              <w:rPr>
                <w:rStyle w:val="Strong"/>
                <w:b w:val="0"/>
              </w:rPr>
              <w:t xml:space="preserve"> to define plume characteristics a</w:t>
            </w:r>
            <w:r w:rsidR="00BC468E">
              <w:rPr>
                <w:rStyle w:val="Strong"/>
                <w:b w:val="0"/>
              </w:rPr>
              <w:t>t</w:t>
            </w:r>
            <w:r>
              <w:rPr>
                <w:rStyle w:val="Strong"/>
                <w:b w:val="0"/>
              </w:rPr>
              <w:t xml:space="preserve"> two sites.</w:t>
            </w:r>
          </w:p>
          <w:p w:rsidR="003C6E74" w:rsidRPr="00B00674" w:rsidRDefault="003C6E74" w:rsidP="003C6E74">
            <w:pPr>
              <w:spacing w:before="120"/>
              <w:rPr>
                <w:rStyle w:val="Strong"/>
                <w:rFonts w:cs="Arial"/>
                <w:b w:val="0"/>
                <w:bCs w:val="0"/>
              </w:rPr>
            </w:pPr>
            <w:r w:rsidRPr="003C6E74">
              <w:rPr>
                <w:rStyle w:val="Strong"/>
              </w:rPr>
              <w:t>Decision Documents</w:t>
            </w:r>
            <w:r w:rsidRPr="00B52A2D">
              <w:rPr>
                <w:rStyle w:val="Strong"/>
                <w:b w:val="0"/>
              </w:rPr>
              <w:t>:</w:t>
            </w:r>
            <w:r>
              <w:rPr>
                <w:rStyle w:val="Strong"/>
                <w:b w:val="0"/>
              </w:rPr>
              <w:t xml:space="preserve"> Review of an Explanation</w:t>
            </w:r>
            <w:r w:rsidR="00BC468E">
              <w:rPr>
                <w:rStyle w:val="Strong"/>
                <w:b w:val="0"/>
              </w:rPr>
              <w:t xml:space="preserve"> of Significant Difference</w:t>
            </w:r>
            <w:r>
              <w:rPr>
                <w:rStyle w:val="Strong"/>
                <w:b w:val="0"/>
              </w:rPr>
              <w:t xml:space="preserve"> for M</w:t>
            </w:r>
            <w:r w:rsidR="00BC468E">
              <w:rPr>
                <w:rStyle w:val="Strong"/>
                <w:b w:val="0"/>
              </w:rPr>
              <w:t xml:space="preserve">arine </w:t>
            </w:r>
            <w:r>
              <w:rPr>
                <w:rStyle w:val="Strong"/>
                <w:b w:val="0"/>
              </w:rPr>
              <w:t>C</w:t>
            </w:r>
            <w:r w:rsidR="00BC468E">
              <w:rPr>
                <w:rStyle w:val="Strong"/>
                <w:b w:val="0"/>
              </w:rPr>
              <w:t xml:space="preserve">orps </w:t>
            </w:r>
            <w:r>
              <w:rPr>
                <w:rStyle w:val="Strong"/>
                <w:b w:val="0"/>
              </w:rPr>
              <w:t>L</w:t>
            </w:r>
            <w:r w:rsidR="00BC468E">
              <w:rPr>
                <w:rStyle w:val="Strong"/>
                <w:b w:val="0"/>
              </w:rPr>
              <w:t xml:space="preserve">ogistics </w:t>
            </w:r>
            <w:r>
              <w:rPr>
                <w:rStyle w:val="Strong"/>
                <w:b w:val="0"/>
              </w:rPr>
              <w:t>B</w:t>
            </w:r>
            <w:r w:rsidR="00BC468E">
              <w:rPr>
                <w:rStyle w:val="Strong"/>
                <w:b w:val="0"/>
              </w:rPr>
              <w:t>ase</w:t>
            </w:r>
            <w:r>
              <w:rPr>
                <w:rStyle w:val="Strong"/>
                <w:b w:val="0"/>
              </w:rPr>
              <w:t>.</w:t>
            </w:r>
          </w:p>
        </w:tc>
      </w:tr>
      <w:tr w:rsidR="003C6E74" w:rsidRPr="00472A0E" w:rsidTr="003C6E74">
        <w:tblPrEx>
          <w:tblCellMar>
            <w:left w:w="72" w:type="dxa"/>
            <w:right w:w="72" w:type="dxa"/>
          </w:tblCellMar>
        </w:tblPrEx>
        <w:trPr>
          <w:trHeight w:val="188"/>
        </w:trPr>
        <w:tc>
          <w:tcPr>
            <w:tcW w:w="10944" w:type="dxa"/>
            <w:tcBorders>
              <w:left w:val="nil"/>
              <w:bottom w:val="single" w:sz="4" w:space="0" w:color="auto"/>
              <w:right w:val="nil"/>
            </w:tcBorders>
            <w:tcMar>
              <w:top w:w="0" w:type="dxa"/>
              <w:bottom w:w="0" w:type="dxa"/>
            </w:tcMar>
          </w:tcPr>
          <w:p w:rsidR="003C6E74" w:rsidRPr="00A2549C" w:rsidRDefault="003C6E74" w:rsidP="003C6E74">
            <w:pPr>
              <w:rPr>
                <w:rStyle w:val="Strong"/>
                <w:b w:val="0"/>
                <w:sz w:val="12"/>
                <w:szCs w:val="12"/>
              </w:rPr>
            </w:pPr>
          </w:p>
        </w:tc>
      </w:tr>
      <w:tr w:rsidR="003C6E74" w:rsidTr="00BC468E">
        <w:tblPrEx>
          <w:tblCellMar>
            <w:left w:w="72" w:type="dxa"/>
            <w:right w:w="72" w:type="dxa"/>
          </w:tblCellMar>
        </w:tblPrEx>
        <w:trPr>
          <w:trHeight w:val="1808"/>
        </w:trPr>
        <w:tc>
          <w:tcPr>
            <w:tcW w:w="10944" w:type="dxa"/>
            <w:tcBorders>
              <w:bottom w:val="single" w:sz="4" w:space="0" w:color="auto"/>
            </w:tcBorders>
            <w:shd w:val="clear" w:color="auto" w:fill="DAEEF3" w:themeFill="accent5" w:themeFillTint="33"/>
          </w:tcPr>
          <w:p w:rsidR="003C6E74" w:rsidRPr="0040102C" w:rsidRDefault="003C6E74" w:rsidP="003C6E74">
            <w:pPr>
              <w:tabs>
                <w:tab w:val="left" w:pos="1815"/>
              </w:tabs>
              <w:spacing w:after="60"/>
              <w:rPr>
                <w:rStyle w:val="Strong"/>
                <w:b w:val="0"/>
                <w:sz w:val="32"/>
              </w:rPr>
            </w:pPr>
            <w:r w:rsidRPr="0040102C">
              <w:rPr>
                <w:rStyle w:val="Strong"/>
                <w:b w:val="0"/>
                <w:sz w:val="32"/>
              </w:rPr>
              <w:t xml:space="preserve">Performance measures FY </w:t>
            </w:r>
            <w:r>
              <w:rPr>
                <w:rStyle w:val="Strong"/>
                <w:b w:val="0"/>
                <w:sz w:val="32"/>
              </w:rPr>
              <w:t>17-18</w:t>
            </w:r>
            <w:r w:rsidRPr="0040102C">
              <w:rPr>
                <w:rStyle w:val="Strong"/>
                <w:b w:val="0"/>
                <w:sz w:val="32"/>
              </w:rPr>
              <w:t xml:space="preserve"> and </w:t>
            </w:r>
            <w:r>
              <w:rPr>
                <w:rStyle w:val="Strong"/>
                <w:b w:val="0"/>
                <w:sz w:val="32"/>
              </w:rPr>
              <w:t>18-19</w:t>
            </w:r>
            <w:r w:rsidRPr="0040102C">
              <w:rPr>
                <w:rStyle w:val="Strong"/>
                <w:b w:val="0"/>
                <w:sz w:val="32"/>
              </w:rPr>
              <w:t xml:space="preserve"> </w:t>
            </w:r>
          </w:p>
          <w:p w:rsidR="003C6E74" w:rsidRPr="00C31548" w:rsidRDefault="003C6E74" w:rsidP="00BC468E">
            <w:pPr>
              <w:rPr>
                <w:rStyle w:val="Strong"/>
                <w:b w:val="0"/>
              </w:rPr>
            </w:pPr>
            <w:r>
              <w:rPr>
                <w:rStyle w:val="Strong"/>
                <w:b w:val="0"/>
              </w:rPr>
              <w:t>Because of the long-term nature of the DoD program, there are no specific annual performance measures, other than tracking new sites that move into active remediation and the signing of decision documents. Working to negotiate a R</w:t>
            </w:r>
            <w:r w:rsidR="00BC468E">
              <w:rPr>
                <w:rStyle w:val="Strong"/>
                <w:b w:val="0"/>
              </w:rPr>
              <w:t xml:space="preserve">ecord of </w:t>
            </w:r>
            <w:r>
              <w:rPr>
                <w:rStyle w:val="Strong"/>
                <w:b w:val="0"/>
              </w:rPr>
              <w:t>D</w:t>
            </w:r>
            <w:r w:rsidR="00BC468E">
              <w:rPr>
                <w:rStyle w:val="Strong"/>
                <w:b w:val="0"/>
              </w:rPr>
              <w:t>ecision</w:t>
            </w:r>
            <w:r>
              <w:rPr>
                <w:rStyle w:val="Strong"/>
                <w:b w:val="0"/>
              </w:rPr>
              <w:t xml:space="preserve"> for C</w:t>
            </w:r>
            <w:r w:rsidR="00BC468E">
              <w:rPr>
                <w:rStyle w:val="Strong"/>
                <w:b w:val="0"/>
              </w:rPr>
              <w:t xml:space="preserve">hina </w:t>
            </w:r>
            <w:r>
              <w:rPr>
                <w:rStyle w:val="Strong"/>
                <w:b w:val="0"/>
              </w:rPr>
              <w:t>L</w:t>
            </w:r>
            <w:r w:rsidR="00BC468E">
              <w:rPr>
                <w:rStyle w:val="Strong"/>
                <w:b w:val="0"/>
              </w:rPr>
              <w:t xml:space="preserve">ake </w:t>
            </w:r>
            <w:r>
              <w:rPr>
                <w:rStyle w:val="Strong"/>
                <w:b w:val="0"/>
              </w:rPr>
              <w:t>N</w:t>
            </w:r>
            <w:r w:rsidR="00BC468E">
              <w:rPr>
                <w:rStyle w:val="Strong"/>
                <w:b w:val="0"/>
              </w:rPr>
              <w:t xml:space="preserve">aval </w:t>
            </w:r>
            <w:r>
              <w:rPr>
                <w:rStyle w:val="Strong"/>
                <w:b w:val="0"/>
              </w:rPr>
              <w:t>A</w:t>
            </w:r>
            <w:r w:rsidR="00BC468E">
              <w:rPr>
                <w:rStyle w:val="Strong"/>
                <w:b w:val="0"/>
              </w:rPr>
              <w:t xml:space="preserve">ir </w:t>
            </w:r>
            <w:r>
              <w:rPr>
                <w:rStyle w:val="Strong"/>
                <w:b w:val="0"/>
              </w:rPr>
              <w:t>W</w:t>
            </w:r>
            <w:r w:rsidR="00BC468E">
              <w:rPr>
                <w:rStyle w:val="Strong"/>
                <w:b w:val="0"/>
              </w:rPr>
              <w:t xml:space="preserve">eapons </w:t>
            </w:r>
            <w:r>
              <w:rPr>
                <w:rStyle w:val="Strong"/>
                <w:b w:val="0"/>
              </w:rPr>
              <w:t>S</w:t>
            </w:r>
            <w:r w:rsidR="00BC468E">
              <w:rPr>
                <w:rStyle w:val="Strong"/>
                <w:b w:val="0"/>
              </w:rPr>
              <w:t>tation Area R-</w:t>
            </w:r>
            <w:r>
              <w:rPr>
                <w:rStyle w:val="Strong"/>
                <w:b w:val="0"/>
              </w:rPr>
              <w:t>OU.</w:t>
            </w:r>
          </w:p>
        </w:tc>
      </w:tr>
      <w:tr w:rsidR="003C6E74" w:rsidRPr="0040102C" w:rsidTr="003C6E74">
        <w:tblPrEx>
          <w:tblCellMar>
            <w:left w:w="72" w:type="dxa"/>
            <w:right w:w="72" w:type="dxa"/>
          </w:tblCellMar>
        </w:tblPrEx>
        <w:trPr>
          <w:trHeight w:val="105"/>
        </w:trPr>
        <w:tc>
          <w:tcPr>
            <w:tcW w:w="10944" w:type="dxa"/>
            <w:tcBorders>
              <w:left w:val="nil"/>
              <w:bottom w:val="single" w:sz="4" w:space="0" w:color="auto"/>
              <w:right w:val="nil"/>
            </w:tcBorders>
            <w:shd w:val="clear" w:color="auto" w:fill="auto"/>
          </w:tcPr>
          <w:p w:rsidR="003C6E74" w:rsidRPr="0040102C" w:rsidRDefault="003C6E74" w:rsidP="003C6E74">
            <w:pPr>
              <w:tabs>
                <w:tab w:val="left" w:pos="1815"/>
              </w:tabs>
              <w:rPr>
                <w:rStyle w:val="Strong"/>
                <w:b w:val="0"/>
                <w:sz w:val="12"/>
                <w:szCs w:val="16"/>
              </w:rPr>
            </w:pPr>
          </w:p>
        </w:tc>
      </w:tr>
      <w:tr w:rsidR="003C6E74" w:rsidTr="003C6E74">
        <w:tblPrEx>
          <w:tblCellMar>
            <w:left w:w="72" w:type="dxa"/>
            <w:right w:w="72" w:type="dxa"/>
          </w:tblCellMar>
        </w:tblPrEx>
        <w:trPr>
          <w:trHeight w:val="41"/>
        </w:trPr>
        <w:tc>
          <w:tcPr>
            <w:tcW w:w="10944" w:type="dxa"/>
            <w:tcBorders>
              <w:top w:val="single" w:sz="4" w:space="0" w:color="auto"/>
              <w:bottom w:val="single" w:sz="4" w:space="0" w:color="auto"/>
            </w:tcBorders>
            <w:shd w:val="clear" w:color="auto" w:fill="F2DBDB" w:themeFill="accent2" w:themeFillTint="33"/>
          </w:tcPr>
          <w:p w:rsidR="003C6E74" w:rsidRDefault="003C6E74" w:rsidP="003C6E74">
            <w:pPr>
              <w:pStyle w:val="ListParagraph"/>
              <w:ind w:left="0"/>
              <w:rPr>
                <w:sz w:val="32"/>
                <w:szCs w:val="32"/>
              </w:rPr>
            </w:pPr>
            <w:r>
              <w:rPr>
                <w:sz w:val="32"/>
                <w:szCs w:val="32"/>
              </w:rPr>
              <w:t>Unaddressed Work</w:t>
            </w:r>
          </w:p>
          <w:p w:rsidR="003C6E74" w:rsidRPr="000D3FEC" w:rsidRDefault="00630C49" w:rsidP="003C6E74">
            <w:pPr>
              <w:pStyle w:val="ListParagraph"/>
              <w:numPr>
                <w:ilvl w:val="0"/>
                <w:numId w:val="26"/>
              </w:numPr>
              <w:ind w:left="450"/>
              <w:rPr>
                <w:sz w:val="32"/>
                <w:szCs w:val="32"/>
              </w:rPr>
            </w:pPr>
            <w:r>
              <w:t>Cleanup</w:t>
            </w:r>
            <w:r w:rsidR="003C6E74">
              <w:t xml:space="preserve"> at some sites stalled due to informal and formal disputes related to active remediation, minimal site characterization, </w:t>
            </w:r>
            <w:r>
              <w:t>monitored natural attenuation (MNA), incomplete</w:t>
            </w:r>
            <w:r w:rsidR="003C6E74">
              <w:t xml:space="preserve"> risk assessments, and unwillingness to incorporate </w:t>
            </w:r>
            <w:r>
              <w:t>California requirements</w:t>
            </w:r>
            <w:r w:rsidR="003C6E74">
              <w:t xml:space="preserve"> into remedial strategies. </w:t>
            </w:r>
          </w:p>
          <w:p w:rsidR="00630C49" w:rsidRPr="00630C49" w:rsidRDefault="003C6E74" w:rsidP="00630C49">
            <w:pPr>
              <w:pStyle w:val="ListParagraph"/>
              <w:numPr>
                <w:ilvl w:val="0"/>
                <w:numId w:val="26"/>
              </w:numPr>
              <w:ind w:left="450"/>
              <w:rPr>
                <w:sz w:val="32"/>
                <w:szCs w:val="32"/>
              </w:rPr>
            </w:pPr>
            <w:r>
              <w:t xml:space="preserve">Some </w:t>
            </w:r>
            <w:r w:rsidR="00630C49">
              <w:t xml:space="preserve">technical </w:t>
            </w:r>
            <w:r>
              <w:t>report reviews are not completed</w:t>
            </w:r>
            <w:r w:rsidR="00630C49">
              <w:t>, pending action from another state agency</w:t>
            </w:r>
          </w:p>
          <w:p w:rsidR="003C6E74" w:rsidRPr="00DB4DD3" w:rsidRDefault="00630C49" w:rsidP="00630C49">
            <w:pPr>
              <w:pStyle w:val="ListParagraph"/>
              <w:numPr>
                <w:ilvl w:val="0"/>
                <w:numId w:val="26"/>
              </w:numPr>
              <w:ind w:left="450"/>
              <w:rPr>
                <w:rStyle w:val="Strong"/>
                <w:b w:val="0"/>
                <w:bCs w:val="0"/>
                <w:sz w:val="32"/>
                <w:szCs w:val="32"/>
              </w:rPr>
            </w:pPr>
            <w:r>
              <w:t xml:space="preserve">Incorporating </w:t>
            </w:r>
            <w:r w:rsidR="003C6E74">
              <w:t>.</w:t>
            </w:r>
            <w:r>
              <w:t>MNA into Basin Plan provisions or General Order.</w:t>
            </w:r>
            <w:bookmarkStart w:id="0" w:name="_GoBack"/>
            <w:bookmarkEnd w:id="0"/>
          </w:p>
        </w:tc>
      </w:tr>
    </w:tbl>
    <w:p w:rsidR="00F26F7E" w:rsidRDefault="00F26F7E" w:rsidP="00AB2B8F">
      <w:pPr>
        <w:jc w:val="center"/>
      </w:pPr>
    </w:p>
    <w:p w:rsidR="00BE47B2" w:rsidRDefault="00BC468E" w:rsidP="002A1E72">
      <w:pPr>
        <w:rPr>
          <w:sz w:val="20"/>
          <w:szCs w:val="20"/>
        </w:rPr>
      </w:pPr>
      <w:r>
        <w:rPr>
          <w:noProof/>
        </w:rPr>
        <w:drawing>
          <wp:anchor distT="0" distB="0" distL="114300" distR="114300" simplePos="0" relativeHeight="251663360" behindDoc="0" locked="0" layoutInCell="1" allowOverlap="1" wp14:anchorId="403D1EE8" wp14:editId="03D78A7E">
            <wp:simplePos x="0" y="0"/>
            <wp:positionH relativeFrom="column">
              <wp:posOffset>935990</wp:posOffset>
            </wp:positionH>
            <wp:positionV relativeFrom="page">
              <wp:posOffset>7369175</wp:posOffset>
            </wp:positionV>
            <wp:extent cx="3940175" cy="2220595"/>
            <wp:effectExtent l="0" t="0" r="22225" b="27305"/>
            <wp:wrapTopAndBottom/>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margin">
              <wp14:pctWidth>0</wp14:pctWidth>
            </wp14:sizeRelH>
            <wp14:sizeRelV relativeFrom="margin">
              <wp14:pctHeight>0</wp14:pctHeight>
            </wp14:sizeRelV>
          </wp:anchor>
        </w:drawing>
      </w:r>
    </w:p>
    <w:sectPr w:rsidR="00BE47B2" w:rsidSect="00540395">
      <w:pgSz w:w="12240" w:h="15840"/>
      <w:pgMar w:top="432" w:right="720" w:bottom="432"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102C" w:rsidRDefault="0040102C" w:rsidP="0040102C">
      <w:r>
        <w:separator/>
      </w:r>
    </w:p>
  </w:endnote>
  <w:endnote w:type="continuationSeparator" w:id="0">
    <w:p w:rsidR="0040102C" w:rsidRDefault="0040102C" w:rsidP="004010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102C" w:rsidRDefault="0040102C" w:rsidP="0040102C">
      <w:r>
        <w:separator/>
      </w:r>
    </w:p>
  </w:footnote>
  <w:footnote w:type="continuationSeparator" w:id="0">
    <w:p w:rsidR="0040102C" w:rsidRDefault="0040102C" w:rsidP="004010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A14C20"/>
    <w:multiLevelType w:val="hybridMultilevel"/>
    <w:tmpl w:val="5DE20A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15E10FB1"/>
    <w:multiLevelType w:val="hybridMultilevel"/>
    <w:tmpl w:val="6BE0DB92"/>
    <w:lvl w:ilvl="0" w:tplc="49C0DD76">
      <w:numFmt w:val="bullet"/>
      <w:lvlText w:val="-"/>
      <w:lvlJc w:val="left"/>
      <w:pPr>
        <w:ind w:left="1080" w:hanging="360"/>
      </w:pPr>
      <w:rPr>
        <w:rFonts w:ascii="Calibri" w:eastAsia="Calibri"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7B40B62"/>
    <w:multiLevelType w:val="multilevel"/>
    <w:tmpl w:val="B99E6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9297CA2"/>
    <w:multiLevelType w:val="hybridMultilevel"/>
    <w:tmpl w:val="65C0180A"/>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4">
    <w:nsid w:val="1D934954"/>
    <w:multiLevelType w:val="hybridMultilevel"/>
    <w:tmpl w:val="C9A0B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F9958FE"/>
    <w:multiLevelType w:val="hybridMultilevel"/>
    <w:tmpl w:val="973A1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D3B5C67"/>
    <w:multiLevelType w:val="hybridMultilevel"/>
    <w:tmpl w:val="497EB942"/>
    <w:lvl w:ilvl="0" w:tplc="49C0DD76">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0B005E4"/>
    <w:multiLevelType w:val="hybridMultilevel"/>
    <w:tmpl w:val="3E20B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8D34726"/>
    <w:multiLevelType w:val="hybridMultilevel"/>
    <w:tmpl w:val="95161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19240C5"/>
    <w:multiLevelType w:val="hybridMultilevel"/>
    <w:tmpl w:val="23144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58D6BD1"/>
    <w:multiLevelType w:val="hybridMultilevel"/>
    <w:tmpl w:val="20F60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03E206F"/>
    <w:multiLevelType w:val="hybridMultilevel"/>
    <w:tmpl w:val="108C2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4DA7F13"/>
    <w:multiLevelType w:val="hybridMultilevel"/>
    <w:tmpl w:val="9D86963C"/>
    <w:lvl w:ilvl="0" w:tplc="601A19A4">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8142F6E"/>
    <w:multiLevelType w:val="hybridMultilevel"/>
    <w:tmpl w:val="90881366"/>
    <w:lvl w:ilvl="0" w:tplc="49C0DD76">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596B364A"/>
    <w:multiLevelType w:val="hybridMultilevel"/>
    <w:tmpl w:val="F446E3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29A08D1"/>
    <w:multiLevelType w:val="hybridMultilevel"/>
    <w:tmpl w:val="DF9E6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59E1C89"/>
    <w:multiLevelType w:val="hybridMultilevel"/>
    <w:tmpl w:val="D76CD0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69A53F5F"/>
    <w:multiLevelType w:val="hybridMultilevel"/>
    <w:tmpl w:val="BC525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DFE75BE"/>
    <w:multiLevelType w:val="hybridMultilevel"/>
    <w:tmpl w:val="B8705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584223F"/>
    <w:multiLevelType w:val="hybridMultilevel"/>
    <w:tmpl w:val="AC20DDEE"/>
    <w:lvl w:ilvl="0" w:tplc="601A19A4">
      <w:start w:val="1"/>
      <w:numFmt w:val="bullet"/>
      <w:lvlText w:val="•"/>
      <w:lvlJc w:val="left"/>
      <w:pPr>
        <w:tabs>
          <w:tab w:val="num" w:pos="720"/>
        </w:tabs>
        <w:ind w:left="720" w:hanging="360"/>
      </w:pPr>
      <w:rPr>
        <w:rFonts w:ascii="Arial" w:hAnsi="Arial" w:hint="default"/>
      </w:rPr>
    </w:lvl>
    <w:lvl w:ilvl="1" w:tplc="048A9004">
      <w:start w:val="2476"/>
      <w:numFmt w:val="bullet"/>
      <w:lvlText w:val="–"/>
      <w:lvlJc w:val="left"/>
      <w:pPr>
        <w:tabs>
          <w:tab w:val="num" w:pos="1440"/>
        </w:tabs>
        <w:ind w:left="1440" w:hanging="360"/>
      </w:pPr>
      <w:rPr>
        <w:rFonts w:ascii="Arial" w:hAnsi="Arial" w:hint="default"/>
      </w:rPr>
    </w:lvl>
    <w:lvl w:ilvl="2" w:tplc="84065CB4" w:tentative="1">
      <w:start w:val="1"/>
      <w:numFmt w:val="bullet"/>
      <w:lvlText w:val="•"/>
      <w:lvlJc w:val="left"/>
      <w:pPr>
        <w:tabs>
          <w:tab w:val="num" w:pos="2160"/>
        </w:tabs>
        <w:ind w:left="2160" w:hanging="360"/>
      </w:pPr>
      <w:rPr>
        <w:rFonts w:ascii="Arial" w:hAnsi="Arial" w:hint="default"/>
      </w:rPr>
    </w:lvl>
    <w:lvl w:ilvl="3" w:tplc="C65A1A94" w:tentative="1">
      <w:start w:val="1"/>
      <w:numFmt w:val="bullet"/>
      <w:lvlText w:val="•"/>
      <w:lvlJc w:val="left"/>
      <w:pPr>
        <w:tabs>
          <w:tab w:val="num" w:pos="2880"/>
        </w:tabs>
        <w:ind w:left="2880" w:hanging="360"/>
      </w:pPr>
      <w:rPr>
        <w:rFonts w:ascii="Arial" w:hAnsi="Arial" w:hint="default"/>
      </w:rPr>
    </w:lvl>
    <w:lvl w:ilvl="4" w:tplc="143CB2F4" w:tentative="1">
      <w:start w:val="1"/>
      <w:numFmt w:val="bullet"/>
      <w:lvlText w:val="•"/>
      <w:lvlJc w:val="left"/>
      <w:pPr>
        <w:tabs>
          <w:tab w:val="num" w:pos="3600"/>
        </w:tabs>
        <w:ind w:left="3600" w:hanging="360"/>
      </w:pPr>
      <w:rPr>
        <w:rFonts w:ascii="Arial" w:hAnsi="Arial" w:hint="default"/>
      </w:rPr>
    </w:lvl>
    <w:lvl w:ilvl="5" w:tplc="CA0478F8" w:tentative="1">
      <w:start w:val="1"/>
      <w:numFmt w:val="bullet"/>
      <w:lvlText w:val="•"/>
      <w:lvlJc w:val="left"/>
      <w:pPr>
        <w:tabs>
          <w:tab w:val="num" w:pos="4320"/>
        </w:tabs>
        <w:ind w:left="4320" w:hanging="360"/>
      </w:pPr>
      <w:rPr>
        <w:rFonts w:ascii="Arial" w:hAnsi="Arial" w:hint="default"/>
      </w:rPr>
    </w:lvl>
    <w:lvl w:ilvl="6" w:tplc="5C86FC68" w:tentative="1">
      <w:start w:val="1"/>
      <w:numFmt w:val="bullet"/>
      <w:lvlText w:val="•"/>
      <w:lvlJc w:val="left"/>
      <w:pPr>
        <w:tabs>
          <w:tab w:val="num" w:pos="5040"/>
        </w:tabs>
        <w:ind w:left="5040" w:hanging="360"/>
      </w:pPr>
      <w:rPr>
        <w:rFonts w:ascii="Arial" w:hAnsi="Arial" w:hint="default"/>
      </w:rPr>
    </w:lvl>
    <w:lvl w:ilvl="7" w:tplc="E318954A" w:tentative="1">
      <w:start w:val="1"/>
      <w:numFmt w:val="bullet"/>
      <w:lvlText w:val="•"/>
      <w:lvlJc w:val="left"/>
      <w:pPr>
        <w:tabs>
          <w:tab w:val="num" w:pos="5760"/>
        </w:tabs>
        <w:ind w:left="5760" w:hanging="360"/>
      </w:pPr>
      <w:rPr>
        <w:rFonts w:ascii="Arial" w:hAnsi="Arial" w:hint="default"/>
      </w:rPr>
    </w:lvl>
    <w:lvl w:ilvl="8" w:tplc="BFACBBBA" w:tentative="1">
      <w:start w:val="1"/>
      <w:numFmt w:val="bullet"/>
      <w:lvlText w:val="•"/>
      <w:lvlJc w:val="left"/>
      <w:pPr>
        <w:tabs>
          <w:tab w:val="num" w:pos="6480"/>
        </w:tabs>
        <w:ind w:left="6480" w:hanging="360"/>
      </w:pPr>
      <w:rPr>
        <w:rFonts w:ascii="Arial" w:hAnsi="Arial" w:hint="default"/>
      </w:rPr>
    </w:lvl>
  </w:abstractNum>
  <w:abstractNum w:abstractNumId="20">
    <w:nsid w:val="76B7105D"/>
    <w:multiLevelType w:val="hybridMultilevel"/>
    <w:tmpl w:val="BFD00598"/>
    <w:lvl w:ilvl="0" w:tplc="49C0DD76">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AB666A3"/>
    <w:multiLevelType w:val="hybridMultilevel"/>
    <w:tmpl w:val="178A6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E445CE2"/>
    <w:multiLevelType w:val="hybridMultilevel"/>
    <w:tmpl w:val="735AD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21"/>
  </w:num>
  <w:num w:numId="3">
    <w:abstractNumId w:val="22"/>
  </w:num>
  <w:num w:numId="4">
    <w:abstractNumId w:val="4"/>
  </w:num>
  <w:num w:numId="5">
    <w:abstractNumId w:val="2"/>
  </w:num>
  <w:num w:numId="6">
    <w:abstractNumId w:val="14"/>
  </w:num>
  <w:num w:numId="7">
    <w:abstractNumId w:val="19"/>
  </w:num>
  <w:num w:numId="8">
    <w:abstractNumId w:val="12"/>
  </w:num>
  <w:num w:numId="9">
    <w:abstractNumId w:val="10"/>
  </w:num>
  <w:num w:numId="10">
    <w:abstractNumId w:val="13"/>
  </w:num>
  <w:num w:numId="11">
    <w:abstractNumId w:val="8"/>
  </w:num>
  <w:num w:numId="12">
    <w:abstractNumId w:val="13"/>
  </w:num>
  <w:num w:numId="13">
    <w:abstractNumId w:val="1"/>
  </w:num>
  <w:num w:numId="14">
    <w:abstractNumId w:val="0"/>
  </w:num>
  <w:num w:numId="15">
    <w:abstractNumId w:val="3"/>
  </w:num>
  <w:num w:numId="16">
    <w:abstractNumId w:val="0"/>
  </w:num>
  <w:num w:numId="17">
    <w:abstractNumId w:val="6"/>
  </w:num>
  <w:num w:numId="18">
    <w:abstractNumId w:val="20"/>
  </w:num>
  <w:num w:numId="19">
    <w:abstractNumId w:val="15"/>
  </w:num>
  <w:num w:numId="20">
    <w:abstractNumId w:val="16"/>
  </w:num>
  <w:num w:numId="21">
    <w:abstractNumId w:val="22"/>
  </w:num>
  <w:num w:numId="22">
    <w:abstractNumId w:val="18"/>
  </w:num>
  <w:num w:numId="23">
    <w:abstractNumId w:val="5"/>
  </w:num>
  <w:num w:numId="24">
    <w:abstractNumId w:val="7"/>
  </w:num>
  <w:num w:numId="25">
    <w:abstractNumId w:val="11"/>
  </w:num>
  <w:num w:numId="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2140"/>
    <w:rsid w:val="00002524"/>
    <w:rsid w:val="0001018C"/>
    <w:rsid w:val="0001031D"/>
    <w:rsid w:val="000111C5"/>
    <w:rsid w:val="00016899"/>
    <w:rsid w:val="000353E0"/>
    <w:rsid w:val="0004222B"/>
    <w:rsid w:val="00045916"/>
    <w:rsid w:val="00047D17"/>
    <w:rsid w:val="000762AF"/>
    <w:rsid w:val="000A2D34"/>
    <w:rsid w:val="000B302C"/>
    <w:rsid w:val="000C2720"/>
    <w:rsid w:val="000D3FEC"/>
    <w:rsid w:val="000D43BB"/>
    <w:rsid w:val="000D5589"/>
    <w:rsid w:val="000D71D5"/>
    <w:rsid w:val="000E014E"/>
    <w:rsid w:val="000E1447"/>
    <w:rsid w:val="000E2D13"/>
    <w:rsid w:val="000F3998"/>
    <w:rsid w:val="00101BB0"/>
    <w:rsid w:val="001120D6"/>
    <w:rsid w:val="00116387"/>
    <w:rsid w:val="00127283"/>
    <w:rsid w:val="00135C7B"/>
    <w:rsid w:val="00150981"/>
    <w:rsid w:val="00173519"/>
    <w:rsid w:val="00182604"/>
    <w:rsid w:val="001858CE"/>
    <w:rsid w:val="00186F5B"/>
    <w:rsid w:val="001879A4"/>
    <w:rsid w:val="001B4830"/>
    <w:rsid w:val="001B5B2C"/>
    <w:rsid w:val="001C52CE"/>
    <w:rsid w:val="001D10DE"/>
    <w:rsid w:val="001F2DFF"/>
    <w:rsid w:val="00211A33"/>
    <w:rsid w:val="00265109"/>
    <w:rsid w:val="002821D5"/>
    <w:rsid w:val="00283629"/>
    <w:rsid w:val="00283FC4"/>
    <w:rsid w:val="00285EA9"/>
    <w:rsid w:val="0029096C"/>
    <w:rsid w:val="00293DAE"/>
    <w:rsid w:val="002965EE"/>
    <w:rsid w:val="002969C3"/>
    <w:rsid w:val="002A1E72"/>
    <w:rsid w:val="002A320C"/>
    <w:rsid w:val="002C35DA"/>
    <w:rsid w:val="002E0A12"/>
    <w:rsid w:val="002E77C0"/>
    <w:rsid w:val="002F2244"/>
    <w:rsid w:val="002F69E6"/>
    <w:rsid w:val="00311105"/>
    <w:rsid w:val="003356C8"/>
    <w:rsid w:val="003806A2"/>
    <w:rsid w:val="003845F0"/>
    <w:rsid w:val="00384870"/>
    <w:rsid w:val="00386129"/>
    <w:rsid w:val="00396C33"/>
    <w:rsid w:val="00397597"/>
    <w:rsid w:val="00397ED0"/>
    <w:rsid w:val="003B4195"/>
    <w:rsid w:val="003C325B"/>
    <w:rsid w:val="003C6E74"/>
    <w:rsid w:val="003D079F"/>
    <w:rsid w:val="003D59E2"/>
    <w:rsid w:val="003E2A89"/>
    <w:rsid w:val="003F4BF5"/>
    <w:rsid w:val="0040102C"/>
    <w:rsid w:val="0042124F"/>
    <w:rsid w:val="00421DD4"/>
    <w:rsid w:val="004526D7"/>
    <w:rsid w:val="00453BF7"/>
    <w:rsid w:val="00472A0E"/>
    <w:rsid w:val="00486F72"/>
    <w:rsid w:val="0049336F"/>
    <w:rsid w:val="004B0A7C"/>
    <w:rsid w:val="004B486C"/>
    <w:rsid w:val="004C0815"/>
    <w:rsid w:val="004C2AE3"/>
    <w:rsid w:val="004D171C"/>
    <w:rsid w:val="004D2DE2"/>
    <w:rsid w:val="004E0563"/>
    <w:rsid w:val="004E34A9"/>
    <w:rsid w:val="004E37B6"/>
    <w:rsid w:val="005013DA"/>
    <w:rsid w:val="00503353"/>
    <w:rsid w:val="00515DDB"/>
    <w:rsid w:val="00526AEC"/>
    <w:rsid w:val="00526C8C"/>
    <w:rsid w:val="00540395"/>
    <w:rsid w:val="00542F59"/>
    <w:rsid w:val="005455C8"/>
    <w:rsid w:val="0056456E"/>
    <w:rsid w:val="00567838"/>
    <w:rsid w:val="00572047"/>
    <w:rsid w:val="00584AEE"/>
    <w:rsid w:val="005855A2"/>
    <w:rsid w:val="00587A85"/>
    <w:rsid w:val="00590AE1"/>
    <w:rsid w:val="0059312B"/>
    <w:rsid w:val="005A065A"/>
    <w:rsid w:val="005A2F37"/>
    <w:rsid w:val="005B0632"/>
    <w:rsid w:val="005B25F4"/>
    <w:rsid w:val="005C57E9"/>
    <w:rsid w:val="005D7BC5"/>
    <w:rsid w:val="005E3FE6"/>
    <w:rsid w:val="005F7134"/>
    <w:rsid w:val="006202FC"/>
    <w:rsid w:val="006212C6"/>
    <w:rsid w:val="00630C49"/>
    <w:rsid w:val="006443C5"/>
    <w:rsid w:val="006555A3"/>
    <w:rsid w:val="00655F2A"/>
    <w:rsid w:val="00674AE3"/>
    <w:rsid w:val="00681943"/>
    <w:rsid w:val="00682F07"/>
    <w:rsid w:val="00685F70"/>
    <w:rsid w:val="006A22C8"/>
    <w:rsid w:val="006B0891"/>
    <w:rsid w:val="006C387A"/>
    <w:rsid w:val="006D5C5B"/>
    <w:rsid w:val="006D778B"/>
    <w:rsid w:val="006E02DD"/>
    <w:rsid w:val="006E1228"/>
    <w:rsid w:val="006E50B8"/>
    <w:rsid w:val="006F30E6"/>
    <w:rsid w:val="006F426E"/>
    <w:rsid w:val="00704521"/>
    <w:rsid w:val="00726EC1"/>
    <w:rsid w:val="00747AFF"/>
    <w:rsid w:val="00753537"/>
    <w:rsid w:val="00757181"/>
    <w:rsid w:val="00770137"/>
    <w:rsid w:val="00772635"/>
    <w:rsid w:val="007746F3"/>
    <w:rsid w:val="00785AC3"/>
    <w:rsid w:val="00790696"/>
    <w:rsid w:val="00792A86"/>
    <w:rsid w:val="007A1A08"/>
    <w:rsid w:val="007B07F3"/>
    <w:rsid w:val="007B62E8"/>
    <w:rsid w:val="007E05B5"/>
    <w:rsid w:val="007E5AB5"/>
    <w:rsid w:val="007F414E"/>
    <w:rsid w:val="007F54FE"/>
    <w:rsid w:val="00802548"/>
    <w:rsid w:val="00802F7D"/>
    <w:rsid w:val="00810D68"/>
    <w:rsid w:val="0081666B"/>
    <w:rsid w:val="0082107B"/>
    <w:rsid w:val="00835EA4"/>
    <w:rsid w:val="0083783E"/>
    <w:rsid w:val="008451E9"/>
    <w:rsid w:val="00847096"/>
    <w:rsid w:val="008479FB"/>
    <w:rsid w:val="00847DBC"/>
    <w:rsid w:val="00850FB8"/>
    <w:rsid w:val="00857971"/>
    <w:rsid w:val="0087318F"/>
    <w:rsid w:val="008A1026"/>
    <w:rsid w:val="008B53CE"/>
    <w:rsid w:val="008C5018"/>
    <w:rsid w:val="008D2140"/>
    <w:rsid w:val="008D66B7"/>
    <w:rsid w:val="008F29D1"/>
    <w:rsid w:val="008F5665"/>
    <w:rsid w:val="00903396"/>
    <w:rsid w:val="009066F8"/>
    <w:rsid w:val="00926213"/>
    <w:rsid w:val="009370D6"/>
    <w:rsid w:val="00951B90"/>
    <w:rsid w:val="009644E8"/>
    <w:rsid w:val="00964998"/>
    <w:rsid w:val="00972DE0"/>
    <w:rsid w:val="00973A49"/>
    <w:rsid w:val="0099215A"/>
    <w:rsid w:val="009A430D"/>
    <w:rsid w:val="009D0C68"/>
    <w:rsid w:val="009D1A0C"/>
    <w:rsid w:val="009E7F67"/>
    <w:rsid w:val="009F315D"/>
    <w:rsid w:val="009F3703"/>
    <w:rsid w:val="009F5486"/>
    <w:rsid w:val="00A001FB"/>
    <w:rsid w:val="00A06265"/>
    <w:rsid w:val="00A129C3"/>
    <w:rsid w:val="00A2549C"/>
    <w:rsid w:val="00A26E13"/>
    <w:rsid w:val="00A307FD"/>
    <w:rsid w:val="00A6201B"/>
    <w:rsid w:val="00A66CE9"/>
    <w:rsid w:val="00A71F9F"/>
    <w:rsid w:val="00A94AC4"/>
    <w:rsid w:val="00AB2B8F"/>
    <w:rsid w:val="00AD61DE"/>
    <w:rsid w:val="00AE61C3"/>
    <w:rsid w:val="00AF4410"/>
    <w:rsid w:val="00B00674"/>
    <w:rsid w:val="00B05E4C"/>
    <w:rsid w:val="00B074CD"/>
    <w:rsid w:val="00B11F51"/>
    <w:rsid w:val="00B203D7"/>
    <w:rsid w:val="00B52A2D"/>
    <w:rsid w:val="00B616A2"/>
    <w:rsid w:val="00B80B13"/>
    <w:rsid w:val="00B831CF"/>
    <w:rsid w:val="00B86C8B"/>
    <w:rsid w:val="00B953F6"/>
    <w:rsid w:val="00BA3741"/>
    <w:rsid w:val="00BA49C7"/>
    <w:rsid w:val="00BC01B2"/>
    <w:rsid w:val="00BC03BB"/>
    <w:rsid w:val="00BC2F48"/>
    <w:rsid w:val="00BC468E"/>
    <w:rsid w:val="00BE3B62"/>
    <w:rsid w:val="00BE47B2"/>
    <w:rsid w:val="00BE6B42"/>
    <w:rsid w:val="00BF019C"/>
    <w:rsid w:val="00C13308"/>
    <w:rsid w:val="00C31548"/>
    <w:rsid w:val="00C31E37"/>
    <w:rsid w:val="00C63BFF"/>
    <w:rsid w:val="00C83992"/>
    <w:rsid w:val="00C91619"/>
    <w:rsid w:val="00C95421"/>
    <w:rsid w:val="00CB2A07"/>
    <w:rsid w:val="00CB637B"/>
    <w:rsid w:val="00CC2727"/>
    <w:rsid w:val="00CC7C78"/>
    <w:rsid w:val="00CD384C"/>
    <w:rsid w:val="00CE0A81"/>
    <w:rsid w:val="00CF2B2F"/>
    <w:rsid w:val="00D10DDE"/>
    <w:rsid w:val="00D214B6"/>
    <w:rsid w:val="00D22E6D"/>
    <w:rsid w:val="00D23FC5"/>
    <w:rsid w:val="00D31045"/>
    <w:rsid w:val="00D41CD4"/>
    <w:rsid w:val="00D7111A"/>
    <w:rsid w:val="00D7176D"/>
    <w:rsid w:val="00D85555"/>
    <w:rsid w:val="00D86FEA"/>
    <w:rsid w:val="00D95240"/>
    <w:rsid w:val="00DB4DD3"/>
    <w:rsid w:val="00DD0CAC"/>
    <w:rsid w:val="00DD1B3D"/>
    <w:rsid w:val="00DF3AC0"/>
    <w:rsid w:val="00E03E39"/>
    <w:rsid w:val="00E1568B"/>
    <w:rsid w:val="00E15AC0"/>
    <w:rsid w:val="00E2260A"/>
    <w:rsid w:val="00E22A8B"/>
    <w:rsid w:val="00E53559"/>
    <w:rsid w:val="00E759DF"/>
    <w:rsid w:val="00E8099F"/>
    <w:rsid w:val="00E97B8F"/>
    <w:rsid w:val="00ED69F7"/>
    <w:rsid w:val="00F025A0"/>
    <w:rsid w:val="00F07A67"/>
    <w:rsid w:val="00F26F7E"/>
    <w:rsid w:val="00F524AD"/>
    <w:rsid w:val="00F52821"/>
    <w:rsid w:val="00F60F9D"/>
    <w:rsid w:val="00F66D35"/>
    <w:rsid w:val="00F86950"/>
    <w:rsid w:val="00F9606D"/>
    <w:rsid w:val="00FA2C2A"/>
    <w:rsid w:val="00FC3A07"/>
    <w:rsid w:val="00FD4F03"/>
    <w:rsid w:val="00FF35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w:semiHidden="0" w:unhideWhenUsed="0"/>
    <w:lsdException w:name="List 2" w:semiHidden="0" w:unhideWhenUsed="0"/>
    <w:lsdException w:name="List 3" w:semiHidden="0" w:unhideWhenUsed="0"/>
    <w:lsdException w:name="Title" w:semiHidden="0" w:unhideWhenUsed="0" w:qFormat="1"/>
    <w:lsdException w:name="List Continue 5" w:semiHidden="0" w:unhideWhenUsed="0"/>
    <w:lsdException w:name="Message Header" w:semiHidden="0" w:unhideWhenUsed="0"/>
    <w:lsdException w:name="Subtitle" w:semiHidden="0" w:unhideWhenUsed="0" w:qFormat="1"/>
    <w:lsdException w:name="Salutation" w:semiHidden="0" w:unhideWhenUsed="0"/>
    <w:lsdException w:name="Hyperlink" w:uiPriority="99"/>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26D7"/>
    <w:rPr>
      <w:rFonts w:ascii="Arial" w:hAnsi="Arial"/>
      <w:sz w:val="24"/>
      <w:szCs w:val="24"/>
    </w:rPr>
  </w:style>
  <w:style w:type="paragraph" w:styleId="Heading1">
    <w:name w:val="heading 1"/>
    <w:basedOn w:val="Normal"/>
    <w:next w:val="Normal"/>
    <w:link w:val="Heading1Char"/>
    <w:qFormat/>
    <w:rsid w:val="004526D7"/>
    <w:pPr>
      <w:keepNext/>
      <w:keepLines/>
      <w:spacing w:before="480"/>
      <w:outlineLvl w:val="0"/>
    </w:pPr>
    <w:rPr>
      <w:rFonts w:eastAsiaTheme="majorEastAsia" w:cstheme="majorBidi"/>
      <w:b/>
      <w:bCs/>
      <w:color w:val="000000" w:themeColor="text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526D7"/>
    <w:rPr>
      <w:rFonts w:ascii="Arial" w:eastAsiaTheme="majorEastAsia" w:hAnsi="Arial" w:cstheme="majorBidi"/>
      <w:b/>
      <w:bCs/>
      <w:color w:val="000000" w:themeColor="text1"/>
      <w:sz w:val="28"/>
      <w:szCs w:val="28"/>
    </w:rPr>
  </w:style>
  <w:style w:type="character" w:styleId="Emphasis">
    <w:name w:val="Emphasis"/>
    <w:basedOn w:val="DefaultParagraphFont"/>
    <w:qFormat/>
    <w:rsid w:val="004526D7"/>
    <w:rPr>
      <w:i/>
      <w:iCs/>
    </w:rPr>
  </w:style>
  <w:style w:type="character" w:styleId="Strong">
    <w:name w:val="Strong"/>
    <w:basedOn w:val="DefaultParagraphFont"/>
    <w:uiPriority w:val="22"/>
    <w:qFormat/>
    <w:rsid w:val="004526D7"/>
    <w:rPr>
      <w:b/>
      <w:bCs/>
    </w:rPr>
  </w:style>
  <w:style w:type="table" w:styleId="TableGrid">
    <w:name w:val="Table Grid"/>
    <w:basedOn w:val="TableNormal"/>
    <w:rsid w:val="008D21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41CD4"/>
    <w:pPr>
      <w:ind w:left="720"/>
      <w:contextualSpacing/>
    </w:pPr>
  </w:style>
  <w:style w:type="paragraph" w:styleId="BalloonText">
    <w:name w:val="Balloon Text"/>
    <w:basedOn w:val="Normal"/>
    <w:link w:val="BalloonTextChar"/>
    <w:rsid w:val="00682F07"/>
    <w:rPr>
      <w:rFonts w:ascii="Tahoma" w:hAnsi="Tahoma" w:cs="Tahoma"/>
      <w:sz w:val="16"/>
      <w:szCs w:val="16"/>
    </w:rPr>
  </w:style>
  <w:style w:type="character" w:customStyle="1" w:styleId="BalloonTextChar">
    <w:name w:val="Balloon Text Char"/>
    <w:basedOn w:val="DefaultParagraphFont"/>
    <w:link w:val="BalloonText"/>
    <w:rsid w:val="00682F07"/>
    <w:rPr>
      <w:rFonts w:ascii="Tahoma" w:hAnsi="Tahoma" w:cs="Tahoma"/>
      <w:sz w:val="16"/>
      <w:szCs w:val="16"/>
    </w:rPr>
  </w:style>
  <w:style w:type="character" w:styleId="Hyperlink">
    <w:name w:val="Hyperlink"/>
    <w:basedOn w:val="DefaultParagraphFont"/>
    <w:uiPriority w:val="99"/>
    <w:unhideWhenUsed/>
    <w:rsid w:val="003C325B"/>
    <w:rPr>
      <w:color w:val="0000FF"/>
      <w:u w:val="single"/>
    </w:rPr>
  </w:style>
  <w:style w:type="character" w:styleId="CommentReference">
    <w:name w:val="annotation reference"/>
    <w:basedOn w:val="DefaultParagraphFont"/>
    <w:rsid w:val="00016899"/>
    <w:rPr>
      <w:sz w:val="16"/>
      <w:szCs w:val="16"/>
    </w:rPr>
  </w:style>
  <w:style w:type="paragraph" w:styleId="CommentText">
    <w:name w:val="annotation text"/>
    <w:basedOn w:val="Normal"/>
    <w:link w:val="CommentTextChar"/>
    <w:rsid w:val="00016899"/>
    <w:rPr>
      <w:sz w:val="20"/>
      <w:szCs w:val="20"/>
    </w:rPr>
  </w:style>
  <w:style w:type="character" w:customStyle="1" w:styleId="CommentTextChar">
    <w:name w:val="Comment Text Char"/>
    <w:basedOn w:val="DefaultParagraphFont"/>
    <w:link w:val="CommentText"/>
    <w:rsid w:val="00016899"/>
    <w:rPr>
      <w:rFonts w:ascii="Arial" w:hAnsi="Arial"/>
    </w:rPr>
  </w:style>
  <w:style w:type="paragraph" w:styleId="CommentSubject">
    <w:name w:val="annotation subject"/>
    <w:basedOn w:val="CommentText"/>
    <w:next w:val="CommentText"/>
    <w:link w:val="CommentSubjectChar"/>
    <w:rsid w:val="00016899"/>
    <w:rPr>
      <w:b/>
      <w:bCs/>
    </w:rPr>
  </w:style>
  <w:style w:type="character" w:customStyle="1" w:styleId="CommentSubjectChar">
    <w:name w:val="Comment Subject Char"/>
    <w:basedOn w:val="CommentTextChar"/>
    <w:link w:val="CommentSubject"/>
    <w:rsid w:val="00016899"/>
    <w:rPr>
      <w:rFonts w:ascii="Arial" w:hAnsi="Arial"/>
      <w:b/>
      <w:bCs/>
    </w:rPr>
  </w:style>
  <w:style w:type="paragraph" w:styleId="Header">
    <w:name w:val="header"/>
    <w:basedOn w:val="Normal"/>
    <w:link w:val="HeaderChar"/>
    <w:unhideWhenUsed/>
    <w:rsid w:val="0040102C"/>
    <w:pPr>
      <w:tabs>
        <w:tab w:val="center" w:pos="4680"/>
        <w:tab w:val="right" w:pos="9360"/>
      </w:tabs>
    </w:pPr>
  </w:style>
  <w:style w:type="character" w:customStyle="1" w:styleId="HeaderChar">
    <w:name w:val="Header Char"/>
    <w:basedOn w:val="DefaultParagraphFont"/>
    <w:link w:val="Header"/>
    <w:rsid w:val="0040102C"/>
    <w:rPr>
      <w:rFonts w:ascii="Arial" w:hAnsi="Arial"/>
      <w:sz w:val="24"/>
      <w:szCs w:val="24"/>
    </w:rPr>
  </w:style>
  <w:style w:type="paragraph" w:styleId="Footer">
    <w:name w:val="footer"/>
    <w:basedOn w:val="Normal"/>
    <w:link w:val="FooterChar"/>
    <w:unhideWhenUsed/>
    <w:rsid w:val="0040102C"/>
    <w:pPr>
      <w:tabs>
        <w:tab w:val="center" w:pos="4680"/>
        <w:tab w:val="right" w:pos="9360"/>
      </w:tabs>
    </w:pPr>
  </w:style>
  <w:style w:type="character" w:customStyle="1" w:styleId="FooterChar">
    <w:name w:val="Footer Char"/>
    <w:basedOn w:val="DefaultParagraphFont"/>
    <w:link w:val="Footer"/>
    <w:rsid w:val="0040102C"/>
    <w:rPr>
      <w:rFonts w:ascii="Arial" w:hAnsi="Arial"/>
      <w:sz w:val="24"/>
      <w:szCs w:val="24"/>
    </w:rPr>
  </w:style>
  <w:style w:type="paragraph" w:styleId="NormalWeb">
    <w:name w:val="Normal (Web)"/>
    <w:basedOn w:val="Normal"/>
    <w:uiPriority w:val="99"/>
    <w:semiHidden/>
    <w:unhideWhenUsed/>
    <w:rsid w:val="00F60F9D"/>
    <w:rPr>
      <w:rFonts w:ascii="Times New Roman" w:eastAsiaTheme="minorHAnsi"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w:semiHidden="0" w:unhideWhenUsed="0"/>
    <w:lsdException w:name="List 2" w:semiHidden="0" w:unhideWhenUsed="0"/>
    <w:lsdException w:name="List 3" w:semiHidden="0" w:unhideWhenUsed="0"/>
    <w:lsdException w:name="Title" w:semiHidden="0" w:unhideWhenUsed="0" w:qFormat="1"/>
    <w:lsdException w:name="List Continue 5" w:semiHidden="0" w:unhideWhenUsed="0"/>
    <w:lsdException w:name="Message Header" w:semiHidden="0" w:unhideWhenUsed="0"/>
    <w:lsdException w:name="Subtitle" w:semiHidden="0" w:unhideWhenUsed="0" w:qFormat="1"/>
    <w:lsdException w:name="Salutation" w:semiHidden="0" w:unhideWhenUsed="0"/>
    <w:lsdException w:name="Hyperlink" w:uiPriority="99"/>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26D7"/>
    <w:rPr>
      <w:rFonts w:ascii="Arial" w:hAnsi="Arial"/>
      <w:sz w:val="24"/>
      <w:szCs w:val="24"/>
    </w:rPr>
  </w:style>
  <w:style w:type="paragraph" w:styleId="Heading1">
    <w:name w:val="heading 1"/>
    <w:basedOn w:val="Normal"/>
    <w:next w:val="Normal"/>
    <w:link w:val="Heading1Char"/>
    <w:qFormat/>
    <w:rsid w:val="004526D7"/>
    <w:pPr>
      <w:keepNext/>
      <w:keepLines/>
      <w:spacing w:before="480"/>
      <w:outlineLvl w:val="0"/>
    </w:pPr>
    <w:rPr>
      <w:rFonts w:eastAsiaTheme="majorEastAsia" w:cstheme="majorBidi"/>
      <w:b/>
      <w:bCs/>
      <w:color w:val="000000" w:themeColor="text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526D7"/>
    <w:rPr>
      <w:rFonts w:ascii="Arial" w:eastAsiaTheme="majorEastAsia" w:hAnsi="Arial" w:cstheme="majorBidi"/>
      <w:b/>
      <w:bCs/>
      <w:color w:val="000000" w:themeColor="text1"/>
      <w:sz w:val="28"/>
      <w:szCs w:val="28"/>
    </w:rPr>
  </w:style>
  <w:style w:type="character" w:styleId="Emphasis">
    <w:name w:val="Emphasis"/>
    <w:basedOn w:val="DefaultParagraphFont"/>
    <w:qFormat/>
    <w:rsid w:val="004526D7"/>
    <w:rPr>
      <w:i/>
      <w:iCs/>
    </w:rPr>
  </w:style>
  <w:style w:type="character" w:styleId="Strong">
    <w:name w:val="Strong"/>
    <w:basedOn w:val="DefaultParagraphFont"/>
    <w:uiPriority w:val="22"/>
    <w:qFormat/>
    <w:rsid w:val="004526D7"/>
    <w:rPr>
      <w:b/>
      <w:bCs/>
    </w:rPr>
  </w:style>
  <w:style w:type="table" w:styleId="TableGrid">
    <w:name w:val="Table Grid"/>
    <w:basedOn w:val="TableNormal"/>
    <w:rsid w:val="008D21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41CD4"/>
    <w:pPr>
      <w:ind w:left="720"/>
      <w:contextualSpacing/>
    </w:pPr>
  </w:style>
  <w:style w:type="paragraph" w:styleId="BalloonText">
    <w:name w:val="Balloon Text"/>
    <w:basedOn w:val="Normal"/>
    <w:link w:val="BalloonTextChar"/>
    <w:rsid w:val="00682F07"/>
    <w:rPr>
      <w:rFonts w:ascii="Tahoma" w:hAnsi="Tahoma" w:cs="Tahoma"/>
      <w:sz w:val="16"/>
      <w:szCs w:val="16"/>
    </w:rPr>
  </w:style>
  <w:style w:type="character" w:customStyle="1" w:styleId="BalloonTextChar">
    <w:name w:val="Balloon Text Char"/>
    <w:basedOn w:val="DefaultParagraphFont"/>
    <w:link w:val="BalloonText"/>
    <w:rsid w:val="00682F07"/>
    <w:rPr>
      <w:rFonts w:ascii="Tahoma" w:hAnsi="Tahoma" w:cs="Tahoma"/>
      <w:sz w:val="16"/>
      <w:szCs w:val="16"/>
    </w:rPr>
  </w:style>
  <w:style w:type="character" w:styleId="Hyperlink">
    <w:name w:val="Hyperlink"/>
    <w:basedOn w:val="DefaultParagraphFont"/>
    <w:uiPriority w:val="99"/>
    <w:unhideWhenUsed/>
    <w:rsid w:val="003C325B"/>
    <w:rPr>
      <w:color w:val="0000FF"/>
      <w:u w:val="single"/>
    </w:rPr>
  </w:style>
  <w:style w:type="character" w:styleId="CommentReference">
    <w:name w:val="annotation reference"/>
    <w:basedOn w:val="DefaultParagraphFont"/>
    <w:rsid w:val="00016899"/>
    <w:rPr>
      <w:sz w:val="16"/>
      <w:szCs w:val="16"/>
    </w:rPr>
  </w:style>
  <w:style w:type="paragraph" w:styleId="CommentText">
    <w:name w:val="annotation text"/>
    <w:basedOn w:val="Normal"/>
    <w:link w:val="CommentTextChar"/>
    <w:rsid w:val="00016899"/>
    <w:rPr>
      <w:sz w:val="20"/>
      <w:szCs w:val="20"/>
    </w:rPr>
  </w:style>
  <w:style w:type="character" w:customStyle="1" w:styleId="CommentTextChar">
    <w:name w:val="Comment Text Char"/>
    <w:basedOn w:val="DefaultParagraphFont"/>
    <w:link w:val="CommentText"/>
    <w:rsid w:val="00016899"/>
    <w:rPr>
      <w:rFonts w:ascii="Arial" w:hAnsi="Arial"/>
    </w:rPr>
  </w:style>
  <w:style w:type="paragraph" w:styleId="CommentSubject">
    <w:name w:val="annotation subject"/>
    <w:basedOn w:val="CommentText"/>
    <w:next w:val="CommentText"/>
    <w:link w:val="CommentSubjectChar"/>
    <w:rsid w:val="00016899"/>
    <w:rPr>
      <w:b/>
      <w:bCs/>
    </w:rPr>
  </w:style>
  <w:style w:type="character" w:customStyle="1" w:styleId="CommentSubjectChar">
    <w:name w:val="Comment Subject Char"/>
    <w:basedOn w:val="CommentTextChar"/>
    <w:link w:val="CommentSubject"/>
    <w:rsid w:val="00016899"/>
    <w:rPr>
      <w:rFonts w:ascii="Arial" w:hAnsi="Arial"/>
      <w:b/>
      <w:bCs/>
    </w:rPr>
  </w:style>
  <w:style w:type="paragraph" w:styleId="Header">
    <w:name w:val="header"/>
    <w:basedOn w:val="Normal"/>
    <w:link w:val="HeaderChar"/>
    <w:unhideWhenUsed/>
    <w:rsid w:val="0040102C"/>
    <w:pPr>
      <w:tabs>
        <w:tab w:val="center" w:pos="4680"/>
        <w:tab w:val="right" w:pos="9360"/>
      </w:tabs>
    </w:pPr>
  </w:style>
  <w:style w:type="character" w:customStyle="1" w:styleId="HeaderChar">
    <w:name w:val="Header Char"/>
    <w:basedOn w:val="DefaultParagraphFont"/>
    <w:link w:val="Header"/>
    <w:rsid w:val="0040102C"/>
    <w:rPr>
      <w:rFonts w:ascii="Arial" w:hAnsi="Arial"/>
      <w:sz w:val="24"/>
      <w:szCs w:val="24"/>
    </w:rPr>
  </w:style>
  <w:style w:type="paragraph" w:styleId="Footer">
    <w:name w:val="footer"/>
    <w:basedOn w:val="Normal"/>
    <w:link w:val="FooterChar"/>
    <w:unhideWhenUsed/>
    <w:rsid w:val="0040102C"/>
    <w:pPr>
      <w:tabs>
        <w:tab w:val="center" w:pos="4680"/>
        <w:tab w:val="right" w:pos="9360"/>
      </w:tabs>
    </w:pPr>
  </w:style>
  <w:style w:type="character" w:customStyle="1" w:styleId="FooterChar">
    <w:name w:val="Footer Char"/>
    <w:basedOn w:val="DefaultParagraphFont"/>
    <w:link w:val="Footer"/>
    <w:rsid w:val="0040102C"/>
    <w:rPr>
      <w:rFonts w:ascii="Arial" w:hAnsi="Arial"/>
      <w:sz w:val="24"/>
      <w:szCs w:val="24"/>
    </w:rPr>
  </w:style>
  <w:style w:type="paragraph" w:styleId="NormalWeb">
    <w:name w:val="Normal (Web)"/>
    <w:basedOn w:val="Normal"/>
    <w:uiPriority w:val="99"/>
    <w:semiHidden/>
    <w:unhideWhenUsed/>
    <w:rsid w:val="00F60F9D"/>
    <w:rPr>
      <w:rFonts w:ascii="Times New Roman" w:eastAsiaTheme="minorHAnsi"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6638405">
      <w:bodyDiv w:val="1"/>
      <w:marLeft w:val="0"/>
      <w:marRight w:val="0"/>
      <w:marTop w:val="0"/>
      <w:marBottom w:val="0"/>
      <w:divBdr>
        <w:top w:val="none" w:sz="0" w:space="0" w:color="auto"/>
        <w:left w:val="none" w:sz="0" w:space="0" w:color="auto"/>
        <w:bottom w:val="none" w:sz="0" w:space="0" w:color="auto"/>
        <w:right w:val="none" w:sz="0" w:space="0" w:color="auto"/>
      </w:divBdr>
    </w:div>
    <w:div w:id="528690997">
      <w:bodyDiv w:val="1"/>
      <w:marLeft w:val="0"/>
      <w:marRight w:val="0"/>
      <w:marTop w:val="0"/>
      <w:marBottom w:val="0"/>
      <w:divBdr>
        <w:top w:val="none" w:sz="0" w:space="0" w:color="auto"/>
        <w:left w:val="none" w:sz="0" w:space="0" w:color="auto"/>
        <w:bottom w:val="none" w:sz="0" w:space="0" w:color="auto"/>
        <w:right w:val="none" w:sz="0" w:space="0" w:color="auto"/>
      </w:divBdr>
    </w:div>
    <w:div w:id="973170120">
      <w:bodyDiv w:val="1"/>
      <w:marLeft w:val="0"/>
      <w:marRight w:val="0"/>
      <w:marTop w:val="0"/>
      <w:marBottom w:val="0"/>
      <w:divBdr>
        <w:top w:val="none" w:sz="0" w:space="0" w:color="auto"/>
        <w:left w:val="none" w:sz="0" w:space="0" w:color="auto"/>
        <w:bottom w:val="none" w:sz="0" w:space="0" w:color="auto"/>
        <w:right w:val="none" w:sz="0" w:space="0" w:color="auto"/>
      </w:divBdr>
    </w:div>
    <w:div w:id="1254780047">
      <w:bodyDiv w:val="1"/>
      <w:marLeft w:val="0"/>
      <w:marRight w:val="0"/>
      <w:marTop w:val="0"/>
      <w:marBottom w:val="0"/>
      <w:divBdr>
        <w:top w:val="none" w:sz="0" w:space="0" w:color="auto"/>
        <w:left w:val="none" w:sz="0" w:space="0" w:color="auto"/>
        <w:bottom w:val="none" w:sz="0" w:space="0" w:color="auto"/>
        <w:right w:val="none" w:sz="0" w:space="0" w:color="auto"/>
      </w:divBdr>
    </w:div>
    <w:div w:id="1363163228">
      <w:bodyDiv w:val="1"/>
      <w:marLeft w:val="0"/>
      <w:marRight w:val="0"/>
      <w:marTop w:val="0"/>
      <w:marBottom w:val="0"/>
      <w:divBdr>
        <w:top w:val="none" w:sz="0" w:space="0" w:color="auto"/>
        <w:left w:val="none" w:sz="0" w:space="0" w:color="auto"/>
        <w:bottom w:val="none" w:sz="0" w:space="0" w:color="auto"/>
        <w:right w:val="none" w:sz="0" w:space="0" w:color="auto"/>
      </w:divBdr>
    </w:div>
    <w:div w:id="1414548817">
      <w:bodyDiv w:val="1"/>
      <w:marLeft w:val="0"/>
      <w:marRight w:val="0"/>
      <w:marTop w:val="0"/>
      <w:marBottom w:val="0"/>
      <w:divBdr>
        <w:top w:val="none" w:sz="0" w:space="0" w:color="auto"/>
        <w:left w:val="none" w:sz="0" w:space="0" w:color="auto"/>
        <w:bottom w:val="none" w:sz="0" w:space="0" w:color="auto"/>
        <w:right w:val="none" w:sz="0" w:space="0" w:color="auto"/>
      </w:divBdr>
    </w:div>
    <w:div w:id="1434940807">
      <w:bodyDiv w:val="1"/>
      <w:marLeft w:val="0"/>
      <w:marRight w:val="0"/>
      <w:marTop w:val="0"/>
      <w:marBottom w:val="0"/>
      <w:divBdr>
        <w:top w:val="none" w:sz="0" w:space="0" w:color="auto"/>
        <w:left w:val="none" w:sz="0" w:space="0" w:color="auto"/>
        <w:bottom w:val="none" w:sz="0" w:space="0" w:color="auto"/>
        <w:right w:val="none" w:sz="0" w:space="0" w:color="auto"/>
      </w:divBdr>
    </w:div>
    <w:div w:id="1484810709">
      <w:bodyDiv w:val="1"/>
      <w:marLeft w:val="0"/>
      <w:marRight w:val="0"/>
      <w:marTop w:val="0"/>
      <w:marBottom w:val="0"/>
      <w:divBdr>
        <w:top w:val="none" w:sz="0" w:space="0" w:color="auto"/>
        <w:left w:val="none" w:sz="0" w:space="0" w:color="auto"/>
        <w:bottom w:val="none" w:sz="0" w:space="0" w:color="auto"/>
        <w:right w:val="none" w:sz="0" w:space="0" w:color="auto"/>
      </w:divBdr>
      <w:divsChild>
        <w:div w:id="1676346647">
          <w:marLeft w:val="0"/>
          <w:marRight w:val="0"/>
          <w:marTop w:val="0"/>
          <w:marBottom w:val="0"/>
          <w:divBdr>
            <w:top w:val="none" w:sz="0" w:space="0" w:color="auto"/>
            <w:left w:val="none" w:sz="0" w:space="0" w:color="auto"/>
            <w:bottom w:val="none" w:sz="0" w:space="0" w:color="auto"/>
            <w:right w:val="none" w:sz="0" w:space="0" w:color="auto"/>
          </w:divBdr>
        </w:div>
      </w:divsChild>
    </w:div>
    <w:div w:id="1567767109">
      <w:bodyDiv w:val="1"/>
      <w:marLeft w:val="0"/>
      <w:marRight w:val="0"/>
      <w:marTop w:val="0"/>
      <w:marBottom w:val="0"/>
      <w:divBdr>
        <w:top w:val="none" w:sz="0" w:space="0" w:color="auto"/>
        <w:left w:val="none" w:sz="0" w:space="0" w:color="auto"/>
        <w:bottom w:val="none" w:sz="0" w:space="0" w:color="auto"/>
        <w:right w:val="none" w:sz="0" w:space="0" w:color="auto"/>
      </w:divBdr>
    </w:div>
    <w:div w:id="2083603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chart" Target="charts/chart1.xml"/><Relationship Id="rId4" Type="http://schemas.microsoft.com/office/2007/relationships/stylesWithEffects" Target="stylesWithEffects.xml"/><Relationship Id="rId9" Type="http://schemas.openxmlformats.org/officeDocument/2006/relationships/image" Target="media/image1.jp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en-US"/>
              <a:t>Percent of Staff Time by Facility</a:t>
            </a:r>
          </a:p>
        </c:rich>
      </c:tx>
      <c:layout/>
      <c:overlay val="0"/>
      <c:spPr>
        <a:noFill/>
        <a:ln>
          <a:noFill/>
        </a:ln>
        <a:effectLst/>
      </c:spPr>
    </c:title>
    <c:autoTitleDeleted val="0"/>
    <c:plotArea>
      <c:layout/>
      <c:pieChart>
        <c:varyColors val="1"/>
        <c:ser>
          <c:idx val="0"/>
          <c:order val="0"/>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extLst xmlns:c16r2="http://schemas.microsoft.com/office/drawing/2015/06/chart">
              <c:ext xmlns:c16="http://schemas.microsoft.com/office/drawing/2014/chart" uri="{C3380CC4-5D6E-409C-BE32-E72D297353CC}">
                <c16:uniqueId val="{00000001-CA41-4125-8A03-CC75CD16A2B8}"/>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extLst xmlns:c16r2="http://schemas.microsoft.com/office/drawing/2015/06/chart">
              <c:ext xmlns:c16="http://schemas.microsoft.com/office/drawing/2014/chart" uri="{C3380CC4-5D6E-409C-BE32-E72D297353CC}">
                <c16:uniqueId val="{00000003-CA41-4125-8A03-CC75CD16A2B8}"/>
              </c:ext>
            </c:extLst>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c:spPr>
            <c:extLst xmlns:c16r2="http://schemas.microsoft.com/office/drawing/2015/06/chart">
              <c:ext xmlns:c16="http://schemas.microsoft.com/office/drawing/2014/chart" uri="{C3380CC4-5D6E-409C-BE32-E72D297353CC}">
                <c16:uniqueId val="{00000005-CA41-4125-8A03-CC75CD16A2B8}"/>
              </c:ext>
            </c:extLst>
          </c:dPt>
          <c:dPt>
            <c:idx val="3"/>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c:spPr>
            <c:extLst xmlns:c16r2="http://schemas.microsoft.com/office/drawing/2015/06/chart">
              <c:ext xmlns:c16="http://schemas.microsoft.com/office/drawing/2014/chart" uri="{C3380CC4-5D6E-409C-BE32-E72D297353CC}">
                <c16:uniqueId val="{00000007-CA41-4125-8A03-CC75CD16A2B8}"/>
              </c:ext>
            </c:extLst>
          </c:dPt>
          <c:dPt>
            <c:idx val="4"/>
            <c:bubble3D val="0"/>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c:spPr>
            <c:extLst xmlns:c16r2="http://schemas.microsoft.com/office/drawing/2015/06/chart">
              <c:ext xmlns:c16="http://schemas.microsoft.com/office/drawing/2014/chart" uri="{C3380CC4-5D6E-409C-BE32-E72D297353CC}">
                <c16:uniqueId val="{00000009-CA41-4125-8A03-CC75CD16A2B8}"/>
              </c:ext>
            </c:extLst>
          </c:dPt>
          <c:dPt>
            <c:idx val="5"/>
            <c:bubble3D val="0"/>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c:spPr>
            <c:extLst xmlns:c16r2="http://schemas.microsoft.com/office/drawing/2015/06/chart">
              <c:ext xmlns:c16="http://schemas.microsoft.com/office/drawing/2014/chart" uri="{C3380CC4-5D6E-409C-BE32-E72D297353CC}">
                <c16:uniqueId val="{0000000B-CA41-4125-8A03-CC75CD16A2B8}"/>
              </c:ext>
            </c:extLst>
          </c:dPt>
          <c:dPt>
            <c:idx val="6"/>
            <c:bubble3D val="0"/>
            <c:spPr>
              <a:gradFill rotWithShape="1">
                <a:gsLst>
                  <a:gs pos="0">
                    <a:schemeClr val="accent1">
                      <a:lumMod val="60000"/>
                      <a:satMod val="103000"/>
                      <a:lumMod val="102000"/>
                      <a:tint val="94000"/>
                    </a:schemeClr>
                  </a:gs>
                  <a:gs pos="50000">
                    <a:schemeClr val="accent1">
                      <a:lumMod val="60000"/>
                      <a:satMod val="110000"/>
                      <a:lumMod val="100000"/>
                      <a:shade val="100000"/>
                    </a:schemeClr>
                  </a:gs>
                  <a:gs pos="100000">
                    <a:schemeClr val="accent1">
                      <a:lumMod val="60000"/>
                      <a:lumMod val="99000"/>
                      <a:satMod val="120000"/>
                      <a:shade val="78000"/>
                    </a:schemeClr>
                  </a:gs>
                </a:gsLst>
                <a:lin ang="5400000" scaled="0"/>
              </a:gradFill>
              <a:ln>
                <a:noFill/>
              </a:ln>
              <a:effectLst/>
            </c:spPr>
            <c:extLst xmlns:c16r2="http://schemas.microsoft.com/office/drawing/2015/06/chart">
              <c:ext xmlns:c16="http://schemas.microsoft.com/office/drawing/2014/chart" uri="{C3380CC4-5D6E-409C-BE32-E72D297353CC}">
                <c16:uniqueId val="{0000000D-CA41-4125-8A03-CC75CD16A2B8}"/>
              </c:ext>
            </c:extLst>
          </c:dPt>
          <c:dPt>
            <c:idx val="7"/>
            <c:bubble3D val="0"/>
            <c:spPr>
              <a:gradFill rotWithShape="1">
                <a:gsLst>
                  <a:gs pos="0">
                    <a:schemeClr val="accent2">
                      <a:lumMod val="60000"/>
                      <a:satMod val="103000"/>
                      <a:lumMod val="102000"/>
                      <a:tint val="94000"/>
                    </a:schemeClr>
                  </a:gs>
                  <a:gs pos="50000">
                    <a:schemeClr val="accent2">
                      <a:lumMod val="60000"/>
                      <a:satMod val="110000"/>
                      <a:lumMod val="100000"/>
                      <a:shade val="100000"/>
                    </a:schemeClr>
                  </a:gs>
                  <a:gs pos="100000">
                    <a:schemeClr val="accent2">
                      <a:lumMod val="60000"/>
                      <a:lumMod val="99000"/>
                      <a:satMod val="120000"/>
                      <a:shade val="78000"/>
                    </a:schemeClr>
                  </a:gs>
                </a:gsLst>
                <a:lin ang="5400000" scaled="0"/>
              </a:gradFill>
              <a:ln>
                <a:noFill/>
              </a:ln>
              <a:effectLst/>
            </c:spPr>
            <c:extLst xmlns:c16r2="http://schemas.microsoft.com/office/drawing/2015/06/chart">
              <c:ext xmlns:c16="http://schemas.microsoft.com/office/drawing/2014/chart" uri="{C3380CC4-5D6E-409C-BE32-E72D297353CC}">
                <c16:uniqueId val="{0000000F-CA41-4125-8A03-CC75CD16A2B8}"/>
              </c:ext>
            </c:extLst>
          </c:dPt>
          <c:cat>
            <c:strRef>
              <c:f>Sheet1!$B$1:$B$8</c:f>
              <c:strCache>
                <c:ptCount val="8"/>
                <c:pt idx="0">
                  <c:v>AFP 42</c:v>
                </c:pt>
                <c:pt idx="1">
                  <c:v>CLNAWS</c:v>
                </c:pt>
                <c:pt idx="2">
                  <c:v>EAFB</c:v>
                </c:pt>
                <c:pt idx="3">
                  <c:v>Ft Irwin NTC</c:v>
                </c:pt>
                <c:pt idx="4">
                  <c:v>GAFB</c:v>
                </c:pt>
                <c:pt idx="5">
                  <c:v>MCLB</c:v>
                </c:pt>
                <c:pt idx="6">
                  <c:v>MWTC</c:v>
                </c:pt>
                <c:pt idx="7">
                  <c:v>SIAD</c:v>
                </c:pt>
              </c:strCache>
            </c:strRef>
          </c:cat>
          <c:val>
            <c:numRef>
              <c:f>Sheet1!$C$1:$C$8</c:f>
              <c:numCache>
                <c:formatCode>General</c:formatCode>
                <c:ptCount val="8"/>
                <c:pt idx="0">
                  <c:v>4</c:v>
                </c:pt>
                <c:pt idx="1">
                  <c:v>34</c:v>
                </c:pt>
                <c:pt idx="2">
                  <c:v>19</c:v>
                </c:pt>
                <c:pt idx="3">
                  <c:v>6</c:v>
                </c:pt>
                <c:pt idx="4">
                  <c:v>16</c:v>
                </c:pt>
                <c:pt idx="5">
                  <c:v>5</c:v>
                </c:pt>
                <c:pt idx="6">
                  <c:v>2</c:v>
                </c:pt>
                <c:pt idx="7">
                  <c:v>14</c:v>
                </c:pt>
              </c:numCache>
            </c:numRef>
          </c:val>
          <c:extLst xmlns:c16r2="http://schemas.microsoft.com/office/drawing/2015/06/chart">
            <c:ext xmlns:c16="http://schemas.microsoft.com/office/drawing/2014/chart" uri="{C3380CC4-5D6E-409C-BE32-E72D297353CC}">
              <c16:uniqueId val="{00000010-CA41-4125-8A03-CC75CD16A2B8}"/>
            </c:ext>
          </c:extLst>
        </c:ser>
        <c:dLbls>
          <c:showLegendKey val="0"/>
          <c:showVal val="0"/>
          <c:showCatName val="0"/>
          <c:showSerName val="0"/>
          <c:showPercent val="0"/>
          <c:showBubbleSize val="0"/>
          <c:showLeaderLines val="1"/>
        </c:dLbls>
        <c:firstSliceAng val="0"/>
      </c:pieChart>
      <c:spPr>
        <a:noFill/>
        <a:ln>
          <a:noFill/>
        </a:ln>
        <a:effectLst/>
      </c:spPr>
    </c:plotArea>
    <c:legend>
      <c:legendPos val="r"/>
      <c:layout/>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BC435B-6871-48CF-8035-68463222D2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624</Words>
  <Characters>3799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SWRCB</Company>
  <LinksUpToDate>false</LinksUpToDate>
  <CharactersWithSpaces>4415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 Shay</dc:creator>
  <cp:lastModifiedBy>Kouyoumdjian, Patty@Waterboards</cp:lastModifiedBy>
  <cp:revision>4</cp:revision>
  <cp:lastPrinted>2018-02-09T23:58:00Z</cp:lastPrinted>
  <dcterms:created xsi:type="dcterms:W3CDTF">2018-03-12T20:23:00Z</dcterms:created>
  <dcterms:modified xsi:type="dcterms:W3CDTF">2018-03-20T22:01:00Z</dcterms:modified>
</cp:coreProperties>
</file>