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D7" w:rsidRPr="009D162D" w:rsidRDefault="003356C8" w:rsidP="008D2140">
      <w:pPr>
        <w:jc w:val="center"/>
        <w:rPr>
          <w:rStyle w:val="Strong"/>
          <w:rFonts w:cs="Arial"/>
          <w:b w:val="0"/>
          <w:sz w:val="28"/>
          <w:szCs w:val="28"/>
        </w:rPr>
      </w:pPr>
      <w:r w:rsidRPr="009D162D">
        <w:rPr>
          <w:rFonts w:cs="Arial"/>
          <w:b/>
          <w:bCs/>
          <w:noProof/>
          <w:sz w:val="28"/>
          <w:szCs w:val="28"/>
        </w:rPr>
        <w:drawing>
          <wp:anchor distT="0" distB="0" distL="114300" distR="114300" simplePos="0" relativeHeight="251658240" behindDoc="1" locked="0" layoutInCell="1" allowOverlap="1" wp14:anchorId="459A9870" wp14:editId="56D6DA3A">
            <wp:simplePos x="0" y="0"/>
            <wp:positionH relativeFrom="column">
              <wp:posOffset>-80010</wp:posOffset>
            </wp:positionH>
            <wp:positionV relativeFrom="paragraph">
              <wp:posOffset>-68580</wp:posOffset>
            </wp:positionV>
            <wp:extent cx="6269355" cy="10953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9355" cy="1095369"/>
                    </a:xfrm>
                    <a:prstGeom prst="rect">
                      <a:avLst/>
                    </a:prstGeom>
                  </pic:spPr>
                </pic:pic>
              </a:graphicData>
            </a:graphic>
            <wp14:sizeRelH relativeFrom="margin">
              <wp14:pctWidth>0</wp14:pctWidth>
            </wp14:sizeRelH>
            <wp14:sizeRelV relativeFrom="margin">
              <wp14:pctHeight>0</wp14:pctHeight>
            </wp14:sizeRelV>
          </wp:anchor>
        </w:drawing>
      </w:r>
      <w:r w:rsidR="009D162D" w:rsidRPr="009D162D">
        <w:rPr>
          <w:rFonts w:cs="Arial"/>
          <w:b/>
          <w:bCs/>
          <w:noProof/>
          <w:sz w:val="28"/>
          <w:szCs w:val="28"/>
        </w:rPr>
        <w:t>Lahontan Water Board Program</w:t>
      </w:r>
      <w:r w:rsidR="008D2140" w:rsidRPr="009D162D">
        <w:rPr>
          <w:rStyle w:val="Strong"/>
          <w:rFonts w:cs="Arial"/>
          <w:b w:val="0"/>
          <w:sz w:val="28"/>
          <w:szCs w:val="28"/>
        </w:rPr>
        <w:t xml:space="preserve"> </w:t>
      </w:r>
      <w:r w:rsidR="008D2140" w:rsidRPr="009D162D">
        <w:rPr>
          <w:rStyle w:val="Strong"/>
          <w:rFonts w:cs="Arial"/>
          <w:sz w:val="28"/>
          <w:szCs w:val="28"/>
        </w:rPr>
        <w:t>Fact Sheet</w:t>
      </w:r>
    </w:p>
    <w:p w:rsidR="008D2140" w:rsidRPr="00F179E4" w:rsidRDefault="00F179E4" w:rsidP="008D2140">
      <w:pPr>
        <w:jc w:val="center"/>
        <w:rPr>
          <w:rStyle w:val="Strong"/>
          <w:sz w:val="32"/>
          <w:szCs w:val="32"/>
        </w:rPr>
      </w:pPr>
      <w:r w:rsidRPr="00F179E4">
        <w:rPr>
          <w:rStyle w:val="Strong"/>
          <w:sz w:val="32"/>
          <w:szCs w:val="32"/>
        </w:rPr>
        <w:t>FY 20</w:t>
      </w:r>
      <w:r w:rsidR="00824D03">
        <w:rPr>
          <w:rStyle w:val="Strong"/>
          <w:sz w:val="32"/>
          <w:szCs w:val="32"/>
        </w:rPr>
        <w:t>1</w:t>
      </w:r>
      <w:r w:rsidR="00772EC0">
        <w:rPr>
          <w:rStyle w:val="Strong"/>
          <w:sz w:val="32"/>
          <w:szCs w:val="32"/>
        </w:rPr>
        <w:t>7</w:t>
      </w:r>
      <w:r w:rsidR="00824D03">
        <w:rPr>
          <w:rStyle w:val="Strong"/>
          <w:sz w:val="32"/>
          <w:szCs w:val="32"/>
        </w:rPr>
        <w:t>-1</w:t>
      </w:r>
      <w:r w:rsidR="00772EC0">
        <w:rPr>
          <w:rStyle w:val="Strong"/>
          <w:sz w:val="32"/>
          <w:szCs w:val="32"/>
        </w:rPr>
        <w:t>8</w:t>
      </w:r>
    </w:p>
    <w:tbl>
      <w:tblPr>
        <w:tblStyle w:val="TableGrid"/>
        <w:tblW w:w="0" w:type="auto"/>
        <w:tblCellMar>
          <w:top w:w="216" w:type="dxa"/>
          <w:left w:w="115" w:type="dxa"/>
          <w:bottom w:w="216" w:type="dxa"/>
          <w:right w:w="115" w:type="dxa"/>
        </w:tblCellMar>
        <w:tblLook w:val="04A0" w:firstRow="1" w:lastRow="0" w:firstColumn="1" w:lastColumn="0" w:noHBand="0" w:noVBand="1"/>
      </w:tblPr>
      <w:tblGrid>
        <w:gridCol w:w="9878"/>
      </w:tblGrid>
      <w:tr w:rsidR="00D22E6D" w:rsidRPr="000E014E" w:rsidTr="00CF2B2F">
        <w:tc>
          <w:tcPr>
            <w:tcW w:w="9878" w:type="dxa"/>
            <w:tcBorders>
              <w:top w:val="nil"/>
              <w:left w:val="nil"/>
              <w:bottom w:val="single" w:sz="4" w:space="0" w:color="auto"/>
              <w:right w:val="nil"/>
            </w:tcBorders>
            <w:shd w:val="clear" w:color="auto" w:fill="auto"/>
          </w:tcPr>
          <w:p w:rsidR="00F524AD" w:rsidRPr="000E014E" w:rsidRDefault="008F0925" w:rsidP="008F0925">
            <w:pPr>
              <w:tabs>
                <w:tab w:val="right" w:pos="9630"/>
              </w:tabs>
              <w:jc w:val="center"/>
              <w:rPr>
                <w:rStyle w:val="Strong"/>
                <w:sz w:val="40"/>
                <w:szCs w:val="32"/>
              </w:rPr>
            </w:pPr>
            <w:r>
              <w:rPr>
                <w:rStyle w:val="Strong"/>
                <w:i/>
                <w:sz w:val="40"/>
                <w:szCs w:val="32"/>
              </w:rPr>
              <w:t>Enforcement</w:t>
            </w:r>
          </w:p>
        </w:tc>
      </w:tr>
      <w:tr w:rsidR="00D22E6D" w:rsidRPr="00050E4B" w:rsidTr="00050E4B">
        <w:tc>
          <w:tcPr>
            <w:tcW w:w="9878" w:type="dxa"/>
            <w:tcBorders>
              <w:left w:val="nil"/>
              <w:bottom w:val="single" w:sz="4" w:space="0" w:color="auto"/>
              <w:right w:val="nil"/>
            </w:tcBorders>
            <w:tcMar>
              <w:top w:w="0" w:type="dxa"/>
              <w:bottom w:w="0" w:type="dxa"/>
            </w:tcMar>
          </w:tcPr>
          <w:p w:rsidR="00D22E6D" w:rsidRPr="00050E4B" w:rsidRDefault="00D22E6D" w:rsidP="006E02DD">
            <w:pPr>
              <w:rPr>
                <w:rStyle w:val="Strong"/>
                <w:b w:val="0"/>
                <w:sz w:val="12"/>
              </w:rPr>
            </w:pPr>
          </w:p>
        </w:tc>
      </w:tr>
      <w:tr w:rsidR="00D22E6D" w:rsidTr="00BB2E5A">
        <w:tc>
          <w:tcPr>
            <w:tcW w:w="9878" w:type="dxa"/>
            <w:tcBorders>
              <w:bottom w:val="single" w:sz="4" w:space="0" w:color="auto"/>
            </w:tcBorders>
            <w:shd w:val="clear" w:color="auto" w:fill="EAF1DD" w:themeFill="accent3" w:themeFillTint="33"/>
            <w:tcMar>
              <w:top w:w="115" w:type="dxa"/>
              <w:bottom w:w="115" w:type="dxa"/>
            </w:tcMar>
          </w:tcPr>
          <w:p w:rsidR="00685F70" w:rsidRDefault="00D22E6D" w:rsidP="00BB2E5A">
            <w:pPr>
              <w:tabs>
                <w:tab w:val="left" w:pos="1800"/>
              </w:tabs>
              <w:spacing w:after="60"/>
              <w:rPr>
                <w:rStyle w:val="Strong"/>
                <w:b w:val="0"/>
                <w:sz w:val="32"/>
              </w:rPr>
            </w:pPr>
            <w:r w:rsidRPr="006F30E6">
              <w:rPr>
                <w:rStyle w:val="Strong"/>
                <w:b w:val="0"/>
                <w:sz w:val="32"/>
              </w:rPr>
              <w:t>Overview</w:t>
            </w:r>
          </w:p>
          <w:p w:rsidR="008F0925" w:rsidRPr="00050E4B" w:rsidRDefault="008F0925" w:rsidP="008F0925">
            <w:pPr>
              <w:rPr>
                <w:rStyle w:val="Strong"/>
                <w:b w:val="0"/>
                <w:sz w:val="22"/>
              </w:rPr>
            </w:pPr>
            <w:r w:rsidRPr="00050E4B">
              <w:rPr>
                <w:rStyle w:val="Strong"/>
                <w:b w:val="0"/>
                <w:sz w:val="22"/>
              </w:rPr>
              <w:t>The Enforcement Program’s responsibilities are:</w:t>
            </w:r>
          </w:p>
          <w:p w:rsidR="008F0925" w:rsidRPr="00050E4B" w:rsidRDefault="008F0925" w:rsidP="00EA4B38">
            <w:pPr>
              <w:pStyle w:val="ListParagraph"/>
              <w:numPr>
                <w:ilvl w:val="0"/>
                <w:numId w:val="6"/>
              </w:numPr>
              <w:jc w:val="both"/>
              <w:rPr>
                <w:rStyle w:val="Strong"/>
                <w:b w:val="0"/>
                <w:sz w:val="18"/>
              </w:rPr>
            </w:pPr>
            <w:r w:rsidRPr="00050E4B">
              <w:rPr>
                <w:rStyle w:val="Strong"/>
                <w:b w:val="0"/>
                <w:sz w:val="22"/>
              </w:rPr>
              <w:t xml:space="preserve">Evaluating and prioritizing violations of water quality protection laws, regulations, and permits.  </w:t>
            </w:r>
          </w:p>
          <w:p w:rsidR="008F0925" w:rsidRPr="00050E4B" w:rsidRDefault="00881D68" w:rsidP="00EA4B38">
            <w:pPr>
              <w:pStyle w:val="ListParagraph"/>
              <w:numPr>
                <w:ilvl w:val="0"/>
                <w:numId w:val="6"/>
              </w:numPr>
              <w:jc w:val="both"/>
              <w:rPr>
                <w:rStyle w:val="Strong"/>
                <w:b w:val="0"/>
                <w:sz w:val="18"/>
              </w:rPr>
            </w:pPr>
            <w:r>
              <w:rPr>
                <w:rStyle w:val="Strong"/>
                <w:b w:val="0"/>
                <w:sz w:val="22"/>
              </w:rPr>
              <w:t>I</w:t>
            </w:r>
            <w:r w:rsidR="008F0925" w:rsidRPr="00050E4B">
              <w:rPr>
                <w:rStyle w:val="Strong"/>
                <w:b w:val="0"/>
                <w:sz w:val="22"/>
              </w:rPr>
              <w:t xml:space="preserve">nitiating enforcement actions/strategies intended to reestablish compliance, to address environmental damage, and to deter future violations.  </w:t>
            </w:r>
          </w:p>
          <w:p w:rsidR="008F0925" w:rsidRPr="00BB2E5A" w:rsidRDefault="00881D68" w:rsidP="00EA4B38">
            <w:pPr>
              <w:pStyle w:val="ListParagraph"/>
              <w:numPr>
                <w:ilvl w:val="0"/>
                <w:numId w:val="6"/>
              </w:numPr>
              <w:jc w:val="both"/>
              <w:rPr>
                <w:rStyle w:val="Strong"/>
                <w:b w:val="0"/>
                <w:sz w:val="18"/>
              </w:rPr>
            </w:pPr>
            <w:r>
              <w:rPr>
                <w:rStyle w:val="Strong"/>
                <w:b w:val="0"/>
                <w:sz w:val="22"/>
              </w:rPr>
              <w:t>C</w:t>
            </w:r>
            <w:r w:rsidR="008F0925" w:rsidRPr="00050E4B">
              <w:rPr>
                <w:rStyle w:val="Strong"/>
                <w:b w:val="0"/>
                <w:sz w:val="22"/>
              </w:rPr>
              <w:t>oordinat</w:t>
            </w:r>
            <w:r>
              <w:rPr>
                <w:rStyle w:val="Strong"/>
                <w:b w:val="0"/>
                <w:sz w:val="22"/>
              </w:rPr>
              <w:t>ing</w:t>
            </w:r>
            <w:r w:rsidR="008F0925" w:rsidRPr="00050E4B">
              <w:rPr>
                <w:rStyle w:val="Strong"/>
                <w:b w:val="0"/>
                <w:sz w:val="22"/>
              </w:rPr>
              <w:t xml:space="preserve"> with other Regional Water Boards and the State Water Board in pursuing multi-region or state-wide enforcement actions; and to improve enforcement consistency and effectiveness.  </w:t>
            </w:r>
          </w:p>
          <w:p w:rsidR="00F524AD" w:rsidRDefault="008F0925" w:rsidP="00687C6A">
            <w:pPr>
              <w:tabs>
                <w:tab w:val="left" w:pos="1800"/>
              </w:tabs>
              <w:jc w:val="both"/>
              <w:rPr>
                <w:rStyle w:val="Strong"/>
                <w:b w:val="0"/>
              </w:rPr>
            </w:pPr>
            <w:r w:rsidRPr="00050E4B">
              <w:rPr>
                <w:rStyle w:val="Strong"/>
                <w:b w:val="0"/>
                <w:sz w:val="22"/>
              </w:rPr>
              <w:t>These actions are conducted under federal and state law, and the State Water Board’s Water Quality Enforcement Policy</w:t>
            </w:r>
            <w:r w:rsidR="009D162D">
              <w:rPr>
                <w:rStyle w:val="Strong"/>
                <w:b w:val="0"/>
                <w:sz w:val="22"/>
              </w:rPr>
              <w:t xml:space="preserve">, with </w:t>
            </w:r>
            <w:r w:rsidR="00434E87">
              <w:rPr>
                <w:rStyle w:val="Strong"/>
                <w:b w:val="0"/>
                <w:sz w:val="22"/>
              </w:rPr>
              <w:t>1.9</w:t>
            </w:r>
            <w:r w:rsidR="009D162D">
              <w:rPr>
                <w:rStyle w:val="Strong"/>
                <w:b w:val="0"/>
                <w:sz w:val="22"/>
              </w:rPr>
              <w:t xml:space="preserve"> </w:t>
            </w:r>
            <w:r w:rsidR="00687C6A">
              <w:rPr>
                <w:rStyle w:val="Strong"/>
                <w:b w:val="0"/>
                <w:sz w:val="22"/>
              </w:rPr>
              <w:t xml:space="preserve">PYs </w:t>
            </w:r>
            <w:r w:rsidR="009D162D">
              <w:rPr>
                <w:rStyle w:val="Strong"/>
                <w:b w:val="0"/>
                <w:sz w:val="22"/>
              </w:rPr>
              <w:t xml:space="preserve">and </w:t>
            </w:r>
            <w:r w:rsidR="00687C6A">
              <w:rPr>
                <w:rStyle w:val="Strong"/>
                <w:b w:val="0"/>
                <w:sz w:val="22"/>
              </w:rPr>
              <w:t>support</w:t>
            </w:r>
            <w:r w:rsidR="009D162D">
              <w:rPr>
                <w:rStyle w:val="Strong"/>
                <w:b w:val="0"/>
                <w:sz w:val="22"/>
              </w:rPr>
              <w:t xml:space="preserve"> from other programs</w:t>
            </w:r>
            <w:r w:rsidRPr="00050E4B">
              <w:rPr>
                <w:rStyle w:val="Strong"/>
                <w:b w:val="0"/>
                <w:sz w:val="22"/>
              </w:rPr>
              <w:t>.</w:t>
            </w:r>
          </w:p>
        </w:tc>
      </w:tr>
      <w:tr w:rsidR="00D22E6D" w:rsidRPr="00050E4B" w:rsidTr="00CF2B2F">
        <w:tc>
          <w:tcPr>
            <w:tcW w:w="9878" w:type="dxa"/>
            <w:tcBorders>
              <w:left w:val="nil"/>
              <w:bottom w:val="single" w:sz="4" w:space="0" w:color="auto"/>
              <w:right w:val="nil"/>
            </w:tcBorders>
            <w:tcMar>
              <w:top w:w="0" w:type="dxa"/>
              <w:bottom w:w="0" w:type="dxa"/>
            </w:tcMar>
          </w:tcPr>
          <w:p w:rsidR="00D22E6D" w:rsidRPr="00050E4B" w:rsidRDefault="00D22E6D" w:rsidP="006E02DD">
            <w:pPr>
              <w:rPr>
                <w:rStyle w:val="Strong"/>
                <w:b w:val="0"/>
                <w:sz w:val="12"/>
              </w:rPr>
            </w:pPr>
          </w:p>
        </w:tc>
      </w:tr>
      <w:tr w:rsidR="00D22E6D" w:rsidTr="007A3235">
        <w:tc>
          <w:tcPr>
            <w:tcW w:w="9878" w:type="dxa"/>
            <w:shd w:val="clear" w:color="auto" w:fill="EAF1DD" w:themeFill="accent3" w:themeFillTint="33"/>
            <w:tcMar>
              <w:top w:w="115" w:type="dxa"/>
              <w:bottom w:w="115" w:type="dxa"/>
            </w:tcMar>
          </w:tcPr>
          <w:p w:rsidR="00685F70" w:rsidRDefault="00DB2B5F" w:rsidP="00BB2E5A">
            <w:pPr>
              <w:tabs>
                <w:tab w:val="left" w:pos="1815"/>
              </w:tabs>
              <w:spacing w:after="60"/>
              <w:rPr>
                <w:rStyle w:val="Strong"/>
                <w:b w:val="0"/>
                <w:sz w:val="32"/>
              </w:rPr>
            </w:pPr>
            <w:r>
              <w:rPr>
                <w:rStyle w:val="Strong"/>
                <w:b w:val="0"/>
                <w:sz w:val="32"/>
              </w:rPr>
              <w:t>Key Efforts</w:t>
            </w:r>
          </w:p>
          <w:p w:rsidR="0007563E" w:rsidRDefault="0007563E" w:rsidP="00EA4B38">
            <w:pPr>
              <w:pStyle w:val="ListParagraph"/>
              <w:numPr>
                <w:ilvl w:val="0"/>
                <w:numId w:val="7"/>
              </w:numPr>
              <w:ind w:left="360"/>
              <w:jc w:val="both"/>
              <w:rPr>
                <w:rStyle w:val="Strong"/>
                <w:b w:val="0"/>
                <w:sz w:val="22"/>
              </w:rPr>
            </w:pPr>
            <w:r>
              <w:rPr>
                <w:rStyle w:val="Strong"/>
                <w:b w:val="0"/>
                <w:sz w:val="22"/>
              </w:rPr>
              <w:t>Programs where current enforcement activities are focused include Construction and Industrial Storm</w:t>
            </w:r>
            <w:r w:rsidR="00D15949">
              <w:rPr>
                <w:rStyle w:val="Strong"/>
                <w:b w:val="0"/>
                <w:sz w:val="22"/>
              </w:rPr>
              <w:t xml:space="preserve"> W</w:t>
            </w:r>
            <w:r>
              <w:rPr>
                <w:rStyle w:val="Strong"/>
                <w:b w:val="0"/>
                <w:sz w:val="22"/>
              </w:rPr>
              <w:t>ater/National Pollutant Discharge Elimination System (NPDES) Permits, Waste Discharge Requirements (WDRs), and Clean Water Act Section 401 Water Quality Certifications.</w:t>
            </w:r>
            <w:r w:rsidR="00275AE5">
              <w:rPr>
                <w:rStyle w:val="Strong"/>
                <w:b w:val="0"/>
                <w:sz w:val="22"/>
              </w:rPr>
              <w:t xml:space="preserve"> Enforcement types include 1</w:t>
            </w:r>
            <w:r w:rsidR="00275AE5" w:rsidRPr="00275AE5">
              <w:rPr>
                <w:rStyle w:val="Strong"/>
                <w:b w:val="0"/>
                <w:sz w:val="22"/>
                <w:vertAlign w:val="superscript"/>
              </w:rPr>
              <w:t>st</w:t>
            </w:r>
            <w:r w:rsidR="00275AE5">
              <w:rPr>
                <w:rStyle w:val="Strong"/>
                <w:b w:val="0"/>
                <w:sz w:val="22"/>
              </w:rPr>
              <w:t xml:space="preserve"> and 2</w:t>
            </w:r>
            <w:r w:rsidR="00275AE5" w:rsidRPr="00275AE5">
              <w:rPr>
                <w:rStyle w:val="Strong"/>
                <w:b w:val="0"/>
                <w:sz w:val="22"/>
                <w:vertAlign w:val="superscript"/>
              </w:rPr>
              <w:t>nd</w:t>
            </w:r>
            <w:r w:rsidR="00275AE5">
              <w:rPr>
                <w:rStyle w:val="Strong"/>
                <w:b w:val="0"/>
                <w:sz w:val="22"/>
              </w:rPr>
              <w:t xml:space="preserve"> Notices of Non-Compliance (Storm</w:t>
            </w:r>
            <w:r w:rsidR="00D15949">
              <w:rPr>
                <w:rStyle w:val="Strong"/>
                <w:b w:val="0"/>
                <w:sz w:val="22"/>
              </w:rPr>
              <w:t xml:space="preserve"> W</w:t>
            </w:r>
            <w:r w:rsidR="00275AE5">
              <w:rPr>
                <w:rStyle w:val="Strong"/>
                <w:b w:val="0"/>
                <w:sz w:val="22"/>
              </w:rPr>
              <w:t>ater</w:t>
            </w:r>
            <w:r w:rsidR="000013BF">
              <w:rPr>
                <w:rStyle w:val="Strong"/>
                <w:b w:val="0"/>
                <w:sz w:val="22"/>
              </w:rPr>
              <w:t xml:space="preserve"> Program</w:t>
            </w:r>
            <w:r w:rsidR="00275AE5">
              <w:rPr>
                <w:rStyle w:val="Strong"/>
                <w:b w:val="0"/>
                <w:sz w:val="22"/>
              </w:rPr>
              <w:t xml:space="preserve">), Verbal Enforcement, Staff Enforcement Letters, Notices to Comply, </w:t>
            </w:r>
            <w:r w:rsidR="00D15949">
              <w:rPr>
                <w:rStyle w:val="Strong"/>
                <w:b w:val="0"/>
                <w:sz w:val="22"/>
              </w:rPr>
              <w:t xml:space="preserve">Cleanup and Abatement Orders, Cease and Desist Orders, </w:t>
            </w:r>
            <w:r w:rsidR="00275AE5">
              <w:rPr>
                <w:rStyle w:val="Strong"/>
                <w:b w:val="0"/>
                <w:sz w:val="22"/>
              </w:rPr>
              <w:t>Administrative Civil Liability Complaints, and Expedited Payment Letters.</w:t>
            </w:r>
          </w:p>
          <w:p w:rsidR="00DD4A97" w:rsidRDefault="00DD4A97" w:rsidP="00EA4B38">
            <w:pPr>
              <w:pStyle w:val="ListParagraph"/>
              <w:numPr>
                <w:ilvl w:val="0"/>
                <w:numId w:val="7"/>
              </w:numPr>
              <w:ind w:left="360"/>
              <w:jc w:val="both"/>
              <w:rPr>
                <w:rStyle w:val="Strong"/>
                <w:b w:val="0"/>
                <w:sz w:val="22"/>
              </w:rPr>
            </w:pPr>
            <w:r w:rsidRPr="00DD4A97">
              <w:rPr>
                <w:rStyle w:val="Strong"/>
                <w:b w:val="0"/>
                <w:sz w:val="22"/>
              </w:rPr>
              <w:t>Enforce against violations that have adversely affected water quality</w:t>
            </w:r>
            <w:r w:rsidR="00D15949">
              <w:rPr>
                <w:rStyle w:val="Strong"/>
                <w:b w:val="0"/>
                <w:sz w:val="22"/>
              </w:rPr>
              <w:t xml:space="preserve"> and beneficial uses</w:t>
            </w:r>
            <w:r w:rsidRPr="00DD4A97">
              <w:rPr>
                <w:rStyle w:val="Strong"/>
                <w:b w:val="0"/>
                <w:sz w:val="22"/>
              </w:rPr>
              <w:t xml:space="preserve">.  </w:t>
            </w:r>
            <w:r w:rsidR="00F93808">
              <w:rPr>
                <w:rStyle w:val="Strong"/>
                <w:b w:val="0"/>
                <w:sz w:val="22"/>
              </w:rPr>
              <w:t xml:space="preserve">Two key priorities are (1) </w:t>
            </w:r>
            <w:r w:rsidR="00D15949">
              <w:rPr>
                <w:rStyle w:val="Strong"/>
                <w:b w:val="0"/>
                <w:sz w:val="22"/>
              </w:rPr>
              <w:t>protecting public health (e.g., providing safe alternative water supply when necessary)</w:t>
            </w:r>
            <w:r w:rsidRPr="00DD4A97">
              <w:rPr>
                <w:rStyle w:val="Strong"/>
                <w:b w:val="0"/>
                <w:sz w:val="22"/>
              </w:rPr>
              <w:t>, eliminating the pollutant source, and then cleanup</w:t>
            </w:r>
            <w:r w:rsidR="00F93808">
              <w:rPr>
                <w:rStyle w:val="Strong"/>
                <w:b w:val="0"/>
                <w:sz w:val="22"/>
              </w:rPr>
              <w:t>; and (2) protecting/restoring environmental health (e.g., requiring restoration of damaged/destroy wetland, stream, river, or lake habitat due to unauthorized discharges of fill or other alterations).</w:t>
            </w:r>
          </w:p>
          <w:p w:rsidR="00B93387" w:rsidRPr="00DD4A97" w:rsidRDefault="00F93808" w:rsidP="00EA4B38">
            <w:pPr>
              <w:pStyle w:val="ListParagraph"/>
              <w:numPr>
                <w:ilvl w:val="0"/>
                <w:numId w:val="7"/>
              </w:numPr>
              <w:ind w:left="360"/>
              <w:jc w:val="both"/>
              <w:rPr>
                <w:rStyle w:val="Strong"/>
                <w:b w:val="0"/>
                <w:sz w:val="22"/>
              </w:rPr>
            </w:pPr>
            <w:r>
              <w:rPr>
                <w:rStyle w:val="Strong"/>
                <w:b w:val="0"/>
                <w:sz w:val="22"/>
              </w:rPr>
              <w:t xml:space="preserve">Initiate </w:t>
            </w:r>
            <w:r w:rsidR="00881D68">
              <w:rPr>
                <w:rStyle w:val="Strong"/>
                <w:b w:val="0"/>
                <w:sz w:val="22"/>
              </w:rPr>
              <w:t>oversight</w:t>
            </w:r>
            <w:r>
              <w:rPr>
                <w:rStyle w:val="Strong"/>
                <w:b w:val="0"/>
                <w:sz w:val="22"/>
              </w:rPr>
              <w:t xml:space="preserve"> </w:t>
            </w:r>
            <w:r w:rsidR="00881D68">
              <w:rPr>
                <w:rStyle w:val="Strong"/>
                <w:b w:val="0"/>
                <w:sz w:val="22"/>
              </w:rPr>
              <w:t>of</w:t>
            </w:r>
            <w:r>
              <w:rPr>
                <w:rStyle w:val="Strong"/>
                <w:b w:val="0"/>
                <w:sz w:val="22"/>
              </w:rPr>
              <w:t xml:space="preserve"> the U.S. Forest Service </w:t>
            </w:r>
            <w:r w:rsidR="00BA4D14">
              <w:rPr>
                <w:rStyle w:val="Strong"/>
                <w:b w:val="0"/>
                <w:sz w:val="22"/>
              </w:rPr>
              <w:t xml:space="preserve">(USFS) </w:t>
            </w:r>
            <w:r>
              <w:rPr>
                <w:rStyle w:val="Strong"/>
                <w:b w:val="0"/>
                <w:sz w:val="22"/>
              </w:rPr>
              <w:t xml:space="preserve">CERCLA </w:t>
            </w:r>
            <w:r w:rsidR="00BA4D14">
              <w:rPr>
                <w:rStyle w:val="Strong"/>
                <w:b w:val="0"/>
                <w:sz w:val="22"/>
              </w:rPr>
              <w:t>process for the Mammoth Stamp Mill Site (Mammoth Lakes).  The USFS has identified elevated levels of antimony, arsenic, lead, and mercury at the site, and water quality data has documented mercury concentrations in Mammoth Creek, downstream of the site.  Staff’s efforts will focus on ensuring the nature and extent of impacts to water quality and beneficial uses are fully characterized and addressed.</w:t>
            </w:r>
          </w:p>
          <w:p w:rsidR="00DD4A97" w:rsidRPr="00DD4A97" w:rsidRDefault="008F2E65" w:rsidP="00EA4B38">
            <w:pPr>
              <w:pStyle w:val="ListParagraph"/>
              <w:numPr>
                <w:ilvl w:val="0"/>
                <w:numId w:val="7"/>
              </w:numPr>
              <w:ind w:left="360"/>
              <w:jc w:val="both"/>
              <w:rPr>
                <w:rStyle w:val="Strong"/>
                <w:b w:val="0"/>
                <w:sz w:val="22"/>
              </w:rPr>
            </w:pPr>
            <w:r>
              <w:rPr>
                <w:rStyle w:val="Strong"/>
                <w:b w:val="0"/>
                <w:sz w:val="22"/>
              </w:rPr>
              <w:t xml:space="preserve">Initiate a new effort to improve </w:t>
            </w:r>
            <w:r w:rsidR="00881D68">
              <w:rPr>
                <w:rStyle w:val="Strong"/>
                <w:b w:val="0"/>
                <w:sz w:val="22"/>
              </w:rPr>
              <w:t xml:space="preserve">compliance with </w:t>
            </w:r>
            <w:bookmarkStart w:id="0" w:name="_GoBack"/>
            <w:bookmarkEnd w:id="0"/>
            <w:r w:rsidR="00881D68">
              <w:rPr>
                <w:rStyle w:val="Strong"/>
                <w:b w:val="0"/>
                <w:sz w:val="22"/>
              </w:rPr>
              <w:t>self-</w:t>
            </w:r>
            <w:r>
              <w:rPr>
                <w:rStyle w:val="Strong"/>
                <w:b w:val="0"/>
                <w:sz w:val="22"/>
              </w:rPr>
              <w:t xml:space="preserve">monitoring reports that are the heart of the Water Board’s compliance evaluation program for permitted facilities. </w:t>
            </w:r>
          </w:p>
          <w:p w:rsidR="00050E4B" w:rsidRPr="00050E4B" w:rsidRDefault="00920DF2" w:rsidP="00EA4B38">
            <w:pPr>
              <w:pStyle w:val="ListParagraph"/>
              <w:numPr>
                <w:ilvl w:val="0"/>
                <w:numId w:val="7"/>
              </w:numPr>
              <w:ind w:left="360"/>
              <w:jc w:val="both"/>
              <w:rPr>
                <w:rStyle w:val="Strong"/>
                <w:b w:val="0"/>
                <w:sz w:val="22"/>
                <w:szCs w:val="22"/>
              </w:rPr>
            </w:pPr>
            <w:r>
              <w:rPr>
                <w:rStyle w:val="Strong"/>
                <w:b w:val="0"/>
                <w:sz w:val="22"/>
              </w:rPr>
              <w:t>I</w:t>
            </w:r>
            <w:r w:rsidR="00B93387">
              <w:rPr>
                <w:rStyle w:val="Strong"/>
                <w:b w:val="0"/>
                <w:sz w:val="22"/>
              </w:rPr>
              <w:t>mplement action items identified through the Water Board’s Enforcement Sub</w:t>
            </w:r>
            <w:r w:rsidR="00F179E4">
              <w:rPr>
                <w:rStyle w:val="Strong"/>
                <w:b w:val="0"/>
                <w:sz w:val="22"/>
              </w:rPr>
              <w:t>committee</w:t>
            </w:r>
            <w:r w:rsidR="00B93387">
              <w:rPr>
                <w:rStyle w:val="Strong"/>
                <w:b w:val="0"/>
                <w:sz w:val="22"/>
              </w:rPr>
              <w:t xml:space="preserve"> that are intended to improve program efficiency and effectiveness.</w:t>
            </w:r>
          </w:p>
        </w:tc>
      </w:tr>
    </w:tbl>
    <w:p w:rsidR="007A3235" w:rsidRDefault="007A3235"/>
    <w:p w:rsidR="00F524AD" w:rsidRDefault="00F524AD"/>
    <w:p w:rsidR="008640B9" w:rsidRDefault="008640B9">
      <w:pPr>
        <w:sectPr w:rsidR="008640B9" w:rsidSect="00DD4A97">
          <w:headerReference w:type="even" r:id="rId10"/>
          <w:headerReference w:type="default" r:id="rId11"/>
          <w:headerReference w:type="first" r:id="rId12"/>
          <w:pgSz w:w="12240" w:h="15840"/>
          <w:pgMar w:top="1296" w:right="1296" w:bottom="576" w:left="1296" w:header="720" w:footer="720" w:gutter="0"/>
          <w:cols w:space="720"/>
          <w:docGrid w:linePitch="360"/>
        </w:sectPr>
      </w:pPr>
    </w:p>
    <w:tbl>
      <w:tblPr>
        <w:tblStyle w:val="TableGrid"/>
        <w:tblW w:w="10465" w:type="dxa"/>
        <w:tblCellMar>
          <w:top w:w="115" w:type="dxa"/>
          <w:left w:w="115" w:type="dxa"/>
          <w:bottom w:w="115" w:type="dxa"/>
          <w:right w:w="115" w:type="dxa"/>
        </w:tblCellMar>
        <w:tblLook w:val="04A0" w:firstRow="1" w:lastRow="0" w:firstColumn="1" w:lastColumn="0" w:noHBand="0" w:noVBand="1"/>
      </w:tblPr>
      <w:tblGrid>
        <w:gridCol w:w="10465"/>
      </w:tblGrid>
      <w:tr w:rsidR="00D22E6D" w:rsidTr="00FD165E">
        <w:tc>
          <w:tcPr>
            <w:tcW w:w="10465" w:type="dxa"/>
            <w:tcBorders>
              <w:bottom w:val="single" w:sz="4" w:space="0" w:color="auto"/>
            </w:tcBorders>
            <w:shd w:val="clear" w:color="auto" w:fill="DAEEF3" w:themeFill="accent5" w:themeFillTint="33"/>
          </w:tcPr>
          <w:p w:rsidR="00D22E6D" w:rsidRDefault="00D22E6D" w:rsidP="00EA4B38">
            <w:pPr>
              <w:tabs>
                <w:tab w:val="left" w:pos="1815"/>
              </w:tabs>
              <w:spacing w:after="60"/>
              <w:jc w:val="both"/>
              <w:rPr>
                <w:rStyle w:val="Strong"/>
                <w:b w:val="0"/>
                <w:sz w:val="32"/>
              </w:rPr>
            </w:pPr>
            <w:r w:rsidRPr="00BC03BB">
              <w:rPr>
                <w:rStyle w:val="Strong"/>
                <w:b w:val="0"/>
                <w:sz w:val="32"/>
              </w:rPr>
              <w:lastRenderedPageBreak/>
              <w:t>Accomplishments</w:t>
            </w:r>
          </w:p>
          <w:p w:rsidR="00575C6C" w:rsidRDefault="00575C6C" w:rsidP="00EA4B38">
            <w:pPr>
              <w:spacing w:after="60"/>
              <w:jc w:val="both"/>
              <w:rPr>
                <w:rStyle w:val="Strong"/>
                <w:b w:val="0"/>
                <w:sz w:val="22"/>
              </w:rPr>
            </w:pPr>
            <w:r>
              <w:rPr>
                <w:rStyle w:val="Strong"/>
                <w:sz w:val="22"/>
              </w:rPr>
              <w:t>Los Angeles Department of Water and Power Lee Vining Creek</w:t>
            </w:r>
            <w:r w:rsidR="00F44659">
              <w:rPr>
                <w:rStyle w:val="Strong"/>
                <w:sz w:val="22"/>
              </w:rPr>
              <w:t xml:space="preserve"> Diversion Project</w:t>
            </w:r>
            <w:r>
              <w:rPr>
                <w:rStyle w:val="Strong"/>
                <w:sz w:val="22"/>
              </w:rPr>
              <w:t xml:space="preserve">: </w:t>
            </w:r>
            <w:r w:rsidR="00DD41A1">
              <w:rPr>
                <w:rStyle w:val="Strong"/>
                <w:b w:val="0"/>
                <w:sz w:val="22"/>
              </w:rPr>
              <w:t>LADW</w:t>
            </w:r>
            <w:r w:rsidR="00434E87">
              <w:rPr>
                <w:rStyle w:val="Strong"/>
                <w:b w:val="0"/>
                <w:sz w:val="22"/>
              </w:rPr>
              <w:t>P</w:t>
            </w:r>
            <w:r w:rsidR="00DD41A1">
              <w:rPr>
                <w:rStyle w:val="Strong"/>
                <w:b w:val="0"/>
                <w:sz w:val="22"/>
              </w:rPr>
              <w:t xml:space="preserve"> completed four </w:t>
            </w:r>
            <w:r w:rsidR="00F44659">
              <w:rPr>
                <w:rStyle w:val="Strong"/>
                <w:b w:val="0"/>
                <w:sz w:val="22"/>
              </w:rPr>
              <w:t xml:space="preserve">restoration projects </w:t>
            </w:r>
            <w:r w:rsidR="00DD41A1">
              <w:rPr>
                <w:rStyle w:val="Strong"/>
                <w:b w:val="0"/>
                <w:sz w:val="22"/>
              </w:rPr>
              <w:t>i</w:t>
            </w:r>
            <w:r w:rsidR="00F44659">
              <w:rPr>
                <w:rStyle w:val="Strong"/>
                <w:b w:val="0"/>
                <w:sz w:val="22"/>
              </w:rPr>
              <w:t xml:space="preserve">n </w:t>
            </w:r>
            <w:r w:rsidR="00434E87">
              <w:rPr>
                <w:rStyle w:val="Strong"/>
                <w:b w:val="0"/>
                <w:sz w:val="22"/>
              </w:rPr>
              <w:t xml:space="preserve">cooperation with </w:t>
            </w:r>
            <w:r>
              <w:rPr>
                <w:rStyle w:val="Strong"/>
                <w:b w:val="0"/>
                <w:sz w:val="22"/>
              </w:rPr>
              <w:t>the Inyo National Forest</w:t>
            </w:r>
            <w:r w:rsidR="00434E87">
              <w:rPr>
                <w:rStyle w:val="Strong"/>
                <w:b w:val="0"/>
                <w:sz w:val="22"/>
              </w:rPr>
              <w:t xml:space="preserve"> as part of a Supplemental Environmental Project approved by the Water Board in October 2015</w:t>
            </w:r>
            <w:r>
              <w:rPr>
                <w:rStyle w:val="Strong"/>
                <w:b w:val="0"/>
                <w:sz w:val="22"/>
              </w:rPr>
              <w:t xml:space="preserve">.  </w:t>
            </w:r>
          </w:p>
          <w:p w:rsidR="00FD165E" w:rsidRDefault="00FD165E" w:rsidP="00EA4B38">
            <w:pPr>
              <w:spacing w:after="60"/>
              <w:jc w:val="both"/>
              <w:rPr>
                <w:rStyle w:val="Strong"/>
                <w:b w:val="0"/>
                <w:sz w:val="22"/>
              </w:rPr>
            </w:pPr>
            <w:r>
              <w:rPr>
                <w:rStyle w:val="Strong"/>
                <w:sz w:val="22"/>
              </w:rPr>
              <w:t>Replacement Water</w:t>
            </w:r>
            <w:r w:rsidRPr="00DD4A97">
              <w:rPr>
                <w:rStyle w:val="Strong"/>
                <w:sz w:val="22"/>
              </w:rPr>
              <w:t>:</w:t>
            </w:r>
            <w:r w:rsidRPr="00DD4A97">
              <w:rPr>
                <w:rStyle w:val="Strong"/>
                <w:b w:val="0"/>
                <w:sz w:val="22"/>
              </w:rPr>
              <w:t xml:space="preserve">  </w:t>
            </w:r>
            <w:r>
              <w:rPr>
                <w:rStyle w:val="Strong"/>
                <w:b w:val="0"/>
                <w:sz w:val="22"/>
              </w:rPr>
              <w:t xml:space="preserve">Water Board staff negotiated agreements with responsible parties to either provide replacement water, or to reimburse a property owner for the costs to connect to the community water system (Lake Tahoe Laundry Works, South Lake Tahoe).  These agreements provided property owners with a safe water supply after their private wells had been polluted with nitrates (Dutch Dairy, </w:t>
            </w:r>
            <w:proofErr w:type="spellStart"/>
            <w:r>
              <w:rPr>
                <w:rStyle w:val="Strong"/>
                <w:b w:val="0"/>
                <w:sz w:val="22"/>
              </w:rPr>
              <w:t>Helendale</w:t>
            </w:r>
            <w:proofErr w:type="spellEnd"/>
            <w:r>
              <w:rPr>
                <w:rStyle w:val="Strong"/>
                <w:b w:val="0"/>
                <w:sz w:val="22"/>
              </w:rPr>
              <w:t xml:space="preserve">; Green Valley Foods, </w:t>
            </w:r>
            <w:proofErr w:type="spellStart"/>
            <w:r>
              <w:rPr>
                <w:rStyle w:val="Strong"/>
                <w:b w:val="0"/>
                <w:sz w:val="22"/>
              </w:rPr>
              <w:t>Hinkley</w:t>
            </w:r>
            <w:proofErr w:type="spellEnd"/>
            <w:r>
              <w:rPr>
                <w:rStyle w:val="Strong"/>
                <w:b w:val="0"/>
                <w:sz w:val="22"/>
              </w:rPr>
              <w:t xml:space="preserve">) or PCE (Lake Tahoe Laundry Works, South Lake Tahoe).  </w:t>
            </w:r>
          </w:p>
          <w:p w:rsidR="00FD60B8" w:rsidRPr="00FD60B8" w:rsidRDefault="00FD60B8" w:rsidP="00EA4B38">
            <w:pPr>
              <w:spacing w:after="60"/>
              <w:jc w:val="both"/>
              <w:rPr>
                <w:rStyle w:val="Strong"/>
                <w:b w:val="0"/>
                <w:sz w:val="22"/>
              </w:rPr>
            </w:pPr>
            <w:r w:rsidRPr="00FD60B8">
              <w:rPr>
                <w:rStyle w:val="Strong"/>
                <w:sz w:val="22"/>
              </w:rPr>
              <w:t xml:space="preserve">Crystal Geyser </w:t>
            </w:r>
            <w:proofErr w:type="spellStart"/>
            <w:r w:rsidRPr="00FD60B8">
              <w:rPr>
                <w:rStyle w:val="Strong"/>
                <w:sz w:val="22"/>
              </w:rPr>
              <w:t>Olancha</w:t>
            </w:r>
            <w:proofErr w:type="spellEnd"/>
            <w:r>
              <w:rPr>
                <w:rStyle w:val="Strong"/>
                <w:sz w:val="22"/>
              </w:rPr>
              <w:t xml:space="preserve">:  </w:t>
            </w:r>
            <w:r w:rsidR="00031AA4" w:rsidRPr="00031AA4">
              <w:rPr>
                <w:rStyle w:val="Strong"/>
                <w:b w:val="0"/>
                <w:sz w:val="22"/>
              </w:rPr>
              <w:t>Staff</w:t>
            </w:r>
            <w:r w:rsidR="00031AA4">
              <w:rPr>
                <w:rStyle w:val="Strong"/>
                <w:b w:val="0"/>
                <w:sz w:val="22"/>
              </w:rPr>
              <w:t xml:space="preserve"> participated in two public workshops (hosted by Inyo County) to inform local residents of historical unauthorized discharges (</w:t>
            </w:r>
            <w:r w:rsidR="00B66207">
              <w:rPr>
                <w:rStyle w:val="Strong"/>
                <w:b w:val="0"/>
                <w:sz w:val="22"/>
              </w:rPr>
              <w:t>2003</w:t>
            </w:r>
            <w:r w:rsidR="00031AA4">
              <w:rPr>
                <w:rStyle w:val="Strong"/>
                <w:b w:val="0"/>
                <w:sz w:val="22"/>
              </w:rPr>
              <w:t xml:space="preserve"> </w:t>
            </w:r>
            <w:r w:rsidR="00B66207">
              <w:rPr>
                <w:rStyle w:val="Strong"/>
                <w:b w:val="0"/>
                <w:sz w:val="22"/>
              </w:rPr>
              <w:t xml:space="preserve">- October 2014) </w:t>
            </w:r>
            <w:r w:rsidR="00031AA4">
              <w:rPr>
                <w:rStyle w:val="Strong"/>
                <w:b w:val="0"/>
                <w:sz w:val="22"/>
              </w:rPr>
              <w:t xml:space="preserve">at the Crystal Geyser </w:t>
            </w:r>
            <w:proofErr w:type="spellStart"/>
            <w:r w:rsidR="00031AA4">
              <w:rPr>
                <w:rStyle w:val="Strong"/>
                <w:b w:val="0"/>
                <w:sz w:val="22"/>
              </w:rPr>
              <w:t>Olancha</w:t>
            </w:r>
            <w:proofErr w:type="spellEnd"/>
            <w:r w:rsidR="00031AA4">
              <w:rPr>
                <w:rStyle w:val="Strong"/>
                <w:b w:val="0"/>
                <w:sz w:val="22"/>
              </w:rPr>
              <w:t xml:space="preserve"> Water Bottling Facility, and the known nature and extent of water quality impacts associated with those discharges</w:t>
            </w:r>
            <w:r w:rsidR="00B66207">
              <w:rPr>
                <w:rStyle w:val="Strong"/>
                <w:b w:val="0"/>
                <w:sz w:val="22"/>
              </w:rPr>
              <w:t xml:space="preserve"> (high arsenic concentrations)</w:t>
            </w:r>
            <w:r w:rsidR="00031AA4">
              <w:rPr>
                <w:rStyle w:val="Strong"/>
                <w:b w:val="0"/>
                <w:sz w:val="22"/>
              </w:rPr>
              <w:t xml:space="preserve">. </w:t>
            </w:r>
            <w:r w:rsidR="00B66207">
              <w:rPr>
                <w:rStyle w:val="Strong"/>
                <w:b w:val="0"/>
                <w:sz w:val="22"/>
              </w:rPr>
              <w:t xml:space="preserve">Staff addressed concerns regarding potential threats to local municipal and private water supply wells, and </w:t>
            </w:r>
            <w:r w:rsidR="00FB1FDA">
              <w:rPr>
                <w:rStyle w:val="Strong"/>
                <w:b w:val="0"/>
                <w:sz w:val="22"/>
              </w:rPr>
              <w:t xml:space="preserve">discussed </w:t>
            </w:r>
            <w:r w:rsidR="00B66207">
              <w:rPr>
                <w:rStyle w:val="Strong"/>
                <w:b w:val="0"/>
                <w:sz w:val="22"/>
              </w:rPr>
              <w:t>next steps regarding additional investigation</w:t>
            </w:r>
            <w:r w:rsidR="00FB1FDA">
              <w:rPr>
                <w:rStyle w:val="Strong"/>
                <w:b w:val="0"/>
                <w:sz w:val="22"/>
              </w:rPr>
              <w:t xml:space="preserve"> and </w:t>
            </w:r>
            <w:r w:rsidR="00B66207">
              <w:rPr>
                <w:rStyle w:val="Strong"/>
                <w:b w:val="0"/>
                <w:sz w:val="22"/>
              </w:rPr>
              <w:t xml:space="preserve">regulation of the Facility’s discharge.  </w:t>
            </w:r>
            <w:r>
              <w:rPr>
                <w:rStyle w:val="Strong"/>
                <w:b w:val="0"/>
                <w:sz w:val="22"/>
              </w:rPr>
              <w:t xml:space="preserve">Waste Discharge </w:t>
            </w:r>
            <w:r w:rsidR="00B43E9C">
              <w:rPr>
                <w:rStyle w:val="Strong"/>
                <w:b w:val="0"/>
                <w:sz w:val="22"/>
              </w:rPr>
              <w:t xml:space="preserve">Requirements were </w:t>
            </w:r>
            <w:r w:rsidR="002803FE">
              <w:rPr>
                <w:rStyle w:val="Strong"/>
                <w:b w:val="0"/>
                <w:sz w:val="22"/>
              </w:rPr>
              <w:t xml:space="preserve">also </w:t>
            </w:r>
            <w:r w:rsidR="00B43E9C">
              <w:rPr>
                <w:rStyle w:val="Strong"/>
                <w:b w:val="0"/>
                <w:sz w:val="22"/>
              </w:rPr>
              <w:t xml:space="preserve">adopted in January 2017 for both the </w:t>
            </w:r>
            <w:proofErr w:type="spellStart"/>
            <w:r w:rsidR="00B43E9C">
              <w:rPr>
                <w:rStyle w:val="Strong"/>
                <w:b w:val="0"/>
                <w:sz w:val="22"/>
              </w:rPr>
              <w:t>Olancha</w:t>
            </w:r>
            <w:proofErr w:type="spellEnd"/>
            <w:r w:rsidR="00B43E9C">
              <w:rPr>
                <w:rStyle w:val="Strong"/>
                <w:b w:val="0"/>
                <w:sz w:val="22"/>
              </w:rPr>
              <w:t xml:space="preserve"> </w:t>
            </w:r>
            <w:r w:rsidR="00B66207">
              <w:rPr>
                <w:rStyle w:val="Strong"/>
                <w:b w:val="0"/>
                <w:sz w:val="22"/>
              </w:rPr>
              <w:t xml:space="preserve">and Cabin Bar (under construction) </w:t>
            </w:r>
            <w:r w:rsidR="002803FE">
              <w:rPr>
                <w:rStyle w:val="Strong"/>
                <w:b w:val="0"/>
                <w:sz w:val="22"/>
              </w:rPr>
              <w:t xml:space="preserve">water bottling </w:t>
            </w:r>
            <w:r w:rsidR="00B43E9C">
              <w:rPr>
                <w:rStyle w:val="Strong"/>
                <w:b w:val="0"/>
                <w:sz w:val="22"/>
              </w:rPr>
              <w:t>facilities</w:t>
            </w:r>
            <w:r w:rsidR="002803FE">
              <w:rPr>
                <w:rStyle w:val="Strong"/>
                <w:b w:val="0"/>
                <w:sz w:val="22"/>
              </w:rPr>
              <w:t xml:space="preserve"> to prevent future impacts to ground and surface water quality</w:t>
            </w:r>
            <w:r w:rsidR="00B43E9C">
              <w:rPr>
                <w:rStyle w:val="Strong"/>
                <w:b w:val="0"/>
                <w:sz w:val="22"/>
              </w:rPr>
              <w:t xml:space="preserve">.  </w:t>
            </w:r>
          </w:p>
          <w:p w:rsidR="00727D5C" w:rsidRDefault="00CA664E" w:rsidP="00EA4B38">
            <w:pPr>
              <w:jc w:val="both"/>
              <w:rPr>
                <w:rStyle w:val="Strong"/>
                <w:b w:val="0"/>
                <w:sz w:val="22"/>
              </w:rPr>
            </w:pPr>
            <w:r>
              <w:rPr>
                <w:rStyle w:val="Strong"/>
                <w:sz w:val="22"/>
              </w:rPr>
              <w:t>Supplemental Environmental Project Program</w:t>
            </w:r>
            <w:r w:rsidR="001F58BF" w:rsidRPr="00D11A43">
              <w:rPr>
                <w:rStyle w:val="Strong"/>
                <w:sz w:val="22"/>
              </w:rPr>
              <w:t>:</w:t>
            </w:r>
            <w:r w:rsidR="00D11A43">
              <w:rPr>
                <w:rStyle w:val="Strong"/>
                <w:b w:val="0"/>
                <w:sz w:val="22"/>
              </w:rPr>
              <w:t xml:space="preserve">  </w:t>
            </w:r>
            <w:r w:rsidR="005643B3">
              <w:rPr>
                <w:rStyle w:val="Strong"/>
                <w:b w:val="0"/>
                <w:sz w:val="22"/>
              </w:rPr>
              <w:t xml:space="preserve">The </w:t>
            </w:r>
            <w:r w:rsidR="00BA5F2C">
              <w:rPr>
                <w:rStyle w:val="Strong"/>
                <w:b w:val="0"/>
                <w:sz w:val="22"/>
              </w:rPr>
              <w:t>Water Board</w:t>
            </w:r>
            <w:r w:rsidR="005643B3">
              <w:rPr>
                <w:rStyle w:val="Strong"/>
                <w:b w:val="0"/>
                <w:sz w:val="22"/>
              </w:rPr>
              <w:t xml:space="preserve"> authorized the Executive Officer to enter into two </w:t>
            </w:r>
            <w:r w:rsidR="00F27754">
              <w:rPr>
                <w:rStyle w:val="Strong"/>
                <w:b w:val="0"/>
                <w:sz w:val="22"/>
              </w:rPr>
              <w:t>Memoranda of Understanding</w:t>
            </w:r>
            <w:r w:rsidR="00BA5F2C">
              <w:rPr>
                <w:rStyle w:val="Strong"/>
                <w:b w:val="0"/>
                <w:sz w:val="22"/>
              </w:rPr>
              <w:t xml:space="preserve"> </w:t>
            </w:r>
            <w:r w:rsidR="005643B3">
              <w:rPr>
                <w:rStyle w:val="Strong"/>
                <w:b w:val="0"/>
                <w:sz w:val="22"/>
              </w:rPr>
              <w:t xml:space="preserve">(MOU) with Tahoe-Sierra IRWM and Truckee River Watershed </w:t>
            </w:r>
            <w:r w:rsidR="00700FA7">
              <w:rPr>
                <w:rStyle w:val="Strong"/>
                <w:b w:val="0"/>
                <w:sz w:val="22"/>
              </w:rPr>
              <w:t>Council</w:t>
            </w:r>
            <w:r w:rsidR="005643B3">
              <w:rPr>
                <w:rStyle w:val="Strong"/>
                <w:b w:val="0"/>
                <w:sz w:val="22"/>
              </w:rPr>
              <w:t>.</w:t>
            </w:r>
            <w:r w:rsidR="00A075A5">
              <w:rPr>
                <w:rStyle w:val="Strong"/>
                <w:b w:val="0"/>
                <w:sz w:val="22"/>
              </w:rPr>
              <w:t xml:space="preserve"> </w:t>
            </w:r>
            <w:r w:rsidR="00700FA7">
              <w:rPr>
                <w:rStyle w:val="Strong"/>
                <w:b w:val="0"/>
                <w:sz w:val="22"/>
              </w:rPr>
              <w:t>The Water Board now has agreements with four local partner</w:t>
            </w:r>
            <w:r w:rsidR="00B66207">
              <w:rPr>
                <w:rStyle w:val="Strong"/>
                <w:b w:val="0"/>
                <w:sz w:val="22"/>
              </w:rPr>
              <w:t xml:space="preserve"> organization</w:t>
            </w:r>
            <w:r w:rsidR="00700FA7">
              <w:rPr>
                <w:rStyle w:val="Strong"/>
                <w:b w:val="0"/>
                <w:sz w:val="22"/>
              </w:rPr>
              <w:t xml:space="preserve">s.  </w:t>
            </w:r>
          </w:p>
          <w:p w:rsidR="005643B3" w:rsidRDefault="004E22AC" w:rsidP="00EA4B38">
            <w:pPr>
              <w:jc w:val="both"/>
              <w:rPr>
                <w:rStyle w:val="Strong"/>
                <w:b w:val="0"/>
                <w:sz w:val="22"/>
              </w:rPr>
            </w:pPr>
            <w:r>
              <w:rPr>
                <w:rStyle w:val="Strong"/>
                <w:sz w:val="22"/>
              </w:rPr>
              <w:t xml:space="preserve">Other Restoration Projects: </w:t>
            </w:r>
            <w:r w:rsidR="00AD1674">
              <w:rPr>
                <w:rStyle w:val="Strong"/>
                <w:b w:val="0"/>
                <w:sz w:val="22"/>
              </w:rPr>
              <w:t>T</w:t>
            </w:r>
            <w:r w:rsidR="00A075A5">
              <w:rPr>
                <w:rStyle w:val="Strong"/>
                <w:b w:val="0"/>
                <w:sz w:val="22"/>
              </w:rPr>
              <w:t>he Water Board</w:t>
            </w:r>
            <w:r w:rsidR="00700FA7">
              <w:rPr>
                <w:rStyle w:val="Strong"/>
                <w:b w:val="0"/>
                <w:sz w:val="22"/>
              </w:rPr>
              <w:t xml:space="preserve"> </w:t>
            </w:r>
            <w:r w:rsidR="00A075A5">
              <w:rPr>
                <w:rStyle w:val="Strong"/>
                <w:b w:val="0"/>
                <w:sz w:val="22"/>
              </w:rPr>
              <w:t xml:space="preserve">approved </w:t>
            </w:r>
            <w:r w:rsidR="00700FA7">
              <w:rPr>
                <w:rStyle w:val="Strong"/>
                <w:b w:val="0"/>
                <w:sz w:val="22"/>
              </w:rPr>
              <w:t xml:space="preserve">funding </w:t>
            </w:r>
            <w:r w:rsidR="00AD1674">
              <w:rPr>
                <w:rStyle w:val="Strong"/>
                <w:b w:val="0"/>
                <w:sz w:val="22"/>
              </w:rPr>
              <w:t xml:space="preserve">(from the Water Board’s Squaw Valley Department of Justice </w:t>
            </w:r>
            <w:r w:rsidR="00603F81">
              <w:rPr>
                <w:rStyle w:val="Strong"/>
                <w:b w:val="0"/>
                <w:sz w:val="22"/>
              </w:rPr>
              <w:t xml:space="preserve">[settlement] </w:t>
            </w:r>
            <w:r w:rsidR="00AD1674">
              <w:rPr>
                <w:rStyle w:val="Strong"/>
                <w:b w:val="0"/>
                <w:sz w:val="22"/>
              </w:rPr>
              <w:t xml:space="preserve">Fund) </w:t>
            </w:r>
            <w:r w:rsidR="00700FA7">
              <w:rPr>
                <w:rStyle w:val="Strong"/>
                <w:b w:val="0"/>
                <w:sz w:val="22"/>
              </w:rPr>
              <w:t xml:space="preserve">for the </w:t>
            </w:r>
            <w:r w:rsidR="00C9432A">
              <w:rPr>
                <w:rStyle w:val="Strong"/>
                <w:b w:val="0"/>
                <w:sz w:val="22"/>
              </w:rPr>
              <w:t>Friends of Squaw Creek</w:t>
            </w:r>
            <w:r w:rsidR="00700FA7">
              <w:rPr>
                <w:rStyle w:val="Strong"/>
                <w:b w:val="0"/>
                <w:sz w:val="22"/>
              </w:rPr>
              <w:t>’s</w:t>
            </w:r>
            <w:r w:rsidR="003B0506">
              <w:rPr>
                <w:rStyle w:val="Strong"/>
                <w:b w:val="0"/>
                <w:sz w:val="22"/>
              </w:rPr>
              <w:t xml:space="preserve"> Squaw Creek Restoration Project </w:t>
            </w:r>
            <w:r w:rsidR="00A075A5">
              <w:rPr>
                <w:rStyle w:val="Strong"/>
                <w:b w:val="0"/>
                <w:sz w:val="22"/>
              </w:rPr>
              <w:t xml:space="preserve">and the </w:t>
            </w:r>
            <w:r w:rsidR="003B0506">
              <w:rPr>
                <w:rStyle w:val="Strong"/>
                <w:b w:val="0"/>
                <w:sz w:val="22"/>
              </w:rPr>
              <w:t>Alpine Watershed Group</w:t>
            </w:r>
            <w:r w:rsidR="00700FA7">
              <w:rPr>
                <w:rStyle w:val="Strong"/>
                <w:b w:val="0"/>
                <w:sz w:val="22"/>
              </w:rPr>
              <w:t>’s</w:t>
            </w:r>
            <w:r w:rsidR="003B0506" w:rsidRPr="003B0506">
              <w:rPr>
                <w:rStyle w:val="Strong"/>
                <w:b w:val="0"/>
                <w:sz w:val="22"/>
              </w:rPr>
              <w:t xml:space="preserve"> Hope Valley Restoration &amp; Aquatic Habitat Enhancement Project</w:t>
            </w:r>
            <w:r w:rsidR="003B0506">
              <w:rPr>
                <w:rStyle w:val="Strong"/>
                <w:b w:val="0"/>
                <w:sz w:val="22"/>
              </w:rPr>
              <w:t xml:space="preserve">.  </w:t>
            </w:r>
            <w:r w:rsidR="00700FA7">
              <w:rPr>
                <w:rStyle w:val="Strong"/>
                <w:b w:val="0"/>
                <w:sz w:val="22"/>
              </w:rPr>
              <w:t>Both parties will begin implementing their projects in 2018.</w:t>
            </w:r>
          </w:p>
          <w:p w:rsidR="003B0506" w:rsidRPr="003B0506" w:rsidRDefault="00C67829" w:rsidP="00FB1FDA">
            <w:pPr>
              <w:jc w:val="both"/>
              <w:rPr>
                <w:rStyle w:val="Strong"/>
                <w:sz w:val="22"/>
              </w:rPr>
            </w:pPr>
            <w:r w:rsidRPr="00C67829">
              <w:rPr>
                <w:rStyle w:val="Strong"/>
                <w:sz w:val="22"/>
              </w:rPr>
              <w:t>Green Valley Foods</w:t>
            </w:r>
            <w:r>
              <w:rPr>
                <w:rStyle w:val="Strong"/>
                <w:sz w:val="22"/>
              </w:rPr>
              <w:t xml:space="preserve">, Inc.:  </w:t>
            </w:r>
            <w:r w:rsidRPr="00C67829">
              <w:rPr>
                <w:rStyle w:val="Strong"/>
                <w:b w:val="0"/>
                <w:sz w:val="22"/>
              </w:rPr>
              <w:t xml:space="preserve">Staff negotiated a Stipulated Agreement requiring Green Valley Foods to provide replacement water to four residences with </w:t>
            </w:r>
            <w:r w:rsidR="00727D5C">
              <w:rPr>
                <w:rStyle w:val="Strong"/>
                <w:b w:val="0"/>
                <w:sz w:val="22"/>
              </w:rPr>
              <w:t xml:space="preserve">nitrate-affected </w:t>
            </w:r>
            <w:r w:rsidRPr="00C67829">
              <w:rPr>
                <w:rStyle w:val="Strong"/>
                <w:b w:val="0"/>
                <w:sz w:val="22"/>
              </w:rPr>
              <w:t>groundwater.</w:t>
            </w:r>
            <w:r>
              <w:rPr>
                <w:rStyle w:val="Strong"/>
                <w:b w:val="0"/>
                <w:sz w:val="22"/>
              </w:rPr>
              <w:t xml:space="preserve">  </w:t>
            </w:r>
            <w:r w:rsidR="00091303">
              <w:rPr>
                <w:rStyle w:val="Strong"/>
                <w:b w:val="0"/>
                <w:sz w:val="22"/>
              </w:rPr>
              <w:t>Staff is continuing to work with Green Valley Foods to complete delineati</w:t>
            </w:r>
            <w:r w:rsidR="00FB1FDA">
              <w:rPr>
                <w:rStyle w:val="Strong"/>
                <w:b w:val="0"/>
                <w:sz w:val="22"/>
              </w:rPr>
              <w:t>o</w:t>
            </w:r>
            <w:r w:rsidR="00091303">
              <w:rPr>
                <w:rStyle w:val="Strong"/>
                <w:b w:val="0"/>
                <w:sz w:val="22"/>
              </w:rPr>
              <w:t>n</w:t>
            </w:r>
            <w:r w:rsidR="00FB1FDA">
              <w:rPr>
                <w:rStyle w:val="Strong"/>
                <w:b w:val="0"/>
                <w:sz w:val="22"/>
              </w:rPr>
              <w:t xml:space="preserve"> of</w:t>
            </w:r>
            <w:r w:rsidR="00091303">
              <w:rPr>
                <w:rStyle w:val="Strong"/>
                <w:b w:val="0"/>
                <w:sz w:val="22"/>
              </w:rPr>
              <w:t xml:space="preserve"> impacts to groundwater due to historical wastewater disposal practices at the cheese production facility.</w:t>
            </w:r>
          </w:p>
        </w:tc>
      </w:tr>
      <w:tr w:rsidR="00D22E6D" w:rsidRPr="00EE3347" w:rsidTr="00FD165E">
        <w:tc>
          <w:tcPr>
            <w:tcW w:w="10465" w:type="dxa"/>
            <w:tcBorders>
              <w:left w:val="nil"/>
              <w:bottom w:val="single" w:sz="4" w:space="0" w:color="auto"/>
              <w:right w:val="nil"/>
            </w:tcBorders>
            <w:tcMar>
              <w:top w:w="0" w:type="dxa"/>
              <w:bottom w:w="0" w:type="dxa"/>
            </w:tcMar>
          </w:tcPr>
          <w:p w:rsidR="00D22E6D" w:rsidRPr="00EE3347" w:rsidRDefault="00D22E6D" w:rsidP="006E02DD">
            <w:pPr>
              <w:rPr>
                <w:rStyle w:val="Strong"/>
                <w:b w:val="0"/>
                <w:sz w:val="12"/>
              </w:rPr>
            </w:pPr>
          </w:p>
        </w:tc>
      </w:tr>
      <w:tr w:rsidR="00D22E6D" w:rsidTr="00FD165E">
        <w:tc>
          <w:tcPr>
            <w:tcW w:w="10465" w:type="dxa"/>
            <w:tcBorders>
              <w:bottom w:val="single" w:sz="4" w:space="0" w:color="auto"/>
            </w:tcBorders>
            <w:shd w:val="clear" w:color="auto" w:fill="DAEEF3" w:themeFill="accent5" w:themeFillTint="33"/>
          </w:tcPr>
          <w:p w:rsidR="00D22E6D" w:rsidRDefault="00D22E6D" w:rsidP="000D5830">
            <w:pPr>
              <w:tabs>
                <w:tab w:val="left" w:pos="1815"/>
              </w:tabs>
              <w:spacing w:after="60"/>
              <w:rPr>
                <w:rStyle w:val="Strong"/>
                <w:b w:val="0"/>
                <w:sz w:val="32"/>
              </w:rPr>
            </w:pPr>
            <w:r w:rsidRPr="00BC03BB">
              <w:rPr>
                <w:rStyle w:val="Strong"/>
                <w:b w:val="0"/>
                <w:sz w:val="32"/>
              </w:rPr>
              <w:t>P</w:t>
            </w:r>
            <w:r w:rsidR="006B5AE0">
              <w:rPr>
                <w:rStyle w:val="Strong"/>
                <w:b w:val="0"/>
                <w:sz w:val="32"/>
              </w:rPr>
              <w:t xml:space="preserve">erformance targets  – </w:t>
            </w:r>
            <w:r w:rsidR="00B43E9C">
              <w:rPr>
                <w:rStyle w:val="Strong"/>
                <w:b w:val="0"/>
                <w:sz w:val="32"/>
              </w:rPr>
              <w:t>Progress</w:t>
            </w:r>
            <w:r w:rsidR="00BC03BB" w:rsidRPr="00BC03BB">
              <w:rPr>
                <w:rStyle w:val="Strong"/>
                <w:b w:val="0"/>
                <w:sz w:val="32"/>
              </w:rPr>
              <w:t xml:space="preserve"> to date</w:t>
            </w:r>
          </w:p>
          <w:p w:rsidR="003B0506" w:rsidRPr="00F52881" w:rsidRDefault="008F0925" w:rsidP="00EA4B38">
            <w:pPr>
              <w:pStyle w:val="ListParagraph"/>
              <w:numPr>
                <w:ilvl w:val="0"/>
                <w:numId w:val="11"/>
              </w:numPr>
              <w:ind w:left="360"/>
              <w:jc w:val="both"/>
              <w:rPr>
                <w:rStyle w:val="Strong"/>
                <w:b w:val="0"/>
                <w:sz w:val="22"/>
              </w:rPr>
            </w:pPr>
            <w:r w:rsidRPr="003B0506">
              <w:rPr>
                <w:rStyle w:val="Strong"/>
                <w:sz w:val="22"/>
              </w:rPr>
              <w:t>Mandatory Minimum Penalties</w:t>
            </w:r>
            <w:r w:rsidR="003B0506">
              <w:rPr>
                <w:rStyle w:val="Strong"/>
                <w:sz w:val="22"/>
              </w:rPr>
              <w:t xml:space="preserve"> </w:t>
            </w:r>
            <w:r w:rsidR="003B0506" w:rsidRPr="003B0506">
              <w:rPr>
                <w:rStyle w:val="Strong"/>
                <w:sz w:val="22"/>
              </w:rPr>
              <w:t>(MMP)</w:t>
            </w:r>
            <w:r w:rsidRPr="003B0506">
              <w:rPr>
                <w:rStyle w:val="Strong"/>
                <w:b w:val="0"/>
                <w:sz w:val="22"/>
              </w:rPr>
              <w:t xml:space="preserve"> – </w:t>
            </w:r>
            <w:r w:rsidRPr="00F52881">
              <w:rPr>
                <w:rStyle w:val="Strong"/>
                <w:b w:val="0"/>
                <w:sz w:val="22"/>
              </w:rPr>
              <w:t xml:space="preserve">Performance target is to address 100 percent of MMP violations within 18 months </w:t>
            </w:r>
            <w:r w:rsidR="00F80830" w:rsidRPr="00F52881">
              <w:rPr>
                <w:rStyle w:val="Strong"/>
                <w:b w:val="0"/>
                <w:sz w:val="22"/>
              </w:rPr>
              <w:t xml:space="preserve">of </w:t>
            </w:r>
            <w:r w:rsidRPr="00F52881">
              <w:rPr>
                <w:rStyle w:val="Strong"/>
                <w:b w:val="0"/>
                <w:sz w:val="22"/>
              </w:rPr>
              <w:t>discovery</w:t>
            </w:r>
            <w:r w:rsidR="00F80830" w:rsidRPr="00F52881">
              <w:rPr>
                <w:rStyle w:val="Strong"/>
                <w:b w:val="0"/>
                <w:sz w:val="22"/>
              </w:rPr>
              <w:t xml:space="preserve">. </w:t>
            </w:r>
            <w:r w:rsidR="003B0506" w:rsidRPr="00F52881">
              <w:rPr>
                <w:rStyle w:val="Strong"/>
                <w:b w:val="0"/>
                <w:sz w:val="22"/>
              </w:rPr>
              <w:t xml:space="preserve"> </w:t>
            </w:r>
            <w:r w:rsidR="00F80830" w:rsidRPr="00F52881">
              <w:rPr>
                <w:rStyle w:val="Strong"/>
                <w:b w:val="0"/>
                <w:sz w:val="22"/>
              </w:rPr>
              <w:t xml:space="preserve">MMPs are currently under review for 2015-16 </w:t>
            </w:r>
            <w:proofErr w:type="spellStart"/>
            <w:r w:rsidR="00F80830" w:rsidRPr="00F52881">
              <w:rPr>
                <w:rStyle w:val="Strong"/>
                <w:b w:val="0"/>
                <w:sz w:val="22"/>
              </w:rPr>
              <w:t>stormwater</w:t>
            </w:r>
            <w:proofErr w:type="spellEnd"/>
            <w:r w:rsidR="00F80830" w:rsidRPr="00F52881">
              <w:rPr>
                <w:rStyle w:val="Strong"/>
                <w:b w:val="0"/>
                <w:sz w:val="22"/>
              </w:rPr>
              <w:t xml:space="preserve"> </w:t>
            </w:r>
            <w:r w:rsidR="0089637B" w:rsidRPr="00F52881">
              <w:rPr>
                <w:rStyle w:val="Strong"/>
                <w:b w:val="0"/>
                <w:sz w:val="22"/>
              </w:rPr>
              <w:t xml:space="preserve">permit </w:t>
            </w:r>
            <w:r w:rsidR="00F80830" w:rsidRPr="00F52881">
              <w:rPr>
                <w:rStyle w:val="Strong"/>
                <w:b w:val="0"/>
                <w:sz w:val="22"/>
              </w:rPr>
              <w:t>violations that were identified in the fall of 2017.</w:t>
            </w:r>
          </w:p>
          <w:p w:rsidR="00BB2E5A" w:rsidRPr="00BB2E5A" w:rsidRDefault="008F0925" w:rsidP="00EA4B38">
            <w:pPr>
              <w:pStyle w:val="ListParagraph"/>
              <w:numPr>
                <w:ilvl w:val="0"/>
                <w:numId w:val="11"/>
              </w:numPr>
              <w:spacing w:after="120"/>
              <w:ind w:left="360"/>
              <w:jc w:val="both"/>
              <w:rPr>
                <w:rStyle w:val="Strong"/>
                <w:b w:val="0"/>
                <w:sz w:val="22"/>
              </w:rPr>
            </w:pPr>
            <w:r w:rsidRPr="00BB2E5A">
              <w:rPr>
                <w:rStyle w:val="Strong"/>
                <w:sz w:val="22"/>
              </w:rPr>
              <w:t>Priority 1 Violations</w:t>
            </w:r>
            <w:r w:rsidRPr="00BB2E5A">
              <w:rPr>
                <w:rStyle w:val="Strong"/>
                <w:b w:val="0"/>
                <w:sz w:val="22"/>
              </w:rPr>
              <w:t xml:space="preserve"> – </w:t>
            </w:r>
            <w:r w:rsidRPr="00F52881">
              <w:rPr>
                <w:rStyle w:val="Strong"/>
                <w:b w:val="0"/>
                <w:sz w:val="22"/>
              </w:rPr>
              <w:t xml:space="preserve">Performance target is to take </w:t>
            </w:r>
            <w:r w:rsidR="00A3756C" w:rsidRPr="00F52881">
              <w:rPr>
                <w:rStyle w:val="Strong"/>
                <w:b w:val="0"/>
                <w:sz w:val="22"/>
              </w:rPr>
              <w:t xml:space="preserve">formal </w:t>
            </w:r>
            <w:r w:rsidRPr="00F52881">
              <w:rPr>
                <w:rStyle w:val="Strong"/>
                <w:b w:val="0"/>
                <w:sz w:val="22"/>
              </w:rPr>
              <w:t>enforcement action against 100 percent of Priority 1 Violations within 18 months of discovery.</w:t>
            </w:r>
          </w:p>
          <w:p w:rsidR="00BC03BB" w:rsidRPr="006B5AE0" w:rsidRDefault="009B6E09" w:rsidP="00EA4B38">
            <w:pPr>
              <w:jc w:val="both"/>
              <w:rPr>
                <w:rStyle w:val="Strong"/>
                <w:b w:val="0"/>
                <w:sz w:val="22"/>
              </w:rPr>
            </w:pPr>
            <w:r>
              <w:rPr>
                <w:rStyle w:val="Strong"/>
                <w:b w:val="0"/>
                <w:sz w:val="22"/>
              </w:rPr>
              <w:t>All</w:t>
            </w:r>
            <w:r w:rsidR="008F0925" w:rsidRPr="00BB2E5A">
              <w:rPr>
                <w:rStyle w:val="Strong"/>
                <w:b w:val="0"/>
                <w:sz w:val="22"/>
              </w:rPr>
              <w:t xml:space="preserve"> Priority 1 violations </w:t>
            </w:r>
            <w:r>
              <w:rPr>
                <w:rStyle w:val="Strong"/>
                <w:b w:val="0"/>
                <w:sz w:val="22"/>
              </w:rPr>
              <w:t xml:space="preserve">identified in the past 18 months have been or continue to be addressed by formal enforcement actions. </w:t>
            </w:r>
            <w:r w:rsidR="008F0925" w:rsidRPr="006B5AE0">
              <w:rPr>
                <w:rStyle w:val="Strong"/>
                <w:b w:val="0"/>
                <w:sz w:val="22"/>
              </w:rPr>
              <w:t xml:space="preserve"> </w:t>
            </w:r>
          </w:p>
        </w:tc>
      </w:tr>
      <w:tr w:rsidR="00D22E6D" w:rsidRPr="00EE3347" w:rsidTr="00FD165E">
        <w:tc>
          <w:tcPr>
            <w:tcW w:w="10465" w:type="dxa"/>
            <w:tcBorders>
              <w:left w:val="nil"/>
              <w:bottom w:val="single" w:sz="4" w:space="0" w:color="auto"/>
              <w:right w:val="nil"/>
            </w:tcBorders>
            <w:tcMar>
              <w:top w:w="0" w:type="dxa"/>
              <w:bottom w:w="0" w:type="dxa"/>
            </w:tcMar>
          </w:tcPr>
          <w:p w:rsidR="00D22E6D" w:rsidRPr="00EE3347" w:rsidRDefault="00D22E6D" w:rsidP="006E02DD">
            <w:pPr>
              <w:rPr>
                <w:rStyle w:val="Strong"/>
                <w:b w:val="0"/>
                <w:sz w:val="12"/>
              </w:rPr>
            </w:pPr>
          </w:p>
        </w:tc>
      </w:tr>
      <w:tr w:rsidR="00D22E6D" w:rsidTr="00FD165E">
        <w:tc>
          <w:tcPr>
            <w:tcW w:w="10465" w:type="dxa"/>
            <w:shd w:val="clear" w:color="auto" w:fill="DAEEF3" w:themeFill="accent5" w:themeFillTint="33"/>
          </w:tcPr>
          <w:p w:rsidR="006B5AE0" w:rsidRDefault="006B5AE0" w:rsidP="006B5AE0">
            <w:pPr>
              <w:tabs>
                <w:tab w:val="left" w:pos="1815"/>
              </w:tabs>
              <w:spacing w:after="60"/>
              <w:rPr>
                <w:rStyle w:val="Strong"/>
                <w:b w:val="0"/>
                <w:sz w:val="32"/>
              </w:rPr>
            </w:pPr>
            <w:r>
              <w:rPr>
                <w:rStyle w:val="Strong"/>
                <w:b w:val="0"/>
                <w:sz w:val="32"/>
              </w:rPr>
              <w:t>Unaddressed Work</w:t>
            </w:r>
          </w:p>
          <w:p w:rsidR="00FD165E" w:rsidRDefault="00721EBD" w:rsidP="00FB1FDA">
            <w:pPr>
              <w:pStyle w:val="ListParagraph"/>
              <w:tabs>
                <w:tab w:val="left" w:pos="1815"/>
              </w:tabs>
              <w:spacing w:after="60"/>
              <w:ind w:left="0"/>
              <w:jc w:val="both"/>
              <w:rPr>
                <w:rStyle w:val="Strong"/>
                <w:b w:val="0"/>
                <w:sz w:val="22"/>
              </w:rPr>
            </w:pPr>
            <w:r w:rsidRPr="00EA4B38">
              <w:rPr>
                <w:rStyle w:val="Strong"/>
                <w:b w:val="0"/>
                <w:sz w:val="22"/>
              </w:rPr>
              <w:t>In most programs</w:t>
            </w:r>
            <w:r w:rsidR="000013BF">
              <w:rPr>
                <w:rStyle w:val="Strong"/>
                <w:b w:val="0"/>
                <w:sz w:val="22"/>
              </w:rPr>
              <w:t xml:space="preserve"> (e.g. WDRs, Storm</w:t>
            </w:r>
            <w:r w:rsidR="00FB1FDA">
              <w:rPr>
                <w:rStyle w:val="Strong"/>
                <w:b w:val="0"/>
                <w:sz w:val="22"/>
              </w:rPr>
              <w:t xml:space="preserve"> w</w:t>
            </w:r>
            <w:r w:rsidR="000013BF">
              <w:rPr>
                <w:rStyle w:val="Strong"/>
                <w:b w:val="0"/>
                <w:sz w:val="22"/>
              </w:rPr>
              <w:t>ater)</w:t>
            </w:r>
            <w:r w:rsidRPr="00EA4B38">
              <w:rPr>
                <w:rStyle w:val="Strong"/>
                <w:b w:val="0"/>
                <w:sz w:val="22"/>
              </w:rPr>
              <w:t>, only a small percentage of regulated facilities get inspected</w:t>
            </w:r>
            <w:r w:rsidR="00091303" w:rsidRPr="00EA4B38">
              <w:rPr>
                <w:rStyle w:val="Strong"/>
                <w:b w:val="0"/>
                <w:sz w:val="22"/>
              </w:rPr>
              <w:t>;</w:t>
            </w:r>
            <w:r w:rsidR="000146A2" w:rsidRPr="00EA4B38">
              <w:rPr>
                <w:rStyle w:val="Strong"/>
                <w:b w:val="0"/>
                <w:sz w:val="22"/>
              </w:rPr>
              <w:t xml:space="preserve"> and therefore</w:t>
            </w:r>
            <w:r w:rsidR="00091303" w:rsidRPr="00EA4B38">
              <w:rPr>
                <w:rStyle w:val="Strong"/>
                <w:b w:val="0"/>
                <w:sz w:val="22"/>
              </w:rPr>
              <w:t>,</w:t>
            </w:r>
            <w:r w:rsidR="000146A2" w:rsidRPr="00EA4B38">
              <w:rPr>
                <w:rStyle w:val="Strong"/>
                <w:b w:val="0"/>
                <w:sz w:val="22"/>
              </w:rPr>
              <w:t xml:space="preserve"> </w:t>
            </w:r>
            <w:r w:rsidR="00603F81">
              <w:rPr>
                <w:rStyle w:val="Strong"/>
                <w:b w:val="0"/>
                <w:sz w:val="22"/>
              </w:rPr>
              <w:t xml:space="preserve">potentially </w:t>
            </w:r>
            <w:r w:rsidR="000146A2" w:rsidRPr="00EA4B38">
              <w:rPr>
                <w:rStyle w:val="Strong"/>
                <w:b w:val="0"/>
                <w:sz w:val="22"/>
              </w:rPr>
              <w:t xml:space="preserve">many violations </w:t>
            </w:r>
            <w:r w:rsidR="00FD165E">
              <w:rPr>
                <w:rStyle w:val="Strong"/>
                <w:b w:val="0"/>
                <w:sz w:val="22"/>
              </w:rPr>
              <w:t xml:space="preserve">and associated water quality impacts </w:t>
            </w:r>
            <w:r w:rsidR="000146A2" w:rsidRPr="00EA4B38">
              <w:rPr>
                <w:rStyle w:val="Strong"/>
                <w:b w:val="0"/>
                <w:sz w:val="22"/>
              </w:rPr>
              <w:t xml:space="preserve">are not observed and </w:t>
            </w:r>
            <w:r w:rsidR="00091303" w:rsidRPr="00EA4B38">
              <w:rPr>
                <w:rStyle w:val="Strong"/>
                <w:b w:val="0"/>
                <w:sz w:val="22"/>
              </w:rPr>
              <w:t xml:space="preserve">go </w:t>
            </w:r>
            <w:r w:rsidR="000146A2" w:rsidRPr="00EA4B38">
              <w:rPr>
                <w:rStyle w:val="Strong"/>
                <w:b w:val="0"/>
                <w:sz w:val="22"/>
              </w:rPr>
              <w:t>unreported</w:t>
            </w:r>
            <w:r w:rsidRPr="00EA4B38">
              <w:rPr>
                <w:rStyle w:val="Strong"/>
                <w:b w:val="0"/>
                <w:sz w:val="22"/>
              </w:rPr>
              <w:t>.</w:t>
            </w:r>
            <w:r w:rsidR="00301F47" w:rsidRPr="00EA4B38">
              <w:rPr>
                <w:rStyle w:val="Strong"/>
                <w:b w:val="0"/>
                <w:sz w:val="22"/>
              </w:rPr>
              <w:t xml:space="preserve">  </w:t>
            </w:r>
          </w:p>
          <w:p w:rsidR="00FD165E" w:rsidRDefault="00FD165E" w:rsidP="00FB1FDA">
            <w:pPr>
              <w:pStyle w:val="ListParagraph"/>
              <w:tabs>
                <w:tab w:val="left" w:pos="1815"/>
              </w:tabs>
              <w:spacing w:after="60"/>
              <w:ind w:left="0"/>
              <w:jc w:val="both"/>
              <w:rPr>
                <w:rStyle w:val="Strong"/>
                <w:b w:val="0"/>
                <w:sz w:val="22"/>
              </w:rPr>
            </w:pPr>
            <w:r>
              <w:rPr>
                <w:rStyle w:val="Strong"/>
                <w:b w:val="0"/>
                <w:sz w:val="22"/>
              </w:rPr>
              <w:t>F</w:t>
            </w:r>
            <w:r w:rsidR="00091303" w:rsidRPr="00EA4B38">
              <w:rPr>
                <w:rStyle w:val="Strong"/>
                <w:b w:val="0"/>
                <w:sz w:val="22"/>
              </w:rPr>
              <w:t>ollow up on monitoring and technical r</w:t>
            </w:r>
            <w:r w:rsidR="00EB33EB" w:rsidRPr="00EA4B38">
              <w:rPr>
                <w:rStyle w:val="Strong"/>
                <w:b w:val="0"/>
                <w:sz w:val="22"/>
              </w:rPr>
              <w:t>eports that are not submitted.</w:t>
            </w:r>
            <w:r w:rsidR="00EA4B38">
              <w:rPr>
                <w:rStyle w:val="Strong"/>
                <w:b w:val="0"/>
                <w:sz w:val="22"/>
              </w:rPr>
              <w:t xml:space="preserve">  </w:t>
            </w:r>
          </w:p>
          <w:p w:rsidR="00FC556A" w:rsidRPr="00EA4B38" w:rsidRDefault="00FD165E" w:rsidP="00FB1FDA">
            <w:pPr>
              <w:pStyle w:val="ListParagraph"/>
              <w:tabs>
                <w:tab w:val="left" w:pos="1815"/>
              </w:tabs>
              <w:spacing w:after="60"/>
              <w:ind w:left="0"/>
              <w:jc w:val="both"/>
              <w:rPr>
                <w:rStyle w:val="Strong"/>
                <w:b w:val="0"/>
                <w:sz w:val="22"/>
              </w:rPr>
            </w:pPr>
            <w:r>
              <w:rPr>
                <w:rStyle w:val="Strong"/>
                <w:b w:val="0"/>
                <w:sz w:val="22"/>
              </w:rPr>
              <w:t xml:space="preserve">Adequate data entry for violations to be tracked within the </w:t>
            </w:r>
            <w:proofErr w:type="spellStart"/>
            <w:r>
              <w:rPr>
                <w:rStyle w:val="Strong"/>
                <w:b w:val="0"/>
                <w:sz w:val="22"/>
              </w:rPr>
              <w:t>GeoTracker</w:t>
            </w:r>
            <w:proofErr w:type="spellEnd"/>
            <w:r>
              <w:rPr>
                <w:rStyle w:val="Strong"/>
                <w:b w:val="0"/>
                <w:sz w:val="22"/>
              </w:rPr>
              <w:t xml:space="preserve"> database system.</w:t>
            </w:r>
          </w:p>
        </w:tc>
      </w:tr>
    </w:tbl>
    <w:p w:rsidR="008D2140" w:rsidRPr="006A22C8" w:rsidRDefault="008D2140" w:rsidP="00EB33EB">
      <w:pPr>
        <w:rPr>
          <w:rStyle w:val="Strong"/>
          <w:b w:val="0"/>
        </w:rPr>
      </w:pPr>
    </w:p>
    <w:sectPr w:rsidR="008D2140" w:rsidRPr="006A22C8" w:rsidSect="00DC2F1B">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C0" w:rsidRDefault="00756CC0" w:rsidP="00721EBD">
      <w:r>
        <w:separator/>
      </w:r>
    </w:p>
  </w:endnote>
  <w:endnote w:type="continuationSeparator" w:id="0">
    <w:p w:rsidR="00756CC0" w:rsidRDefault="00756CC0" w:rsidP="0072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C0" w:rsidRDefault="00756CC0" w:rsidP="00721EBD">
      <w:r>
        <w:separator/>
      </w:r>
    </w:p>
  </w:footnote>
  <w:footnote w:type="continuationSeparator" w:id="0">
    <w:p w:rsidR="00756CC0" w:rsidRDefault="00756CC0" w:rsidP="0072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BF" w:rsidRDefault="00881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25036"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BF" w:rsidRDefault="00881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25037" o:spid="_x0000_s2051" type="#_x0000_t136" style="position:absolute;margin-left:0;margin-top:0;width:514.8pt;height:205.9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BF" w:rsidRDefault="00881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25035"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828"/>
    <w:multiLevelType w:val="hybridMultilevel"/>
    <w:tmpl w:val="40FC6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934954"/>
    <w:multiLevelType w:val="hybridMultilevel"/>
    <w:tmpl w:val="C9A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17DAB"/>
    <w:multiLevelType w:val="hybridMultilevel"/>
    <w:tmpl w:val="4494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43B49"/>
    <w:multiLevelType w:val="hybridMultilevel"/>
    <w:tmpl w:val="67DA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C1403"/>
    <w:multiLevelType w:val="hybridMultilevel"/>
    <w:tmpl w:val="A0DA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582EE5"/>
    <w:multiLevelType w:val="hybridMultilevel"/>
    <w:tmpl w:val="9BF48A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A53F5F"/>
    <w:multiLevelType w:val="hybridMultilevel"/>
    <w:tmpl w:val="BC5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666A3"/>
    <w:multiLevelType w:val="hybridMultilevel"/>
    <w:tmpl w:val="178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DB4BE6"/>
    <w:multiLevelType w:val="hybridMultilevel"/>
    <w:tmpl w:val="A014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10A64"/>
    <w:multiLevelType w:val="hybridMultilevel"/>
    <w:tmpl w:val="83C6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45CE2"/>
    <w:multiLevelType w:val="hybridMultilevel"/>
    <w:tmpl w:val="735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
  </w:num>
  <w:num w:numId="5">
    <w:abstractNumId w:val="0"/>
  </w:num>
  <w:num w:numId="6">
    <w:abstractNumId w:val="5"/>
  </w:num>
  <w:num w:numId="7">
    <w:abstractNumId w:val="3"/>
  </w:num>
  <w:num w:numId="8">
    <w:abstractNumId w:val="2"/>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40"/>
    <w:rsid w:val="00000057"/>
    <w:rsid w:val="000013BF"/>
    <w:rsid w:val="0001018C"/>
    <w:rsid w:val="000146A2"/>
    <w:rsid w:val="00031AA4"/>
    <w:rsid w:val="00050E4B"/>
    <w:rsid w:val="00054EB0"/>
    <w:rsid w:val="0007563E"/>
    <w:rsid w:val="000762AF"/>
    <w:rsid w:val="00091303"/>
    <w:rsid w:val="000A2D34"/>
    <w:rsid w:val="000D5830"/>
    <w:rsid w:val="000D6FDA"/>
    <w:rsid w:val="000D71D5"/>
    <w:rsid w:val="000E014E"/>
    <w:rsid w:val="000E1447"/>
    <w:rsid w:val="000E2D13"/>
    <w:rsid w:val="00117FE9"/>
    <w:rsid w:val="0013585B"/>
    <w:rsid w:val="00150981"/>
    <w:rsid w:val="00155A4C"/>
    <w:rsid w:val="00182604"/>
    <w:rsid w:val="00186F5B"/>
    <w:rsid w:val="001879A4"/>
    <w:rsid w:val="001A7EA5"/>
    <w:rsid w:val="001B4830"/>
    <w:rsid w:val="001D10DE"/>
    <w:rsid w:val="001F2DFF"/>
    <w:rsid w:val="001F58BF"/>
    <w:rsid w:val="00232A64"/>
    <w:rsid w:val="00237C72"/>
    <w:rsid w:val="00275AE5"/>
    <w:rsid w:val="002803FE"/>
    <w:rsid w:val="00282B8A"/>
    <w:rsid w:val="00283629"/>
    <w:rsid w:val="00283FC4"/>
    <w:rsid w:val="00285EA9"/>
    <w:rsid w:val="002C35DA"/>
    <w:rsid w:val="002D2E02"/>
    <w:rsid w:val="002E0A12"/>
    <w:rsid w:val="002F2244"/>
    <w:rsid w:val="002F54D1"/>
    <w:rsid w:val="002F69E6"/>
    <w:rsid w:val="00301F47"/>
    <w:rsid w:val="003049F3"/>
    <w:rsid w:val="003061CB"/>
    <w:rsid w:val="00311105"/>
    <w:rsid w:val="00317AD9"/>
    <w:rsid w:val="003356C8"/>
    <w:rsid w:val="003819DE"/>
    <w:rsid w:val="00397597"/>
    <w:rsid w:val="003B0506"/>
    <w:rsid w:val="003D55BF"/>
    <w:rsid w:val="003F4BF5"/>
    <w:rsid w:val="00434E87"/>
    <w:rsid w:val="004526D7"/>
    <w:rsid w:val="004710C6"/>
    <w:rsid w:val="00473F51"/>
    <w:rsid w:val="004808AF"/>
    <w:rsid w:val="00486F72"/>
    <w:rsid w:val="0049336F"/>
    <w:rsid w:val="004C0815"/>
    <w:rsid w:val="004D171C"/>
    <w:rsid w:val="004D2DE2"/>
    <w:rsid w:val="004E22AC"/>
    <w:rsid w:val="005013DA"/>
    <w:rsid w:val="00503353"/>
    <w:rsid w:val="00504F85"/>
    <w:rsid w:val="00526AEC"/>
    <w:rsid w:val="00542F59"/>
    <w:rsid w:val="005643B3"/>
    <w:rsid w:val="00572047"/>
    <w:rsid w:val="00575C6C"/>
    <w:rsid w:val="00584AEE"/>
    <w:rsid w:val="00590AE1"/>
    <w:rsid w:val="0059312B"/>
    <w:rsid w:val="005A2F37"/>
    <w:rsid w:val="005B0632"/>
    <w:rsid w:val="005D202A"/>
    <w:rsid w:val="005D7BC5"/>
    <w:rsid w:val="005E3FE6"/>
    <w:rsid w:val="00603F81"/>
    <w:rsid w:val="00605866"/>
    <w:rsid w:val="006202FC"/>
    <w:rsid w:val="006443C5"/>
    <w:rsid w:val="00655F2A"/>
    <w:rsid w:val="00682F07"/>
    <w:rsid w:val="00685F70"/>
    <w:rsid w:val="00687C6A"/>
    <w:rsid w:val="006A22C8"/>
    <w:rsid w:val="006A3D1A"/>
    <w:rsid w:val="006B0891"/>
    <w:rsid w:val="006B5AE0"/>
    <w:rsid w:val="006E02DD"/>
    <w:rsid w:val="006E50B8"/>
    <w:rsid w:val="006F30E6"/>
    <w:rsid w:val="00700FA7"/>
    <w:rsid w:val="00704521"/>
    <w:rsid w:val="0071797F"/>
    <w:rsid w:val="00717E1F"/>
    <w:rsid w:val="00721EBD"/>
    <w:rsid w:val="00727D5C"/>
    <w:rsid w:val="00756CC0"/>
    <w:rsid w:val="00757181"/>
    <w:rsid w:val="00760F05"/>
    <w:rsid w:val="00772EC0"/>
    <w:rsid w:val="007842F7"/>
    <w:rsid w:val="00785AC3"/>
    <w:rsid w:val="007A3235"/>
    <w:rsid w:val="007B07F3"/>
    <w:rsid w:val="007C56CC"/>
    <w:rsid w:val="007E5AB5"/>
    <w:rsid w:val="007F414E"/>
    <w:rsid w:val="00802548"/>
    <w:rsid w:val="00810D68"/>
    <w:rsid w:val="0082107B"/>
    <w:rsid w:val="00824D03"/>
    <w:rsid w:val="00830125"/>
    <w:rsid w:val="00835EA4"/>
    <w:rsid w:val="0083783E"/>
    <w:rsid w:val="00852ED8"/>
    <w:rsid w:val="008640B9"/>
    <w:rsid w:val="00881D68"/>
    <w:rsid w:val="0089637B"/>
    <w:rsid w:val="008B53CE"/>
    <w:rsid w:val="008B778E"/>
    <w:rsid w:val="008D2140"/>
    <w:rsid w:val="008D66B7"/>
    <w:rsid w:val="008F0925"/>
    <w:rsid w:val="008F2E65"/>
    <w:rsid w:val="00920DF2"/>
    <w:rsid w:val="00924C48"/>
    <w:rsid w:val="0092517B"/>
    <w:rsid w:val="009370D6"/>
    <w:rsid w:val="00951B90"/>
    <w:rsid w:val="0099215A"/>
    <w:rsid w:val="009B6E09"/>
    <w:rsid w:val="009D162D"/>
    <w:rsid w:val="009E7F67"/>
    <w:rsid w:val="009F5486"/>
    <w:rsid w:val="00A06265"/>
    <w:rsid w:val="00A075A5"/>
    <w:rsid w:val="00A17E64"/>
    <w:rsid w:val="00A3452E"/>
    <w:rsid w:val="00A36F09"/>
    <w:rsid w:val="00A3756C"/>
    <w:rsid w:val="00A37FFA"/>
    <w:rsid w:val="00A400A2"/>
    <w:rsid w:val="00A66CE9"/>
    <w:rsid w:val="00AC6048"/>
    <w:rsid w:val="00AD1674"/>
    <w:rsid w:val="00AE61D6"/>
    <w:rsid w:val="00B074CD"/>
    <w:rsid w:val="00B11F51"/>
    <w:rsid w:val="00B32A4A"/>
    <w:rsid w:val="00B43E9C"/>
    <w:rsid w:val="00B62C27"/>
    <w:rsid w:val="00B66207"/>
    <w:rsid w:val="00B75B40"/>
    <w:rsid w:val="00B80B13"/>
    <w:rsid w:val="00B80C0A"/>
    <w:rsid w:val="00B86C8B"/>
    <w:rsid w:val="00B93387"/>
    <w:rsid w:val="00BA3741"/>
    <w:rsid w:val="00BA49C7"/>
    <w:rsid w:val="00BA4D14"/>
    <w:rsid w:val="00BA5F2C"/>
    <w:rsid w:val="00BB2E5A"/>
    <w:rsid w:val="00BC03BB"/>
    <w:rsid w:val="00BC7E4D"/>
    <w:rsid w:val="00BD1432"/>
    <w:rsid w:val="00BE3B62"/>
    <w:rsid w:val="00BF019C"/>
    <w:rsid w:val="00BF45C2"/>
    <w:rsid w:val="00BF7803"/>
    <w:rsid w:val="00C67829"/>
    <w:rsid w:val="00C9432A"/>
    <w:rsid w:val="00C95421"/>
    <w:rsid w:val="00CA664E"/>
    <w:rsid w:val="00CD384C"/>
    <w:rsid w:val="00CF2B2F"/>
    <w:rsid w:val="00D03FB7"/>
    <w:rsid w:val="00D11A43"/>
    <w:rsid w:val="00D15949"/>
    <w:rsid w:val="00D22E6D"/>
    <w:rsid w:val="00D301F4"/>
    <w:rsid w:val="00D41CD4"/>
    <w:rsid w:val="00D55EDA"/>
    <w:rsid w:val="00D95240"/>
    <w:rsid w:val="00DB2B5F"/>
    <w:rsid w:val="00DC2F1B"/>
    <w:rsid w:val="00DD41A1"/>
    <w:rsid w:val="00DD4A97"/>
    <w:rsid w:val="00DF3AC0"/>
    <w:rsid w:val="00E04844"/>
    <w:rsid w:val="00E1568B"/>
    <w:rsid w:val="00E22A8B"/>
    <w:rsid w:val="00E628C7"/>
    <w:rsid w:val="00E705C0"/>
    <w:rsid w:val="00E97B8F"/>
    <w:rsid w:val="00EA3918"/>
    <w:rsid w:val="00EA4B38"/>
    <w:rsid w:val="00EA58B1"/>
    <w:rsid w:val="00EB33EB"/>
    <w:rsid w:val="00ED69F7"/>
    <w:rsid w:val="00EE3347"/>
    <w:rsid w:val="00F025A0"/>
    <w:rsid w:val="00F052DB"/>
    <w:rsid w:val="00F179E4"/>
    <w:rsid w:val="00F2203E"/>
    <w:rsid w:val="00F27754"/>
    <w:rsid w:val="00F42B03"/>
    <w:rsid w:val="00F44659"/>
    <w:rsid w:val="00F524AD"/>
    <w:rsid w:val="00F52821"/>
    <w:rsid w:val="00F52881"/>
    <w:rsid w:val="00F53CC3"/>
    <w:rsid w:val="00F77AC9"/>
    <w:rsid w:val="00F80830"/>
    <w:rsid w:val="00F86950"/>
    <w:rsid w:val="00F93808"/>
    <w:rsid w:val="00FA222A"/>
    <w:rsid w:val="00FA2C2A"/>
    <w:rsid w:val="00FB1FDA"/>
    <w:rsid w:val="00FC3BBE"/>
    <w:rsid w:val="00FC556A"/>
    <w:rsid w:val="00FD165E"/>
    <w:rsid w:val="00FD60B8"/>
    <w:rsid w:val="00FF4812"/>
    <w:rsid w:val="00FF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D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paragraph" w:styleId="Header">
    <w:name w:val="header"/>
    <w:basedOn w:val="Normal"/>
    <w:link w:val="HeaderChar"/>
    <w:rsid w:val="00721EBD"/>
    <w:pPr>
      <w:tabs>
        <w:tab w:val="center" w:pos="4680"/>
        <w:tab w:val="right" w:pos="9360"/>
      </w:tabs>
    </w:pPr>
  </w:style>
  <w:style w:type="character" w:customStyle="1" w:styleId="HeaderChar">
    <w:name w:val="Header Char"/>
    <w:basedOn w:val="DefaultParagraphFont"/>
    <w:link w:val="Header"/>
    <w:rsid w:val="00721EBD"/>
    <w:rPr>
      <w:rFonts w:ascii="Arial" w:hAnsi="Arial"/>
      <w:sz w:val="24"/>
      <w:szCs w:val="24"/>
    </w:rPr>
  </w:style>
  <w:style w:type="paragraph" w:styleId="Footer">
    <w:name w:val="footer"/>
    <w:basedOn w:val="Normal"/>
    <w:link w:val="FooterChar"/>
    <w:rsid w:val="00721EBD"/>
    <w:pPr>
      <w:tabs>
        <w:tab w:val="center" w:pos="4680"/>
        <w:tab w:val="right" w:pos="9360"/>
      </w:tabs>
    </w:pPr>
  </w:style>
  <w:style w:type="character" w:customStyle="1" w:styleId="FooterChar">
    <w:name w:val="Footer Char"/>
    <w:basedOn w:val="DefaultParagraphFont"/>
    <w:link w:val="Footer"/>
    <w:rsid w:val="00721EBD"/>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D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paragraph" w:styleId="Header">
    <w:name w:val="header"/>
    <w:basedOn w:val="Normal"/>
    <w:link w:val="HeaderChar"/>
    <w:rsid w:val="00721EBD"/>
    <w:pPr>
      <w:tabs>
        <w:tab w:val="center" w:pos="4680"/>
        <w:tab w:val="right" w:pos="9360"/>
      </w:tabs>
    </w:pPr>
  </w:style>
  <w:style w:type="character" w:customStyle="1" w:styleId="HeaderChar">
    <w:name w:val="Header Char"/>
    <w:basedOn w:val="DefaultParagraphFont"/>
    <w:link w:val="Header"/>
    <w:rsid w:val="00721EBD"/>
    <w:rPr>
      <w:rFonts w:ascii="Arial" w:hAnsi="Arial"/>
      <w:sz w:val="24"/>
      <w:szCs w:val="24"/>
    </w:rPr>
  </w:style>
  <w:style w:type="paragraph" w:styleId="Footer">
    <w:name w:val="footer"/>
    <w:basedOn w:val="Normal"/>
    <w:link w:val="FooterChar"/>
    <w:rsid w:val="00721EBD"/>
    <w:pPr>
      <w:tabs>
        <w:tab w:val="center" w:pos="4680"/>
        <w:tab w:val="right" w:pos="9360"/>
      </w:tabs>
    </w:pPr>
  </w:style>
  <w:style w:type="character" w:customStyle="1" w:styleId="FooterChar">
    <w:name w:val="Footer Char"/>
    <w:basedOn w:val="DefaultParagraphFont"/>
    <w:link w:val="Footer"/>
    <w:rsid w:val="00721EB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40807">
      <w:bodyDiv w:val="1"/>
      <w:marLeft w:val="0"/>
      <w:marRight w:val="0"/>
      <w:marTop w:val="0"/>
      <w:marBottom w:val="0"/>
      <w:divBdr>
        <w:top w:val="none" w:sz="0" w:space="0" w:color="auto"/>
        <w:left w:val="none" w:sz="0" w:space="0" w:color="auto"/>
        <w:bottom w:val="none" w:sz="0" w:space="0" w:color="auto"/>
        <w:right w:val="none" w:sz="0" w:space="0" w:color="auto"/>
      </w:divBdr>
    </w:div>
    <w:div w:id="1484810709">
      <w:bodyDiv w:val="1"/>
      <w:marLeft w:val="0"/>
      <w:marRight w:val="0"/>
      <w:marTop w:val="0"/>
      <w:marBottom w:val="0"/>
      <w:divBdr>
        <w:top w:val="none" w:sz="0" w:space="0" w:color="auto"/>
        <w:left w:val="none" w:sz="0" w:space="0" w:color="auto"/>
        <w:bottom w:val="none" w:sz="0" w:space="0" w:color="auto"/>
        <w:right w:val="none" w:sz="0" w:space="0" w:color="auto"/>
      </w:divBdr>
      <w:divsChild>
        <w:div w:id="1676346647">
          <w:marLeft w:val="0"/>
          <w:marRight w:val="0"/>
          <w:marTop w:val="0"/>
          <w:marBottom w:val="0"/>
          <w:divBdr>
            <w:top w:val="none" w:sz="0" w:space="0" w:color="auto"/>
            <w:left w:val="none" w:sz="0" w:space="0" w:color="auto"/>
            <w:bottom w:val="none" w:sz="0" w:space="0" w:color="auto"/>
            <w:right w:val="none" w:sz="0" w:space="0" w:color="auto"/>
          </w:divBdr>
        </w:div>
      </w:divsChild>
    </w:div>
    <w:div w:id="1567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08B2-6E65-4994-B9F8-4517ACBB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842</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Shay</dc:creator>
  <cp:lastModifiedBy>Kouyoumdjian, Patty@Waterboards</cp:lastModifiedBy>
  <cp:revision>4</cp:revision>
  <cp:lastPrinted>2016-01-26T16:14:00Z</cp:lastPrinted>
  <dcterms:created xsi:type="dcterms:W3CDTF">2018-03-17T02:24:00Z</dcterms:created>
  <dcterms:modified xsi:type="dcterms:W3CDTF">2018-03-20T17:38:00Z</dcterms:modified>
</cp:coreProperties>
</file>