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81C3" w14:textId="77777777" w:rsidR="006D6EDC" w:rsidRDefault="006D6EDC" w:rsidP="006D6EDC">
      <w:pPr>
        <w:jc w:val="center"/>
        <w:rPr>
          <w:rStyle w:val="Strong"/>
          <w:rFonts w:eastAsiaTheme="majorEastAsia" w:cs="Arial"/>
          <w:sz w:val="32"/>
        </w:rPr>
      </w:pPr>
      <w:bookmarkStart w:id="0" w:name="_GoBack"/>
      <w:bookmarkEnd w:id="0"/>
      <w:r>
        <w:rPr>
          <w:noProof/>
        </w:rPr>
        <w:drawing>
          <wp:anchor distT="0" distB="0" distL="114300" distR="114300" simplePos="0" relativeHeight="251662336" behindDoc="1" locked="0" layoutInCell="1" allowOverlap="1" wp14:anchorId="6C682F05" wp14:editId="73E0D2B7">
            <wp:simplePos x="0" y="0"/>
            <wp:positionH relativeFrom="column">
              <wp:posOffset>-80010</wp:posOffset>
            </wp:positionH>
            <wp:positionV relativeFrom="paragraph">
              <wp:posOffset>-68580</wp:posOffset>
            </wp:positionV>
            <wp:extent cx="6269355"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9355" cy="1095375"/>
                    </a:xfrm>
                    <a:prstGeom prst="rect">
                      <a:avLst/>
                    </a:prstGeom>
                    <a:noFill/>
                  </pic:spPr>
                </pic:pic>
              </a:graphicData>
            </a:graphic>
            <wp14:sizeRelH relativeFrom="margin">
              <wp14:pctWidth>0</wp14:pctWidth>
            </wp14:sizeRelH>
            <wp14:sizeRelV relativeFrom="margin">
              <wp14:pctHeight>0</wp14:pctHeight>
            </wp14:sizeRelV>
          </wp:anchor>
        </w:drawing>
      </w:r>
      <w:r w:rsidR="009817B5">
        <w:rPr>
          <w:rStyle w:val="Strong"/>
          <w:rFonts w:eastAsiaTheme="majorEastAsia" w:cs="Arial"/>
          <w:sz w:val="32"/>
        </w:rPr>
        <w:t>L</w:t>
      </w:r>
      <w:r>
        <w:rPr>
          <w:rStyle w:val="Strong"/>
          <w:rFonts w:eastAsiaTheme="majorEastAsia" w:cs="Arial"/>
          <w:sz w:val="32"/>
        </w:rPr>
        <w:t xml:space="preserve">ahontan Water Board Program Fact Sheet </w:t>
      </w:r>
    </w:p>
    <w:p w14:paraId="6990C2DF" w14:textId="77777777" w:rsidR="008D2140" w:rsidRPr="006D6EDC" w:rsidRDefault="0055141A" w:rsidP="008D2140">
      <w:pPr>
        <w:jc w:val="center"/>
        <w:rPr>
          <w:rStyle w:val="Strong"/>
          <w:sz w:val="32"/>
          <w:szCs w:val="32"/>
        </w:rPr>
      </w:pPr>
      <w:r w:rsidRPr="006D6EDC">
        <w:rPr>
          <w:rStyle w:val="Strong"/>
          <w:sz w:val="32"/>
          <w:szCs w:val="32"/>
        </w:rPr>
        <w:t>FY 201</w:t>
      </w:r>
      <w:r w:rsidR="002F3F87">
        <w:rPr>
          <w:rStyle w:val="Strong"/>
          <w:sz w:val="32"/>
          <w:szCs w:val="32"/>
        </w:rPr>
        <w:t>7</w:t>
      </w:r>
      <w:r w:rsidR="00790F9D">
        <w:rPr>
          <w:rStyle w:val="Strong"/>
          <w:sz w:val="32"/>
          <w:szCs w:val="32"/>
        </w:rPr>
        <w:t>-201</w:t>
      </w:r>
      <w:r w:rsidR="002F3F87">
        <w:rPr>
          <w:rStyle w:val="Strong"/>
          <w:sz w:val="32"/>
          <w:szCs w:val="32"/>
        </w:rPr>
        <w:t>8</w:t>
      </w:r>
    </w:p>
    <w:tbl>
      <w:tblPr>
        <w:tblStyle w:val="TableGrid"/>
        <w:tblW w:w="0" w:type="auto"/>
        <w:tblCellMar>
          <w:top w:w="216" w:type="dxa"/>
          <w:left w:w="115" w:type="dxa"/>
          <w:bottom w:w="216" w:type="dxa"/>
          <w:right w:w="115" w:type="dxa"/>
        </w:tblCellMar>
        <w:tblLook w:val="04A0" w:firstRow="1" w:lastRow="0" w:firstColumn="1" w:lastColumn="0" w:noHBand="0" w:noVBand="1"/>
      </w:tblPr>
      <w:tblGrid>
        <w:gridCol w:w="9878"/>
      </w:tblGrid>
      <w:tr w:rsidR="00D22E6D" w:rsidRPr="000E014E" w14:paraId="59EAD7E0" w14:textId="77777777" w:rsidTr="00CF2B2F">
        <w:tc>
          <w:tcPr>
            <w:tcW w:w="9878" w:type="dxa"/>
            <w:tcBorders>
              <w:top w:val="nil"/>
              <w:left w:val="nil"/>
              <w:bottom w:val="single" w:sz="4" w:space="0" w:color="auto"/>
              <w:right w:val="nil"/>
            </w:tcBorders>
            <w:shd w:val="clear" w:color="auto" w:fill="auto"/>
          </w:tcPr>
          <w:p w14:paraId="7190C538" w14:textId="77777777" w:rsidR="00F524AD" w:rsidRPr="000E014E" w:rsidRDefault="00417AE5" w:rsidP="00417AE5">
            <w:pPr>
              <w:tabs>
                <w:tab w:val="right" w:pos="9630"/>
              </w:tabs>
              <w:jc w:val="center"/>
              <w:rPr>
                <w:rStyle w:val="Strong"/>
                <w:sz w:val="40"/>
                <w:szCs w:val="32"/>
              </w:rPr>
            </w:pPr>
            <w:r>
              <w:rPr>
                <w:rStyle w:val="Strong"/>
                <w:i/>
                <w:sz w:val="40"/>
                <w:szCs w:val="32"/>
              </w:rPr>
              <w:t>Timber Harvest</w:t>
            </w:r>
          </w:p>
        </w:tc>
      </w:tr>
      <w:tr w:rsidR="00D22E6D" w:rsidRPr="0088593B" w14:paraId="4122C6F7" w14:textId="77777777" w:rsidTr="0088593B">
        <w:tc>
          <w:tcPr>
            <w:tcW w:w="9878" w:type="dxa"/>
            <w:tcBorders>
              <w:left w:val="nil"/>
              <w:bottom w:val="single" w:sz="4" w:space="0" w:color="auto"/>
              <w:right w:val="nil"/>
            </w:tcBorders>
            <w:tcMar>
              <w:top w:w="0" w:type="dxa"/>
              <w:bottom w:w="0" w:type="dxa"/>
            </w:tcMar>
          </w:tcPr>
          <w:p w14:paraId="216880D2" w14:textId="77777777" w:rsidR="00D22E6D" w:rsidRPr="0088593B" w:rsidRDefault="00D22E6D" w:rsidP="006E02DD">
            <w:pPr>
              <w:rPr>
                <w:rStyle w:val="Strong"/>
                <w:b w:val="0"/>
                <w:sz w:val="12"/>
              </w:rPr>
            </w:pPr>
          </w:p>
        </w:tc>
      </w:tr>
      <w:tr w:rsidR="00D22E6D" w14:paraId="614FC8BB" w14:textId="77777777" w:rsidTr="0088593B">
        <w:tc>
          <w:tcPr>
            <w:tcW w:w="9878" w:type="dxa"/>
            <w:tcBorders>
              <w:bottom w:val="single" w:sz="4" w:space="0" w:color="auto"/>
            </w:tcBorders>
            <w:shd w:val="clear" w:color="auto" w:fill="EAF1DD" w:themeFill="accent3" w:themeFillTint="33"/>
            <w:tcMar>
              <w:top w:w="0" w:type="dxa"/>
              <w:bottom w:w="0" w:type="dxa"/>
            </w:tcMar>
          </w:tcPr>
          <w:p w14:paraId="6E37C0ED" w14:textId="77777777" w:rsidR="00685F70" w:rsidRPr="00551D25" w:rsidRDefault="00D22E6D" w:rsidP="00551D25">
            <w:pPr>
              <w:tabs>
                <w:tab w:val="left" w:pos="1800"/>
              </w:tabs>
              <w:rPr>
                <w:rStyle w:val="Strong"/>
                <w:b w:val="0"/>
              </w:rPr>
            </w:pPr>
            <w:r w:rsidRPr="00551D25">
              <w:rPr>
                <w:rStyle w:val="Strong"/>
                <w:b w:val="0"/>
              </w:rPr>
              <w:t>Overview</w:t>
            </w:r>
          </w:p>
          <w:p w14:paraId="6BF14413" w14:textId="77777777" w:rsidR="00417AE5" w:rsidRPr="00551D25" w:rsidRDefault="00417AE5" w:rsidP="00551D25">
            <w:pPr>
              <w:rPr>
                <w:rStyle w:val="Strong"/>
                <w:b w:val="0"/>
              </w:rPr>
            </w:pPr>
            <w:r w:rsidRPr="00551D25">
              <w:rPr>
                <w:rStyle w:val="Strong"/>
                <w:b w:val="0"/>
              </w:rPr>
              <w:t xml:space="preserve">The Region’s Timber Harvest Program </w:t>
            </w:r>
            <w:r w:rsidR="00072DE6" w:rsidRPr="00551D25">
              <w:rPr>
                <w:rStyle w:val="Strong"/>
                <w:b w:val="0"/>
              </w:rPr>
              <w:t xml:space="preserve">resources are </w:t>
            </w:r>
            <w:r w:rsidR="00687E27">
              <w:rPr>
                <w:rStyle w:val="Strong"/>
                <w:b w:val="0"/>
              </w:rPr>
              <w:t>3</w:t>
            </w:r>
            <w:r w:rsidR="00696AE9" w:rsidRPr="00551D25">
              <w:rPr>
                <w:rStyle w:val="Strong"/>
                <w:b w:val="0"/>
              </w:rPr>
              <w:t xml:space="preserve">.5 </w:t>
            </w:r>
            <w:r w:rsidR="00072DE6" w:rsidRPr="00551D25">
              <w:rPr>
                <w:rStyle w:val="Strong"/>
                <w:b w:val="0"/>
              </w:rPr>
              <w:t xml:space="preserve">PY from the State General Fund </w:t>
            </w:r>
            <w:r w:rsidR="00687E27">
              <w:rPr>
                <w:rStyle w:val="Strong"/>
                <w:b w:val="0"/>
              </w:rPr>
              <w:t xml:space="preserve">and the State’s </w:t>
            </w:r>
            <w:r w:rsidR="00FE36F3">
              <w:rPr>
                <w:rStyle w:val="Strong"/>
                <w:b w:val="0"/>
              </w:rPr>
              <w:t>lumber product assessment</w:t>
            </w:r>
            <w:r w:rsidR="00687E27">
              <w:rPr>
                <w:rStyle w:val="Strong"/>
                <w:b w:val="0"/>
              </w:rPr>
              <w:t xml:space="preserve"> fund. T</w:t>
            </w:r>
            <w:r w:rsidR="00072DE6" w:rsidRPr="00551D25">
              <w:rPr>
                <w:rStyle w:val="Strong"/>
                <w:b w:val="0"/>
              </w:rPr>
              <w:t xml:space="preserve">he program </w:t>
            </w:r>
            <w:r w:rsidR="002F1ADD" w:rsidRPr="00551D25">
              <w:rPr>
                <w:rStyle w:val="Strong"/>
                <w:b w:val="0"/>
              </w:rPr>
              <w:t xml:space="preserve">uses </w:t>
            </w:r>
            <w:r w:rsidRPr="00551D25">
              <w:rPr>
                <w:rStyle w:val="Strong"/>
                <w:b w:val="0"/>
              </w:rPr>
              <w:t>a con</w:t>
            </w:r>
            <w:r w:rsidR="00072DE6" w:rsidRPr="00551D25">
              <w:rPr>
                <w:rStyle w:val="Strong"/>
                <w:b w:val="0"/>
              </w:rPr>
              <w:t>ditional waiver (</w:t>
            </w:r>
            <w:r w:rsidR="00906B9E">
              <w:rPr>
                <w:rStyle w:val="Strong"/>
                <w:b w:val="0"/>
              </w:rPr>
              <w:t xml:space="preserve">2014 </w:t>
            </w:r>
            <w:r w:rsidR="00072DE6" w:rsidRPr="00551D25">
              <w:rPr>
                <w:rStyle w:val="Strong"/>
                <w:b w:val="0"/>
              </w:rPr>
              <w:t>Timber Waiver)</w:t>
            </w:r>
            <w:r w:rsidRPr="00551D25">
              <w:rPr>
                <w:rStyle w:val="Strong"/>
                <w:b w:val="0"/>
              </w:rPr>
              <w:t xml:space="preserve"> to implement </w:t>
            </w:r>
            <w:r w:rsidR="002F1ADD" w:rsidRPr="00551D25">
              <w:rPr>
                <w:rStyle w:val="Strong"/>
                <w:b w:val="0"/>
              </w:rPr>
              <w:t xml:space="preserve">the </w:t>
            </w:r>
            <w:r w:rsidRPr="00551D25">
              <w:rPr>
                <w:rStyle w:val="Strong"/>
                <w:b w:val="0"/>
              </w:rPr>
              <w:t xml:space="preserve">Nonpoint Source Pollution Control Program. The Timber Waiver applies to vegetation management projects that range from </w:t>
            </w:r>
            <w:r w:rsidR="002F1ADD" w:rsidRPr="00551D25">
              <w:rPr>
                <w:rStyle w:val="Strong"/>
                <w:b w:val="0"/>
              </w:rPr>
              <w:t xml:space="preserve">homeowner </w:t>
            </w:r>
            <w:r w:rsidRPr="00551D25">
              <w:rPr>
                <w:rStyle w:val="Strong"/>
                <w:b w:val="0"/>
              </w:rPr>
              <w:t xml:space="preserve">defensible space operations to </w:t>
            </w:r>
            <w:r w:rsidR="00F13FCC" w:rsidRPr="00551D25">
              <w:rPr>
                <w:rStyle w:val="Strong"/>
                <w:b w:val="0"/>
              </w:rPr>
              <w:t>lo</w:t>
            </w:r>
            <w:r w:rsidR="00790F9D" w:rsidRPr="00551D25">
              <w:rPr>
                <w:rStyle w:val="Strong"/>
                <w:b w:val="0"/>
              </w:rPr>
              <w:t>c</w:t>
            </w:r>
            <w:r w:rsidR="00F13FCC" w:rsidRPr="00551D25">
              <w:rPr>
                <w:rStyle w:val="Strong"/>
                <w:b w:val="0"/>
              </w:rPr>
              <w:t xml:space="preserve">al </w:t>
            </w:r>
            <w:r w:rsidR="002F1ADD" w:rsidRPr="00551D25">
              <w:rPr>
                <w:rStyle w:val="Strong"/>
                <w:b w:val="0"/>
              </w:rPr>
              <w:t xml:space="preserve">Fire Protection Districts’ </w:t>
            </w:r>
            <w:r w:rsidR="00072DE6" w:rsidRPr="00551D25">
              <w:rPr>
                <w:rStyle w:val="Strong"/>
                <w:b w:val="0"/>
              </w:rPr>
              <w:t>community protection plans</w:t>
            </w:r>
            <w:r w:rsidRPr="00551D25">
              <w:rPr>
                <w:rStyle w:val="Strong"/>
                <w:b w:val="0"/>
              </w:rPr>
              <w:t xml:space="preserve">, to large Wildland Urban Interface projects proposed by the </w:t>
            </w:r>
            <w:r w:rsidR="00FE36F3">
              <w:rPr>
                <w:rStyle w:val="Strong"/>
                <w:b w:val="0"/>
              </w:rPr>
              <w:t>California</w:t>
            </w:r>
            <w:r w:rsidR="00FE36F3" w:rsidRPr="00551D25">
              <w:rPr>
                <w:rStyle w:val="Strong"/>
                <w:b w:val="0"/>
              </w:rPr>
              <w:t xml:space="preserve"> </w:t>
            </w:r>
            <w:r w:rsidRPr="00551D25">
              <w:rPr>
                <w:rStyle w:val="Strong"/>
                <w:b w:val="0"/>
              </w:rPr>
              <w:t>Dep</w:t>
            </w:r>
            <w:r w:rsidR="00FE36F3">
              <w:rPr>
                <w:rStyle w:val="Strong"/>
                <w:b w:val="0"/>
              </w:rPr>
              <w:t>artment</w:t>
            </w:r>
            <w:r w:rsidRPr="00551D25">
              <w:rPr>
                <w:rStyle w:val="Strong"/>
                <w:b w:val="0"/>
              </w:rPr>
              <w:t xml:space="preserve">. of Parks and Recreation, the BLM, and the USFS. Commercial timber harvest conducted by small landowners, industrial timber companies, and the USFS are also covered </w:t>
            </w:r>
            <w:r w:rsidR="0088593B" w:rsidRPr="00551D25">
              <w:rPr>
                <w:rStyle w:val="Strong"/>
                <w:b w:val="0"/>
              </w:rPr>
              <w:t>under Timber Waiver categories.</w:t>
            </w:r>
          </w:p>
          <w:p w14:paraId="21CD7009" w14:textId="77777777" w:rsidR="00F524AD" w:rsidRDefault="00417AE5" w:rsidP="00FE36F3">
            <w:pPr>
              <w:rPr>
                <w:rStyle w:val="Strong"/>
                <w:b w:val="0"/>
              </w:rPr>
            </w:pPr>
            <w:r w:rsidRPr="00551D25">
              <w:rPr>
                <w:rStyle w:val="Strong"/>
                <w:b w:val="0"/>
              </w:rPr>
              <w:t xml:space="preserve">For commercial logging projects the State has developed a Review Team process that involves the Water Boards, the CA Department of Fish and Wildlife, the CA Department of Conservation, and </w:t>
            </w:r>
            <w:r w:rsidR="009D10E3" w:rsidRPr="00551D25">
              <w:rPr>
                <w:rStyle w:val="Strong"/>
                <w:b w:val="0"/>
              </w:rPr>
              <w:t>CalFire</w:t>
            </w:r>
            <w:r w:rsidR="0057091D">
              <w:rPr>
                <w:rStyle w:val="Strong"/>
                <w:b w:val="0"/>
              </w:rPr>
              <w:t xml:space="preserve">. </w:t>
            </w:r>
            <w:r w:rsidRPr="00551D25">
              <w:rPr>
                <w:rStyle w:val="Strong"/>
                <w:b w:val="0"/>
              </w:rPr>
              <w:t xml:space="preserve">The Review Team process </w:t>
            </w:r>
            <w:r w:rsidR="00F330EB" w:rsidRPr="00551D25">
              <w:rPr>
                <w:rStyle w:val="Strong"/>
                <w:b w:val="0"/>
              </w:rPr>
              <w:t xml:space="preserve">satisfies the California </w:t>
            </w:r>
            <w:r w:rsidR="009D10E3" w:rsidRPr="00551D25">
              <w:rPr>
                <w:rStyle w:val="Strong"/>
                <w:b w:val="0"/>
              </w:rPr>
              <w:t>Environmental</w:t>
            </w:r>
            <w:r w:rsidR="00F330EB" w:rsidRPr="00551D25">
              <w:rPr>
                <w:rStyle w:val="Strong"/>
                <w:b w:val="0"/>
              </w:rPr>
              <w:t xml:space="preserve"> Quality Act requirements</w:t>
            </w:r>
            <w:r w:rsidRPr="00551D25">
              <w:rPr>
                <w:rStyle w:val="Strong"/>
                <w:b w:val="0"/>
              </w:rPr>
              <w:t xml:space="preserve">, and </w:t>
            </w:r>
            <w:r w:rsidR="009D10E3" w:rsidRPr="00551D25">
              <w:rPr>
                <w:rStyle w:val="Strong"/>
                <w:b w:val="0"/>
              </w:rPr>
              <w:t>CalFire</w:t>
            </w:r>
            <w:r w:rsidRPr="00551D25">
              <w:rPr>
                <w:rStyle w:val="Strong"/>
                <w:b w:val="0"/>
              </w:rPr>
              <w:t xml:space="preserve"> is the lead agency.</w:t>
            </w:r>
          </w:p>
        </w:tc>
      </w:tr>
      <w:tr w:rsidR="00D22E6D" w:rsidRPr="0088593B" w14:paraId="154BF059" w14:textId="77777777" w:rsidTr="00CF2B2F">
        <w:tc>
          <w:tcPr>
            <w:tcW w:w="9878" w:type="dxa"/>
            <w:tcBorders>
              <w:left w:val="nil"/>
              <w:bottom w:val="single" w:sz="4" w:space="0" w:color="auto"/>
              <w:right w:val="nil"/>
            </w:tcBorders>
            <w:tcMar>
              <w:top w:w="0" w:type="dxa"/>
              <w:bottom w:w="0" w:type="dxa"/>
            </w:tcMar>
          </w:tcPr>
          <w:p w14:paraId="4CD4A85E" w14:textId="77777777" w:rsidR="00D22E6D" w:rsidRPr="0088593B" w:rsidRDefault="0090146F" w:rsidP="006E02DD">
            <w:pPr>
              <w:rPr>
                <w:rStyle w:val="Strong"/>
                <w:b w:val="0"/>
                <w:sz w:val="12"/>
              </w:rPr>
            </w:pPr>
            <w:r>
              <w:rPr>
                <w:rStyle w:val="Strong"/>
                <w:b w:val="0"/>
                <w:sz w:val="12"/>
              </w:rPr>
              <w:t xml:space="preserve">    </w:t>
            </w:r>
          </w:p>
        </w:tc>
      </w:tr>
      <w:tr w:rsidR="00D22E6D" w14:paraId="1100A32A" w14:textId="77777777" w:rsidTr="0088593B">
        <w:tc>
          <w:tcPr>
            <w:tcW w:w="9878" w:type="dxa"/>
            <w:tcBorders>
              <w:bottom w:val="single" w:sz="4" w:space="0" w:color="auto"/>
            </w:tcBorders>
            <w:shd w:val="clear" w:color="auto" w:fill="EAF1DD" w:themeFill="accent3" w:themeFillTint="33"/>
            <w:tcMar>
              <w:top w:w="0" w:type="dxa"/>
              <w:bottom w:w="0" w:type="dxa"/>
            </w:tcMar>
          </w:tcPr>
          <w:p w14:paraId="1D5043C7" w14:textId="77777777" w:rsidR="00685F70" w:rsidRPr="00551D25" w:rsidRDefault="006D3ACC" w:rsidP="00551D25">
            <w:pPr>
              <w:tabs>
                <w:tab w:val="left" w:pos="1815"/>
              </w:tabs>
              <w:rPr>
                <w:rStyle w:val="Strong"/>
                <w:b w:val="0"/>
              </w:rPr>
            </w:pPr>
            <w:r w:rsidRPr="00551D25">
              <w:rPr>
                <w:rStyle w:val="Strong"/>
                <w:b w:val="0"/>
              </w:rPr>
              <w:t>Key Efforts</w:t>
            </w:r>
          </w:p>
          <w:p w14:paraId="2B44DAAC" w14:textId="77777777" w:rsidR="006D3ACC" w:rsidRPr="00551D25" w:rsidRDefault="006D3ACC" w:rsidP="00551D25">
            <w:pPr>
              <w:rPr>
                <w:rStyle w:val="Strong"/>
                <w:b w:val="0"/>
              </w:rPr>
            </w:pPr>
            <w:r w:rsidRPr="00551D25">
              <w:rPr>
                <w:rStyle w:val="Strong"/>
                <w:b w:val="0"/>
              </w:rPr>
              <w:t xml:space="preserve">Review </w:t>
            </w:r>
            <w:r w:rsidR="00F330EB" w:rsidRPr="00551D25">
              <w:rPr>
                <w:rStyle w:val="Strong"/>
                <w:b w:val="0"/>
              </w:rPr>
              <w:t xml:space="preserve">proposed projects </w:t>
            </w:r>
            <w:r w:rsidR="00687E27">
              <w:rPr>
                <w:rStyle w:val="Strong"/>
                <w:b w:val="0"/>
              </w:rPr>
              <w:t>to ensure that</w:t>
            </w:r>
            <w:r w:rsidR="00F330EB" w:rsidRPr="00551D25">
              <w:rPr>
                <w:rStyle w:val="Strong"/>
                <w:b w:val="0"/>
              </w:rPr>
              <w:t xml:space="preserve"> Timber Waiver</w:t>
            </w:r>
            <w:r w:rsidR="00687E27" w:rsidRPr="00551D25">
              <w:rPr>
                <w:rStyle w:val="Strong"/>
                <w:b w:val="0"/>
              </w:rPr>
              <w:t xml:space="preserve"> requirements</w:t>
            </w:r>
            <w:r w:rsidR="00687E27">
              <w:rPr>
                <w:rStyle w:val="Strong"/>
                <w:b w:val="0"/>
              </w:rPr>
              <w:t xml:space="preserve"> are adhered to</w:t>
            </w:r>
            <w:r w:rsidR="00F330EB" w:rsidRPr="00551D25">
              <w:rPr>
                <w:rStyle w:val="Strong"/>
                <w:b w:val="0"/>
              </w:rPr>
              <w:t xml:space="preserve">. </w:t>
            </w:r>
          </w:p>
          <w:p w14:paraId="0B85C6DD" w14:textId="77777777" w:rsidR="006D3ACC" w:rsidRPr="00551D25" w:rsidRDefault="006D3ACC" w:rsidP="00551D25">
            <w:pPr>
              <w:rPr>
                <w:rStyle w:val="Strong"/>
                <w:b w:val="0"/>
              </w:rPr>
            </w:pPr>
            <w:r w:rsidRPr="00551D25">
              <w:rPr>
                <w:rStyle w:val="Strong"/>
                <w:b w:val="0"/>
              </w:rPr>
              <w:t>Conduct</w:t>
            </w:r>
            <w:r w:rsidR="00417AE5" w:rsidRPr="00551D25">
              <w:rPr>
                <w:rStyle w:val="Strong"/>
                <w:b w:val="0"/>
              </w:rPr>
              <w:t xml:space="preserve"> inspection</w:t>
            </w:r>
            <w:r w:rsidR="00BF6118" w:rsidRPr="00551D25">
              <w:rPr>
                <w:rStyle w:val="Strong"/>
                <w:b w:val="0"/>
              </w:rPr>
              <w:t>s</w:t>
            </w:r>
            <w:r w:rsidR="00417AE5" w:rsidRPr="00551D25">
              <w:rPr>
                <w:rStyle w:val="Strong"/>
                <w:b w:val="0"/>
              </w:rPr>
              <w:t xml:space="preserve"> of </w:t>
            </w:r>
            <w:r w:rsidR="00906B9E">
              <w:rPr>
                <w:rStyle w:val="Strong"/>
                <w:b w:val="0"/>
              </w:rPr>
              <w:t xml:space="preserve">active and completed </w:t>
            </w:r>
            <w:proofErr w:type="gramStart"/>
            <w:r w:rsidR="00906B9E">
              <w:rPr>
                <w:rStyle w:val="Strong"/>
                <w:b w:val="0"/>
              </w:rPr>
              <w:t>harvesting  projects</w:t>
            </w:r>
            <w:proofErr w:type="gramEnd"/>
            <w:r w:rsidR="00906B9E">
              <w:rPr>
                <w:rStyle w:val="Strong"/>
                <w:b w:val="0"/>
              </w:rPr>
              <w:t>.</w:t>
            </w:r>
            <w:r w:rsidRPr="00551D25">
              <w:rPr>
                <w:rStyle w:val="Strong"/>
                <w:b w:val="0"/>
              </w:rPr>
              <w:t xml:space="preserve"> </w:t>
            </w:r>
          </w:p>
          <w:p w14:paraId="262ABF9D" w14:textId="77777777" w:rsidR="00F524AD" w:rsidRPr="00551D25" w:rsidRDefault="006D3ACC" w:rsidP="00551D25">
            <w:pPr>
              <w:rPr>
                <w:rStyle w:val="Strong"/>
                <w:b w:val="0"/>
              </w:rPr>
            </w:pPr>
            <w:r w:rsidRPr="00551D25">
              <w:rPr>
                <w:rStyle w:val="Strong"/>
                <w:b w:val="0"/>
              </w:rPr>
              <w:t>Identify</w:t>
            </w:r>
            <w:r w:rsidR="00417AE5" w:rsidRPr="00551D25">
              <w:rPr>
                <w:rStyle w:val="Strong"/>
                <w:b w:val="0"/>
              </w:rPr>
              <w:t xml:space="preserve"> potential</w:t>
            </w:r>
            <w:r w:rsidR="00906B9E">
              <w:rPr>
                <w:rStyle w:val="Strong"/>
                <w:b w:val="0"/>
              </w:rPr>
              <w:t xml:space="preserve"> or existing</w:t>
            </w:r>
            <w:r w:rsidR="00417AE5" w:rsidRPr="00551D25">
              <w:rPr>
                <w:rStyle w:val="Strong"/>
                <w:b w:val="0"/>
              </w:rPr>
              <w:t xml:space="preserve"> water quality </w:t>
            </w:r>
            <w:r w:rsidR="00F330EB" w:rsidRPr="00551D25">
              <w:rPr>
                <w:rStyle w:val="Strong"/>
                <w:b w:val="0"/>
              </w:rPr>
              <w:t>problems</w:t>
            </w:r>
            <w:r w:rsidRPr="00551D25">
              <w:rPr>
                <w:rStyle w:val="Strong"/>
                <w:b w:val="0"/>
              </w:rPr>
              <w:t xml:space="preserve"> and request corrective actions</w:t>
            </w:r>
            <w:r w:rsidR="00F330EB" w:rsidRPr="00551D25">
              <w:rPr>
                <w:rStyle w:val="Strong"/>
                <w:b w:val="0"/>
              </w:rPr>
              <w:t>.</w:t>
            </w:r>
            <w:r w:rsidR="00417AE5" w:rsidRPr="00551D25">
              <w:rPr>
                <w:rStyle w:val="Strong"/>
                <w:b w:val="0"/>
              </w:rPr>
              <w:t xml:space="preserve"> </w:t>
            </w:r>
          </w:p>
          <w:p w14:paraId="5105ADC5" w14:textId="77777777" w:rsidR="006D3ACC" w:rsidRDefault="006D3ACC" w:rsidP="00551D25">
            <w:pPr>
              <w:rPr>
                <w:rStyle w:val="Strong"/>
                <w:b w:val="0"/>
              </w:rPr>
            </w:pPr>
            <w:r w:rsidRPr="00551D25">
              <w:rPr>
                <w:rStyle w:val="Strong"/>
                <w:b w:val="0"/>
              </w:rPr>
              <w:t xml:space="preserve">Review and track </w:t>
            </w:r>
            <w:r w:rsidR="00FF74B8">
              <w:rPr>
                <w:rStyle w:val="Strong"/>
                <w:b w:val="0"/>
              </w:rPr>
              <w:t xml:space="preserve">Timber Waiver </w:t>
            </w:r>
            <w:r w:rsidRPr="00551D25">
              <w:rPr>
                <w:rStyle w:val="Strong"/>
                <w:b w:val="0"/>
              </w:rPr>
              <w:t>monitoring reports.</w:t>
            </w:r>
          </w:p>
          <w:p w14:paraId="61E84032" w14:textId="77777777" w:rsidR="00687E27" w:rsidRDefault="00687E27" w:rsidP="00551D25">
            <w:pPr>
              <w:rPr>
                <w:rStyle w:val="Strong"/>
                <w:b w:val="0"/>
              </w:rPr>
            </w:pPr>
            <w:r>
              <w:rPr>
                <w:rStyle w:val="Strong"/>
                <w:b w:val="0"/>
              </w:rPr>
              <w:t xml:space="preserve">Provide outreach </w:t>
            </w:r>
            <w:r w:rsidR="008559C4">
              <w:rPr>
                <w:rStyle w:val="Strong"/>
                <w:b w:val="0"/>
              </w:rPr>
              <w:t>to entities with projects in the planning phase.</w:t>
            </w:r>
          </w:p>
          <w:p w14:paraId="25F3B201" w14:textId="77777777" w:rsidR="00AF2F57" w:rsidRPr="00551D25" w:rsidRDefault="00AF2F57" w:rsidP="00551D25">
            <w:pPr>
              <w:rPr>
                <w:rStyle w:val="Strong"/>
                <w:b w:val="0"/>
              </w:rPr>
            </w:pPr>
            <w:r w:rsidRPr="00551D25">
              <w:t>Through increased communication, staff increased compliance with the Timber Waiver</w:t>
            </w:r>
            <w:r w:rsidRPr="00551D25">
              <w:rPr>
                <w:rStyle w:val="Strong"/>
                <w:b w:val="0"/>
              </w:rPr>
              <w:t>.</w:t>
            </w:r>
          </w:p>
        </w:tc>
      </w:tr>
    </w:tbl>
    <w:p w14:paraId="60802AB8" w14:textId="77777777" w:rsidR="0064631B" w:rsidRDefault="00343273">
      <w:r>
        <w:rPr>
          <w:noProof/>
        </w:rPr>
        <w:drawing>
          <wp:anchor distT="0" distB="0" distL="114300" distR="114300" simplePos="0" relativeHeight="251660288" behindDoc="0" locked="0" layoutInCell="1" allowOverlap="1" wp14:anchorId="1300B915" wp14:editId="1DC9252F">
            <wp:simplePos x="0" y="0"/>
            <wp:positionH relativeFrom="column">
              <wp:posOffset>-184785</wp:posOffset>
            </wp:positionH>
            <wp:positionV relativeFrom="paragraph">
              <wp:posOffset>148590</wp:posOffset>
            </wp:positionV>
            <wp:extent cx="3476625" cy="2562225"/>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2FF3B1FB" w14:textId="77777777" w:rsidR="0064631B" w:rsidRDefault="00343273">
      <w:r>
        <w:rPr>
          <w:noProof/>
        </w:rPr>
        <w:drawing>
          <wp:anchor distT="0" distB="0" distL="114300" distR="114300" simplePos="0" relativeHeight="251659264" behindDoc="0" locked="0" layoutInCell="1" allowOverlap="1" wp14:anchorId="48A44BA6" wp14:editId="61F6F565">
            <wp:simplePos x="0" y="0"/>
            <wp:positionH relativeFrom="column">
              <wp:posOffset>3091815</wp:posOffset>
            </wp:positionH>
            <wp:positionV relativeFrom="paragraph">
              <wp:posOffset>20955</wp:posOffset>
            </wp:positionV>
            <wp:extent cx="3009900" cy="255270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2FFBB8F" w14:textId="77777777" w:rsidR="0064631B" w:rsidRDefault="0064631B"/>
    <w:p w14:paraId="17CB1A78" w14:textId="77777777" w:rsidR="0064631B" w:rsidRDefault="0064631B"/>
    <w:p w14:paraId="65C325F0" w14:textId="77777777" w:rsidR="0064631B" w:rsidRDefault="0064631B"/>
    <w:p w14:paraId="0A9358CF" w14:textId="77777777" w:rsidR="0064631B" w:rsidRDefault="0064631B"/>
    <w:p w14:paraId="51C2B0E6" w14:textId="77777777" w:rsidR="0064631B" w:rsidRDefault="0064631B"/>
    <w:p w14:paraId="35094E22" w14:textId="77777777" w:rsidR="0064631B" w:rsidRDefault="0064631B"/>
    <w:p w14:paraId="41073B61" w14:textId="77777777" w:rsidR="0064631B" w:rsidRDefault="0064631B"/>
    <w:p w14:paraId="4D7DC796" w14:textId="77777777" w:rsidR="0064631B" w:rsidRDefault="0064631B"/>
    <w:p w14:paraId="6D5EAD0A" w14:textId="77777777" w:rsidR="00F524AD" w:rsidRDefault="00F524AD"/>
    <w:p w14:paraId="642159E2" w14:textId="77777777" w:rsidR="00F524AD" w:rsidRDefault="00F524AD"/>
    <w:p w14:paraId="6E8219AD" w14:textId="77777777" w:rsidR="0064631B" w:rsidRDefault="0064631B"/>
    <w:p w14:paraId="101FF53E" w14:textId="77777777" w:rsidR="0064631B" w:rsidRDefault="0064631B"/>
    <w:p w14:paraId="350FF483" w14:textId="77777777" w:rsidR="0064631B" w:rsidRDefault="0064631B"/>
    <w:p w14:paraId="402406C7" w14:textId="77777777" w:rsidR="006D3ACC" w:rsidRDefault="006D3ACC">
      <w:r>
        <w:br w:type="page"/>
      </w:r>
    </w:p>
    <w:tbl>
      <w:tblPr>
        <w:tblStyle w:val="TableGrid"/>
        <w:tblW w:w="0" w:type="auto"/>
        <w:tblCellMar>
          <w:top w:w="216" w:type="dxa"/>
          <w:left w:w="115" w:type="dxa"/>
          <w:bottom w:w="216" w:type="dxa"/>
          <w:right w:w="115" w:type="dxa"/>
        </w:tblCellMar>
        <w:tblLook w:val="04A0" w:firstRow="1" w:lastRow="0" w:firstColumn="1" w:lastColumn="0" w:noHBand="0" w:noVBand="1"/>
      </w:tblPr>
      <w:tblGrid>
        <w:gridCol w:w="9878"/>
      </w:tblGrid>
      <w:tr w:rsidR="00D22E6D" w14:paraId="1D686F03" w14:textId="77777777" w:rsidTr="005A2F37">
        <w:tc>
          <w:tcPr>
            <w:tcW w:w="9878" w:type="dxa"/>
            <w:tcBorders>
              <w:bottom w:val="single" w:sz="4" w:space="0" w:color="auto"/>
            </w:tcBorders>
            <w:shd w:val="clear" w:color="auto" w:fill="DAEEF3" w:themeFill="accent5" w:themeFillTint="33"/>
          </w:tcPr>
          <w:p w14:paraId="4124DB2E" w14:textId="77777777" w:rsidR="00D22E6D" w:rsidRPr="00717269" w:rsidRDefault="00D22E6D" w:rsidP="00572047">
            <w:pPr>
              <w:tabs>
                <w:tab w:val="left" w:pos="1815"/>
              </w:tabs>
              <w:spacing w:after="120"/>
              <w:rPr>
                <w:rStyle w:val="Strong"/>
                <w:b w:val="0"/>
                <w:sz w:val="32"/>
                <w:szCs w:val="32"/>
              </w:rPr>
            </w:pPr>
            <w:r w:rsidRPr="00717269">
              <w:rPr>
                <w:rStyle w:val="Strong"/>
                <w:b w:val="0"/>
                <w:sz w:val="32"/>
                <w:szCs w:val="32"/>
              </w:rPr>
              <w:lastRenderedPageBreak/>
              <w:t>Accomplishments</w:t>
            </w:r>
          </w:p>
          <w:p w14:paraId="3DF95A37" w14:textId="77777777" w:rsidR="00790F9D" w:rsidRPr="00551D25" w:rsidRDefault="00DC1C16" w:rsidP="005F39F4">
            <w:pPr>
              <w:rPr>
                <w:rStyle w:val="Strong"/>
                <w:b w:val="0"/>
              </w:rPr>
            </w:pPr>
            <w:r w:rsidRPr="00551D25">
              <w:rPr>
                <w:rStyle w:val="Strong"/>
              </w:rPr>
              <w:t xml:space="preserve">Timber Waiver </w:t>
            </w:r>
            <w:r w:rsidR="00E25FA2">
              <w:rPr>
                <w:rStyle w:val="Strong"/>
              </w:rPr>
              <w:t xml:space="preserve">outreach and enforcement actions </w:t>
            </w:r>
            <w:r w:rsidR="0028186A" w:rsidRPr="00551D25">
              <w:rPr>
                <w:rStyle w:val="Strong"/>
              </w:rPr>
              <w:t xml:space="preserve">- </w:t>
            </w:r>
            <w:r w:rsidR="00E25FA2">
              <w:t xml:space="preserve">Staff coordinated with Caltrans, Cal Fire, TRPA, USFS LTBMU, and other Tree Mortality Task Force staff regarding 2014 Timber Waiver enrollment and implementation details </w:t>
            </w:r>
            <w:proofErr w:type="gramStart"/>
            <w:r w:rsidR="00E25FA2">
              <w:t>for  Caltrans’s</w:t>
            </w:r>
            <w:proofErr w:type="gramEnd"/>
            <w:r w:rsidR="00E25FA2">
              <w:t xml:space="preserve"> Hazardous Tree Assessment &amp; Removal Process efforts in the Tahoe Basin. Staff </w:t>
            </w:r>
            <w:r w:rsidR="00906B9E" w:rsidRPr="004B2D34">
              <w:rPr>
                <w:rStyle w:val="Strong"/>
                <w:rFonts w:eastAsiaTheme="majorEastAsia" w:cs="Arial"/>
                <w:b w:val="0"/>
              </w:rPr>
              <w:t xml:space="preserve">conducted an informational tour of </w:t>
            </w:r>
            <w:r w:rsidR="00906B9E">
              <w:rPr>
                <w:rStyle w:val="Strong"/>
                <w:rFonts w:eastAsiaTheme="majorEastAsia" w:cs="Arial"/>
                <w:b w:val="0"/>
              </w:rPr>
              <w:t>t</w:t>
            </w:r>
            <w:r w:rsidR="00906B9E" w:rsidRPr="004B2D34">
              <w:rPr>
                <w:rFonts w:cs="Arial"/>
                <w:color w:val="000000"/>
              </w:rPr>
              <w:t xml:space="preserve">he </w:t>
            </w:r>
            <w:r w:rsidR="00906B9E">
              <w:rPr>
                <w:rFonts w:cs="Arial"/>
                <w:color w:val="000000"/>
              </w:rPr>
              <w:t xml:space="preserve">UC Berkeley </w:t>
            </w:r>
            <w:proofErr w:type="spellStart"/>
            <w:r w:rsidR="00906B9E" w:rsidRPr="004B2D34">
              <w:rPr>
                <w:rFonts w:cs="Arial"/>
                <w:color w:val="000000"/>
              </w:rPr>
              <w:t>Sagehen</w:t>
            </w:r>
            <w:proofErr w:type="spellEnd"/>
            <w:r w:rsidR="00906B9E" w:rsidRPr="004B2D34">
              <w:rPr>
                <w:rFonts w:cs="Arial"/>
                <w:color w:val="000000"/>
              </w:rPr>
              <w:t xml:space="preserve"> Creek Field Station</w:t>
            </w:r>
            <w:r w:rsidR="00906B9E">
              <w:rPr>
                <w:rFonts w:cs="Arial"/>
                <w:color w:val="000000"/>
              </w:rPr>
              <w:t xml:space="preserve"> t</w:t>
            </w:r>
            <w:r w:rsidR="00906B9E" w:rsidRPr="004B2D34">
              <w:rPr>
                <w:rFonts w:cs="Arial"/>
                <w:color w:val="000000"/>
              </w:rPr>
              <w:t xml:space="preserve">o facilitate a dialogue between forest managers and </w:t>
            </w:r>
            <w:r w:rsidR="00906B9E" w:rsidRPr="004B2D34">
              <w:rPr>
                <w:rStyle w:val="Strong"/>
                <w:rFonts w:eastAsiaTheme="majorEastAsia" w:cs="Arial"/>
                <w:b w:val="0"/>
              </w:rPr>
              <w:t>the Association of California Insurance Companies</w:t>
            </w:r>
            <w:r w:rsidR="00906B9E" w:rsidRPr="004B2D34">
              <w:rPr>
                <w:rFonts w:cs="Arial"/>
                <w:color w:val="000000"/>
              </w:rPr>
              <w:t>.</w:t>
            </w:r>
            <w:r w:rsidR="00906B9E">
              <w:rPr>
                <w:rFonts w:cs="Arial"/>
                <w:color w:val="000000"/>
              </w:rPr>
              <w:t xml:space="preserve"> </w:t>
            </w:r>
            <w:r w:rsidR="008B1E8C" w:rsidRPr="00551D25">
              <w:t xml:space="preserve">Staff </w:t>
            </w:r>
            <w:r w:rsidR="00D108FA">
              <w:t xml:space="preserve">issued a Notice of Violation (NOV) </w:t>
            </w:r>
            <w:r w:rsidR="00AF2F57">
              <w:t xml:space="preserve">to the USFS LTBMU for poor burn fuel storage and management that resulted in </w:t>
            </w:r>
            <w:r w:rsidR="002F3F87">
              <w:t>the development of written fuel handling protocols and staff training</w:t>
            </w:r>
            <w:r w:rsidR="00AF2F57">
              <w:t xml:space="preserve">. Staff also issued an NOV to a Lassen County Timber Waiver project </w:t>
            </w:r>
            <w:r w:rsidR="00D108FA">
              <w:t>for</w:t>
            </w:r>
            <w:r w:rsidR="00AF2F57">
              <w:t xml:space="preserve"> road construction, road abandonment, and crossing modification activities that resulted in sediment de</w:t>
            </w:r>
            <w:r w:rsidR="002F3F87">
              <w:t>livery to a fish bearing stream, which have now been corrected.</w:t>
            </w:r>
          </w:p>
          <w:p w14:paraId="2206B60A" w14:textId="77777777" w:rsidR="00790F9D" w:rsidRPr="00551D25" w:rsidRDefault="00790F9D" w:rsidP="005F39F4">
            <w:pPr>
              <w:rPr>
                <w:rStyle w:val="Strong"/>
              </w:rPr>
            </w:pPr>
          </w:p>
          <w:p w14:paraId="7682711A" w14:textId="77777777" w:rsidR="008559C4" w:rsidRDefault="005C2C80" w:rsidP="005F39F4">
            <w:r w:rsidRPr="00551D25">
              <w:rPr>
                <w:rStyle w:val="Strong"/>
              </w:rPr>
              <w:t>Lake Tahoe Basin</w:t>
            </w:r>
            <w:r w:rsidR="0028186A" w:rsidRPr="00551D25">
              <w:rPr>
                <w:rStyle w:val="Strong"/>
              </w:rPr>
              <w:t xml:space="preserve"> - </w:t>
            </w:r>
            <w:r w:rsidR="008B1E8C" w:rsidRPr="00551D25">
              <w:t xml:space="preserve">Staff worked with </w:t>
            </w:r>
            <w:r w:rsidR="009D10E3" w:rsidRPr="00551D25">
              <w:t xml:space="preserve">the </w:t>
            </w:r>
            <w:r w:rsidR="008B1E8C" w:rsidRPr="00551D25">
              <w:t xml:space="preserve">USFS LTBMU to ensure that the LTBMU’s </w:t>
            </w:r>
            <w:r w:rsidR="008559C4">
              <w:t>fi</w:t>
            </w:r>
            <w:r w:rsidR="00FF74B8">
              <w:t>f</w:t>
            </w:r>
            <w:r w:rsidR="008559C4">
              <w:t>th</w:t>
            </w:r>
            <w:r w:rsidR="008B1E8C" w:rsidRPr="00551D25">
              <w:t xml:space="preserve"> annual operations plan for the South Shore Fuel Reduction Project met the Waste Discharge </w:t>
            </w:r>
            <w:r w:rsidR="009D10E3" w:rsidRPr="00551D25">
              <w:t xml:space="preserve">Requirements. </w:t>
            </w:r>
            <w:r w:rsidR="000A3EEF" w:rsidRPr="00551D25">
              <w:t>During the 201</w:t>
            </w:r>
            <w:r w:rsidR="008559C4">
              <w:t>7</w:t>
            </w:r>
            <w:r w:rsidR="000A3EEF" w:rsidRPr="00551D25">
              <w:t xml:space="preserve"> field season, approximately </w:t>
            </w:r>
            <w:r w:rsidR="008559C4">
              <w:t>511</w:t>
            </w:r>
            <w:r w:rsidR="000A3EEF" w:rsidRPr="00551D25">
              <w:t xml:space="preserve"> acres were thinned by hand crews and 27</w:t>
            </w:r>
            <w:r w:rsidR="008559C4">
              <w:t>5</w:t>
            </w:r>
            <w:r w:rsidR="000A3EEF" w:rsidRPr="00551D25">
              <w:t xml:space="preserve"> acres were mechanically treated</w:t>
            </w:r>
            <w:r w:rsidR="006D3ACC" w:rsidRPr="00551D25">
              <w:t xml:space="preserve">. </w:t>
            </w:r>
            <w:r w:rsidR="008559C4">
              <w:t>Staff also worked with the LTBMU on the Carnelian Fuels Reduction and Healthy Forest Restoration Project.  During the 2017 field season, approximately 501 acres were thinned by hand crews and 625 acres were mechanically treated.</w:t>
            </w:r>
          </w:p>
          <w:p w14:paraId="0539D9A0" w14:textId="77777777" w:rsidR="002957E7" w:rsidRPr="00551D25" w:rsidRDefault="00BE6DCD" w:rsidP="005F39F4">
            <w:pPr>
              <w:rPr>
                <w:rStyle w:val="Strong"/>
                <w:b w:val="0"/>
              </w:rPr>
            </w:pPr>
            <w:r w:rsidRPr="00551D25">
              <w:t xml:space="preserve">Staff </w:t>
            </w:r>
            <w:r w:rsidR="006D3ACC" w:rsidRPr="00551D25">
              <w:t>participated</w:t>
            </w:r>
            <w:r w:rsidRPr="00551D25">
              <w:t xml:space="preserve"> in the interagency Lake Tahoe West </w:t>
            </w:r>
            <w:r w:rsidR="009D10E3" w:rsidRPr="00551D25">
              <w:t>Restoration Partnership initiative</w:t>
            </w:r>
            <w:r w:rsidRPr="00551D25">
              <w:t xml:space="preserve"> to restore </w:t>
            </w:r>
            <w:r w:rsidR="009D10E3" w:rsidRPr="00551D25">
              <w:t>and</w:t>
            </w:r>
            <w:r w:rsidRPr="00551D25">
              <w:t xml:space="preserve"> maintain the resilience of the forests, watersheds, recreational opportunities, and communities on Lake Tahoe’s western shore</w:t>
            </w:r>
            <w:r w:rsidR="006D3ACC" w:rsidRPr="00551D25">
              <w:t>.</w:t>
            </w:r>
          </w:p>
          <w:p w14:paraId="175E8740" w14:textId="77777777" w:rsidR="006409F0" w:rsidRPr="00551D25" w:rsidRDefault="006409F0" w:rsidP="005F39F4">
            <w:pPr>
              <w:rPr>
                <w:rStyle w:val="Strong"/>
                <w:b w:val="0"/>
              </w:rPr>
            </w:pPr>
          </w:p>
          <w:p w14:paraId="2077579A" w14:textId="77777777" w:rsidR="00BC03BB" w:rsidRPr="00417AE5" w:rsidRDefault="004C23FE" w:rsidP="00FF74B8">
            <w:pPr>
              <w:rPr>
                <w:rStyle w:val="Strong"/>
                <w:b w:val="0"/>
                <w:sz w:val="22"/>
              </w:rPr>
            </w:pPr>
            <w:r w:rsidRPr="00551D25">
              <w:rPr>
                <w:rStyle w:val="Strong"/>
              </w:rPr>
              <w:t>Statewide</w:t>
            </w:r>
            <w:r w:rsidR="003A42E3">
              <w:rPr>
                <w:rStyle w:val="Strong"/>
              </w:rPr>
              <w:t xml:space="preserve"> </w:t>
            </w:r>
            <w:r w:rsidR="0028186A" w:rsidRPr="00551D25">
              <w:rPr>
                <w:rStyle w:val="Strong"/>
              </w:rPr>
              <w:t>-</w:t>
            </w:r>
            <w:r w:rsidR="003A42E3">
              <w:rPr>
                <w:rStyle w:val="Strong"/>
              </w:rPr>
              <w:t xml:space="preserve"> </w:t>
            </w:r>
            <w:r w:rsidRPr="00551D25">
              <w:t xml:space="preserve">Staff coordinated with </w:t>
            </w:r>
            <w:r w:rsidR="00FF74B8">
              <w:t xml:space="preserve">State Water Board, </w:t>
            </w:r>
            <w:r w:rsidRPr="00551D25">
              <w:t xml:space="preserve">CA Resources Agency (CalFire, CA Dept. Fish and Wildlife, CA Geological Survey) in implementing the requirements of AB 1492, </w:t>
            </w:r>
            <w:r w:rsidR="004E790B" w:rsidRPr="00551D25">
              <w:t>the Timber Regulation and Restoration Program</w:t>
            </w:r>
            <w:r w:rsidRPr="00551D25">
              <w:t>.</w:t>
            </w:r>
            <w:r w:rsidR="006D3ACC" w:rsidRPr="00551D25">
              <w:t xml:space="preserve"> </w:t>
            </w:r>
            <w:r w:rsidR="007F491D" w:rsidRPr="00551D25">
              <w:rPr>
                <w:rStyle w:val="Strong"/>
                <w:b w:val="0"/>
              </w:rPr>
              <w:t>Staff</w:t>
            </w:r>
            <w:r w:rsidR="006D3ACC" w:rsidRPr="00551D25">
              <w:rPr>
                <w:rStyle w:val="Strong"/>
                <w:b w:val="0"/>
              </w:rPr>
              <w:t xml:space="preserve"> </w:t>
            </w:r>
            <w:r w:rsidR="00D108FA">
              <w:rPr>
                <w:rStyle w:val="Strong"/>
                <w:b w:val="0"/>
              </w:rPr>
              <w:t>is engaged in a newly formed statewide Emergency Response Technical Working Group</w:t>
            </w:r>
            <w:r w:rsidR="007F491D" w:rsidRPr="00551D25">
              <w:rPr>
                <w:rStyle w:val="Strong"/>
                <w:b w:val="0"/>
              </w:rPr>
              <w:t xml:space="preserve"> </w:t>
            </w:r>
            <w:r w:rsidR="00D108FA">
              <w:rPr>
                <w:rStyle w:val="Strong"/>
                <w:b w:val="0"/>
              </w:rPr>
              <w:t xml:space="preserve">to </w:t>
            </w:r>
            <w:proofErr w:type="spellStart"/>
            <w:r w:rsidR="00FF74B8">
              <w:rPr>
                <w:rStyle w:val="Strong"/>
                <w:b w:val="0"/>
              </w:rPr>
              <w:t>to</w:t>
            </w:r>
            <w:proofErr w:type="spellEnd"/>
            <w:r w:rsidR="00FF74B8">
              <w:rPr>
                <w:rStyle w:val="Strong"/>
                <w:b w:val="0"/>
              </w:rPr>
              <w:t xml:space="preserve"> develop and implement</w:t>
            </w:r>
            <w:r w:rsidR="00D108FA">
              <w:rPr>
                <w:rStyle w:val="Strong"/>
                <w:b w:val="0"/>
              </w:rPr>
              <w:t xml:space="preserve"> Water Board action</w:t>
            </w:r>
            <w:r w:rsidR="00FF74B8">
              <w:rPr>
                <w:rStyle w:val="Strong"/>
                <w:b w:val="0"/>
              </w:rPr>
              <w:t xml:space="preserve"> plan</w:t>
            </w:r>
            <w:r w:rsidR="00D108FA">
              <w:rPr>
                <w:rStyle w:val="Strong"/>
                <w:b w:val="0"/>
              </w:rPr>
              <w:t>s during and after catastrophic fire events.</w:t>
            </w:r>
          </w:p>
        </w:tc>
      </w:tr>
      <w:tr w:rsidR="00D22E6D" w14:paraId="663D0D4D" w14:textId="77777777" w:rsidTr="005A2F37">
        <w:tc>
          <w:tcPr>
            <w:tcW w:w="9878" w:type="dxa"/>
            <w:tcBorders>
              <w:left w:val="nil"/>
              <w:bottom w:val="single" w:sz="4" w:space="0" w:color="auto"/>
              <w:right w:val="nil"/>
            </w:tcBorders>
            <w:tcMar>
              <w:top w:w="0" w:type="dxa"/>
              <w:bottom w:w="0" w:type="dxa"/>
            </w:tcMar>
          </w:tcPr>
          <w:p w14:paraId="4A77852E" w14:textId="77777777" w:rsidR="00D22E6D" w:rsidRPr="00551D25" w:rsidRDefault="00D22E6D" w:rsidP="006E02DD">
            <w:pPr>
              <w:rPr>
                <w:rStyle w:val="Strong"/>
                <w:b w:val="0"/>
                <w:sz w:val="12"/>
                <w:szCs w:val="12"/>
              </w:rPr>
            </w:pPr>
          </w:p>
        </w:tc>
      </w:tr>
      <w:tr w:rsidR="00D22E6D" w14:paraId="52B67EBE" w14:textId="77777777" w:rsidTr="005A2F37">
        <w:tc>
          <w:tcPr>
            <w:tcW w:w="9878" w:type="dxa"/>
            <w:tcBorders>
              <w:bottom w:val="single" w:sz="4" w:space="0" w:color="auto"/>
            </w:tcBorders>
            <w:shd w:val="clear" w:color="auto" w:fill="DAEEF3" w:themeFill="accent5" w:themeFillTint="33"/>
          </w:tcPr>
          <w:p w14:paraId="4F3429C6" w14:textId="77777777" w:rsidR="00D22E6D" w:rsidRDefault="00D22E6D" w:rsidP="00717269">
            <w:pPr>
              <w:tabs>
                <w:tab w:val="left" w:pos="1815"/>
              </w:tabs>
              <w:rPr>
                <w:rStyle w:val="Strong"/>
                <w:b w:val="0"/>
                <w:sz w:val="32"/>
              </w:rPr>
            </w:pPr>
            <w:r w:rsidRPr="00BC03BB">
              <w:rPr>
                <w:rStyle w:val="Strong"/>
                <w:b w:val="0"/>
                <w:sz w:val="32"/>
              </w:rPr>
              <w:t xml:space="preserve">Performance targets for </w:t>
            </w:r>
            <w:r w:rsidR="00F330EB">
              <w:rPr>
                <w:rStyle w:val="Strong"/>
                <w:b w:val="0"/>
                <w:sz w:val="32"/>
              </w:rPr>
              <w:t>FY 201</w:t>
            </w:r>
            <w:r w:rsidR="00E25FA2">
              <w:rPr>
                <w:rStyle w:val="Strong"/>
                <w:b w:val="0"/>
                <w:sz w:val="32"/>
              </w:rPr>
              <w:t>6</w:t>
            </w:r>
            <w:r w:rsidR="00F330EB">
              <w:rPr>
                <w:rStyle w:val="Strong"/>
                <w:b w:val="0"/>
                <w:sz w:val="32"/>
              </w:rPr>
              <w:t>-201</w:t>
            </w:r>
            <w:r w:rsidR="00E25FA2">
              <w:rPr>
                <w:rStyle w:val="Strong"/>
                <w:b w:val="0"/>
                <w:sz w:val="32"/>
              </w:rPr>
              <w:t>7</w:t>
            </w:r>
          </w:p>
          <w:p w14:paraId="1F3372DD" w14:textId="77777777" w:rsidR="00C40D89" w:rsidRDefault="00C40D89" w:rsidP="00717269">
            <w:pPr>
              <w:rPr>
                <w:rStyle w:val="Strong"/>
                <w:b w:val="0"/>
              </w:rPr>
            </w:pPr>
            <w:r>
              <w:rPr>
                <w:rStyle w:val="Strong"/>
                <w:b w:val="0"/>
              </w:rPr>
              <w:t xml:space="preserve">                                                                        </w:t>
            </w:r>
            <w:r w:rsidRPr="00B86D8F">
              <w:rPr>
                <w:rStyle w:val="Strong"/>
                <w:b w:val="0"/>
                <w:u w:val="single"/>
              </w:rPr>
              <w:t>Target</w:t>
            </w:r>
            <w:r>
              <w:rPr>
                <w:rStyle w:val="Strong"/>
                <w:b w:val="0"/>
              </w:rPr>
              <w:t xml:space="preserve">                             </w:t>
            </w:r>
            <w:r w:rsidRPr="00B86D8F">
              <w:rPr>
                <w:rStyle w:val="Strong"/>
                <w:b w:val="0"/>
                <w:u w:val="single"/>
              </w:rPr>
              <w:t>Completed</w:t>
            </w:r>
          </w:p>
          <w:p w14:paraId="13CA4B46" w14:textId="77777777" w:rsidR="00417AE5" w:rsidRPr="00417AE5" w:rsidRDefault="00C40D89" w:rsidP="00E25FA2">
            <w:pPr>
              <w:rPr>
                <w:rStyle w:val="Strong"/>
                <w:b w:val="0"/>
              </w:rPr>
            </w:pPr>
            <w:r>
              <w:rPr>
                <w:rStyle w:val="Strong"/>
                <w:b w:val="0"/>
              </w:rPr>
              <w:t xml:space="preserve">Timber Harvest </w:t>
            </w:r>
            <w:r w:rsidR="009D10E3">
              <w:rPr>
                <w:rStyle w:val="Strong"/>
                <w:b w:val="0"/>
              </w:rPr>
              <w:t>Inspections</w:t>
            </w:r>
            <w:r>
              <w:rPr>
                <w:rStyle w:val="Strong"/>
                <w:b w:val="0"/>
              </w:rPr>
              <w:t xml:space="preserve">                                </w:t>
            </w:r>
            <w:r w:rsidR="002244A7">
              <w:rPr>
                <w:rStyle w:val="Strong"/>
                <w:b w:val="0"/>
              </w:rPr>
              <w:t>2</w:t>
            </w:r>
            <w:r w:rsidR="00E25FA2">
              <w:rPr>
                <w:rStyle w:val="Strong"/>
                <w:b w:val="0"/>
              </w:rPr>
              <w:t>0</w:t>
            </w:r>
            <w:r>
              <w:rPr>
                <w:rStyle w:val="Strong"/>
                <w:b w:val="0"/>
              </w:rPr>
              <w:t xml:space="preserve">                                        </w:t>
            </w:r>
            <w:r w:rsidR="00E25FA2">
              <w:rPr>
                <w:rStyle w:val="Strong"/>
                <w:b w:val="0"/>
              </w:rPr>
              <w:t>30</w:t>
            </w:r>
          </w:p>
        </w:tc>
      </w:tr>
      <w:tr w:rsidR="00D22E6D" w14:paraId="483E9862" w14:textId="77777777" w:rsidTr="005A2F37">
        <w:tc>
          <w:tcPr>
            <w:tcW w:w="9878" w:type="dxa"/>
            <w:tcBorders>
              <w:left w:val="nil"/>
              <w:bottom w:val="single" w:sz="4" w:space="0" w:color="auto"/>
              <w:right w:val="nil"/>
            </w:tcBorders>
            <w:tcMar>
              <w:top w:w="0" w:type="dxa"/>
              <w:bottom w:w="0" w:type="dxa"/>
            </w:tcMar>
          </w:tcPr>
          <w:p w14:paraId="3E290F59" w14:textId="77777777" w:rsidR="00D22E6D" w:rsidRPr="00551D25" w:rsidRDefault="00D22E6D" w:rsidP="006E02DD">
            <w:pPr>
              <w:rPr>
                <w:rStyle w:val="Strong"/>
                <w:b w:val="0"/>
                <w:sz w:val="12"/>
                <w:szCs w:val="12"/>
              </w:rPr>
            </w:pPr>
          </w:p>
        </w:tc>
      </w:tr>
      <w:tr w:rsidR="00D22E6D" w14:paraId="3025147C" w14:textId="77777777" w:rsidTr="005A2F37">
        <w:tc>
          <w:tcPr>
            <w:tcW w:w="9878" w:type="dxa"/>
            <w:shd w:val="clear" w:color="auto" w:fill="DAEEF3" w:themeFill="accent5" w:themeFillTint="33"/>
          </w:tcPr>
          <w:p w14:paraId="2468B348" w14:textId="77777777" w:rsidR="00D22E6D" w:rsidRDefault="00D22E6D" w:rsidP="00C15636">
            <w:pPr>
              <w:tabs>
                <w:tab w:val="left" w:pos="1815"/>
              </w:tabs>
              <w:rPr>
                <w:rStyle w:val="Strong"/>
                <w:b w:val="0"/>
                <w:sz w:val="32"/>
              </w:rPr>
            </w:pPr>
            <w:r w:rsidRPr="004D2DE2">
              <w:rPr>
                <w:rStyle w:val="Strong"/>
                <w:b w:val="0"/>
                <w:sz w:val="32"/>
              </w:rPr>
              <w:t>Pe</w:t>
            </w:r>
            <w:r w:rsidR="004D2DE2" w:rsidRPr="004D2DE2">
              <w:rPr>
                <w:rStyle w:val="Strong"/>
                <w:b w:val="0"/>
                <w:sz w:val="32"/>
              </w:rPr>
              <w:t xml:space="preserve">rformance targets for </w:t>
            </w:r>
            <w:r w:rsidR="00F330EB">
              <w:rPr>
                <w:rStyle w:val="Strong"/>
                <w:b w:val="0"/>
                <w:sz w:val="32"/>
              </w:rPr>
              <w:t>FY 201</w:t>
            </w:r>
            <w:r w:rsidR="003A42E3">
              <w:rPr>
                <w:rStyle w:val="Strong"/>
                <w:b w:val="0"/>
                <w:sz w:val="32"/>
              </w:rPr>
              <w:t>7</w:t>
            </w:r>
            <w:r w:rsidR="00F330EB">
              <w:rPr>
                <w:rStyle w:val="Strong"/>
                <w:b w:val="0"/>
                <w:sz w:val="32"/>
              </w:rPr>
              <w:t>-201</w:t>
            </w:r>
            <w:r w:rsidR="003A42E3">
              <w:rPr>
                <w:rStyle w:val="Strong"/>
                <w:b w:val="0"/>
                <w:sz w:val="32"/>
              </w:rPr>
              <w:t>8</w:t>
            </w:r>
            <w:r w:rsidR="00F330EB">
              <w:rPr>
                <w:rStyle w:val="Strong"/>
                <w:b w:val="0"/>
                <w:sz w:val="32"/>
              </w:rPr>
              <w:t xml:space="preserve"> – Progress to date</w:t>
            </w:r>
          </w:p>
          <w:p w14:paraId="5FB2962A" w14:textId="77777777" w:rsidR="00C40D89" w:rsidRDefault="00C40D89" w:rsidP="00C15636">
            <w:pPr>
              <w:rPr>
                <w:rStyle w:val="Strong"/>
                <w:b w:val="0"/>
              </w:rPr>
            </w:pPr>
            <w:r>
              <w:rPr>
                <w:rStyle w:val="Strong"/>
                <w:b w:val="0"/>
              </w:rPr>
              <w:t xml:space="preserve">                                                                        </w:t>
            </w:r>
            <w:r w:rsidRPr="009C58C7">
              <w:rPr>
                <w:rStyle w:val="Strong"/>
                <w:b w:val="0"/>
                <w:u w:val="single"/>
              </w:rPr>
              <w:t>Target</w:t>
            </w:r>
            <w:r>
              <w:rPr>
                <w:rStyle w:val="Strong"/>
                <w:b w:val="0"/>
              </w:rPr>
              <w:t xml:space="preserve">                             </w:t>
            </w:r>
            <w:r w:rsidRPr="009C58C7">
              <w:rPr>
                <w:rStyle w:val="Strong"/>
                <w:b w:val="0"/>
                <w:u w:val="single"/>
              </w:rPr>
              <w:t>Completed</w:t>
            </w:r>
          </w:p>
          <w:p w14:paraId="6137AE42" w14:textId="77777777" w:rsidR="006A22C8" w:rsidRPr="00417AE5" w:rsidRDefault="00C40D89" w:rsidP="00E25FA2">
            <w:pPr>
              <w:rPr>
                <w:rStyle w:val="Strong"/>
                <w:b w:val="0"/>
              </w:rPr>
            </w:pPr>
            <w:r>
              <w:rPr>
                <w:rStyle w:val="Strong"/>
                <w:b w:val="0"/>
              </w:rPr>
              <w:t xml:space="preserve">Timber Harvest </w:t>
            </w:r>
            <w:r w:rsidR="009D10E3">
              <w:rPr>
                <w:rStyle w:val="Strong"/>
                <w:b w:val="0"/>
              </w:rPr>
              <w:t>Inspections</w:t>
            </w:r>
            <w:r>
              <w:rPr>
                <w:rStyle w:val="Strong"/>
                <w:b w:val="0"/>
              </w:rPr>
              <w:t xml:space="preserve">                                2</w:t>
            </w:r>
            <w:r w:rsidR="00526D2D">
              <w:rPr>
                <w:rStyle w:val="Strong"/>
                <w:b w:val="0"/>
              </w:rPr>
              <w:t>0</w:t>
            </w:r>
            <w:r>
              <w:rPr>
                <w:rStyle w:val="Strong"/>
                <w:b w:val="0"/>
              </w:rPr>
              <w:t xml:space="preserve">                                        </w:t>
            </w:r>
            <w:r w:rsidR="00E25FA2">
              <w:rPr>
                <w:rStyle w:val="Strong"/>
                <w:b w:val="0"/>
              </w:rPr>
              <w:t>14</w:t>
            </w:r>
          </w:p>
        </w:tc>
      </w:tr>
    </w:tbl>
    <w:p w14:paraId="198FB237" w14:textId="77777777" w:rsidR="0051157E" w:rsidRDefault="0051157E" w:rsidP="00C15636">
      <w:pPr>
        <w:rPr>
          <w:rStyle w:val="Strong"/>
          <w:b w:val="0"/>
          <w:sz w:val="12"/>
          <w:szCs w:val="12"/>
        </w:rPr>
      </w:pPr>
    </w:p>
    <w:tbl>
      <w:tblPr>
        <w:tblStyle w:val="TableGrid"/>
        <w:tblW w:w="0" w:type="auto"/>
        <w:shd w:val="clear" w:color="auto" w:fill="F2DBDB" w:themeFill="accent2" w:themeFillTint="33"/>
        <w:tblLook w:val="04A0" w:firstRow="1" w:lastRow="0" w:firstColumn="1" w:lastColumn="0" w:noHBand="0" w:noVBand="1"/>
      </w:tblPr>
      <w:tblGrid>
        <w:gridCol w:w="9864"/>
      </w:tblGrid>
      <w:tr w:rsidR="00943FCF" w14:paraId="29D71CB4" w14:textId="77777777" w:rsidTr="00943FCF">
        <w:tc>
          <w:tcPr>
            <w:tcW w:w="9864" w:type="dxa"/>
            <w:shd w:val="clear" w:color="auto" w:fill="F2DBDB" w:themeFill="accent2" w:themeFillTint="33"/>
          </w:tcPr>
          <w:p w14:paraId="38B4A14D" w14:textId="77777777" w:rsidR="00943FCF" w:rsidRPr="00833450" w:rsidRDefault="00943FCF" w:rsidP="00943FCF">
            <w:pPr>
              <w:tabs>
                <w:tab w:val="left" w:pos="1815"/>
              </w:tabs>
              <w:spacing w:after="60"/>
              <w:rPr>
                <w:rStyle w:val="Strong"/>
                <w:b w:val="0"/>
                <w:sz w:val="32"/>
                <w:szCs w:val="32"/>
              </w:rPr>
            </w:pPr>
            <w:r w:rsidRPr="00833450">
              <w:rPr>
                <w:rStyle w:val="Strong"/>
                <w:b w:val="0"/>
                <w:sz w:val="32"/>
                <w:szCs w:val="32"/>
              </w:rPr>
              <w:t>Unaddressed Work</w:t>
            </w:r>
          </w:p>
          <w:p w14:paraId="049CDF18" w14:textId="77777777" w:rsidR="00943FCF" w:rsidRDefault="00943FCF" w:rsidP="00943FCF">
            <w:pPr>
              <w:rPr>
                <w:rStyle w:val="Strong"/>
                <w:b w:val="0"/>
              </w:rPr>
            </w:pPr>
            <w:r w:rsidRPr="00833450">
              <w:rPr>
                <w:rStyle w:val="Strong"/>
                <w:b w:val="0"/>
              </w:rPr>
              <w:t>Coordination with the State Water Board and other Regional Water Boards on the development of state-wide permit for utility line corridors.</w:t>
            </w:r>
          </w:p>
          <w:p w14:paraId="11274036" w14:textId="77777777" w:rsidR="00943FCF" w:rsidRDefault="00943FCF" w:rsidP="00943FCF">
            <w:pPr>
              <w:rPr>
                <w:rStyle w:val="Strong"/>
                <w:b w:val="0"/>
                <w:sz w:val="12"/>
                <w:szCs w:val="12"/>
              </w:rPr>
            </w:pPr>
          </w:p>
        </w:tc>
      </w:tr>
    </w:tbl>
    <w:p w14:paraId="3C74EB00" w14:textId="77777777" w:rsidR="002F3F87" w:rsidRPr="00551D25" w:rsidRDefault="002F3F87" w:rsidP="00C15636">
      <w:pPr>
        <w:rPr>
          <w:rStyle w:val="Strong"/>
          <w:b w:val="0"/>
          <w:sz w:val="12"/>
          <w:szCs w:val="12"/>
        </w:rPr>
      </w:pPr>
    </w:p>
    <w:sectPr w:rsidR="002F3F87" w:rsidRPr="00551D25" w:rsidSect="00551D25">
      <w:pgSz w:w="12240" w:h="15840"/>
      <w:pgMar w:top="117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11C3"/>
    <w:multiLevelType w:val="hybridMultilevel"/>
    <w:tmpl w:val="1508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34954"/>
    <w:multiLevelType w:val="hybridMultilevel"/>
    <w:tmpl w:val="C9A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358D8"/>
    <w:multiLevelType w:val="hybridMultilevel"/>
    <w:tmpl w:val="5A4A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53F5F"/>
    <w:multiLevelType w:val="hybridMultilevel"/>
    <w:tmpl w:val="BC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B5BA2"/>
    <w:multiLevelType w:val="hybridMultilevel"/>
    <w:tmpl w:val="3DA0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666A3"/>
    <w:multiLevelType w:val="hybridMultilevel"/>
    <w:tmpl w:val="178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669F7"/>
    <w:multiLevelType w:val="hybridMultilevel"/>
    <w:tmpl w:val="64A0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CE2"/>
    <w:multiLevelType w:val="hybridMultilevel"/>
    <w:tmpl w:val="AB22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40"/>
    <w:rsid w:val="0001018C"/>
    <w:rsid w:val="00033887"/>
    <w:rsid w:val="0004671B"/>
    <w:rsid w:val="00072DE6"/>
    <w:rsid w:val="000762AF"/>
    <w:rsid w:val="000A2D34"/>
    <w:rsid w:val="000A3EEF"/>
    <w:rsid w:val="000C3BD4"/>
    <w:rsid w:val="000D71D5"/>
    <w:rsid w:val="000D75B5"/>
    <w:rsid w:val="000E014E"/>
    <w:rsid w:val="000E1447"/>
    <w:rsid w:val="000E1DA4"/>
    <w:rsid w:val="000E2D13"/>
    <w:rsid w:val="000F3F56"/>
    <w:rsid w:val="00131E24"/>
    <w:rsid w:val="00150981"/>
    <w:rsid w:val="00161EB0"/>
    <w:rsid w:val="00177887"/>
    <w:rsid w:val="00182604"/>
    <w:rsid w:val="00186F5B"/>
    <w:rsid w:val="001879A4"/>
    <w:rsid w:val="001A32D3"/>
    <w:rsid w:val="001B4830"/>
    <w:rsid w:val="001D10DE"/>
    <w:rsid w:val="001F2DFF"/>
    <w:rsid w:val="002244A7"/>
    <w:rsid w:val="0028186A"/>
    <w:rsid w:val="00283629"/>
    <w:rsid w:val="00283FC4"/>
    <w:rsid w:val="00285EA9"/>
    <w:rsid w:val="002957E7"/>
    <w:rsid w:val="00295B71"/>
    <w:rsid w:val="002C35DA"/>
    <w:rsid w:val="002E0A12"/>
    <w:rsid w:val="002F1ADD"/>
    <w:rsid w:val="002F2244"/>
    <w:rsid w:val="002F3F87"/>
    <w:rsid w:val="002F69E6"/>
    <w:rsid w:val="00310B5C"/>
    <w:rsid w:val="00311105"/>
    <w:rsid w:val="003356C8"/>
    <w:rsid w:val="00343273"/>
    <w:rsid w:val="00397597"/>
    <w:rsid w:val="003A42E3"/>
    <w:rsid w:val="003F4BF5"/>
    <w:rsid w:val="00417AB9"/>
    <w:rsid w:val="00417AE5"/>
    <w:rsid w:val="00417B18"/>
    <w:rsid w:val="004526D7"/>
    <w:rsid w:val="00470437"/>
    <w:rsid w:val="00474534"/>
    <w:rsid w:val="00486F72"/>
    <w:rsid w:val="0049336F"/>
    <w:rsid w:val="004B294A"/>
    <w:rsid w:val="004C0815"/>
    <w:rsid w:val="004C23FE"/>
    <w:rsid w:val="004D171C"/>
    <w:rsid w:val="004D2DE2"/>
    <w:rsid w:val="004D3731"/>
    <w:rsid w:val="004D50EB"/>
    <w:rsid w:val="004E6D2E"/>
    <w:rsid w:val="004E790B"/>
    <w:rsid w:val="005013DA"/>
    <w:rsid w:val="00503353"/>
    <w:rsid w:val="0051157E"/>
    <w:rsid w:val="00526AEC"/>
    <w:rsid w:val="00526D2D"/>
    <w:rsid w:val="00542F59"/>
    <w:rsid w:val="0055141A"/>
    <w:rsid w:val="00551D25"/>
    <w:rsid w:val="00556FF3"/>
    <w:rsid w:val="0057091D"/>
    <w:rsid w:val="00572047"/>
    <w:rsid w:val="00575A81"/>
    <w:rsid w:val="00584AEE"/>
    <w:rsid w:val="00590AE1"/>
    <w:rsid w:val="0059312B"/>
    <w:rsid w:val="005A2F37"/>
    <w:rsid w:val="005B0632"/>
    <w:rsid w:val="005C04BF"/>
    <w:rsid w:val="005C2C80"/>
    <w:rsid w:val="005D7BC5"/>
    <w:rsid w:val="005E3FE6"/>
    <w:rsid w:val="005F39F4"/>
    <w:rsid w:val="006202FC"/>
    <w:rsid w:val="006225E9"/>
    <w:rsid w:val="006409F0"/>
    <w:rsid w:val="006443C5"/>
    <w:rsid w:val="0064631B"/>
    <w:rsid w:val="00655F2A"/>
    <w:rsid w:val="00682F07"/>
    <w:rsid w:val="00685F70"/>
    <w:rsid w:val="00687E27"/>
    <w:rsid w:val="00696AE9"/>
    <w:rsid w:val="006A22C8"/>
    <w:rsid w:val="006B0891"/>
    <w:rsid w:val="006C0DBF"/>
    <w:rsid w:val="006D3ACC"/>
    <w:rsid w:val="006D6EDC"/>
    <w:rsid w:val="006E02DD"/>
    <w:rsid w:val="006E50B8"/>
    <w:rsid w:val="006F30E6"/>
    <w:rsid w:val="00704521"/>
    <w:rsid w:val="00706287"/>
    <w:rsid w:val="00717269"/>
    <w:rsid w:val="00757181"/>
    <w:rsid w:val="00785AC3"/>
    <w:rsid w:val="00790F9D"/>
    <w:rsid w:val="007917E0"/>
    <w:rsid w:val="007B07F3"/>
    <w:rsid w:val="007D05BC"/>
    <w:rsid w:val="007E5AB5"/>
    <w:rsid w:val="007F414E"/>
    <w:rsid w:val="007F491D"/>
    <w:rsid w:val="007F7ABB"/>
    <w:rsid w:val="00802548"/>
    <w:rsid w:val="008076CA"/>
    <w:rsid w:val="00810D68"/>
    <w:rsid w:val="0082107B"/>
    <w:rsid w:val="00835EA4"/>
    <w:rsid w:val="0083783E"/>
    <w:rsid w:val="008559C4"/>
    <w:rsid w:val="0088593B"/>
    <w:rsid w:val="00892C44"/>
    <w:rsid w:val="008B1E8C"/>
    <w:rsid w:val="008B53CE"/>
    <w:rsid w:val="008D116B"/>
    <w:rsid w:val="008D2140"/>
    <w:rsid w:val="008D66B7"/>
    <w:rsid w:val="008F381E"/>
    <w:rsid w:val="0090146F"/>
    <w:rsid w:val="00906B9E"/>
    <w:rsid w:val="00926FC7"/>
    <w:rsid w:val="00930FAD"/>
    <w:rsid w:val="009370D6"/>
    <w:rsid w:val="00943FCF"/>
    <w:rsid w:val="00951B90"/>
    <w:rsid w:val="009817B5"/>
    <w:rsid w:val="0099215A"/>
    <w:rsid w:val="009D10E3"/>
    <w:rsid w:val="009E7F67"/>
    <w:rsid w:val="009F5486"/>
    <w:rsid w:val="00A06265"/>
    <w:rsid w:val="00A228FA"/>
    <w:rsid w:val="00A66CE9"/>
    <w:rsid w:val="00AF2F57"/>
    <w:rsid w:val="00B074CD"/>
    <w:rsid w:val="00B11F51"/>
    <w:rsid w:val="00B26E71"/>
    <w:rsid w:val="00B80B13"/>
    <w:rsid w:val="00B86C8B"/>
    <w:rsid w:val="00B86D8F"/>
    <w:rsid w:val="00B967F6"/>
    <w:rsid w:val="00BA3741"/>
    <w:rsid w:val="00BA49C7"/>
    <w:rsid w:val="00BC03BB"/>
    <w:rsid w:val="00BE3B62"/>
    <w:rsid w:val="00BE41EB"/>
    <w:rsid w:val="00BE6DCD"/>
    <w:rsid w:val="00BF019C"/>
    <w:rsid w:val="00BF6118"/>
    <w:rsid w:val="00C138D5"/>
    <w:rsid w:val="00C15636"/>
    <w:rsid w:val="00C16823"/>
    <w:rsid w:val="00C40D89"/>
    <w:rsid w:val="00C601BB"/>
    <w:rsid w:val="00C95421"/>
    <w:rsid w:val="00CC4B6A"/>
    <w:rsid w:val="00CD384C"/>
    <w:rsid w:val="00CE74F8"/>
    <w:rsid w:val="00CF2B2F"/>
    <w:rsid w:val="00D108FA"/>
    <w:rsid w:val="00D13C4D"/>
    <w:rsid w:val="00D22E6D"/>
    <w:rsid w:val="00D32FFD"/>
    <w:rsid w:val="00D41CD4"/>
    <w:rsid w:val="00D95240"/>
    <w:rsid w:val="00DC1C16"/>
    <w:rsid w:val="00DF3AC0"/>
    <w:rsid w:val="00DF5AB1"/>
    <w:rsid w:val="00E1568B"/>
    <w:rsid w:val="00E22A8B"/>
    <w:rsid w:val="00E25FA2"/>
    <w:rsid w:val="00E97B8F"/>
    <w:rsid w:val="00ED4F77"/>
    <w:rsid w:val="00ED69F7"/>
    <w:rsid w:val="00EF1329"/>
    <w:rsid w:val="00EF48B6"/>
    <w:rsid w:val="00F025A0"/>
    <w:rsid w:val="00F13FCC"/>
    <w:rsid w:val="00F330EB"/>
    <w:rsid w:val="00F524AD"/>
    <w:rsid w:val="00F52821"/>
    <w:rsid w:val="00F67234"/>
    <w:rsid w:val="00F86950"/>
    <w:rsid w:val="00FA2C2A"/>
    <w:rsid w:val="00FC3EEC"/>
    <w:rsid w:val="00FE36F3"/>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0C1D1"/>
  <w15:docId w15:val="{B7092DC6-BDBF-4CEF-B9AD-A7A8AE8C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6D7"/>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character" w:styleId="CommentReference">
    <w:name w:val="annotation reference"/>
    <w:basedOn w:val="DefaultParagraphFont"/>
    <w:rsid w:val="00696AE9"/>
    <w:rPr>
      <w:sz w:val="16"/>
      <w:szCs w:val="16"/>
    </w:rPr>
  </w:style>
  <w:style w:type="paragraph" w:styleId="CommentText">
    <w:name w:val="annotation text"/>
    <w:basedOn w:val="Normal"/>
    <w:link w:val="CommentTextChar"/>
    <w:rsid w:val="00696AE9"/>
    <w:rPr>
      <w:sz w:val="20"/>
      <w:szCs w:val="20"/>
    </w:rPr>
  </w:style>
  <w:style w:type="character" w:customStyle="1" w:styleId="CommentTextChar">
    <w:name w:val="Comment Text Char"/>
    <w:basedOn w:val="DefaultParagraphFont"/>
    <w:link w:val="CommentText"/>
    <w:rsid w:val="00696AE9"/>
    <w:rPr>
      <w:rFonts w:ascii="Arial" w:hAnsi="Arial"/>
    </w:rPr>
  </w:style>
  <w:style w:type="paragraph" w:styleId="CommentSubject">
    <w:name w:val="annotation subject"/>
    <w:basedOn w:val="CommentText"/>
    <w:next w:val="CommentText"/>
    <w:link w:val="CommentSubjectChar"/>
    <w:rsid w:val="00696AE9"/>
    <w:rPr>
      <w:b/>
      <w:bCs/>
    </w:rPr>
  </w:style>
  <w:style w:type="character" w:customStyle="1" w:styleId="CommentSubjectChar">
    <w:name w:val="Comment Subject Char"/>
    <w:basedOn w:val="CommentTextChar"/>
    <w:link w:val="CommentSubject"/>
    <w:rsid w:val="00696A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940807">
      <w:bodyDiv w:val="1"/>
      <w:marLeft w:val="0"/>
      <w:marRight w:val="0"/>
      <w:marTop w:val="0"/>
      <w:marBottom w:val="0"/>
      <w:divBdr>
        <w:top w:val="none" w:sz="0" w:space="0" w:color="auto"/>
        <w:left w:val="none" w:sz="0" w:space="0" w:color="auto"/>
        <w:bottom w:val="none" w:sz="0" w:space="0" w:color="auto"/>
        <w:right w:val="none" w:sz="0" w:space="0" w:color="auto"/>
      </w:divBdr>
    </w:div>
    <w:div w:id="1484810709">
      <w:bodyDiv w:val="1"/>
      <w:marLeft w:val="0"/>
      <w:marRight w:val="0"/>
      <w:marTop w:val="0"/>
      <w:marBottom w:val="0"/>
      <w:divBdr>
        <w:top w:val="none" w:sz="0" w:space="0" w:color="auto"/>
        <w:left w:val="none" w:sz="0" w:space="0" w:color="auto"/>
        <w:bottom w:val="none" w:sz="0" w:space="0" w:color="auto"/>
        <w:right w:val="none" w:sz="0" w:space="0" w:color="auto"/>
      </w:divBdr>
      <w:divsChild>
        <w:div w:id="1676346647">
          <w:marLeft w:val="0"/>
          <w:marRight w:val="0"/>
          <w:marTop w:val="0"/>
          <w:marBottom w:val="0"/>
          <w:divBdr>
            <w:top w:val="none" w:sz="0" w:space="0" w:color="auto"/>
            <w:left w:val="none" w:sz="0" w:space="0" w:color="auto"/>
            <w:bottom w:val="none" w:sz="0" w:space="0" w:color="auto"/>
            <w:right w:val="none" w:sz="0" w:space="0" w:color="auto"/>
          </w:divBdr>
        </w:div>
      </w:divsChild>
    </w:div>
    <w:div w:id="1567767109">
      <w:bodyDiv w:val="1"/>
      <w:marLeft w:val="0"/>
      <w:marRight w:val="0"/>
      <w:marTop w:val="0"/>
      <w:marBottom w:val="0"/>
      <w:divBdr>
        <w:top w:val="none" w:sz="0" w:space="0" w:color="auto"/>
        <w:left w:val="none" w:sz="0" w:space="0" w:color="auto"/>
        <w:bottom w:val="none" w:sz="0" w:space="0" w:color="auto"/>
        <w:right w:val="none" w:sz="0" w:space="0" w:color="auto"/>
      </w:divBdr>
    </w:div>
    <w:div w:id="21197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31994913679268"/>
          <c:y val="0"/>
        </c:manualLayout>
      </c:layout>
      <c:overlay val="0"/>
    </c:title>
    <c:autoTitleDeleted val="0"/>
    <c:plotArea>
      <c:layout>
        <c:manualLayout>
          <c:layoutTarget val="inner"/>
          <c:xMode val="edge"/>
          <c:yMode val="edge"/>
          <c:x val="3.8838950440929459E-3"/>
          <c:y val="0.11430160338868532"/>
          <c:w val="0.79164192971453784"/>
          <c:h val="0.88569839661131466"/>
        </c:manualLayout>
      </c:layout>
      <c:pieChart>
        <c:varyColors val="1"/>
        <c:ser>
          <c:idx val="0"/>
          <c:order val="0"/>
          <c:tx>
            <c:strRef>
              <c:f>Sheet1!$B$1</c:f>
              <c:strCache>
                <c:ptCount val="1"/>
                <c:pt idx="0">
                  <c:v>Staff Activities</c:v>
                </c:pt>
              </c:strCache>
            </c:strRef>
          </c:tx>
          <c:dLbls>
            <c:dLbl>
              <c:idx val="6"/>
              <c:layout>
                <c:manualLayout>
                  <c:x val="-0.13732628626901089"/>
                  <c:y val="-0.11297173355189337"/>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DC-4051-87E7-6F76B4951CD3}"/>
                </c:ext>
              </c:extLst>
            </c:dLbl>
            <c:dLbl>
              <c:idx val="7"/>
              <c:layout>
                <c:manualLayout>
                  <c:x val="-0.11393305288893683"/>
                  <c:y val="-3.8488032862063246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DC-4051-87E7-6F76B4951CD3}"/>
                </c:ext>
              </c:extLst>
            </c:dLbl>
            <c:spPr>
              <a:noFill/>
              <a:ln>
                <a:noFill/>
              </a:ln>
              <a:effectLst/>
            </c:spPr>
            <c:txPr>
              <a:bodyPr/>
              <a:lstStyle/>
              <a:p>
                <a:pPr>
                  <a:defRPr sz="900"/>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Sheet1!$A$2:$A$9</c:f>
              <c:strCache>
                <c:ptCount val="8"/>
                <c:pt idx="0">
                  <c:v>Pre-project outreach</c:v>
                </c:pt>
                <c:pt idx="1">
                  <c:v>Inspections</c:v>
                </c:pt>
                <c:pt idx="2">
                  <c:v>CEQA training/ compliance</c:v>
                </c:pt>
                <c:pt idx="3">
                  <c:v>MRP review</c:v>
                </c:pt>
                <c:pt idx="6">
                  <c:v>Application review</c:v>
                </c:pt>
                <c:pt idx="7">
                  <c:v>Enforcement</c:v>
                </c:pt>
              </c:strCache>
            </c:strRef>
          </c:cat>
          <c:val>
            <c:numRef>
              <c:f>Sheet1!$B$2:$B$9</c:f>
              <c:numCache>
                <c:formatCode>General</c:formatCode>
                <c:ptCount val="8"/>
                <c:pt idx="0">
                  <c:v>16</c:v>
                </c:pt>
                <c:pt idx="1">
                  <c:v>26</c:v>
                </c:pt>
                <c:pt idx="2">
                  <c:v>15</c:v>
                </c:pt>
                <c:pt idx="3">
                  <c:v>15</c:v>
                </c:pt>
                <c:pt idx="6">
                  <c:v>10</c:v>
                </c:pt>
                <c:pt idx="7">
                  <c:v>9</c:v>
                </c:pt>
              </c:numCache>
            </c:numRef>
          </c:val>
          <c:extLst>
            <c:ext xmlns:c16="http://schemas.microsoft.com/office/drawing/2014/chart" uri="{C3380CC4-5D6E-409C-BE32-E72D297353CC}">
              <c16:uniqueId val="{00000002-F9DC-4051-87E7-6F76B4951CD3}"/>
            </c:ext>
          </c:extLst>
        </c:ser>
        <c:dLbls>
          <c:showLegendKey val="0"/>
          <c:showVal val="1"/>
          <c:showCatName val="0"/>
          <c:showSerName val="0"/>
          <c:showPercent val="0"/>
          <c:showBubbleSize val="0"/>
          <c:showLeaderLines val="0"/>
        </c:dLbls>
        <c:firstSliceAng val="156"/>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2282700421940931"/>
          <c:y val="0"/>
        </c:manualLayout>
      </c:layout>
      <c:overlay val="0"/>
    </c:title>
    <c:autoTitleDeleted val="0"/>
    <c:plotArea>
      <c:layout>
        <c:manualLayout>
          <c:layoutTarget val="inner"/>
          <c:xMode val="edge"/>
          <c:yMode val="edge"/>
          <c:x val="0.27244858633177177"/>
          <c:y val="0.12376750616096652"/>
          <c:w val="0.72438685670620284"/>
          <c:h val="0.87368796457694697"/>
        </c:manualLayout>
      </c:layout>
      <c:pieChart>
        <c:varyColors val="1"/>
        <c:ser>
          <c:idx val="0"/>
          <c:order val="0"/>
          <c:tx>
            <c:strRef>
              <c:f>Sheet1!$B$1</c:f>
              <c:strCache>
                <c:ptCount val="1"/>
                <c:pt idx="0">
                  <c:v>Types</c:v>
                </c:pt>
              </c:strCache>
            </c:strRef>
          </c:tx>
          <c:dLbls>
            <c:spPr>
              <a:noFill/>
              <a:ln>
                <a:noFill/>
              </a:ln>
              <a:effectLst/>
            </c:spPr>
            <c:txPr>
              <a:bodyPr/>
              <a:lstStyle/>
              <a:p>
                <a:pPr>
                  <a:defRPr sz="800"/>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Sheet1!$A$2:$A$7</c:f>
              <c:strCache>
                <c:ptCount val="6"/>
                <c:pt idx="0">
                  <c:v>USFS</c:v>
                </c:pt>
                <c:pt idx="1">
                  <c:v>THPs</c:v>
                </c:pt>
                <c:pt idx="2">
                  <c:v>Reporting</c:v>
                </c:pt>
                <c:pt idx="4">
                  <c:v>Emergency/ Exemptions</c:v>
                </c:pt>
                <c:pt idx="5">
                  <c:v>Fire Protection Districts</c:v>
                </c:pt>
              </c:strCache>
            </c:strRef>
          </c:cat>
          <c:val>
            <c:numRef>
              <c:f>Sheet1!$B$2:$B$7</c:f>
              <c:numCache>
                <c:formatCode>General</c:formatCode>
                <c:ptCount val="6"/>
                <c:pt idx="0">
                  <c:v>50</c:v>
                </c:pt>
                <c:pt idx="1">
                  <c:v>18</c:v>
                </c:pt>
                <c:pt idx="2">
                  <c:v>20</c:v>
                </c:pt>
                <c:pt idx="4">
                  <c:v>7</c:v>
                </c:pt>
                <c:pt idx="5">
                  <c:v>5</c:v>
                </c:pt>
              </c:numCache>
            </c:numRef>
          </c:val>
          <c:extLst>
            <c:ext xmlns:c16="http://schemas.microsoft.com/office/drawing/2014/chart" uri="{C3380CC4-5D6E-409C-BE32-E72D297353CC}">
              <c16:uniqueId val="{00000000-AF07-4D0D-84FE-459B2661AABD}"/>
            </c:ext>
          </c:extLst>
        </c:ser>
        <c:dLbls>
          <c:showLegendKey val="0"/>
          <c:showVal val="1"/>
          <c:showCatName val="0"/>
          <c:showSerName val="0"/>
          <c:showPercent val="0"/>
          <c:showBubbleSize val="0"/>
          <c:showLeaderLines val="1"/>
        </c:dLbls>
        <c:firstSliceAng val="308"/>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13D5-EB84-4757-9B3E-7AEFD051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Shay</dc:creator>
  <cp:lastModifiedBy>Phillips, Rebecca@Waterboards</cp:lastModifiedBy>
  <cp:revision>5</cp:revision>
  <cp:lastPrinted>2017-02-21T17:56:00Z</cp:lastPrinted>
  <dcterms:created xsi:type="dcterms:W3CDTF">2018-03-13T00:19:00Z</dcterms:created>
  <dcterms:modified xsi:type="dcterms:W3CDTF">2018-10-16T21:21:00Z</dcterms:modified>
</cp:coreProperties>
</file>