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ED" w:rsidRDefault="003239ED" w:rsidP="003239ED">
      <w:pPr>
        <w:jc w:val="center"/>
        <w:rPr>
          <w:rStyle w:val="Strong"/>
          <w:rFonts w:eastAsiaTheme="majorEastAsia" w:cs="Arial"/>
          <w:sz w:val="32"/>
        </w:rPr>
      </w:pPr>
      <w:r>
        <w:rPr>
          <w:noProof/>
        </w:rPr>
        <w:drawing>
          <wp:anchor distT="0" distB="0" distL="114300" distR="114300" simplePos="0" relativeHeight="251662336" behindDoc="1" locked="0" layoutInCell="1" allowOverlap="1" wp14:anchorId="0B0D9D26" wp14:editId="2452819D">
            <wp:simplePos x="0" y="0"/>
            <wp:positionH relativeFrom="column">
              <wp:posOffset>-80010</wp:posOffset>
            </wp:positionH>
            <wp:positionV relativeFrom="paragraph">
              <wp:posOffset>-68580</wp:posOffset>
            </wp:positionV>
            <wp:extent cx="6269355" cy="1095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9355" cy="1095375"/>
                    </a:xfrm>
                    <a:prstGeom prst="rect">
                      <a:avLst/>
                    </a:prstGeom>
                    <a:noFill/>
                  </pic:spPr>
                </pic:pic>
              </a:graphicData>
            </a:graphic>
            <wp14:sizeRelH relativeFrom="margin">
              <wp14:pctWidth>0</wp14:pctWidth>
            </wp14:sizeRelH>
            <wp14:sizeRelV relativeFrom="margin">
              <wp14:pctHeight>0</wp14:pctHeight>
            </wp14:sizeRelV>
          </wp:anchor>
        </w:drawing>
      </w:r>
      <w:r>
        <w:rPr>
          <w:rStyle w:val="Strong"/>
          <w:rFonts w:eastAsiaTheme="majorEastAsia" w:cs="Arial"/>
          <w:sz w:val="32"/>
        </w:rPr>
        <w:t xml:space="preserve">Lahontan Water Board Program Fact Sheet </w:t>
      </w:r>
    </w:p>
    <w:p w:rsidR="008D2140" w:rsidRPr="003239ED" w:rsidRDefault="0006429A" w:rsidP="008D2140">
      <w:pPr>
        <w:jc w:val="center"/>
        <w:rPr>
          <w:rStyle w:val="Strong"/>
          <w:rFonts w:cs="Arial"/>
          <w:sz w:val="32"/>
          <w:szCs w:val="32"/>
        </w:rPr>
      </w:pPr>
      <w:r>
        <w:rPr>
          <w:rStyle w:val="Strong"/>
          <w:rFonts w:cs="Arial"/>
          <w:sz w:val="32"/>
          <w:szCs w:val="32"/>
        </w:rPr>
        <w:t>FY 201</w:t>
      </w:r>
      <w:r w:rsidR="00ED4EF1">
        <w:rPr>
          <w:rStyle w:val="Strong"/>
          <w:rFonts w:cs="Arial"/>
          <w:sz w:val="32"/>
          <w:szCs w:val="32"/>
        </w:rPr>
        <w:t>7</w:t>
      </w:r>
      <w:r>
        <w:rPr>
          <w:rStyle w:val="Strong"/>
          <w:rFonts w:cs="Arial"/>
          <w:sz w:val="32"/>
          <w:szCs w:val="32"/>
        </w:rPr>
        <w:t>-1</w:t>
      </w:r>
      <w:r w:rsidR="00ED4EF1">
        <w:rPr>
          <w:rStyle w:val="Strong"/>
          <w:rFonts w:cs="Arial"/>
          <w:sz w:val="32"/>
          <w:szCs w:val="32"/>
        </w:rPr>
        <w:t>8</w:t>
      </w:r>
    </w:p>
    <w:tbl>
      <w:tblPr>
        <w:tblStyle w:val="TableGrid"/>
        <w:tblW w:w="0" w:type="auto"/>
        <w:tblCellMar>
          <w:top w:w="216" w:type="dxa"/>
          <w:left w:w="115" w:type="dxa"/>
          <w:bottom w:w="216" w:type="dxa"/>
          <w:right w:w="115" w:type="dxa"/>
        </w:tblCellMar>
        <w:tblLook w:val="04A0" w:firstRow="1" w:lastRow="0" w:firstColumn="1" w:lastColumn="0" w:noHBand="0" w:noVBand="1"/>
      </w:tblPr>
      <w:tblGrid>
        <w:gridCol w:w="9648"/>
      </w:tblGrid>
      <w:tr w:rsidR="00D22E6D" w:rsidRPr="000E014E" w:rsidTr="00051745">
        <w:tc>
          <w:tcPr>
            <w:tcW w:w="9648" w:type="dxa"/>
            <w:tcBorders>
              <w:top w:val="nil"/>
              <w:left w:val="nil"/>
              <w:bottom w:val="single" w:sz="4" w:space="0" w:color="auto"/>
              <w:right w:val="nil"/>
            </w:tcBorders>
            <w:shd w:val="clear" w:color="auto" w:fill="auto"/>
          </w:tcPr>
          <w:p w:rsidR="00F524AD" w:rsidRPr="000E014E" w:rsidRDefault="000D10FE" w:rsidP="000E014E">
            <w:pPr>
              <w:tabs>
                <w:tab w:val="right" w:pos="9630"/>
              </w:tabs>
              <w:jc w:val="center"/>
              <w:rPr>
                <w:rStyle w:val="Strong"/>
                <w:sz w:val="40"/>
                <w:szCs w:val="32"/>
              </w:rPr>
            </w:pPr>
            <w:r>
              <w:rPr>
                <w:rStyle w:val="Strong"/>
                <w:i/>
                <w:sz w:val="40"/>
                <w:szCs w:val="32"/>
              </w:rPr>
              <w:t>Total Maximum Daily Load (TMDL</w:t>
            </w:r>
            <w:r w:rsidR="00A66CE9" w:rsidRPr="000E014E">
              <w:rPr>
                <w:rStyle w:val="Strong"/>
                <w:i/>
                <w:sz w:val="40"/>
                <w:szCs w:val="32"/>
              </w:rPr>
              <w:t>)</w:t>
            </w:r>
          </w:p>
        </w:tc>
      </w:tr>
      <w:tr w:rsidR="00D22E6D" w:rsidTr="00051745">
        <w:trPr>
          <w:trHeight w:val="278"/>
        </w:trPr>
        <w:tc>
          <w:tcPr>
            <w:tcW w:w="9648" w:type="dxa"/>
            <w:tcBorders>
              <w:left w:val="nil"/>
              <w:bottom w:val="single" w:sz="4" w:space="0" w:color="auto"/>
              <w:right w:val="nil"/>
            </w:tcBorders>
            <w:tcMar>
              <w:top w:w="0" w:type="dxa"/>
              <w:bottom w:w="0" w:type="dxa"/>
            </w:tcMar>
          </w:tcPr>
          <w:p w:rsidR="00D22E6D" w:rsidRPr="00197F37" w:rsidRDefault="00D22E6D" w:rsidP="006E02DD">
            <w:pPr>
              <w:rPr>
                <w:rStyle w:val="Strong"/>
                <w:b w:val="0"/>
                <w:sz w:val="12"/>
                <w:szCs w:val="12"/>
              </w:rPr>
            </w:pPr>
          </w:p>
        </w:tc>
      </w:tr>
      <w:tr w:rsidR="00D22E6D" w:rsidTr="00051745">
        <w:tc>
          <w:tcPr>
            <w:tcW w:w="9648" w:type="dxa"/>
            <w:tcBorders>
              <w:bottom w:val="single" w:sz="4" w:space="0" w:color="auto"/>
            </w:tcBorders>
            <w:shd w:val="clear" w:color="auto" w:fill="EAF1DD" w:themeFill="accent3" w:themeFillTint="33"/>
          </w:tcPr>
          <w:p w:rsidR="00685F70" w:rsidRDefault="00D22E6D" w:rsidP="00572047">
            <w:pPr>
              <w:tabs>
                <w:tab w:val="left" w:pos="1800"/>
              </w:tabs>
              <w:spacing w:after="120"/>
              <w:rPr>
                <w:rStyle w:val="Strong"/>
                <w:b w:val="0"/>
                <w:sz w:val="32"/>
              </w:rPr>
            </w:pPr>
            <w:r w:rsidRPr="006F30E6">
              <w:rPr>
                <w:rStyle w:val="Strong"/>
                <w:b w:val="0"/>
                <w:sz w:val="32"/>
              </w:rPr>
              <w:t>Overview</w:t>
            </w:r>
          </w:p>
          <w:p w:rsidR="00F524AD" w:rsidRDefault="00051513" w:rsidP="004E6277">
            <w:pPr>
              <w:tabs>
                <w:tab w:val="left" w:pos="1800"/>
              </w:tabs>
              <w:rPr>
                <w:rStyle w:val="Strong"/>
                <w:b w:val="0"/>
              </w:rPr>
            </w:pPr>
            <w:r w:rsidRPr="00197F37">
              <w:rPr>
                <w:rStyle w:val="Strong"/>
                <w:b w:val="0"/>
              </w:rPr>
              <w:t>The TMDL Program addresses impaired waters of the Region and satisfies Clean Water Act Section</w:t>
            </w:r>
            <w:r w:rsidR="000221D8">
              <w:rPr>
                <w:rStyle w:val="Strong"/>
                <w:b w:val="0"/>
              </w:rPr>
              <w:t>s</w:t>
            </w:r>
            <w:r w:rsidRPr="00197F37">
              <w:rPr>
                <w:rStyle w:val="Strong"/>
                <w:b w:val="0"/>
              </w:rPr>
              <w:t xml:space="preserve"> 303 and 305 requirements. The TMDL Program resources are a combination of funds from the state’s Waste Discharge Permit Fee account and federal TMDL develo</w:t>
            </w:r>
            <w:r w:rsidR="00607AEF">
              <w:rPr>
                <w:rStyle w:val="Strong"/>
                <w:b w:val="0"/>
              </w:rPr>
              <w:t>pment program. The state funds 4</w:t>
            </w:r>
            <w:r w:rsidRPr="00197F37">
              <w:rPr>
                <w:rStyle w:val="Strong"/>
                <w:b w:val="0"/>
              </w:rPr>
              <w:t>.</w:t>
            </w:r>
            <w:r w:rsidR="00384A6E" w:rsidRPr="00197F37">
              <w:rPr>
                <w:rStyle w:val="Strong"/>
                <w:b w:val="0"/>
              </w:rPr>
              <w:t>3</w:t>
            </w:r>
            <w:r w:rsidRPr="00197F37">
              <w:rPr>
                <w:rStyle w:val="Strong"/>
                <w:b w:val="0"/>
              </w:rPr>
              <w:t xml:space="preserve"> PY </w:t>
            </w:r>
            <w:r w:rsidR="004E6277">
              <w:rPr>
                <w:rStyle w:val="Strong"/>
                <w:b w:val="0"/>
              </w:rPr>
              <w:t>shared between the</w:t>
            </w:r>
            <w:r w:rsidR="004E6277" w:rsidRPr="00197F37">
              <w:rPr>
                <w:rStyle w:val="Strong"/>
                <w:b w:val="0"/>
              </w:rPr>
              <w:t xml:space="preserve"> </w:t>
            </w:r>
            <w:r w:rsidRPr="00197F37">
              <w:rPr>
                <w:rStyle w:val="Strong"/>
                <w:b w:val="0"/>
              </w:rPr>
              <w:t xml:space="preserve">TMDL and Basin Planning </w:t>
            </w:r>
            <w:r w:rsidR="004E6277">
              <w:rPr>
                <w:rStyle w:val="Strong"/>
                <w:b w:val="0"/>
              </w:rPr>
              <w:t>programs. Federal</w:t>
            </w:r>
            <w:r w:rsidRPr="00197F37">
              <w:rPr>
                <w:rStyle w:val="Strong"/>
                <w:b w:val="0"/>
              </w:rPr>
              <w:t xml:space="preserve"> program funds</w:t>
            </w:r>
            <w:r w:rsidR="004E6277">
              <w:rPr>
                <w:rStyle w:val="Strong"/>
                <w:b w:val="0"/>
              </w:rPr>
              <w:t xml:space="preserve"> provide</w:t>
            </w:r>
            <w:r w:rsidRPr="00197F37">
              <w:rPr>
                <w:rStyle w:val="Strong"/>
                <w:b w:val="0"/>
              </w:rPr>
              <w:t xml:space="preserve"> </w:t>
            </w:r>
            <w:r w:rsidR="00CE0FBF" w:rsidRPr="00197F37">
              <w:rPr>
                <w:rStyle w:val="Strong"/>
                <w:b w:val="0"/>
              </w:rPr>
              <w:t>1.</w:t>
            </w:r>
            <w:r w:rsidR="00A60B1F" w:rsidRPr="00197F37">
              <w:rPr>
                <w:rStyle w:val="Strong"/>
                <w:b w:val="0"/>
              </w:rPr>
              <w:t>2</w:t>
            </w:r>
            <w:r w:rsidRPr="00197F37">
              <w:rPr>
                <w:rStyle w:val="Strong"/>
                <w:b w:val="0"/>
              </w:rPr>
              <w:t xml:space="preserve"> PY for TMDL development. TMDL staff assesses waterbodies for water quality impairments, determines possible sources, types and magnitude of impairments, and prepares plans to restore beneficial uses of the impaired waterbodies through TMDLs and other means.</w:t>
            </w:r>
            <w:r w:rsidR="00E64C63" w:rsidRPr="00197F37">
              <w:rPr>
                <w:rStyle w:val="Strong"/>
                <w:b w:val="0"/>
              </w:rPr>
              <w:t xml:space="preserve"> </w:t>
            </w:r>
          </w:p>
          <w:p w:rsidR="004E6277" w:rsidRDefault="004E6277" w:rsidP="004E6277">
            <w:pPr>
              <w:tabs>
                <w:tab w:val="left" w:pos="1800"/>
              </w:tabs>
              <w:rPr>
                <w:rStyle w:val="Strong"/>
                <w:b w:val="0"/>
              </w:rPr>
            </w:pPr>
          </w:p>
          <w:p w:rsidR="004E6277" w:rsidRPr="00505059" w:rsidRDefault="00471589" w:rsidP="002F211C">
            <w:pPr>
              <w:tabs>
                <w:tab w:val="left" w:pos="1800"/>
              </w:tabs>
              <w:rPr>
                <w:rStyle w:val="Strong"/>
                <w:b w:val="0"/>
              </w:rPr>
            </w:pPr>
            <w:r w:rsidRPr="00051745">
              <w:rPr>
                <w:rFonts w:eastAsia="Calibri" w:cs="Arial"/>
              </w:rPr>
              <w:t>In 2013</w:t>
            </w:r>
            <w:r w:rsidR="000221D8">
              <w:rPr>
                <w:rFonts w:eastAsia="Calibri" w:cs="Arial"/>
              </w:rPr>
              <w:t>,</w:t>
            </w:r>
            <w:r w:rsidRPr="00051745">
              <w:rPr>
                <w:rFonts w:eastAsia="Calibri" w:cs="Arial"/>
              </w:rPr>
              <w:t xml:space="preserve"> the U.S. Environmental Protection Agency (USEPA) announced a new collaborative framework for implementing the Clean Water Act (CWA) Section 303(d) program called the </w:t>
            </w:r>
            <w:hyperlink r:id="rId8" w:history="1">
              <w:r w:rsidRPr="000221D8">
                <w:rPr>
                  <w:rStyle w:val="Hyperlink"/>
                  <w:rFonts w:eastAsia="Calibri" w:cs="Arial"/>
                  <w:i/>
                </w:rPr>
                <w:t xml:space="preserve">Long-Term Vision for Assessment, Restoration, and Protection under the Clean Water Act Section 303(d) </w:t>
              </w:r>
              <w:proofErr w:type="spellStart"/>
              <w:r w:rsidRPr="000221D8">
                <w:rPr>
                  <w:rStyle w:val="Hyperlink"/>
                  <w:rFonts w:eastAsia="Calibri" w:cs="Arial"/>
                  <w:i/>
                </w:rPr>
                <w:t>Program</w:t>
              </w:r>
            </w:hyperlink>
            <w:r w:rsidR="000221D8" w:rsidRPr="000221D8">
              <w:rPr>
                <w:rStyle w:val="Hyperlink"/>
                <w:rFonts w:eastAsia="Calibri" w:cs="Arial"/>
                <w:color w:val="auto"/>
                <w:u w:val="none"/>
              </w:rPr>
              <w:t>.</w:t>
            </w:r>
            <w:r w:rsidR="004E6277" w:rsidRPr="000221D8">
              <w:rPr>
                <w:rStyle w:val="Strong"/>
                <w:b w:val="0"/>
              </w:rPr>
              <w:t>The</w:t>
            </w:r>
            <w:proofErr w:type="spellEnd"/>
            <w:r w:rsidR="004E6277" w:rsidRPr="00471589">
              <w:rPr>
                <w:rStyle w:val="Strong"/>
                <w:b w:val="0"/>
              </w:rPr>
              <w:t xml:space="preserve"> Vision prioritizes water quality </w:t>
            </w:r>
            <w:r w:rsidR="004E6277" w:rsidRPr="00505059">
              <w:rPr>
                <w:rStyle w:val="Strong"/>
                <w:b w:val="0"/>
              </w:rPr>
              <w:t xml:space="preserve">outcomes over TMDL development, and encourages the use of alternatives to traditional TMDLs when appropriate to address an impairment. </w:t>
            </w:r>
            <w:r w:rsidR="002F211C">
              <w:rPr>
                <w:rStyle w:val="Strong"/>
                <w:b w:val="0"/>
              </w:rPr>
              <w:t>S</w:t>
            </w:r>
            <w:r w:rsidR="004E6277" w:rsidRPr="00505059">
              <w:rPr>
                <w:rStyle w:val="Strong"/>
                <w:b w:val="0"/>
              </w:rPr>
              <w:t xml:space="preserve">taff committed to address impairments in two waterbodies by 2022 </w:t>
            </w:r>
            <w:r w:rsidR="00505059">
              <w:rPr>
                <w:rStyle w:val="Strong"/>
                <w:b w:val="0"/>
              </w:rPr>
              <w:t>as part of the</w:t>
            </w:r>
            <w:r w:rsidR="004E6277" w:rsidRPr="00505059">
              <w:rPr>
                <w:rStyle w:val="Strong"/>
                <w:b w:val="0"/>
              </w:rPr>
              <w:t xml:space="preserve"> USEPA Vision effort.</w:t>
            </w:r>
            <w:r w:rsidR="000221D8">
              <w:rPr>
                <w:rStyle w:val="Strong"/>
                <w:b w:val="0"/>
              </w:rPr>
              <w:t xml:space="preserve"> The two waterbodies are the West Fork Carson River and Bishop Creek.</w:t>
            </w:r>
          </w:p>
        </w:tc>
      </w:tr>
      <w:tr w:rsidR="00D22E6D" w:rsidTr="00051745">
        <w:tc>
          <w:tcPr>
            <w:tcW w:w="9648" w:type="dxa"/>
            <w:tcBorders>
              <w:left w:val="nil"/>
              <w:bottom w:val="single" w:sz="4" w:space="0" w:color="auto"/>
              <w:right w:val="nil"/>
            </w:tcBorders>
            <w:tcMar>
              <w:top w:w="0" w:type="dxa"/>
              <w:bottom w:w="0" w:type="dxa"/>
            </w:tcMar>
          </w:tcPr>
          <w:p w:rsidR="00D22E6D" w:rsidRPr="00197F37" w:rsidRDefault="00D22E6D" w:rsidP="006E02DD">
            <w:pPr>
              <w:rPr>
                <w:rStyle w:val="Strong"/>
                <w:b w:val="0"/>
                <w:sz w:val="12"/>
                <w:szCs w:val="12"/>
              </w:rPr>
            </w:pPr>
          </w:p>
        </w:tc>
      </w:tr>
      <w:tr w:rsidR="00D22E6D" w:rsidTr="00051745">
        <w:trPr>
          <w:trHeight w:val="4242"/>
        </w:trPr>
        <w:tc>
          <w:tcPr>
            <w:tcW w:w="9648" w:type="dxa"/>
            <w:shd w:val="clear" w:color="auto" w:fill="EAF1DD" w:themeFill="accent3" w:themeFillTint="33"/>
          </w:tcPr>
          <w:p w:rsidR="00685F70" w:rsidRDefault="00666A2A" w:rsidP="00572047">
            <w:pPr>
              <w:tabs>
                <w:tab w:val="left" w:pos="1815"/>
              </w:tabs>
              <w:spacing w:after="120"/>
              <w:rPr>
                <w:rStyle w:val="Strong"/>
                <w:b w:val="0"/>
                <w:sz w:val="32"/>
              </w:rPr>
            </w:pPr>
            <w:r>
              <w:rPr>
                <w:rStyle w:val="Strong"/>
                <w:b w:val="0"/>
                <w:sz w:val="32"/>
              </w:rPr>
              <w:t>Key Efforts</w:t>
            </w:r>
          </w:p>
          <w:p w:rsidR="004E6277" w:rsidRPr="00051745" w:rsidRDefault="00505059" w:rsidP="000221D8">
            <w:pPr>
              <w:pStyle w:val="ListParagraph"/>
              <w:numPr>
                <w:ilvl w:val="0"/>
                <w:numId w:val="13"/>
              </w:numPr>
              <w:spacing w:after="120"/>
              <w:ind w:left="360"/>
              <w:contextualSpacing w:val="0"/>
              <w:rPr>
                <w:rStyle w:val="Strong"/>
              </w:rPr>
            </w:pPr>
            <w:r w:rsidRPr="0031091F">
              <w:rPr>
                <w:rStyle w:val="Strong"/>
              </w:rPr>
              <w:t>USEPA Vision Projects</w:t>
            </w:r>
            <w:r>
              <w:rPr>
                <w:rStyle w:val="Strong"/>
              </w:rPr>
              <w:t xml:space="preserve"> </w:t>
            </w:r>
            <w:r w:rsidR="000221D8">
              <w:rPr>
                <w:rStyle w:val="Strong"/>
                <w:b w:val="0"/>
              </w:rPr>
              <w:t xml:space="preserve">– </w:t>
            </w:r>
            <w:r w:rsidR="004E6277">
              <w:rPr>
                <w:rStyle w:val="Strong"/>
                <w:b w:val="0"/>
              </w:rPr>
              <w:t xml:space="preserve">Develop water quality improvement plans </w:t>
            </w:r>
            <w:r w:rsidR="000221D8">
              <w:rPr>
                <w:rStyle w:val="Strong"/>
                <w:b w:val="0"/>
              </w:rPr>
              <w:t>for:</w:t>
            </w:r>
          </w:p>
          <w:p w:rsidR="004E6277" w:rsidRDefault="004E6277" w:rsidP="000221D8">
            <w:pPr>
              <w:pStyle w:val="ListParagraph"/>
              <w:numPr>
                <w:ilvl w:val="1"/>
                <w:numId w:val="13"/>
              </w:numPr>
              <w:spacing w:after="120"/>
              <w:ind w:left="691"/>
              <w:contextualSpacing w:val="0"/>
              <w:rPr>
                <w:rStyle w:val="Strong"/>
                <w:b w:val="0"/>
              </w:rPr>
            </w:pPr>
            <w:r w:rsidRPr="00051745">
              <w:rPr>
                <w:rStyle w:val="Strong"/>
              </w:rPr>
              <w:t>West Fork Carson River</w:t>
            </w:r>
            <w:r>
              <w:rPr>
                <w:rStyle w:val="Strong"/>
                <w:b w:val="0"/>
              </w:rPr>
              <w:t>, multiple listings. Staff is working with stakeholders to develop a TMDL alternative to be addressed with a 9</w:t>
            </w:r>
            <w:r w:rsidR="000221D8">
              <w:rPr>
                <w:rStyle w:val="Strong"/>
                <w:b w:val="0"/>
              </w:rPr>
              <w:t>-E</w:t>
            </w:r>
            <w:r>
              <w:rPr>
                <w:rStyle w:val="Strong"/>
                <w:b w:val="0"/>
              </w:rPr>
              <w:t>lement Watershed Plan</w:t>
            </w:r>
            <w:r w:rsidR="000221D8">
              <w:rPr>
                <w:rStyle w:val="Strong"/>
                <w:b w:val="0"/>
              </w:rPr>
              <w:t>.</w:t>
            </w:r>
          </w:p>
          <w:p w:rsidR="004E6277" w:rsidRDefault="004E6277" w:rsidP="000221D8">
            <w:pPr>
              <w:pStyle w:val="ListParagraph"/>
              <w:numPr>
                <w:ilvl w:val="1"/>
                <w:numId w:val="13"/>
              </w:numPr>
              <w:spacing w:after="120"/>
              <w:ind w:left="691"/>
              <w:contextualSpacing w:val="0"/>
              <w:rPr>
                <w:rStyle w:val="Strong"/>
                <w:b w:val="0"/>
              </w:rPr>
            </w:pPr>
            <w:r w:rsidRPr="00051745">
              <w:rPr>
                <w:rStyle w:val="Strong"/>
              </w:rPr>
              <w:t>Bishop Creek</w:t>
            </w:r>
            <w:r w:rsidRPr="00505059">
              <w:rPr>
                <w:rStyle w:val="Strong"/>
                <w:b w:val="0"/>
              </w:rPr>
              <w:t>,</w:t>
            </w:r>
            <w:r>
              <w:rPr>
                <w:rStyle w:val="Strong"/>
                <w:b w:val="0"/>
              </w:rPr>
              <w:t xml:space="preserve"> bacteria. Staf</w:t>
            </w:r>
            <w:r w:rsidR="00B27622">
              <w:rPr>
                <w:rStyle w:val="Strong"/>
                <w:b w:val="0"/>
              </w:rPr>
              <w:t>f</w:t>
            </w:r>
            <w:r>
              <w:rPr>
                <w:rStyle w:val="Strong"/>
                <w:b w:val="0"/>
              </w:rPr>
              <w:t xml:space="preserve"> will analyze </w:t>
            </w:r>
            <w:r w:rsidR="00B27622">
              <w:rPr>
                <w:rStyle w:val="Strong"/>
                <w:b w:val="0"/>
              </w:rPr>
              <w:t xml:space="preserve">pathogen data for attainment in multiple segments of </w:t>
            </w:r>
            <w:r>
              <w:rPr>
                <w:rStyle w:val="Strong"/>
                <w:b w:val="0"/>
              </w:rPr>
              <w:t>Bishop Creek</w:t>
            </w:r>
            <w:r w:rsidR="00B27622">
              <w:rPr>
                <w:rStyle w:val="Strong"/>
                <w:b w:val="0"/>
              </w:rPr>
              <w:t>. Data will be assessed against</w:t>
            </w:r>
            <w:r>
              <w:rPr>
                <w:rStyle w:val="Strong"/>
                <w:b w:val="0"/>
              </w:rPr>
              <w:t xml:space="preserve"> </w:t>
            </w:r>
            <w:r w:rsidR="00B27622">
              <w:rPr>
                <w:rStyle w:val="Strong"/>
                <w:b w:val="0"/>
              </w:rPr>
              <w:t>the newly adopted REC-</w:t>
            </w:r>
            <w:r>
              <w:rPr>
                <w:rStyle w:val="Strong"/>
                <w:b w:val="0"/>
              </w:rPr>
              <w:t xml:space="preserve">1 bacteria </w:t>
            </w:r>
            <w:r w:rsidR="000221D8">
              <w:rPr>
                <w:rStyle w:val="Strong"/>
                <w:b w:val="0"/>
              </w:rPr>
              <w:t>objective</w:t>
            </w:r>
            <w:r w:rsidR="00C93F4C">
              <w:rPr>
                <w:rStyle w:val="Strong"/>
                <w:b w:val="0"/>
              </w:rPr>
              <w:t>s</w:t>
            </w:r>
            <w:r>
              <w:rPr>
                <w:rStyle w:val="Strong"/>
                <w:b w:val="0"/>
              </w:rPr>
              <w:t>, and</w:t>
            </w:r>
            <w:r w:rsidR="00B27622">
              <w:rPr>
                <w:rStyle w:val="Strong"/>
                <w:b w:val="0"/>
              </w:rPr>
              <w:t xml:space="preserve"> staff will</w:t>
            </w:r>
            <w:r>
              <w:rPr>
                <w:rStyle w:val="Strong"/>
                <w:b w:val="0"/>
              </w:rPr>
              <w:t xml:space="preserve"> </w:t>
            </w:r>
            <w:r w:rsidR="00B27622">
              <w:rPr>
                <w:rStyle w:val="Strong"/>
                <w:b w:val="0"/>
              </w:rPr>
              <w:t xml:space="preserve">develop a TMDL or other implementation plan to </w:t>
            </w:r>
            <w:r>
              <w:rPr>
                <w:rStyle w:val="Strong"/>
                <w:b w:val="0"/>
              </w:rPr>
              <w:t xml:space="preserve">address </w:t>
            </w:r>
            <w:r w:rsidR="00B27622">
              <w:rPr>
                <w:rStyle w:val="Strong"/>
                <w:b w:val="0"/>
              </w:rPr>
              <w:t xml:space="preserve">any </w:t>
            </w:r>
            <w:proofErr w:type="gramStart"/>
            <w:r>
              <w:rPr>
                <w:rStyle w:val="Strong"/>
                <w:b w:val="0"/>
              </w:rPr>
              <w:t>impairments</w:t>
            </w:r>
            <w:proofErr w:type="gramEnd"/>
            <w:r w:rsidR="000221D8">
              <w:rPr>
                <w:rStyle w:val="Strong"/>
                <w:b w:val="0"/>
              </w:rPr>
              <w:t>.</w:t>
            </w:r>
          </w:p>
          <w:p w:rsidR="00B27622" w:rsidRDefault="00B27622" w:rsidP="000221D8">
            <w:pPr>
              <w:pStyle w:val="ListParagraph"/>
              <w:numPr>
                <w:ilvl w:val="0"/>
                <w:numId w:val="13"/>
              </w:numPr>
              <w:spacing w:after="120"/>
              <w:ind w:left="360"/>
              <w:contextualSpacing w:val="0"/>
              <w:rPr>
                <w:rStyle w:val="Strong"/>
                <w:b w:val="0"/>
              </w:rPr>
            </w:pPr>
            <w:r w:rsidRPr="00051745">
              <w:rPr>
                <w:rStyle w:val="Strong"/>
              </w:rPr>
              <w:t xml:space="preserve">2018 Integrated Report </w:t>
            </w:r>
            <w:r>
              <w:rPr>
                <w:rStyle w:val="Strong"/>
                <w:b w:val="0"/>
              </w:rPr>
              <w:t xml:space="preserve">(303d/305b List) – </w:t>
            </w:r>
            <w:r w:rsidR="000221D8">
              <w:rPr>
                <w:rStyle w:val="Strong"/>
                <w:b w:val="0"/>
              </w:rPr>
              <w:t>A</w:t>
            </w:r>
            <w:r>
              <w:rPr>
                <w:rStyle w:val="Strong"/>
                <w:b w:val="0"/>
              </w:rPr>
              <w:t xml:space="preserve">ssess data to determine attainment or impairment of thousands of waterbody-pollutant combinations. All assessed data must exist in the California Environmental Data Exchange </w:t>
            </w:r>
            <w:proofErr w:type="spellStart"/>
            <w:r>
              <w:rPr>
                <w:rStyle w:val="Strong"/>
                <w:b w:val="0"/>
              </w:rPr>
              <w:t>Netowrk</w:t>
            </w:r>
            <w:proofErr w:type="spellEnd"/>
            <w:r>
              <w:rPr>
                <w:rStyle w:val="Strong"/>
                <w:b w:val="0"/>
              </w:rPr>
              <w:t xml:space="preserve"> (CEDEN) database.</w:t>
            </w:r>
          </w:p>
          <w:p w:rsidR="00A13E96" w:rsidRDefault="00A13E96" w:rsidP="000221D8">
            <w:pPr>
              <w:pStyle w:val="ListParagraph"/>
              <w:numPr>
                <w:ilvl w:val="0"/>
                <w:numId w:val="13"/>
              </w:numPr>
              <w:spacing w:after="120"/>
              <w:ind w:left="360"/>
              <w:contextualSpacing w:val="0"/>
              <w:rPr>
                <w:rStyle w:val="Strong"/>
                <w:b w:val="0"/>
              </w:rPr>
            </w:pPr>
            <w:r>
              <w:rPr>
                <w:rStyle w:val="Strong"/>
              </w:rPr>
              <w:t xml:space="preserve">Conceptual Models – </w:t>
            </w:r>
            <w:r>
              <w:rPr>
                <w:rStyle w:val="Strong"/>
                <w:b w:val="0"/>
              </w:rPr>
              <w:t>Assist State Board in developing conceptual watershed model template for storytelling initiative and watershed assessments</w:t>
            </w:r>
            <w:r w:rsidR="000221D8">
              <w:rPr>
                <w:rStyle w:val="Strong"/>
                <w:b w:val="0"/>
              </w:rPr>
              <w:t>.</w:t>
            </w:r>
          </w:p>
          <w:p w:rsidR="00235856" w:rsidRPr="000221D8" w:rsidRDefault="00B27622" w:rsidP="000221D8">
            <w:pPr>
              <w:pStyle w:val="ListParagraph"/>
              <w:numPr>
                <w:ilvl w:val="0"/>
                <w:numId w:val="13"/>
              </w:numPr>
              <w:spacing w:after="120"/>
              <w:ind w:left="360"/>
              <w:contextualSpacing w:val="0"/>
              <w:rPr>
                <w:rStyle w:val="Strong"/>
                <w:b w:val="0"/>
              </w:rPr>
            </w:pPr>
            <w:r w:rsidRPr="00051745">
              <w:rPr>
                <w:rStyle w:val="Strong"/>
              </w:rPr>
              <w:t>Implement</w:t>
            </w:r>
            <w:r w:rsidRPr="00197F37">
              <w:rPr>
                <w:rStyle w:val="Strong"/>
                <w:b w:val="0"/>
              </w:rPr>
              <w:t xml:space="preserve"> adopted TMDLs </w:t>
            </w:r>
            <w:r w:rsidR="006218CF">
              <w:rPr>
                <w:rStyle w:val="Strong"/>
                <w:b w:val="0"/>
              </w:rPr>
              <w:t>through permits and support of grant</w:t>
            </w:r>
            <w:r w:rsidR="000221D8">
              <w:rPr>
                <w:rStyle w:val="Strong"/>
                <w:b w:val="0"/>
              </w:rPr>
              <w:t>-</w:t>
            </w:r>
            <w:r w:rsidR="006218CF">
              <w:rPr>
                <w:rStyle w:val="Strong"/>
                <w:b w:val="0"/>
              </w:rPr>
              <w:t>funded projects</w:t>
            </w:r>
            <w:r w:rsidR="00C93F4C">
              <w:rPr>
                <w:rStyle w:val="Strong"/>
                <w:b w:val="0"/>
              </w:rPr>
              <w:t>.</w:t>
            </w:r>
          </w:p>
        </w:tc>
      </w:tr>
    </w:tbl>
    <w:p w:rsidR="00F1433D" w:rsidRDefault="00F1433D">
      <w:r>
        <w:br w:type="page"/>
      </w:r>
    </w:p>
    <w:tbl>
      <w:tblPr>
        <w:tblStyle w:val="TableGrid"/>
        <w:tblW w:w="9925" w:type="dxa"/>
        <w:tblCellMar>
          <w:top w:w="216" w:type="dxa"/>
          <w:left w:w="115" w:type="dxa"/>
          <w:bottom w:w="216" w:type="dxa"/>
          <w:right w:w="115" w:type="dxa"/>
        </w:tblCellMar>
        <w:tblLook w:val="04A0" w:firstRow="1" w:lastRow="0" w:firstColumn="1" w:lastColumn="0" w:noHBand="0" w:noVBand="1"/>
      </w:tblPr>
      <w:tblGrid>
        <w:gridCol w:w="25"/>
        <w:gridCol w:w="9853"/>
        <w:gridCol w:w="47"/>
      </w:tblGrid>
      <w:tr w:rsidR="00D22E6D" w:rsidTr="00051745">
        <w:trPr>
          <w:gridAfter w:val="1"/>
          <w:wAfter w:w="47" w:type="dxa"/>
          <w:trHeight w:val="4724"/>
        </w:trPr>
        <w:tc>
          <w:tcPr>
            <w:tcW w:w="9878" w:type="dxa"/>
            <w:gridSpan w:val="2"/>
            <w:tcBorders>
              <w:bottom w:val="single" w:sz="4" w:space="0" w:color="auto"/>
            </w:tcBorders>
            <w:shd w:val="clear" w:color="auto" w:fill="DAEEF3" w:themeFill="accent5" w:themeFillTint="33"/>
          </w:tcPr>
          <w:p w:rsidR="00D22E6D" w:rsidRDefault="00D22E6D" w:rsidP="00572047">
            <w:pPr>
              <w:tabs>
                <w:tab w:val="left" w:pos="1815"/>
              </w:tabs>
              <w:spacing w:after="120"/>
              <w:rPr>
                <w:rStyle w:val="Strong"/>
                <w:b w:val="0"/>
                <w:sz w:val="32"/>
              </w:rPr>
            </w:pPr>
            <w:r w:rsidRPr="00BC03BB">
              <w:rPr>
                <w:rStyle w:val="Strong"/>
                <w:b w:val="0"/>
                <w:sz w:val="32"/>
              </w:rPr>
              <w:lastRenderedPageBreak/>
              <w:t>Accomplishments</w:t>
            </w:r>
          </w:p>
          <w:p w:rsidR="00505059" w:rsidRDefault="00505059" w:rsidP="00C815CD">
            <w:pPr>
              <w:rPr>
                <w:rStyle w:val="Strong"/>
                <w:b w:val="0"/>
              </w:rPr>
            </w:pPr>
            <w:r>
              <w:rPr>
                <w:rStyle w:val="Strong"/>
              </w:rPr>
              <w:t xml:space="preserve">TMDL Vision Projects – </w:t>
            </w:r>
            <w:r>
              <w:rPr>
                <w:rStyle w:val="Strong"/>
                <w:b w:val="0"/>
              </w:rPr>
              <w:t xml:space="preserve">Staff developed detailed project charters, updated problem statements, outreach materials, and preliminary analysis to inform Bishop Creek and West Fork Carson </w:t>
            </w:r>
            <w:r w:rsidR="002F211C">
              <w:rPr>
                <w:rStyle w:val="Strong"/>
                <w:b w:val="0"/>
              </w:rPr>
              <w:t xml:space="preserve">River </w:t>
            </w:r>
            <w:r>
              <w:rPr>
                <w:rStyle w:val="Strong"/>
                <w:b w:val="0"/>
              </w:rPr>
              <w:t>projects. Staff developed relationships with stakeholders and partners.</w:t>
            </w:r>
          </w:p>
          <w:p w:rsidR="001B357F" w:rsidRDefault="001B357F" w:rsidP="00C815CD">
            <w:pPr>
              <w:rPr>
                <w:rStyle w:val="Strong"/>
                <w:b w:val="0"/>
              </w:rPr>
            </w:pPr>
          </w:p>
          <w:p w:rsidR="001B357F" w:rsidRDefault="006218CF" w:rsidP="006218CF">
            <w:pPr>
              <w:rPr>
                <w:noProof/>
              </w:rPr>
            </w:pPr>
            <w:r w:rsidRPr="00197F37">
              <w:rPr>
                <w:rStyle w:val="Strong"/>
              </w:rPr>
              <w:t>Integrated Report Planning</w:t>
            </w:r>
            <w:r>
              <w:rPr>
                <w:rStyle w:val="Strong"/>
              </w:rPr>
              <w:t xml:space="preserve"> - </w:t>
            </w:r>
            <w:r w:rsidRPr="00197F37">
              <w:rPr>
                <w:rStyle w:val="Strong"/>
                <w:b w:val="0"/>
              </w:rPr>
              <w:t>In preparation for the 2018 Integrated Report cycle</w:t>
            </w:r>
            <w:r>
              <w:rPr>
                <w:rStyle w:val="Strong"/>
                <w:b w:val="0"/>
              </w:rPr>
              <w:t>,</w:t>
            </w:r>
            <w:r w:rsidRPr="00197F37">
              <w:rPr>
                <w:rStyle w:val="Strong"/>
                <w:b w:val="0"/>
              </w:rPr>
              <w:t xml:space="preserve"> staff </w:t>
            </w:r>
            <w:r>
              <w:rPr>
                <w:rStyle w:val="Strong"/>
                <w:b w:val="0"/>
              </w:rPr>
              <w:t>worked with State Board so that updated electronic assessment and mapping tools use appropriate data.</w:t>
            </w:r>
            <w:r w:rsidRPr="00197F37">
              <w:rPr>
                <w:rStyle w:val="Strong"/>
                <w:b w:val="0"/>
              </w:rPr>
              <w:t xml:space="preserve"> </w:t>
            </w:r>
            <w:r>
              <w:rPr>
                <w:rStyle w:val="Strong"/>
                <w:b w:val="0"/>
              </w:rPr>
              <w:t>Staff began to develop Lines of Evidence to inform listing decisions.</w:t>
            </w:r>
            <w:r w:rsidR="001B357F">
              <w:rPr>
                <w:noProof/>
              </w:rPr>
              <w:t xml:space="preserve"> </w:t>
            </w:r>
          </w:p>
          <w:p w:rsidR="006218CF" w:rsidRDefault="001B357F" w:rsidP="006218CF">
            <w:pPr>
              <w:rPr>
                <w:rStyle w:val="Strong"/>
                <w:b w:val="0"/>
              </w:rPr>
            </w:pPr>
            <w:r>
              <w:rPr>
                <w:noProof/>
              </w:rPr>
              <w:drawing>
                <wp:anchor distT="0" distB="0" distL="114300" distR="114300" simplePos="0" relativeHeight="251664384" behindDoc="0" locked="0" layoutInCell="1" allowOverlap="1" wp14:anchorId="72042905" wp14:editId="08DEBC56">
                  <wp:simplePos x="0" y="0"/>
                  <wp:positionH relativeFrom="column">
                    <wp:posOffset>-6350</wp:posOffset>
                  </wp:positionH>
                  <wp:positionV relativeFrom="paragraph">
                    <wp:posOffset>531495</wp:posOffset>
                  </wp:positionV>
                  <wp:extent cx="2874645" cy="2562225"/>
                  <wp:effectExtent l="0" t="0" r="1905" b="952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6218CF" w:rsidRDefault="006218CF" w:rsidP="00C815CD">
            <w:pPr>
              <w:rPr>
                <w:rStyle w:val="Strong"/>
                <w:b w:val="0"/>
              </w:rPr>
            </w:pPr>
            <w:r w:rsidRPr="00051745">
              <w:rPr>
                <w:rStyle w:val="Strong"/>
              </w:rPr>
              <w:t xml:space="preserve">TDS </w:t>
            </w:r>
            <w:r w:rsidR="00A13E96">
              <w:rPr>
                <w:rStyle w:val="Strong"/>
              </w:rPr>
              <w:t xml:space="preserve">Impairment Verification </w:t>
            </w:r>
            <w:r w:rsidRPr="00051745">
              <w:rPr>
                <w:rStyle w:val="Strong"/>
              </w:rPr>
              <w:t>Study</w:t>
            </w:r>
            <w:r>
              <w:rPr>
                <w:rStyle w:val="Strong"/>
                <w:b w:val="0"/>
              </w:rPr>
              <w:t xml:space="preserve"> – Completed collection phase of a three</w:t>
            </w:r>
            <w:r w:rsidR="002F211C">
              <w:rPr>
                <w:rStyle w:val="Strong"/>
                <w:b w:val="0"/>
              </w:rPr>
              <w:t>-</w:t>
            </w:r>
            <w:r>
              <w:rPr>
                <w:rStyle w:val="Strong"/>
                <w:b w:val="0"/>
              </w:rPr>
              <w:t xml:space="preserve">year study to examine the TDS objective for waters in the Lahontan region. The purpose of the study is to determine validity of the 303d listings of those waters listed as impaired for TDS, or to develop a recommendation to update the TDS water quality objective. </w:t>
            </w:r>
          </w:p>
          <w:p w:rsidR="001B357F" w:rsidRPr="00051745" w:rsidRDefault="001B357F" w:rsidP="00C815CD">
            <w:pPr>
              <w:rPr>
                <w:rStyle w:val="Strong"/>
                <w:b w:val="0"/>
              </w:rPr>
            </w:pPr>
          </w:p>
          <w:p w:rsidR="00A60B1F" w:rsidRDefault="00A60B1F" w:rsidP="000D10FE">
            <w:pPr>
              <w:rPr>
                <w:rStyle w:val="Strong"/>
                <w:b w:val="0"/>
              </w:rPr>
            </w:pPr>
            <w:r w:rsidRPr="00197F37">
              <w:rPr>
                <w:rStyle w:val="Strong"/>
              </w:rPr>
              <w:t>Squaw Creek TMDL 10-</w:t>
            </w:r>
            <w:r w:rsidR="002F211C">
              <w:rPr>
                <w:rStyle w:val="Strong"/>
              </w:rPr>
              <w:t>Y</w:t>
            </w:r>
            <w:r w:rsidRPr="00197F37">
              <w:rPr>
                <w:rStyle w:val="Strong"/>
              </w:rPr>
              <w:t>ear Review</w:t>
            </w:r>
            <w:r w:rsidR="00AE6AA3">
              <w:rPr>
                <w:rStyle w:val="Strong"/>
              </w:rPr>
              <w:t xml:space="preserve"> - </w:t>
            </w:r>
            <w:r w:rsidR="00AE6AA3">
              <w:rPr>
                <w:rStyle w:val="Strong"/>
                <w:b w:val="0"/>
              </w:rPr>
              <w:t xml:space="preserve">Staff </w:t>
            </w:r>
            <w:r w:rsidR="00505059">
              <w:rPr>
                <w:rStyle w:val="Strong"/>
                <w:b w:val="0"/>
              </w:rPr>
              <w:t xml:space="preserve">updated the 10-year data review document with a third </w:t>
            </w:r>
            <w:proofErr w:type="spellStart"/>
            <w:r w:rsidR="00505059">
              <w:rPr>
                <w:rStyle w:val="Strong"/>
                <w:b w:val="0"/>
              </w:rPr>
              <w:t>bioassessment</w:t>
            </w:r>
            <w:proofErr w:type="spellEnd"/>
            <w:r w:rsidR="00505059">
              <w:rPr>
                <w:rStyle w:val="Strong"/>
                <w:b w:val="0"/>
              </w:rPr>
              <w:t xml:space="preserve"> dataset and will include the document on the updated TMDL website.</w:t>
            </w:r>
            <w:r w:rsidR="00E0149A">
              <w:rPr>
                <w:rStyle w:val="Strong"/>
                <w:b w:val="0"/>
              </w:rPr>
              <w:t xml:space="preserve"> </w:t>
            </w:r>
          </w:p>
          <w:p w:rsidR="001B357F" w:rsidRPr="00AE6AA3" w:rsidRDefault="001B357F" w:rsidP="000D10FE">
            <w:pPr>
              <w:rPr>
                <w:rStyle w:val="Strong"/>
                <w:b w:val="0"/>
                <w:strike/>
              </w:rPr>
            </w:pPr>
          </w:p>
          <w:p w:rsidR="006218CF" w:rsidRPr="00051745" w:rsidRDefault="00B27622" w:rsidP="002F211C">
            <w:pPr>
              <w:rPr>
                <w:rStyle w:val="Strong"/>
                <w:b w:val="0"/>
              </w:rPr>
            </w:pPr>
            <w:r w:rsidRPr="00051745">
              <w:rPr>
                <w:rStyle w:val="Strong"/>
              </w:rPr>
              <w:t>Transparency</w:t>
            </w:r>
            <w:r>
              <w:rPr>
                <w:rStyle w:val="Strong"/>
                <w:b w:val="0"/>
              </w:rPr>
              <w:t xml:space="preserve"> – </w:t>
            </w:r>
            <w:r w:rsidR="002F211C">
              <w:rPr>
                <w:rStyle w:val="Strong"/>
                <w:b w:val="0"/>
              </w:rPr>
              <w:t>U</w:t>
            </w:r>
            <w:r>
              <w:rPr>
                <w:rStyle w:val="Strong"/>
                <w:b w:val="0"/>
              </w:rPr>
              <w:t>pdated the Lahontan Region TMDL website to improve user experience</w:t>
            </w:r>
            <w:r w:rsidR="00C93F4C">
              <w:rPr>
                <w:rStyle w:val="Strong"/>
                <w:b w:val="0"/>
              </w:rPr>
              <w:t xml:space="preserve"> and information accessibility</w:t>
            </w:r>
            <w:r w:rsidR="002F211C">
              <w:rPr>
                <w:rStyle w:val="Strong"/>
                <w:b w:val="0"/>
              </w:rPr>
              <w:t>.</w:t>
            </w:r>
          </w:p>
        </w:tc>
      </w:tr>
      <w:tr w:rsidR="00D22E6D" w:rsidTr="00E0149A">
        <w:trPr>
          <w:gridAfter w:val="1"/>
          <w:wAfter w:w="47" w:type="dxa"/>
          <w:trHeight w:val="269"/>
        </w:trPr>
        <w:tc>
          <w:tcPr>
            <w:tcW w:w="9878" w:type="dxa"/>
            <w:gridSpan w:val="2"/>
            <w:tcBorders>
              <w:left w:val="nil"/>
              <w:bottom w:val="single" w:sz="4" w:space="0" w:color="auto"/>
              <w:right w:val="nil"/>
            </w:tcBorders>
            <w:tcMar>
              <w:top w:w="0" w:type="dxa"/>
              <w:bottom w:w="0" w:type="dxa"/>
            </w:tcMar>
          </w:tcPr>
          <w:p w:rsidR="00D22E6D" w:rsidRPr="00197F37" w:rsidRDefault="00D22E6D" w:rsidP="006E02DD">
            <w:pPr>
              <w:rPr>
                <w:rStyle w:val="Strong"/>
                <w:b w:val="0"/>
                <w:sz w:val="12"/>
                <w:szCs w:val="12"/>
              </w:rPr>
            </w:pPr>
          </w:p>
        </w:tc>
      </w:tr>
      <w:tr w:rsidR="00D22E6D" w:rsidTr="00051745">
        <w:trPr>
          <w:gridAfter w:val="1"/>
          <w:wAfter w:w="47" w:type="dxa"/>
          <w:trHeight w:val="1889"/>
        </w:trPr>
        <w:tc>
          <w:tcPr>
            <w:tcW w:w="9878" w:type="dxa"/>
            <w:gridSpan w:val="2"/>
            <w:tcBorders>
              <w:bottom w:val="single" w:sz="4" w:space="0" w:color="auto"/>
            </w:tcBorders>
            <w:shd w:val="clear" w:color="auto" w:fill="DAEEF3" w:themeFill="accent5" w:themeFillTint="33"/>
          </w:tcPr>
          <w:p w:rsidR="00D22E6D" w:rsidRDefault="00D22E6D" w:rsidP="00572047">
            <w:pPr>
              <w:tabs>
                <w:tab w:val="left" w:pos="1815"/>
              </w:tabs>
              <w:spacing w:after="120"/>
              <w:rPr>
                <w:rStyle w:val="Strong"/>
                <w:b w:val="0"/>
                <w:sz w:val="32"/>
              </w:rPr>
            </w:pPr>
            <w:r w:rsidRPr="00BC03BB">
              <w:rPr>
                <w:rStyle w:val="Strong"/>
                <w:b w:val="0"/>
                <w:sz w:val="32"/>
              </w:rPr>
              <w:t xml:space="preserve">Performance targets for </w:t>
            </w:r>
            <w:r w:rsidR="00791476">
              <w:rPr>
                <w:rStyle w:val="Strong"/>
                <w:b w:val="0"/>
                <w:sz w:val="32"/>
              </w:rPr>
              <w:t>fiscal year 201</w:t>
            </w:r>
            <w:r w:rsidR="00A60B1F">
              <w:rPr>
                <w:rStyle w:val="Strong"/>
                <w:b w:val="0"/>
                <w:sz w:val="32"/>
              </w:rPr>
              <w:t>5</w:t>
            </w:r>
            <w:r w:rsidR="00791476">
              <w:rPr>
                <w:rStyle w:val="Strong"/>
                <w:b w:val="0"/>
                <w:sz w:val="32"/>
              </w:rPr>
              <w:t>-1</w:t>
            </w:r>
            <w:r w:rsidR="00A60B1F">
              <w:rPr>
                <w:rStyle w:val="Strong"/>
                <w:b w:val="0"/>
                <w:sz w:val="32"/>
              </w:rPr>
              <w:t>6</w:t>
            </w:r>
            <w:r w:rsidR="00384A6E">
              <w:rPr>
                <w:rStyle w:val="Strong"/>
                <w:b w:val="0"/>
                <w:sz w:val="32"/>
              </w:rPr>
              <w:t xml:space="preserve"> and 2016-17</w:t>
            </w:r>
          </w:p>
          <w:tbl>
            <w:tblPr>
              <w:tblStyle w:val="TableGrid"/>
              <w:tblW w:w="9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350"/>
              <w:gridCol w:w="1988"/>
            </w:tblGrid>
            <w:tr w:rsidR="00C01692" w:rsidRPr="00036C48" w:rsidTr="006A05D1">
              <w:trPr>
                <w:trHeight w:val="370"/>
              </w:trPr>
              <w:tc>
                <w:tcPr>
                  <w:tcW w:w="5940" w:type="dxa"/>
                  <w:vAlign w:val="center"/>
                </w:tcPr>
                <w:p w:rsidR="00C01692" w:rsidRPr="00197F37" w:rsidRDefault="00C01692" w:rsidP="00C01692">
                  <w:pPr>
                    <w:tabs>
                      <w:tab w:val="left" w:pos="1815"/>
                    </w:tabs>
                    <w:spacing w:after="120"/>
                    <w:rPr>
                      <w:rStyle w:val="Strong"/>
                      <w:b w:val="0"/>
                      <w:u w:val="single"/>
                    </w:rPr>
                  </w:pPr>
                  <w:r w:rsidRPr="00197F37">
                    <w:rPr>
                      <w:rStyle w:val="Strong"/>
                      <w:b w:val="0"/>
                      <w:u w:val="single"/>
                    </w:rPr>
                    <w:t>Target Description</w:t>
                  </w:r>
                </w:p>
              </w:tc>
              <w:tc>
                <w:tcPr>
                  <w:tcW w:w="1350" w:type="dxa"/>
                  <w:vAlign w:val="center"/>
                </w:tcPr>
                <w:p w:rsidR="00C01692" w:rsidRPr="00197F37" w:rsidRDefault="00C01692" w:rsidP="00C01692">
                  <w:pPr>
                    <w:tabs>
                      <w:tab w:val="left" w:pos="1815"/>
                    </w:tabs>
                    <w:spacing w:after="120"/>
                    <w:jc w:val="center"/>
                    <w:rPr>
                      <w:rStyle w:val="Strong"/>
                      <w:b w:val="0"/>
                      <w:u w:val="single"/>
                    </w:rPr>
                  </w:pPr>
                  <w:r w:rsidRPr="00197F37">
                    <w:rPr>
                      <w:rStyle w:val="Strong"/>
                      <w:b w:val="0"/>
                      <w:u w:val="single"/>
                    </w:rPr>
                    <w:t>Targets</w:t>
                  </w:r>
                </w:p>
              </w:tc>
              <w:tc>
                <w:tcPr>
                  <w:tcW w:w="1988" w:type="dxa"/>
                  <w:vAlign w:val="center"/>
                </w:tcPr>
                <w:p w:rsidR="00C01692" w:rsidRPr="00197F37" w:rsidRDefault="0006429A" w:rsidP="00C01692">
                  <w:pPr>
                    <w:tabs>
                      <w:tab w:val="left" w:pos="1815"/>
                    </w:tabs>
                    <w:spacing w:after="120"/>
                    <w:jc w:val="center"/>
                    <w:rPr>
                      <w:rStyle w:val="Strong"/>
                      <w:b w:val="0"/>
                      <w:u w:val="single"/>
                    </w:rPr>
                  </w:pPr>
                  <w:r w:rsidRPr="00197F37">
                    <w:rPr>
                      <w:rStyle w:val="Strong"/>
                      <w:b w:val="0"/>
                      <w:u w:val="single"/>
                    </w:rPr>
                    <w:t>Achieved</w:t>
                  </w:r>
                </w:p>
              </w:tc>
            </w:tr>
            <w:tr w:rsidR="00AA3BA4" w:rsidRPr="00036C48" w:rsidTr="006A05D1">
              <w:trPr>
                <w:trHeight w:val="360"/>
              </w:trPr>
              <w:tc>
                <w:tcPr>
                  <w:tcW w:w="5940" w:type="dxa"/>
                  <w:vAlign w:val="center"/>
                </w:tcPr>
                <w:p w:rsidR="00AA3BA4" w:rsidRPr="00197F37" w:rsidRDefault="00AA3BA4" w:rsidP="006A05D1">
                  <w:pPr>
                    <w:tabs>
                      <w:tab w:val="left" w:pos="1815"/>
                    </w:tabs>
                    <w:spacing w:after="120"/>
                    <w:rPr>
                      <w:rStyle w:val="Strong"/>
                      <w:b w:val="0"/>
                    </w:rPr>
                  </w:pPr>
                  <w:r w:rsidRPr="00197F37">
                    <w:rPr>
                      <w:rStyle w:val="Strong"/>
                      <w:b w:val="0"/>
                    </w:rPr>
                    <w:t># of pollutant/waterbody combinations addressed</w:t>
                  </w:r>
                </w:p>
              </w:tc>
              <w:tc>
                <w:tcPr>
                  <w:tcW w:w="1350" w:type="dxa"/>
                  <w:vAlign w:val="center"/>
                </w:tcPr>
                <w:p w:rsidR="00AA3BA4" w:rsidRPr="00197F37" w:rsidRDefault="00A60B1F" w:rsidP="00C01692">
                  <w:pPr>
                    <w:tabs>
                      <w:tab w:val="left" w:pos="1815"/>
                    </w:tabs>
                    <w:spacing w:after="120"/>
                    <w:jc w:val="center"/>
                    <w:rPr>
                      <w:rStyle w:val="Strong"/>
                      <w:b w:val="0"/>
                    </w:rPr>
                  </w:pPr>
                  <w:r w:rsidRPr="00197F37">
                    <w:rPr>
                      <w:rStyle w:val="Strong"/>
                      <w:b w:val="0"/>
                    </w:rPr>
                    <w:t>0</w:t>
                  </w:r>
                  <w:r w:rsidR="00C93F4C">
                    <w:rPr>
                      <w:rStyle w:val="Strong"/>
                      <w:b w:val="0"/>
                    </w:rPr>
                    <w:t>*</w:t>
                  </w:r>
                </w:p>
              </w:tc>
              <w:tc>
                <w:tcPr>
                  <w:tcW w:w="1988" w:type="dxa"/>
                  <w:vAlign w:val="center"/>
                </w:tcPr>
                <w:p w:rsidR="00AA3BA4" w:rsidRPr="00197F37" w:rsidRDefault="00C12039" w:rsidP="006713DE">
                  <w:pPr>
                    <w:tabs>
                      <w:tab w:val="decimal" w:pos="882"/>
                      <w:tab w:val="left" w:pos="1815"/>
                    </w:tabs>
                    <w:spacing w:after="120"/>
                    <w:rPr>
                      <w:rStyle w:val="Strong"/>
                      <w:b w:val="0"/>
                    </w:rPr>
                  </w:pPr>
                  <w:r w:rsidRPr="00197F37">
                    <w:rPr>
                      <w:rStyle w:val="Strong"/>
                      <w:b w:val="0"/>
                    </w:rPr>
                    <w:tab/>
                  </w:r>
                  <w:r w:rsidR="006713DE" w:rsidRPr="00197F37">
                    <w:rPr>
                      <w:rStyle w:val="Strong"/>
                      <w:b w:val="0"/>
                    </w:rPr>
                    <w:t>0</w:t>
                  </w:r>
                </w:p>
              </w:tc>
            </w:tr>
            <w:tr w:rsidR="00AA3BA4" w:rsidRPr="00036C48" w:rsidTr="00051745">
              <w:trPr>
                <w:trHeight w:val="513"/>
              </w:trPr>
              <w:tc>
                <w:tcPr>
                  <w:tcW w:w="5940" w:type="dxa"/>
                  <w:vAlign w:val="center"/>
                </w:tcPr>
                <w:p w:rsidR="00AA3BA4" w:rsidRDefault="00A65C55" w:rsidP="00931C47">
                  <w:pPr>
                    <w:tabs>
                      <w:tab w:val="left" w:pos="1815"/>
                    </w:tabs>
                    <w:spacing w:before="120"/>
                    <w:rPr>
                      <w:rStyle w:val="Strong"/>
                      <w:b w:val="0"/>
                      <w:sz w:val="22"/>
                      <w:szCs w:val="22"/>
                    </w:rPr>
                  </w:pPr>
                  <w:r w:rsidRPr="00197F37">
                    <w:rPr>
                      <w:rStyle w:val="Strong"/>
                      <w:b w:val="0"/>
                    </w:rPr>
                    <w:t># of TMDLs</w:t>
                  </w:r>
                  <w:r w:rsidR="00791476" w:rsidRPr="00197F37">
                    <w:rPr>
                      <w:rStyle w:val="Strong"/>
                      <w:b w:val="0"/>
                    </w:rPr>
                    <w:t xml:space="preserve"> (or TMDL alternat</w:t>
                  </w:r>
                  <w:r w:rsidR="00235856">
                    <w:rPr>
                      <w:rStyle w:val="Strong"/>
                      <w:b w:val="0"/>
                    </w:rPr>
                    <w:t>ives</w:t>
                  </w:r>
                  <w:r w:rsidR="00791476" w:rsidRPr="00197F37">
                    <w:rPr>
                      <w:rStyle w:val="Strong"/>
                      <w:b w:val="0"/>
                    </w:rPr>
                    <w:t>)</w:t>
                  </w:r>
                  <w:r w:rsidRPr="00197F37">
                    <w:rPr>
                      <w:rStyle w:val="Strong"/>
                      <w:b w:val="0"/>
                    </w:rPr>
                    <w:t xml:space="preserve"> adopted</w:t>
                  </w:r>
                </w:p>
                <w:p w:rsidR="00931C47" w:rsidRPr="00931C47" w:rsidRDefault="00931C47" w:rsidP="00C01692">
                  <w:pPr>
                    <w:tabs>
                      <w:tab w:val="left" w:pos="1815"/>
                    </w:tabs>
                    <w:spacing w:after="120"/>
                    <w:rPr>
                      <w:rStyle w:val="Strong"/>
                      <w:b w:val="0"/>
                      <w:szCs w:val="22"/>
                    </w:rPr>
                  </w:pPr>
                  <w:r>
                    <w:rPr>
                      <w:rStyle w:val="Strong"/>
                      <w:b w:val="0"/>
                      <w:szCs w:val="22"/>
                    </w:rPr>
                    <w:t>*</w:t>
                  </w:r>
                  <w:r w:rsidRPr="00931C47">
                    <w:rPr>
                      <w:rStyle w:val="Strong"/>
                      <w:b w:val="0"/>
                      <w:sz w:val="20"/>
                      <w:szCs w:val="22"/>
                    </w:rPr>
                    <w:t>No targets planned so staff can focus on the Integrated Report</w:t>
                  </w:r>
                </w:p>
              </w:tc>
              <w:tc>
                <w:tcPr>
                  <w:tcW w:w="1350" w:type="dxa"/>
                  <w:vAlign w:val="center"/>
                </w:tcPr>
                <w:p w:rsidR="00AA3BA4" w:rsidRPr="00197F37" w:rsidRDefault="003544F6" w:rsidP="00C01692">
                  <w:pPr>
                    <w:tabs>
                      <w:tab w:val="left" w:pos="1815"/>
                    </w:tabs>
                    <w:spacing w:after="120"/>
                    <w:jc w:val="center"/>
                    <w:rPr>
                      <w:rStyle w:val="Strong"/>
                      <w:b w:val="0"/>
                    </w:rPr>
                  </w:pPr>
                  <w:r w:rsidRPr="00197F37">
                    <w:rPr>
                      <w:rStyle w:val="Strong"/>
                      <w:b w:val="0"/>
                    </w:rPr>
                    <w:t>0</w:t>
                  </w:r>
                  <w:r w:rsidR="00C93F4C">
                    <w:rPr>
                      <w:rStyle w:val="Strong"/>
                      <w:b w:val="0"/>
                    </w:rPr>
                    <w:t>*</w:t>
                  </w:r>
                </w:p>
              </w:tc>
              <w:tc>
                <w:tcPr>
                  <w:tcW w:w="1988" w:type="dxa"/>
                  <w:vAlign w:val="center"/>
                </w:tcPr>
                <w:p w:rsidR="00AA3BA4" w:rsidRPr="00197F37" w:rsidRDefault="00C12039" w:rsidP="00C12039">
                  <w:pPr>
                    <w:tabs>
                      <w:tab w:val="decimal" w:pos="882"/>
                      <w:tab w:val="left" w:pos="1815"/>
                    </w:tabs>
                    <w:spacing w:after="120"/>
                    <w:rPr>
                      <w:rStyle w:val="Strong"/>
                      <w:b w:val="0"/>
                    </w:rPr>
                  </w:pPr>
                  <w:r w:rsidRPr="00036C48">
                    <w:rPr>
                      <w:rStyle w:val="Strong"/>
                      <w:b w:val="0"/>
                      <w:sz w:val="22"/>
                      <w:szCs w:val="22"/>
                    </w:rPr>
                    <w:tab/>
                  </w:r>
                  <w:r w:rsidR="00A65C55" w:rsidRPr="00197F37">
                    <w:rPr>
                      <w:rStyle w:val="Strong"/>
                      <w:b w:val="0"/>
                    </w:rPr>
                    <w:t>0</w:t>
                  </w:r>
                </w:p>
              </w:tc>
            </w:tr>
          </w:tbl>
          <w:p w:rsidR="00B46844" w:rsidRPr="00C12039" w:rsidRDefault="00B46844" w:rsidP="003544F6">
            <w:pPr>
              <w:tabs>
                <w:tab w:val="left" w:pos="180"/>
              </w:tabs>
              <w:ind w:left="180" w:hanging="180"/>
              <w:rPr>
                <w:rStyle w:val="Strong"/>
                <w:b w:val="0"/>
                <w:sz w:val="20"/>
                <w:szCs w:val="20"/>
              </w:rPr>
            </w:pPr>
          </w:p>
        </w:tc>
      </w:tr>
      <w:tr w:rsidR="00D22E6D" w:rsidTr="00E0149A">
        <w:trPr>
          <w:gridAfter w:val="1"/>
          <w:wAfter w:w="47" w:type="dxa"/>
          <w:trHeight w:val="269"/>
        </w:trPr>
        <w:tc>
          <w:tcPr>
            <w:tcW w:w="9878" w:type="dxa"/>
            <w:gridSpan w:val="2"/>
            <w:tcBorders>
              <w:left w:val="nil"/>
              <w:bottom w:val="single" w:sz="4" w:space="0" w:color="auto"/>
              <w:right w:val="nil"/>
            </w:tcBorders>
            <w:tcMar>
              <w:top w:w="0" w:type="dxa"/>
              <w:bottom w:w="0" w:type="dxa"/>
            </w:tcMar>
          </w:tcPr>
          <w:p w:rsidR="00D22E6D" w:rsidRDefault="00D22E6D" w:rsidP="006E02DD">
            <w:pPr>
              <w:rPr>
                <w:rStyle w:val="Strong"/>
                <w:b w:val="0"/>
              </w:rPr>
            </w:pPr>
          </w:p>
        </w:tc>
      </w:tr>
      <w:tr w:rsidR="00E0149A" w:rsidRPr="0028186A" w:rsidTr="00E0149A">
        <w:tblPrEx>
          <w:tblCellMar>
            <w:top w:w="0" w:type="dxa"/>
            <w:left w:w="108" w:type="dxa"/>
            <w:bottom w:w="0" w:type="dxa"/>
            <w:right w:w="108" w:type="dxa"/>
          </w:tblCellMar>
        </w:tblPrEx>
        <w:trPr>
          <w:gridBefore w:val="1"/>
          <w:wBefore w:w="25" w:type="dxa"/>
          <w:trHeight w:val="476"/>
        </w:trPr>
        <w:tc>
          <w:tcPr>
            <w:tcW w:w="9900" w:type="dxa"/>
            <w:gridSpan w:val="2"/>
            <w:tcBorders>
              <w:top w:val="single" w:sz="4" w:space="0" w:color="auto"/>
              <w:bottom w:val="single" w:sz="4" w:space="0" w:color="auto"/>
            </w:tcBorders>
            <w:shd w:val="clear" w:color="auto" w:fill="F2DBDB" w:themeFill="accent2" w:themeFillTint="33"/>
          </w:tcPr>
          <w:p w:rsidR="00E0149A" w:rsidRPr="0028186A" w:rsidRDefault="00E0149A" w:rsidP="000617A3">
            <w:pPr>
              <w:rPr>
                <w:bCs/>
                <w:sz w:val="32"/>
                <w:szCs w:val="32"/>
              </w:rPr>
            </w:pPr>
            <w:r>
              <w:rPr>
                <w:bCs/>
                <w:sz w:val="2"/>
              </w:rPr>
              <w:t>6</w:t>
            </w:r>
          </w:p>
          <w:p w:rsidR="00E0149A" w:rsidRDefault="00E0149A" w:rsidP="00E0149A">
            <w:pPr>
              <w:numPr>
                <w:ilvl w:val="0"/>
                <w:numId w:val="3"/>
              </w:numPr>
              <w:rPr>
                <w:bCs/>
                <w:sz w:val="2"/>
              </w:rPr>
            </w:pPr>
            <w:r>
              <w:rPr>
                <w:bCs/>
                <w:sz w:val="2"/>
              </w:rPr>
              <w:t>Un</w:t>
            </w:r>
          </w:p>
          <w:p w:rsidR="00E0149A" w:rsidRPr="00177887" w:rsidRDefault="00E0149A" w:rsidP="000617A3">
            <w:pPr>
              <w:rPr>
                <w:sz w:val="2"/>
              </w:rPr>
            </w:pPr>
          </w:p>
          <w:p w:rsidR="00E0149A" w:rsidRPr="00177887" w:rsidRDefault="00E0149A" w:rsidP="000617A3">
            <w:pPr>
              <w:rPr>
                <w:sz w:val="2"/>
              </w:rPr>
            </w:pPr>
          </w:p>
          <w:p w:rsidR="00E0149A" w:rsidRPr="00177887" w:rsidRDefault="00E0149A" w:rsidP="000617A3">
            <w:pPr>
              <w:rPr>
                <w:sz w:val="2"/>
              </w:rPr>
            </w:pPr>
          </w:p>
          <w:p w:rsidR="00E0149A" w:rsidRPr="00177887" w:rsidRDefault="00E0149A" w:rsidP="000617A3">
            <w:pPr>
              <w:rPr>
                <w:sz w:val="2"/>
              </w:rPr>
            </w:pPr>
          </w:p>
          <w:p w:rsidR="00E0149A" w:rsidRPr="00177887" w:rsidRDefault="00E0149A" w:rsidP="000617A3">
            <w:pPr>
              <w:rPr>
                <w:sz w:val="2"/>
              </w:rPr>
            </w:pPr>
          </w:p>
          <w:p w:rsidR="00E0149A" w:rsidRPr="00177887" w:rsidRDefault="00E0149A" w:rsidP="000617A3">
            <w:pPr>
              <w:rPr>
                <w:sz w:val="2"/>
              </w:rPr>
            </w:pPr>
          </w:p>
          <w:p w:rsidR="00E0149A" w:rsidRPr="00177887" w:rsidRDefault="00E0149A" w:rsidP="000617A3">
            <w:pPr>
              <w:rPr>
                <w:sz w:val="2"/>
              </w:rPr>
            </w:pPr>
          </w:p>
          <w:p w:rsidR="00E0149A" w:rsidRPr="00177887" w:rsidRDefault="00E0149A" w:rsidP="000617A3">
            <w:pPr>
              <w:rPr>
                <w:sz w:val="2"/>
              </w:rPr>
            </w:pPr>
          </w:p>
          <w:p w:rsidR="00E0149A" w:rsidRDefault="00E0149A" w:rsidP="000617A3">
            <w:pPr>
              <w:rPr>
                <w:sz w:val="2"/>
              </w:rPr>
            </w:pPr>
          </w:p>
          <w:p w:rsidR="00E0149A" w:rsidRPr="00717269" w:rsidRDefault="00E0149A" w:rsidP="000617A3">
            <w:pPr>
              <w:spacing w:after="120"/>
            </w:pPr>
            <w:r>
              <w:rPr>
                <w:sz w:val="32"/>
                <w:szCs w:val="32"/>
              </w:rPr>
              <w:t>Unaddressed Work</w:t>
            </w:r>
          </w:p>
          <w:p w:rsidR="007F0C32" w:rsidRDefault="008F6917" w:rsidP="007F0C32">
            <w:pPr>
              <w:pStyle w:val="ListParagraph"/>
              <w:numPr>
                <w:ilvl w:val="0"/>
                <w:numId w:val="3"/>
              </w:numPr>
              <w:spacing w:after="120"/>
              <w:ind w:left="342" w:hanging="342"/>
            </w:pPr>
            <w:r>
              <w:t>119 impaired water body</w:t>
            </w:r>
            <w:bookmarkStart w:id="0" w:name="_GoBack"/>
            <w:bookmarkEnd w:id="0"/>
            <w:r w:rsidR="007F0C32">
              <w:t xml:space="preserve"> 303(d) listings unaddressed, yet prioritized</w:t>
            </w:r>
          </w:p>
          <w:p w:rsidR="007F0C32" w:rsidRDefault="007F0C32" w:rsidP="007F0C32">
            <w:pPr>
              <w:pStyle w:val="ListParagraph"/>
              <w:numPr>
                <w:ilvl w:val="0"/>
                <w:numId w:val="3"/>
              </w:numPr>
              <w:spacing w:after="120"/>
              <w:ind w:left="342" w:hanging="342"/>
            </w:pPr>
            <w:r>
              <w:t xml:space="preserve">Formulating Natural Source Exclusions </w:t>
            </w:r>
            <w:r w:rsidR="002F211C">
              <w:t>P</w:t>
            </w:r>
            <w:r>
              <w:t>olicy</w:t>
            </w:r>
          </w:p>
          <w:p w:rsidR="007F0C32" w:rsidRDefault="0003135E" w:rsidP="00051745">
            <w:pPr>
              <w:pStyle w:val="ListParagraph"/>
              <w:numPr>
                <w:ilvl w:val="0"/>
                <w:numId w:val="3"/>
              </w:numPr>
              <w:spacing w:after="120"/>
              <w:ind w:left="342" w:hanging="342"/>
            </w:pPr>
            <w:r>
              <w:t xml:space="preserve">Completion of impairment verification by </w:t>
            </w:r>
            <w:r w:rsidR="00F956F7">
              <w:t xml:space="preserve">analyzing </w:t>
            </w:r>
            <w:r w:rsidR="00ED4EF1">
              <w:t xml:space="preserve">three </w:t>
            </w:r>
            <w:r w:rsidR="00E0149A">
              <w:t>years of monitoring data to determine validity of 303(d) listings</w:t>
            </w:r>
            <w:r w:rsidR="007F0C32">
              <w:t xml:space="preserve"> for TDS</w:t>
            </w:r>
          </w:p>
          <w:p w:rsidR="0003135E" w:rsidRPr="00177887" w:rsidRDefault="0003135E" w:rsidP="00051745"/>
        </w:tc>
      </w:tr>
    </w:tbl>
    <w:p w:rsidR="006A05D1" w:rsidRDefault="006A05D1" w:rsidP="00E0149A">
      <w:pPr>
        <w:rPr>
          <w:rStyle w:val="Strong"/>
          <w:b w:val="0"/>
        </w:rPr>
      </w:pPr>
    </w:p>
    <w:sectPr w:rsidR="006A05D1" w:rsidSect="00051745">
      <w:pgSz w:w="12240" w:h="15840"/>
      <w:pgMar w:top="1080" w:right="1296" w:bottom="5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2F13"/>
    <w:multiLevelType w:val="hybridMultilevel"/>
    <w:tmpl w:val="759096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C3D19"/>
    <w:multiLevelType w:val="hybridMultilevel"/>
    <w:tmpl w:val="30F8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851D3"/>
    <w:multiLevelType w:val="hybridMultilevel"/>
    <w:tmpl w:val="4EEAC62A"/>
    <w:lvl w:ilvl="0" w:tplc="9ED276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934954"/>
    <w:multiLevelType w:val="hybridMultilevel"/>
    <w:tmpl w:val="C9A0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94173"/>
    <w:multiLevelType w:val="hybridMultilevel"/>
    <w:tmpl w:val="185E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55760"/>
    <w:multiLevelType w:val="hybridMultilevel"/>
    <w:tmpl w:val="9B8E45D4"/>
    <w:lvl w:ilvl="0" w:tplc="04090001">
      <w:start w:val="20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AF3104"/>
    <w:multiLevelType w:val="hybridMultilevel"/>
    <w:tmpl w:val="35A429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B0DE7"/>
    <w:multiLevelType w:val="hybridMultilevel"/>
    <w:tmpl w:val="261E9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B4988"/>
    <w:multiLevelType w:val="hybridMultilevel"/>
    <w:tmpl w:val="C4A20C64"/>
    <w:lvl w:ilvl="0" w:tplc="ECE6B644">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A53F5F"/>
    <w:multiLevelType w:val="hybridMultilevel"/>
    <w:tmpl w:val="BC52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B666A3"/>
    <w:multiLevelType w:val="hybridMultilevel"/>
    <w:tmpl w:val="178A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1D02FE"/>
    <w:multiLevelType w:val="hybridMultilevel"/>
    <w:tmpl w:val="B8DC6CBC"/>
    <w:lvl w:ilvl="0" w:tplc="005AC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445CE2"/>
    <w:multiLevelType w:val="hybridMultilevel"/>
    <w:tmpl w:val="735A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2"/>
  </w:num>
  <w:num w:numId="4">
    <w:abstractNumId w:val="3"/>
  </w:num>
  <w:num w:numId="5">
    <w:abstractNumId w:val="4"/>
  </w:num>
  <w:num w:numId="6">
    <w:abstractNumId w:val="11"/>
  </w:num>
  <w:num w:numId="7">
    <w:abstractNumId w:val="1"/>
  </w:num>
  <w:num w:numId="8">
    <w:abstractNumId w:val="5"/>
  </w:num>
  <w:num w:numId="9">
    <w:abstractNumId w:val="6"/>
  </w:num>
  <w:num w:numId="10">
    <w:abstractNumId w:val="2"/>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40"/>
    <w:rsid w:val="00005DBD"/>
    <w:rsid w:val="0001018C"/>
    <w:rsid w:val="000221D8"/>
    <w:rsid w:val="0003135E"/>
    <w:rsid w:val="00036C48"/>
    <w:rsid w:val="00051513"/>
    <w:rsid w:val="00051745"/>
    <w:rsid w:val="0006429A"/>
    <w:rsid w:val="000762AF"/>
    <w:rsid w:val="000A2D34"/>
    <w:rsid w:val="000D10FE"/>
    <w:rsid w:val="000D71D5"/>
    <w:rsid w:val="000E014E"/>
    <w:rsid w:val="000E1447"/>
    <w:rsid w:val="000E1762"/>
    <w:rsid w:val="000E2D13"/>
    <w:rsid w:val="000F20FF"/>
    <w:rsid w:val="0010543A"/>
    <w:rsid w:val="001151A1"/>
    <w:rsid w:val="00121D60"/>
    <w:rsid w:val="00121F71"/>
    <w:rsid w:val="001347AE"/>
    <w:rsid w:val="00150981"/>
    <w:rsid w:val="00152952"/>
    <w:rsid w:val="001670BD"/>
    <w:rsid w:val="00182604"/>
    <w:rsid w:val="00186F5B"/>
    <w:rsid w:val="001879A4"/>
    <w:rsid w:val="00197F37"/>
    <w:rsid w:val="001B357F"/>
    <w:rsid w:val="001B4830"/>
    <w:rsid w:val="001B552C"/>
    <w:rsid w:val="001D10DE"/>
    <w:rsid w:val="001F2DFF"/>
    <w:rsid w:val="00235856"/>
    <w:rsid w:val="00240A59"/>
    <w:rsid w:val="00242C59"/>
    <w:rsid w:val="00255BB5"/>
    <w:rsid w:val="00256503"/>
    <w:rsid w:val="00265052"/>
    <w:rsid w:val="00281E38"/>
    <w:rsid w:val="00283629"/>
    <w:rsid w:val="00283FC4"/>
    <w:rsid w:val="00285EA9"/>
    <w:rsid w:val="002A3990"/>
    <w:rsid w:val="002C35DA"/>
    <w:rsid w:val="002C3654"/>
    <w:rsid w:val="002E0A12"/>
    <w:rsid w:val="002F211C"/>
    <w:rsid w:val="002F2244"/>
    <w:rsid w:val="002F69E6"/>
    <w:rsid w:val="0030392A"/>
    <w:rsid w:val="00311105"/>
    <w:rsid w:val="003239ED"/>
    <w:rsid w:val="003356C8"/>
    <w:rsid w:val="003544F6"/>
    <w:rsid w:val="00383D26"/>
    <w:rsid w:val="00384A6E"/>
    <w:rsid w:val="00390F14"/>
    <w:rsid w:val="00397597"/>
    <w:rsid w:val="003A6E99"/>
    <w:rsid w:val="003E198E"/>
    <w:rsid w:val="003F4BF5"/>
    <w:rsid w:val="00434C66"/>
    <w:rsid w:val="00442082"/>
    <w:rsid w:val="004526D7"/>
    <w:rsid w:val="00454C90"/>
    <w:rsid w:val="004621DD"/>
    <w:rsid w:val="00471589"/>
    <w:rsid w:val="00486F72"/>
    <w:rsid w:val="0049336F"/>
    <w:rsid w:val="00493ED5"/>
    <w:rsid w:val="004C0815"/>
    <w:rsid w:val="004D171C"/>
    <w:rsid w:val="004D2DE2"/>
    <w:rsid w:val="004E6277"/>
    <w:rsid w:val="005013DA"/>
    <w:rsid w:val="00502EE9"/>
    <w:rsid w:val="00503353"/>
    <w:rsid w:val="00505059"/>
    <w:rsid w:val="0052265B"/>
    <w:rsid w:val="00526AEC"/>
    <w:rsid w:val="00540D4D"/>
    <w:rsid w:val="00542F59"/>
    <w:rsid w:val="00554BDC"/>
    <w:rsid w:val="00557640"/>
    <w:rsid w:val="00572047"/>
    <w:rsid w:val="0057216A"/>
    <w:rsid w:val="00584AEE"/>
    <w:rsid w:val="00590AE1"/>
    <w:rsid w:val="0059312B"/>
    <w:rsid w:val="005A1DB5"/>
    <w:rsid w:val="005A2F37"/>
    <w:rsid w:val="005A616D"/>
    <w:rsid w:val="005A690B"/>
    <w:rsid w:val="005A7F9F"/>
    <w:rsid w:val="005B0632"/>
    <w:rsid w:val="005C05CA"/>
    <w:rsid w:val="005D256A"/>
    <w:rsid w:val="005D3293"/>
    <w:rsid w:val="005D6BD4"/>
    <w:rsid w:val="005D7BC5"/>
    <w:rsid w:val="005E3FE6"/>
    <w:rsid w:val="00607AEF"/>
    <w:rsid w:val="006202FC"/>
    <w:rsid w:val="00620D6D"/>
    <w:rsid w:val="006218CF"/>
    <w:rsid w:val="006374CA"/>
    <w:rsid w:val="006443C5"/>
    <w:rsid w:val="00651209"/>
    <w:rsid w:val="00655F2A"/>
    <w:rsid w:val="00666A2A"/>
    <w:rsid w:val="006713DE"/>
    <w:rsid w:val="00682F07"/>
    <w:rsid w:val="00685F70"/>
    <w:rsid w:val="006A05D1"/>
    <w:rsid w:val="006A22C8"/>
    <w:rsid w:val="006B0891"/>
    <w:rsid w:val="006E02DD"/>
    <w:rsid w:val="006E50B8"/>
    <w:rsid w:val="006F30E6"/>
    <w:rsid w:val="006F6BEB"/>
    <w:rsid w:val="00704521"/>
    <w:rsid w:val="00712BB5"/>
    <w:rsid w:val="00757181"/>
    <w:rsid w:val="00785AC3"/>
    <w:rsid w:val="00791476"/>
    <w:rsid w:val="007B07F3"/>
    <w:rsid w:val="007B32F2"/>
    <w:rsid w:val="007C4B04"/>
    <w:rsid w:val="007D4FF5"/>
    <w:rsid w:val="007E5AB5"/>
    <w:rsid w:val="007F0C32"/>
    <w:rsid w:val="007F22E9"/>
    <w:rsid w:val="007F414E"/>
    <w:rsid w:val="00802548"/>
    <w:rsid w:val="00810D68"/>
    <w:rsid w:val="00811024"/>
    <w:rsid w:val="0082107B"/>
    <w:rsid w:val="0083158E"/>
    <w:rsid w:val="00835EA4"/>
    <w:rsid w:val="0083783E"/>
    <w:rsid w:val="008437DB"/>
    <w:rsid w:val="0084595C"/>
    <w:rsid w:val="008B09FC"/>
    <w:rsid w:val="008B53CE"/>
    <w:rsid w:val="008D2140"/>
    <w:rsid w:val="008D66B7"/>
    <w:rsid w:val="008F6917"/>
    <w:rsid w:val="00905AFA"/>
    <w:rsid w:val="00915713"/>
    <w:rsid w:val="00931C47"/>
    <w:rsid w:val="009370D6"/>
    <w:rsid w:val="00951B90"/>
    <w:rsid w:val="00972FF1"/>
    <w:rsid w:val="00975630"/>
    <w:rsid w:val="00986F8E"/>
    <w:rsid w:val="0099215A"/>
    <w:rsid w:val="009E7F67"/>
    <w:rsid w:val="009F5486"/>
    <w:rsid w:val="00A1219A"/>
    <w:rsid w:val="00A13E96"/>
    <w:rsid w:val="00A158E2"/>
    <w:rsid w:val="00A24F55"/>
    <w:rsid w:val="00A26A2A"/>
    <w:rsid w:val="00A55295"/>
    <w:rsid w:val="00A60B1F"/>
    <w:rsid w:val="00A65C55"/>
    <w:rsid w:val="00A66CE9"/>
    <w:rsid w:val="00A97F48"/>
    <w:rsid w:val="00AA013F"/>
    <w:rsid w:val="00AA3BA4"/>
    <w:rsid w:val="00AA6729"/>
    <w:rsid w:val="00AD72A8"/>
    <w:rsid w:val="00AE3DC0"/>
    <w:rsid w:val="00AE6AA3"/>
    <w:rsid w:val="00B074CD"/>
    <w:rsid w:val="00B11F51"/>
    <w:rsid w:val="00B27622"/>
    <w:rsid w:val="00B46844"/>
    <w:rsid w:val="00B80B13"/>
    <w:rsid w:val="00B86C8B"/>
    <w:rsid w:val="00BA3741"/>
    <w:rsid w:val="00BA49C7"/>
    <w:rsid w:val="00BC03BB"/>
    <w:rsid w:val="00BE3B62"/>
    <w:rsid w:val="00BF019C"/>
    <w:rsid w:val="00BF5186"/>
    <w:rsid w:val="00C01692"/>
    <w:rsid w:val="00C12039"/>
    <w:rsid w:val="00C164E4"/>
    <w:rsid w:val="00C174D3"/>
    <w:rsid w:val="00C306E7"/>
    <w:rsid w:val="00C41D04"/>
    <w:rsid w:val="00C4429F"/>
    <w:rsid w:val="00C75397"/>
    <w:rsid w:val="00C815CD"/>
    <w:rsid w:val="00C86E24"/>
    <w:rsid w:val="00C93F4C"/>
    <w:rsid w:val="00C95421"/>
    <w:rsid w:val="00C954C2"/>
    <w:rsid w:val="00CC736E"/>
    <w:rsid w:val="00CC745B"/>
    <w:rsid w:val="00CD384C"/>
    <w:rsid w:val="00CE0FBF"/>
    <w:rsid w:val="00CF2B2F"/>
    <w:rsid w:val="00D154C4"/>
    <w:rsid w:val="00D22E6D"/>
    <w:rsid w:val="00D41CD4"/>
    <w:rsid w:val="00D45A6B"/>
    <w:rsid w:val="00D53E96"/>
    <w:rsid w:val="00D543E1"/>
    <w:rsid w:val="00D62B1E"/>
    <w:rsid w:val="00D66D10"/>
    <w:rsid w:val="00D72A0C"/>
    <w:rsid w:val="00D95240"/>
    <w:rsid w:val="00DA6D1B"/>
    <w:rsid w:val="00DD3F10"/>
    <w:rsid w:val="00DF3AC0"/>
    <w:rsid w:val="00E0149A"/>
    <w:rsid w:val="00E22A8B"/>
    <w:rsid w:val="00E24803"/>
    <w:rsid w:val="00E2607E"/>
    <w:rsid w:val="00E64C63"/>
    <w:rsid w:val="00E76DC3"/>
    <w:rsid w:val="00E93902"/>
    <w:rsid w:val="00E97B8F"/>
    <w:rsid w:val="00ED4EF1"/>
    <w:rsid w:val="00ED69F7"/>
    <w:rsid w:val="00EE1285"/>
    <w:rsid w:val="00EE1D44"/>
    <w:rsid w:val="00EE5742"/>
    <w:rsid w:val="00F025A0"/>
    <w:rsid w:val="00F042F8"/>
    <w:rsid w:val="00F1433D"/>
    <w:rsid w:val="00F26179"/>
    <w:rsid w:val="00F524AD"/>
    <w:rsid w:val="00F52821"/>
    <w:rsid w:val="00F65886"/>
    <w:rsid w:val="00F70FA2"/>
    <w:rsid w:val="00F75906"/>
    <w:rsid w:val="00F75E91"/>
    <w:rsid w:val="00F86950"/>
    <w:rsid w:val="00F956F7"/>
    <w:rsid w:val="00FA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6B"/>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character" w:styleId="CommentReference">
    <w:name w:val="annotation reference"/>
    <w:basedOn w:val="DefaultParagraphFont"/>
    <w:rsid w:val="00E24803"/>
    <w:rPr>
      <w:sz w:val="16"/>
      <w:szCs w:val="16"/>
    </w:rPr>
  </w:style>
  <w:style w:type="paragraph" w:styleId="CommentText">
    <w:name w:val="annotation text"/>
    <w:basedOn w:val="Normal"/>
    <w:link w:val="CommentTextChar"/>
    <w:rsid w:val="00E24803"/>
    <w:rPr>
      <w:sz w:val="20"/>
      <w:szCs w:val="20"/>
    </w:rPr>
  </w:style>
  <w:style w:type="character" w:customStyle="1" w:styleId="CommentTextChar">
    <w:name w:val="Comment Text Char"/>
    <w:basedOn w:val="DefaultParagraphFont"/>
    <w:link w:val="CommentText"/>
    <w:rsid w:val="00E24803"/>
    <w:rPr>
      <w:rFonts w:ascii="Arial" w:hAnsi="Arial"/>
    </w:rPr>
  </w:style>
  <w:style w:type="paragraph" w:styleId="CommentSubject">
    <w:name w:val="annotation subject"/>
    <w:basedOn w:val="CommentText"/>
    <w:next w:val="CommentText"/>
    <w:link w:val="CommentSubjectChar"/>
    <w:rsid w:val="00E24803"/>
    <w:rPr>
      <w:b/>
      <w:bCs/>
    </w:rPr>
  </w:style>
  <w:style w:type="character" w:customStyle="1" w:styleId="CommentSubjectChar">
    <w:name w:val="Comment Subject Char"/>
    <w:basedOn w:val="CommentTextChar"/>
    <w:link w:val="CommentSubject"/>
    <w:rsid w:val="00E24803"/>
    <w:rPr>
      <w:rFonts w:ascii="Arial" w:hAnsi="Arial"/>
      <w:b/>
      <w:bCs/>
    </w:rPr>
  </w:style>
  <w:style w:type="character" w:styleId="Hyperlink">
    <w:name w:val="Hyperlink"/>
    <w:basedOn w:val="DefaultParagraphFont"/>
    <w:uiPriority w:val="99"/>
    <w:semiHidden/>
    <w:unhideWhenUsed/>
    <w:rsid w:val="00C815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A6B"/>
    <w:rPr>
      <w:rFonts w:ascii="Arial" w:hAnsi="Arial"/>
      <w:sz w:val="24"/>
      <w:szCs w:val="24"/>
    </w:rPr>
  </w:style>
  <w:style w:type="paragraph" w:styleId="Heading1">
    <w:name w:val="heading 1"/>
    <w:basedOn w:val="Normal"/>
    <w:next w:val="Normal"/>
    <w:link w:val="Heading1Char"/>
    <w:qFormat/>
    <w:rsid w:val="004526D7"/>
    <w:pPr>
      <w:keepNext/>
      <w:keepLines/>
      <w:spacing w:before="48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6D7"/>
    <w:rPr>
      <w:rFonts w:ascii="Arial" w:eastAsiaTheme="majorEastAsia" w:hAnsi="Arial" w:cstheme="majorBidi"/>
      <w:b/>
      <w:bCs/>
      <w:color w:val="000000" w:themeColor="text1"/>
      <w:sz w:val="28"/>
      <w:szCs w:val="28"/>
    </w:rPr>
  </w:style>
  <w:style w:type="character" w:styleId="Emphasis">
    <w:name w:val="Emphasis"/>
    <w:basedOn w:val="DefaultParagraphFont"/>
    <w:qFormat/>
    <w:rsid w:val="004526D7"/>
    <w:rPr>
      <w:i/>
      <w:iCs/>
    </w:rPr>
  </w:style>
  <w:style w:type="character" w:styleId="Strong">
    <w:name w:val="Strong"/>
    <w:basedOn w:val="DefaultParagraphFont"/>
    <w:qFormat/>
    <w:rsid w:val="004526D7"/>
    <w:rPr>
      <w:b/>
      <w:bCs/>
    </w:rPr>
  </w:style>
  <w:style w:type="table" w:styleId="TableGrid">
    <w:name w:val="Table Grid"/>
    <w:basedOn w:val="TableNormal"/>
    <w:rsid w:val="008D2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CD4"/>
    <w:pPr>
      <w:ind w:left="720"/>
      <w:contextualSpacing/>
    </w:pPr>
  </w:style>
  <w:style w:type="paragraph" w:styleId="BalloonText">
    <w:name w:val="Balloon Text"/>
    <w:basedOn w:val="Normal"/>
    <w:link w:val="BalloonTextChar"/>
    <w:rsid w:val="00682F07"/>
    <w:rPr>
      <w:rFonts w:ascii="Tahoma" w:hAnsi="Tahoma" w:cs="Tahoma"/>
      <w:sz w:val="16"/>
      <w:szCs w:val="16"/>
    </w:rPr>
  </w:style>
  <w:style w:type="character" w:customStyle="1" w:styleId="BalloonTextChar">
    <w:name w:val="Balloon Text Char"/>
    <w:basedOn w:val="DefaultParagraphFont"/>
    <w:link w:val="BalloonText"/>
    <w:rsid w:val="00682F07"/>
    <w:rPr>
      <w:rFonts w:ascii="Tahoma" w:hAnsi="Tahoma" w:cs="Tahoma"/>
      <w:sz w:val="16"/>
      <w:szCs w:val="16"/>
    </w:rPr>
  </w:style>
  <w:style w:type="character" w:styleId="CommentReference">
    <w:name w:val="annotation reference"/>
    <w:basedOn w:val="DefaultParagraphFont"/>
    <w:rsid w:val="00E24803"/>
    <w:rPr>
      <w:sz w:val="16"/>
      <w:szCs w:val="16"/>
    </w:rPr>
  </w:style>
  <w:style w:type="paragraph" w:styleId="CommentText">
    <w:name w:val="annotation text"/>
    <w:basedOn w:val="Normal"/>
    <w:link w:val="CommentTextChar"/>
    <w:rsid w:val="00E24803"/>
    <w:rPr>
      <w:sz w:val="20"/>
      <w:szCs w:val="20"/>
    </w:rPr>
  </w:style>
  <w:style w:type="character" w:customStyle="1" w:styleId="CommentTextChar">
    <w:name w:val="Comment Text Char"/>
    <w:basedOn w:val="DefaultParagraphFont"/>
    <w:link w:val="CommentText"/>
    <w:rsid w:val="00E24803"/>
    <w:rPr>
      <w:rFonts w:ascii="Arial" w:hAnsi="Arial"/>
    </w:rPr>
  </w:style>
  <w:style w:type="paragraph" w:styleId="CommentSubject">
    <w:name w:val="annotation subject"/>
    <w:basedOn w:val="CommentText"/>
    <w:next w:val="CommentText"/>
    <w:link w:val="CommentSubjectChar"/>
    <w:rsid w:val="00E24803"/>
    <w:rPr>
      <w:b/>
      <w:bCs/>
    </w:rPr>
  </w:style>
  <w:style w:type="character" w:customStyle="1" w:styleId="CommentSubjectChar">
    <w:name w:val="Comment Subject Char"/>
    <w:basedOn w:val="CommentTextChar"/>
    <w:link w:val="CommentSubject"/>
    <w:rsid w:val="00E24803"/>
    <w:rPr>
      <w:rFonts w:ascii="Arial" w:hAnsi="Arial"/>
      <w:b/>
      <w:bCs/>
    </w:rPr>
  </w:style>
  <w:style w:type="character" w:styleId="Hyperlink">
    <w:name w:val="Hyperlink"/>
    <w:basedOn w:val="DefaultParagraphFont"/>
    <w:uiPriority w:val="99"/>
    <w:semiHidden/>
    <w:unhideWhenUsed/>
    <w:rsid w:val="00C81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266">
      <w:bodyDiv w:val="1"/>
      <w:marLeft w:val="0"/>
      <w:marRight w:val="0"/>
      <w:marTop w:val="0"/>
      <w:marBottom w:val="0"/>
      <w:divBdr>
        <w:top w:val="none" w:sz="0" w:space="0" w:color="auto"/>
        <w:left w:val="none" w:sz="0" w:space="0" w:color="auto"/>
        <w:bottom w:val="none" w:sz="0" w:space="0" w:color="auto"/>
        <w:right w:val="none" w:sz="0" w:space="0" w:color="auto"/>
      </w:divBdr>
    </w:div>
    <w:div w:id="718674243">
      <w:bodyDiv w:val="1"/>
      <w:marLeft w:val="0"/>
      <w:marRight w:val="0"/>
      <w:marTop w:val="0"/>
      <w:marBottom w:val="0"/>
      <w:divBdr>
        <w:top w:val="none" w:sz="0" w:space="0" w:color="auto"/>
        <w:left w:val="none" w:sz="0" w:space="0" w:color="auto"/>
        <w:bottom w:val="none" w:sz="0" w:space="0" w:color="auto"/>
        <w:right w:val="none" w:sz="0" w:space="0" w:color="auto"/>
      </w:divBdr>
    </w:div>
    <w:div w:id="1258169384">
      <w:bodyDiv w:val="1"/>
      <w:marLeft w:val="0"/>
      <w:marRight w:val="0"/>
      <w:marTop w:val="0"/>
      <w:marBottom w:val="0"/>
      <w:divBdr>
        <w:top w:val="none" w:sz="0" w:space="0" w:color="auto"/>
        <w:left w:val="none" w:sz="0" w:space="0" w:color="auto"/>
        <w:bottom w:val="none" w:sz="0" w:space="0" w:color="auto"/>
        <w:right w:val="none" w:sz="0" w:space="0" w:color="auto"/>
      </w:divBdr>
    </w:div>
    <w:div w:id="1434940807">
      <w:bodyDiv w:val="1"/>
      <w:marLeft w:val="0"/>
      <w:marRight w:val="0"/>
      <w:marTop w:val="0"/>
      <w:marBottom w:val="0"/>
      <w:divBdr>
        <w:top w:val="none" w:sz="0" w:space="0" w:color="auto"/>
        <w:left w:val="none" w:sz="0" w:space="0" w:color="auto"/>
        <w:bottom w:val="none" w:sz="0" w:space="0" w:color="auto"/>
        <w:right w:val="none" w:sz="0" w:space="0" w:color="auto"/>
      </w:divBdr>
    </w:div>
    <w:div w:id="1484810709">
      <w:bodyDiv w:val="1"/>
      <w:marLeft w:val="0"/>
      <w:marRight w:val="0"/>
      <w:marTop w:val="0"/>
      <w:marBottom w:val="0"/>
      <w:divBdr>
        <w:top w:val="none" w:sz="0" w:space="0" w:color="auto"/>
        <w:left w:val="none" w:sz="0" w:space="0" w:color="auto"/>
        <w:bottom w:val="none" w:sz="0" w:space="0" w:color="auto"/>
        <w:right w:val="none" w:sz="0" w:space="0" w:color="auto"/>
      </w:divBdr>
      <w:divsChild>
        <w:div w:id="1676346647">
          <w:marLeft w:val="0"/>
          <w:marRight w:val="0"/>
          <w:marTop w:val="0"/>
          <w:marBottom w:val="0"/>
          <w:divBdr>
            <w:top w:val="none" w:sz="0" w:space="0" w:color="auto"/>
            <w:left w:val="none" w:sz="0" w:space="0" w:color="auto"/>
            <w:bottom w:val="none" w:sz="0" w:space="0" w:color="auto"/>
            <w:right w:val="none" w:sz="0" w:space="0" w:color="auto"/>
          </w:divBdr>
        </w:div>
      </w:divsChild>
    </w:div>
    <w:div w:id="1567767109">
      <w:bodyDiv w:val="1"/>
      <w:marLeft w:val="0"/>
      <w:marRight w:val="0"/>
      <w:marTop w:val="0"/>
      <w:marBottom w:val="0"/>
      <w:divBdr>
        <w:top w:val="none" w:sz="0" w:space="0" w:color="auto"/>
        <w:left w:val="none" w:sz="0" w:space="0" w:color="auto"/>
        <w:bottom w:val="none" w:sz="0" w:space="0" w:color="auto"/>
        <w:right w:val="none" w:sz="0" w:space="0" w:color="auto"/>
      </w:divBdr>
    </w:div>
    <w:div w:id="16700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5-07/documents/vision_303d_program_dec_2013.pdf"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9431994913679268"/>
          <c:y val="0"/>
        </c:manualLayout>
      </c:layout>
      <c:overlay val="0"/>
    </c:title>
    <c:autoTitleDeleted val="0"/>
    <c:plotArea>
      <c:layout>
        <c:manualLayout>
          <c:layoutTarget val="inner"/>
          <c:xMode val="edge"/>
          <c:yMode val="edge"/>
          <c:x val="3.8838950440929459E-3"/>
          <c:y val="0.11430160338868532"/>
          <c:w val="0.79164192971453784"/>
          <c:h val="0.88569839661131466"/>
        </c:manualLayout>
      </c:layout>
      <c:pieChart>
        <c:varyColors val="1"/>
        <c:ser>
          <c:idx val="0"/>
          <c:order val="0"/>
          <c:tx>
            <c:strRef>
              <c:f>Sheet1!$B$1</c:f>
              <c:strCache>
                <c:ptCount val="1"/>
                <c:pt idx="0">
                  <c:v>Staff Activities</c:v>
                </c:pt>
              </c:strCache>
            </c:strRef>
          </c:tx>
          <c:dLbls>
            <c:dLbl>
              <c:idx val="0"/>
              <c:layout>
                <c:manualLayout>
                  <c:x val="-9.6066934220431749E-2"/>
                  <c:y val="-5.2728174603174603E-2"/>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FF4-4785-81DA-992C2BA51F61}"/>
                </c:ext>
              </c:extLst>
            </c:dLbl>
            <c:dLbl>
              <c:idx val="2"/>
              <c:layout>
                <c:manualLayout>
                  <c:x val="0.15462796275714044"/>
                  <c:y val="0.16109045848822801"/>
                </c:manualLayout>
              </c:layout>
              <c:tx>
                <c:rich>
                  <a:bodyPr/>
                  <a:lstStyle/>
                  <a:p>
                    <a:r>
                      <a:rPr lang="en-US"/>
                      <a:t>Impaired</a:t>
                    </a:r>
                    <a:r>
                      <a:rPr lang="en-US" baseline="0"/>
                      <a:t> Waters Assessment</a:t>
                    </a:r>
                    <a:endParaRPr lang="en-US"/>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manualLayout>
                      <c:w val="0.25292688314557099"/>
                      <c:h val="0.23048327137546468"/>
                    </c:manualLayout>
                  </c15:layout>
                </c:ext>
                <c:ext xmlns:c16="http://schemas.microsoft.com/office/drawing/2014/chart" uri="{C3380CC4-5D6E-409C-BE32-E72D297353CC}">
                  <c16:uniqueId val="{00000001-1FF4-4785-81DA-992C2BA51F61}"/>
                </c:ext>
              </c:extLst>
            </c:dLbl>
            <c:dLbl>
              <c:idx val="3"/>
              <c:layout>
                <c:manualLayout>
                  <c:x val="-0.26434881524501286"/>
                  <c:y val="0.10400257588619262"/>
                </c:manualLayout>
              </c:layout>
              <c:spPr>
                <a:ln w="9525"/>
              </c:spPr>
              <c:txPr>
                <a:bodyPr/>
                <a:lstStyle/>
                <a:p>
                  <a:pPr>
                    <a:defRPr/>
                  </a:pPr>
                  <a:endParaRPr lang="en-US"/>
                </a:p>
              </c:txPr>
              <c:dLblPos val="bestFi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FF4-4785-81DA-992C2BA51F61}"/>
                </c:ext>
              </c:extLst>
            </c:dLbl>
            <c:dLbl>
              <c:idx val="4"/>
              <c:layout>
                <c:manualLayout>
                  <c:x val="4.9442765875195832E-2"/>
                  <c:y val="-0.11338192100987377"/>
                </c:manualLayout>
              </c:layout>
              <c:tx>
                <c:rich>
                  <a:bodyPr/>
                  <a:lstStyle/>
                  <a:p>
                    <a:r>
                      <a:rPr lang="en-US"/>
                      <a:t>Statewide Mercury in Reservoirs</a:t>
                    </a:r>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4-4785-81DA-992C2BA51F61}"/>
                </c:ext>
              </c:extLst>
            </c:dLbl>
            <c:dLbl>
              <c:idx val="5"/>
              <c:layout>
                <c:manualLayout>
                  <c:x val="5.9805160800037303E-2"/>
                  <c:y val="-2.0337301587301589E-3"/>
                </c:manualLayout>
              </c:layout>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manualLayout>
                      <c:w val="0.23609454384802298"/>
                      <c:h val="0.25685254027261462"/>
                    </c:manualLayout>
                  </c15:layout>
                </c:ext>
                <c:ext xmlns:c16="http://schemas.microsoft.com/office/drawing/2014/chart" uri="{C3380CC4-5D6E-409C-BE32-E72D297353CC}">
                  <c16:uniqueId val="{00000004-1FF4-4785-81DA-992C2BA51F61}"/>
                </c:ext>
              </c:extLst>
            </c:dLbl>
            <c:spPr>
              <a:noFill/>
              <a:ln>
                <a:noFill/>
              </a:ln>
              <a:effectLst/>
            </c:sp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15:layout/>
              </c:ext>
            </c:extLst>
          </c:dLbls>
          <c:cat>
            <c:strRef>
              <c:f>Sheet1!$A$2:$A$7</c:f>
              <c:strCache>
                <c:ptCount val="6"/>
                <c:pt idx="0">
                  <c:v>Program Mgmt.</c:v>
                </c:pt>
                <c:pt idx="1">
                  <c:v>TMDL Implementation</c:v>
                </c:pt>
                <c:pt idx="2">
                  <c:v>Impaired Waters Assessment</c:v>
                </c:pt>
                <c:pt idx="3">
                  <c:v>EPA Vision Projects</c:v>
                </c:pt>
                <c:pt idx="5">
                  <c:v>Listing Verification Efforts</c:v>
                </c:pt>
              </c:strCache>
            </c:strRef>
          </c:cat>
          <c:val>
            <c:numRef>
              <c:f>Sheet1!$B$2:$B$7</c:f>
              <c:numCache>
                <c:formatCode>General</c:formatCode>
                <c:ptCount val="6"/>
                <c:pt idx="0">
                  <c:v>15</c:v>
                </c:pt>
                <c:pt idx="1">
                  <c:v>30</c:v>
                </c:pt>
                <c:pt idx="2">
                  <c:v>15</c:v>
                </c:pt>
                <c:pt idx="3">
                  <c:v>35</c:v>
                </c:pt>
                <c:pt idx="5">
                  <c:v>5</c:v>
                </c:pt>
              </c:numCache>
            </c:numRef>
          </c:val>
          <c:extLst xmlns:c16r2="http://schemas.microsoft.com/office/drawing/2015/06/chart">
            <c:ext xmlns:c16="http://schemas.microsoft.com/office/drawing/2014/chart" uri="{C3380CC4-5D6E-409C-BE32-E72D297353CC}">
              <c16:uniqueId val="{00000005-1FF4-4785-81DA-992C2BA51F61}"/>
            </c:ext>
          </c:extLst>
        </c:ser>
        <c:dLbls>
          <c:showLegendKey val="0"/>
          <c:showVal val="1"/>
          <c:showCatName val="0"/>
          <c:showSerName val="0"/>
          <c:showPercent val="0"/>
          <c:showBubbleSize val="0"/>
          <c:showLeaderLines val="1"/>
        </c:dLbls>
        <c:firstSliceAng val="144"/>
      </c:pieChart>
    </c:plotArea>
    <c:plotVisOnly val="1"/>
    <c:dispBlanksAs val="gap"/>
    <c:showDLblsOverMax val="0"/>
  </c:chart>
  <c:spPr>
    <a:ln>
      <a:solidFill>
        <a:schemeClr val="tx1"/>
      </a:solidFill>
    </a:ln>
  </c:spPr>
  <c:txPr>
    <a:bodyPr/>
    <a:lstStyle/>
    <a:p>
      <a:pPr>
        <a:defRPr>
          <a:ln>
            <a:noFill/>
          </a:l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DAEC3-A7CA-482D-BA63-590FE1C3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Shay</dc:creator>
  <cp:lastModifiedBy>Kouyoumdjian, Patty@Waterboards</cp:lastModifiedBy>
  <cp:revision>3</cp:revision>
  <cp:lastPrinted>2017-02-21T18:05:00Z</cp:lastPrinted>
  <dcterms:created xsi:type="dcterms:W3CDTF">2018-03-12T21:57:00Z</dcterms:created>
  <dcterms:modified xsi:type="dcterms:W3CDTF">2018-03-21T15:27:00Z</dcterms:modified>
</cp:coreProperties>
</file>