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1A" w:rsidRPr="003019AD" w:rsidRDefault="0065681A" w:rsidP="003019AD">
      <w:pPr>
        <w:jc w:val="center"/>
        <w:rPr>
          <w:rFonts w:ascii="Arial" w:hAnsi="Arial" w:cs="Arial"/>
          <w:b/>
        </w:rPr>
      </w:pPr>
      <w:r w:rsidRPr="003019AD">
        <w:rPr>
          <w:rFonts w:ascii="Arial" w:hAnsi="Arial" w:cs="Arial"/>
          <w:b/>
        </w:rPr>
        <w:t>Davis</w:t>
      </w:r>
      <w:r w:rsidRPr="003019AD">
        <w:rPr>
          <w:rFonts w:ascii="Cambria Math" w:hAnsi="Cambria Math" w:cs="Cambria Math"/>
          <w:b/>
        </w:rPr>
        <w:t>‐</w:t>
      </w:r>
      <w:r w:rsidRPr="003019AD">
        <w:rPr>
          <w:rFonts w:ascii="Arial" w:hAnsi="Arial" w:cs="Arial"/>
          <w:b/>
        </w:rPr>
        <w:t>Bacon and Related Acts Frequently Asked Ques</w:t>
      </w:r>
      <w:r w:rsidR="00D76E4C" w:rsidRPr="003019AD">
        <w:rPr>
          <w:rFonts w:ascii="Arial" w:hAnsi="Arial" w:cs="Arial"/>
          <w:b/>
        </w:rPr>
        <w:t xml:space="preserve">tions (FAQ) for Clean Water State Revolving Fund (CWSRF) </w:t>
      </w:r>
      <w:r w:rsidRPr="003019AD">
        <w:rPr>
          <w:rFonts w:ascii="Arial" w:hAnsi="Arial" w:cs="Arial"/>
          <w:b/>
        </w:rPr>
        <w:t>Recipients</w:t>
      </w:r>
    </w:p>
    <w:p w:rsidR="0065681A" w:rsidRPr="005F1BE6" w:rsidRDefault="0065681A" w:rsidP="005F1BE6">
      <w:pPr>
        <w:rPr>
          <w:rFonts w:ascii="Arial" w:hAnsi="Arial" w:cs="Arial"/>
        </w:rPr>
      </w:pPr>
      <w:bookmarkStart w:id="0" w:name="_GoBack"/>
      <w:bookmarkEnd w:id="0"/>
    </w:p>
    <w:p w:rsidR="0065681A" w:rsidRPr="005F1BE6" w:rsidRDefault="0065681A" w:rsidP="005F1BE6">
      <w:pPr>
        <w:rPr>
          <w:rFonts w:ascii="Arial" w:hAnsi="Arial" w:cs="Arial"/>
        </w:rPr>
      </w:pPr>
    </w:p>
    <w:p w:rsidR="0065681A" w:rsidRPr="005F1BE6" w:rsidRDefault="000A0466" w:rsidP="005F1BE6">
      <w:pPr>
        <w:rPr>
          <w:rFonts w:ascii="Arial" w:hAnsi="Arial" w:cs="Arial"/>
        </w:rPr>
      </w:pPr>
      <w:r w:rsidRPr="005F1BE6">
        <w:rPr>
          <w:rFonts w:ascii="Arial" w:hAnsi="Arial" w:cs="Arial"/>
        </w:rPr>
        <w:t>1.</w:t>
      </w:r>
      <w:r w:rsidR="0055605C" w:rsidRPr="005F1BE6">
        <w:rPr>
          <w:rFonts w:ascii="Arial" w:hAnsi="Arial" w:cs="Arial"/>
        </w:rPr>
        <w:t xml:space="preserve"> </w:t>
      </w:r>
      <w:r w:rsidR="0065681A" w:rsidRPr="004B4FD7">
        <w:rPr>
          <w:rFonts w:ascii="Arial" w:hAnsi="Arial" w:cs="Arial"/>
          <w:b/>
        </w:rPr>
        <w:t>How do workers on a construction site know that a project is covered by the Davis</w:t>
      </w:r>
      <w:r w:rsidR="0065681A" w:rsidRPr="004B4FD7">
        <w:rPr>
          <w:rFonts w:ascii="Cambria Math" w:hAnsi="Cambria Math" w:cs="Cambria Math"/>
          <w:b/>
        </w:rPr>
        <w:t>‐</w:t>
      </w:r>
      <w:r w:rsidR="0065681A" w:rsidRPr="004B4FD7">
        <w:rPr>
          <w:rFonts w:ascii="Arial" w:hAnsi="Arial" w:cs="Arial"/>
          <w:b/>
        </w:rPr>
        <w:t xml:space="preserve">Bacon </w:t>
      </w:r>
      <w:r w:rsidR="003019AD" w:rsidRPr="004B4FD7">
        <w:rPr>
          <w:rFonts w:ascii="Arial" w:hAnsi="Arial" w:cs="Arial"/>
          <w:b/>
        </w:rPr>
        <w:t>A</w:t>
      </w:r>
      <w:r w:rsidR="0065681A" w:rsidRPr="004B4FD7">
        <w:rPr>
          <w:rFonts w:ascii="Arial" w:hAnsi="Arial" w:cs="Arial"/>
          <w:b/>
        </w:rPr>
        <w:t>ct? How do they know the prevailing wage to which they are entitled?</w:t>
      </w:r>
    </w:p>
    <w:p w:rsidR="00922F81" w:rsidRPr="005F1BE6" w:rsidRDefault="00922F81" w:rsidP="005F1BE6">
      <w:pPr>
        <w:rPr>
          <w:rFonts w:ascii="Arial" w:hAnsi="Arial" w:cs="Arial"/>
        </w:rPr>
      </w:pPr>
    </w:p>
    <w:p w:rsidR="0065681A" w:rsidRPr="005F1BE6" w:rsidRDefault="0065681A" w:rsidP="005F1BE6">
      <w:pPr>
        <w:rPr>
          <w:rFonts w:ascii="Arial" w:hAnsi="Arial" w:cs="Arial"/>
        </w:rPr>
      </w:pPr>
      <w:r w:rsidRPr="005F1BE6">
        <w:rPr>
          <w:rFonts w:ascii="Arial" w:hAnsi="Arial" w:cs="Arial"/>
        </w:rPr>
        <w:t>The wage determination (including any additional classifications and wage rates) and a Davis</w:t>
      </w:r>
      <w:r w:rsidRPr="005F1BE6">
        <w:rPr>
          <w:rFonts w:ascii="Cambria Math" w:hAnsi="Cambria Math" w:cs="Cambria Math"/>
        </w:rPr>
        <w:t>‐</w:t>
      </w:r>
      <w:r w:rsidRPr="005F1BE6">
        <w:rPr>
          <w:rFonts w:ascii="Arial" w:hAnsi="Arial" w:cs="Arial"/>
        </w:rPr>
        <w:t>Bacon poster (WH</w:t>
      </w:r>
      <w:r w:rsidRPr="005F1BE6">
        <w:rPr>
          <w:rFonts w:ascii="Cambria Math" w:hAnsi="Cambria Math" w:cs="Cambria Math"/>
        </w:rPr>
        <w:t>‐</w:t>
      </w:r>
      <w:r w:rsidRPr="005F1BE6">
        <w:rPr>
          <w:rFonts w:ascii="Arial" w:hAnsi="Arial" w:cs="Arial"/>
        </w:rPr>
        <w:t>1321) must be post</w:t>
      </w:r>
      <w:r w:rsidR="00C16402">
        <w:rPr>
          <w:rFonts w:ascii="Arial" w:hAnsi="Arial" w:cs="Arial"/>
        </w:rPr>
        <w:t>ed</w:t>
      </w:r>
      <w:r w:rsidRPr="005F1BE6">
        <w:rPr>
          <w:rFonts w:ascii="Arial" w:hAnsi="Arial" w:cs="Arial"/>
        </w:rPr>
        <w:t xml:space="preserve"> at all times by the</w:t>
      </w:r>
      <w:r w:rsidR="000A0466" w:rsidRPr="005F1BE6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contractor and its subcontractors at the site of the work in a prominent and accessible</w:t>
      </w:r>
      <w:r w:rsidR="000A0466" w:rsidRPr="005F1BE6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place where it can be easily seen</w:t>
      </w:r>
      <w:r w:rsidR="00D76E4C">
        <w:rPr>
          <w:rFonts w:ascii="Arial" w:hAnsi="Arial" w:cs="Arial"/>
        </w:rPr>
        <w:t>.</w:t>
      </w:r>
      <w:r w:rsidRPr="005F1BE6">
        <w:rPr>
          <w:rFonts w:ascii="Arial" w:hAnsi="Arial" w:cs="Arial"/>
        </w:rPr>
        <w:t xml:space="preserve"> In the absence of such posted information, any person</w:t>
      </w:r>
      <w:r w:rsidR="000A0466" w:rsidRPr="005F1BE6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who wants to determine if the project is covered s</w:t>
      </w:r>
      <w:r w:rsidR="009E69C1">
        <w:rPr>
          <w:rFonts w:ascii="Arial" w:hAnsi="Arial" w:cs="Arial"/>
        </w:rPr>
        <w:t xml:space="preserve">hould contact the </w:t>
      </w:r>
      <w:hyperlink r:id="rId7" w:history="1">
        <w:r w:rsidR="00BE7A69" w:rsidRPr="00F33EBF">
          <w:rPr>
            <w:rStyle w:val="Hyperlink"/>
            <w:rFonts w:ascii="Arial" w:hAnsi="Arial" w:cs="Arial"/>
          </w:rPr>
          <w:t>DavisBacon@Waterboards.ca.gov</w:t>
        </w:r>
      </w:hyperlink>
      <w:r w:rsidR="00BE7A69">
        <w:rPr>
          <w:rFonts w:ascii="Arial" w:hAnsi="Arial" w:cs="Arial"/>
        </w:rPr>
        <w:t xml:space="preserve"> </w:t>
      </w:r>
      <w:r w:rsidR="009E69C1" w:rsidRPr="005F1BE6">
        <w:rPr>
          <w:rFonts w:ascii="Arial" w:hAnsi="Arial" w:cs="Arial"/>
        </w:rPr>
        <w:t>or (916) 327</w:t>
      </w:r>
      <w:r w:rsidR="009E69C1" w:rsidRPr="005F1BE6">
        <w:rPr>
          <w:rFonts w:ascii="Cambria Math" w:hAnsi="Cambria Math" w:cs="Cambria Math"/>
        </w:rPr>
        <w:t>‐</w:t>
      </w:r>
      <w:r w:rsidR="009E69C1" w:rsidRPr="005F1BE6">
        <w:rPr>
          <w:rFonts w:ascii="Arial" w:hAnsi="Arial" w:cs="Arial"/>
        </w:rPr>
        <w:t>7323.</w:t>
      </w:r>
    </w:p>
    <w:p w:rsidR="00922F81" w:rsidRPr="005F1BE6" w:rsidRDefault="00922F81" w:rsidP="005F1BE6">
      <w:pPr>
        <w:rPr>
          <w:rFonts w:ascii="Arial" w:hAnsi="Arial" w:cs="Arial"/>
        </w:rPr>
      </w:pPr>
    </w:p>
    <w:p w:rsidR="0065681A" w:rsidRPr="004B4FD7" w:rsidRDefault="0065681A" w:rsidP="005F1BE6">
      <w:pPr>
        <w:rPr>
          <w:rFonts w:ascii="Arial" w:hAnsi="Arial" w:cs="Arial"/>
          <w:b/>
        </w:rPr>
      </w:pPr>
      <w:r w:rsidRPr="005F1BE6">
        <w:rPr>
          <w:rFonts w:ascii="Arial" w:hAnsi="Arial" w:cs="Arial"/>
        </w:rPr>
        <w:t xml:space="preserve">2. </w:t>
      </w:r>
      <w:r w:rsidRPr="004B4FD7">
        <w:rPr>
          <w:rFonts w:ascii="Arial" w:hAnsi="Arial" w:cs="Arial"/>
          <w:b/>
        </w:rPr>
        <w:t>What is a Wage Determination?</w:t>
      </w:r>
    </w:p>
    <w:p w:rsidR="000A0466" w:rsidRPr="005F1BE6" w:rsidRDefault="000A0466" w:rsidP="005F1BE6">
      <w:pPr>
        <w:rPr>
          <w:rFonts w:ascii="Arial" w:hAnsi="Arial" w:cs="Arial"/>
        </w:rPr>
      </w:pPr>
    </w:p>
    <w:p w:rsidR="000A0466" w:rsidRPr="005F1BE6" w:rsidRDefault="0065681A" w:rsidP="005F1BE6">
      <w:pPr>
        <w:rPr>
          <w:rFonts w:ascii="Arial" w:hAnsi="Arial" w:cs="Arial"/>
        </w:rPr>
      </w:pPr>
      <w:r w:rsidRPr="005F1BE6">
        <w:rPr>
          <w:rFonts w:ascii="Arial" w:hAnsi="Arial" w:cs="Arial"/>
        </w:rPr>
        <w:t xml:space="preserve">A "wage determination" is the listing of wage rates </w:t>
      </w:r>
      <w:r w:rsidR="00A57D50" w:rsidRPr="005F1BE6">
        <w:rPr>
          <w:rFonts w:ascii="Arial" w:hAnsi="Arial" w:cs="Arial"/>
        </w:rPr>
        <w:t xml:space="preserve">(hourly pay plus fringe benefits) </w:t>
      </w:r>
      <w:r w:rsidRPr="005F1BE6">
        <w:rPr>
          <w:rFonts w:ascii="Arial" w:hAnsi="Arial" w:cs="Arial"/>
        </w:rPr>
        <w:t>for each classification of laborers</w:t>
      </w:r>
      <w:r w:rsidR="000A0466" w:rsidRPr="005F1BE6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and mechanics which the Administrator of the Wage and Hour Division of the U.S.</w:t>
      </w:r>
      <w:r w:rsidR="000A0466" w:rsidRPr="005F1BE6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Department of Labor has determined to be prevailing in a given area for a particular</w:t>
      </w:r>
      <w:r w:rsidR="000A0466" w:rsidRPr="005F1BE6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type of construction (e.g., building, heavy, highway, or residential). The term “wage</w:t>
      </w:r>
      <w:r w:rsidR="000A0466" w:rsidRPr="005F1BE6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determination” is defined as including not only the original decision but any subsequent</w:t>
      </w:r>
      <w:r w:rsidR="000A0466" w:rsidRPr="005F1BE6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decisions modifying, superseding, correcting, or otherwise changing the rates and</w:t>
      </w:r>
      <w:r w:rsidR="009C707E" w:rsidRPr="005F1BE6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scopes of the original decision.</w:t>
      </w:r>
      <w:r w:rsidR="000A0466" w:rsidRPr="005F1BE6">
        <w:rPr>
          <w:rFonts w:ascii="Arial" w:hAnsi="Arial" w:cs="Arial"/>
        </w:rPr>
        <w:t xml:space="preserve"> </w:t>
      </w:r>
      <w:r w:rsidR="009C707E" w:rsidRPr="005F1BE6">
        <w:rPr>
          <w:rFonts w:ascii="Arial" w:hAnsi="Arial" w:cs="Arial"/>
        </w:rPr>
        <w:t xml:space="preserve"> Wage Determinations can be </w:t>
      </w:r>
      <w:r w:rsidR="009E69C1">
        <w:rPr>
          <w:rFonts w:ascii="Arial" w:hAnsi="Arial" w:cs="Arial"/>
        </w:rPr>
        <w:t>obtained</w:t>
      </w:r>
      <w:r w:rsidR="009C707E" w:rsidRPr="005F1BE6">
        <w:rPr>
          <w:rFonts w:ascii="Arial" w:hAnsi="Arial" w:cs="Arial"/>
        </w:rPr>
        <w:t xml:space="preserve"> at </w:t>
      </w:r>
      <w:hyperlink r:id="rId8" w:history="1">
        <w:r w:rsidR="009C707E" w:rsidRPr="005F1BE6">
          <w:rPr>
            <w:rStyle w:val="Hyperlink"/>
            <w:rFonts w:ascii="Arial" w:hAnsi="Arial" w:cs="Arial"/>
          </w:rPr>
          <w:t>www.wdol.gov</w:t>
        </w:r>
      </w:hyperlink>
      <w:r w:rsidR="009C707E" w:rsidRPr="005F1BE6">
        <w:rPr>
          <w:rFonts w:ascii="Arial" w:hAnsi="Arial" w:cs="Arial"/>
        </w:rPr>
        <w:t>.</w:t>
      </w:r>
    </w:p>
    <w:p w:rsidR="000A0466" w:rsidRPr="005F1BE6" w:rsidRDefault="000A0466" w:rsidP="005F1BE6">
      <w:pPr>
        <w:rPr>
          <w:rFonts w:ascii="Arial" w:hAnsi="Arial" w:cs="Arial"/>
        </w:rPr>
      </w:pPr>
    </w:p>
    <w:p w:rsidR="00827DCD" w:rsidRDefault="006A2488" w:rsidP="005F1BE6">
      <w:pPr>
        <w:rPr>
          <w:rFonts w:ascii="Arial" w:hAnsi="Arial" w:cs="Arial"/>
        </w:rPr>
      </w:pPr>
      <w:r w:rsidRPr="005F1BE6">
        <w:rPr>
          <w:rFonts w:ascii="Arial" w:hAnsi="Arial" w:cs="Arial"/>
        </w:rPr>
        <w:t xml:space="preserve">3. </w:t>
      </w:r>
      <w:r w:rsidRPr="004B4FD7">
        <w:rPr>
          <w:rFonts w:ascii="Arial" w:hAnsi="Arial" w:cs="Arial"/>
          <w:b/>
        </w:rPr>
        <w:t xml:space="preserve">What is </w:t>
      </w:r>
      <w:r w:rsidR="009E69C1" w:rsidRPr="004B4FD7">
        <w:rPr>
          <w:rFonts w:ascii="Arial" w:hAnsi="Arial" w:cs="Arial"/>
          <w:b/>
        </w:rPr>
        <w:t xml:space="preserve">the </w:t>
      </w:r>
      <w:r w:rsidRPr="004B4FD7">
        <w:rPr>
          <w:rFonts w:ascii="Arial" w:hAnsi="Arial" w:cs="Arial"/>
          <w:b/>
        </w:rPr>
        <w:t xml:space="preserve">Davis-Bacon </w:t>
      </w:r>
      <w:r w:rsidR="00012374" w:rsidRPr="004B4FD7">
        <w:rPr>
          <w:rFonts w:ascii="Arial" w:hAnsi="Arial" w:cs="Arial"/>
          <w:b/>
        </w:rPr>
        <w:t>Prevailing Wage?</w:t>
      </w:r>
    </w:p>
    <w:p w:rsidR="009E69C1" w:rsidRPr="005F1BE6" w:rsidRDefault="009E69C1" w:rsidP="005F1BE6">
      <w:pPr>
        <w:rPr>
          <w:rFonts w:ascii="Arial" w:hAnsi="Arial" w:cs="Arial"/>
        </w:rPr>
      </w:pPr>
    </w:p>
    <w:p w:rsidR="00047670" w:rsidRDefault="008E6F07" w:rsidP="005F1BE6">
      <w:pPr>
        <w:rPr>
          <w:rFonts w:ascii="Arial" w:hAnsi="Arial" w:cs="Arial"/>
        </w:rPr>
      </w:pPr>
      <w:r w:rsidRPr="005F1BE6">
        <w:rPr>
          <w:rFonts w:ascii="Arial" w:hAnsi="Arial" w:cs="Arial"/>
        </w:rPr>
        <w:t>The Davis-Bacon prevailing wage is made up of two interchangeable components – a basic hourly rate and fringe benefits that have bee</w:t>
      </w:r>
      <w:r w:rsidR="000E342B" w:rsidRPr="005F1BE6">
        <w:rPr>
          <w:rFonts w:ascii="Arial" w:hAnsi="Arial" w:cs="Arial"/>
        </w:rPr>
        <w:t xml:space="preserve">n found prevailing in the area, </w:t>
      </w:r>
      <w:r w:rsidR="009C707E" w:rsidRPr="005F1BE6">
        <w:rPr>
          <w:rFonts w:ascii="Arial" w:hAnsi="Arial" w:cs="Arial"/>
        </w:rPr>
        <w:t>and published in a Davis</w:t>
      </w:r>
      <w:r w:rsidRPr="005F1BE6">
        <w:rPr>
          <w:rFonts w:ascii="Arial" w:hAnsi="Arial" w:cs="Arial"/>
        </w:rPr>
        <w:t xml:space="preserve">–Bacon wage determination. Along with the basic hourly rate listed on the wage determination, a fringe benefit will be listed for any classification for which fringe benefits are found prevailing.  The total </w:t>
      </w:r>
      <w:r w:rsidR="000E342B" w:rsidRPr="005F1BE6">
        <w:rPr>
          <w:rFonts w:ascii="Arial" w:hAnsi="Arial" w:cs="Arial"/>
        </w:rPr>
        <w:t>sum of the basic hourly rate including the fringe benefits listed comprises the Davis-Bacon prevailing wage.</w:t>
      </w:r>
      <w:r w:rsidR="009C707E" w:rsidRPr="005F1BE6">
        <w:rPr>
          <w:rFonts w:ascii="Arial" w:hAnsi="Arial" w:cs="Arial"/>
        </w:rPr>
        <w:t xml:space="preserve">  </w:t>
      </w:r>
    </w:p>
    <w:p w:rsidR="00EC7DCD" w:rsidRDefault="00EC7DCD" w:rsidP="005F1BE6">
      <w:pPr>
        <w:rPr>
          <w:rFonts w:ascii="Arial" w:hAnsi="Arial" w:cs="Arial"/>
        </w:rPr>
      </w:pPr>
    </w:p>
    <w:p w:rsidR="00EC7DCD" w:rsidRDefault="00EC7DCD" w:rsidP="00EC7DCD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F1BE6">
        <w:rPr>
          <w:rFonts w:ascii="Arial" w:hAnsi="Arial" w:cs="Arial"/>
        </w:rPr>
        <w:t xml:space="preserve">. </w:t>
      </w:r>
      <w:r w:rsidRPr="004B4FD7">
        <w:rPr>
          <w:rFonts w:ascii="Arial" w:hAnsi="Arial" w:cs="Arial"/>
          <w:b/>
        </w:rPr>
        <w:t>What Davis</w:t>
      </w:r>
      <w:r w:rsidRPr="004B4FD7">
        <w:rPr>
          <w:rFonts w:ascii="Cambria Math" w:hAnsi="Cambria Math" w:cs="Cambria Math"/>
          <w:b/>
        </w:rPr>
        <w:t>‐</w:t>
      </w:r>
      <w:r w:rsidRPr="004B4FD7">
        <w:rPr>
          <w:rFonts w:ascii="Arial" w:hAnsi="Arial" w:cs="Arial"/>
          <w:b/>
        </w:rPr>
        <w:t>Bacon prevailing wage rates are used in the bid solicitation and contract?</w:t>
      </w:r>
    </w:p>
    <w:p w:rsidR="00EC7DCD" w:rsidRPr="005F1BE6" w:rsidRDefault="00EC7DCD" w:rsidP="00EC7DCD">
      <w:pPr>
        <w:rPr>
          <w:rFonts w:ascii="Arial" w:hAnsi="Arial" w:cs="Arial"/>
        </w:rPr>
      </w:pPr>
    </w:p>
    <w:p w:rsidR="00EC7DCD" w:rsidRPr="005F1BE6" w:rsidRDefault="00EC7DCD" w:rsidP="00EC7DCD">
      <w:pPr>
        <w:rPr>
          <w:rFonts w:ascii="Arial" w:hAnsi="Arial" w:cs="Arial"/>
        </w:rPr>
      </w:pPr>
      <w:r w:rsidRPr="005F1BE6">
        <w:rPr>
          <w:rFonts w:ascii="Arial" w:hAnsi="Arial" w:cs="Arial"/>
        </w:rPr>
        <w:t>The prevailing wage rate for the job classification</w:t>
      </w:r>
      <w:r w:rsidR="003019AD">
        <w:rPr>
          <w:rFonts w:ascii="Arial" w:hAnsi="Arial" w:cs="Arial"/>
        </w:rPr>
        <w:t>s</w:t>
      </w:r>
      <w:r w:rsidRPr="005F1BE6">
        <w:rPr>
          <w:rFonts w:ascii="Arial" w:hAnsi="Arial" w:cs="Arial"/>
        </w:rPr>
        <w:t xml:space="preserve"> for the locality must be used. If the</w:t>
      </w:r>
      <w:r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wage rate changes more than 10 days of the bid opening, the solicitation must be</w:t>
      </w:r>
      <w:r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modified to include the new rate. If the wage rate changes less than 10 days of the bid</w:t>
      </w:r>
      <w:r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 xml:space="preserve">opening, the </w:t>
      </w:r>
      <w:r w:rsidR="005324F2">
        <w:rPr>
          <w:rFonts w:ascii="Arial" w:hAnsi="Arial" w:cs="Arial"/>
        </w:rPr>
        <w:t>recipient</w:t>
      </w:r>
      <w:r w:rsidRPr="005F1BE6">
        <w:rPr>
          <w:rFonts w:ascii="Arial" w:hAnsi="Arial" w:cs="Arial"/>
        </w:rPr>
        <w:t xml:space="preserve"> must get a written determination from the State Water Board that</w:t>
      </w:r>
      <w:r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there is not reasonable time to modify the bid solicitation.</w:t>
      </w:r>
    </w:p>
    <w:p w:rsidR="009C707E" w:rsidRPr="005F1BE6" w:rsidRDefault="009C707E" w:rsidP="005F1BE6">
      <w:pPr>
        <w:rPr>
          <w:rFonts w:ascii="Arial" w:hAnsi="Arial" w:cs="Arial"/>
        </w:rPr>
      </w:pPr>
    </w:p>
    <w:p w:rsidR="009C707E" w:rsidRDefault="00EC7DCD" w:rsidP="005F1BE6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E69C1">
        <w:rPr>
          <w:rFonts w:ascii="Arial" w:hAnsi="Arial" w:cs="Arial"/>
        </w:rPr>
        <w:t xml:space="preserve">. </w:t>
      </w:r>
      <w:r w:rsidR="009C707E" w:rsidRPr="004B4FD7">
        <w:rPr>
          <w:rFonts w:ascii="Arial" w:hAnsi="Arial" w:cs="Arial"/>
          <w:b/>
        </w:rPr>
        <w:t>What is and where can I find Davis-Bacon language?</w:t>
      </w:r>
    </w:p>
    <w:p w:rsidR="009E69C1" w:rsidRPr="005F1BE6" w:rsidRDefault="009E69C1" w:rsidP="005F1BE6">
      <w:pPr>
        <w:rPr>
          <w:rFonts w:ascii="Arial" w:hAnsi="Arial" w:cs="Arial"/>
        </w:rPr>
      </w:pPr>
    </w:p>
    <w:p w:rsidR="00827DCD" w:rsidRDefault="00827DCD" w:rsidP="005F1BE6">
      <w:pPr>
        <w:rPr>
          <w:rFonts w:ascii="Arial" w:hAnsi="Arial" w:cs="Arial"/>
        </w:rPr>
      </w:pPr>
      <w:r w:rsidRPr="005F1BE6">
        <w:rPr>
          <w:rFonts w:ascii="Arial" w:hAnsi="Arial" w:cs="Arial"/>
        </w:rPr>
        <w:t xml:space="preserve">The Davis-Bacon Act requires that all contractors and subcontractors performing on federal contracts (and contractors or subcontractors performing on federally assisted contracts under </w:t>
      </w:r>
      <w:r w:rsidRPr="005F1BE6">
        <w:rPr>
          <w:rFonts w:ascii="Arial" w:hAnsi="Arial" w:cs="Arial"/>
        </w:rPr>
        <w:lastRenderedPageBreak/>
        <w:t>the related Acts) in excess of $2,000 pay their laborers and mechanics not less than the prevailing wage rates and fringe benefits listed in the contract’s Davis-Bacon wage determination for corresponding classes of laborers and mechanics employed on similar projects in the area. Davis-Bacon labor standards cla</w:t>
      </w:r>
      <w:r w:rsidR="00DB1D18">
        <w:rPr>
          <w:rFonts w:ascii="Arial" w:hAnsi="Arial" w:cs="Arial"/>
        </w:rPr>
        <w:t>uses must be included in bid specs/contracts</w:t>
      </w:r>
      <w:r w:rsidRPr="005F1BE6">
        <w:rPr>
          <w:rFonts w:ascii="Arial" w:hAnsi="Arial" w:cs="Arial"/>
        </w:rPr>
        <w:t xml:space="preserve">. </w:t>
      </w:r>
      <w:r w:rsidR="00BF6A00">
        <w:rPr>
          <w:rFonts w:ascii="Arial" w:hAnsi="Arial" w:cs="Arial"/>
        </w:rPr>
        <w:t xml:space="preserve">  </w:t>
      </w:r>
      <w:r w:rsidR="00DB1D18">
        <w:rPr>
          <w:rFonts w:ascii="Arial" w:hAnsi="Arial" w:cs="Arial"/>
        </w:rPr>
        <w:t xml:space="preserve">Click on the link to get the </w:t>
      </w:r>
      <w:r w:rsidR="00DA7B2D" w:rsidRPr="00DA7B2D">
        <w:rPr>
          <w:rFonts w:ascii="Arial" w:hAnsi="Arial" w:cs="Arial"/>
          <w:highlight w:val="yellow"/>
          <w:u w:val="single"/>
        </w:rPr>
        <w:t>Davis-Bacon language</w:t>
      </w:r>
      <w:r w:rsidR="00DA7B2D">
        <w:rPr>
          <w:rFonts w:ascii="Arial" w:hAnsi="Arial" w:cs="Arial"/>
        </w:rPr>
        <w:t xml:space="preserve"> to be incorporated in the bid spec/</w:t>
      </w:r>
      <w:r w:rsidR="00DB1D18">
        <w:rPr>
          <w:rFonts w:ascii="Arial" w:hAnsi="Arial" w:cs="Arial"/>
        </w:rPr>
        <w:t>contracts.</w:t>
      </w:r>
    </w:p>
    <w:p w:rsidR="00EC7DCD" w:rsidRPr="005F1BE6" w:rsidRDefault="00EC7DCD" w:rsidP="005F1BE6">
      <w:pPr>
        <w:rPr>
          <w:rFonts w:ascii="Arial" w:hAnsi="Arial" w:cs="Arial"/>
        </w:rPr>
      </w:pPr>
    </w:p>
    <w:p w:rsidR="00012374" w:rsidRPr="004B4FD7" w:rsidRDefault="00EC7DCD" w:rsidP="005F1BE6">
      <w:pPr>
        <w:rPr>
          <w:rFonts w:ascii="Arial" w:hAnsi="Arial" w:cs="Arial"/>
          <w:b/>
        </w:rPr>
      </w:pPr>
      <w:r>
        <w:rPr>
          <w:rFonts w:ascii="Arial" w:hAnsi="Arial" w:cs="Arial"/>
        </w:rPr>
        <w:t>6</w:t>
      </w:r>
      <w:r w:rsidR="0065681A" w:rsidRPr="005F1BE6">
        <w:rPr>
          <w:rFonts w:ascii="Arial" w:hAnsi="Arial" w:cs="Arial"/>
        </w:rPr>
        <w:t xml:space="preserve">. </w:t>
      </w:r>
      <w:r w:rsidR="002836AD" w:rsidRPr="004B4FD7">
        <w:rPr>
          <w:rFonts w:ascii="Arial" w:hAnsi="Arial" w:cs="Arial"/>
          <w:b/>
        </w:rPr>
        <w:t xml:space="preserve">What </w:t>
      </w:r>
      <w:r w:rsidR="00012374" w:rsidRPr="004B4FD7">
        <w:rPr>
          <w:rFonts w:ascii="Arial" w:hAnsi="Arial" w:cs="Arial"/>
          <w:b/>
        </w:rPr>
        <w:t>are</w:t>
      </w:r>
      <w:r w:rsidR="002836AD" w:rsidRPr="004B4FD7">
        <w:rPr>
          <w:rFonts w:ascii="Arial" w:hAnsi="Arial" w:cs="Arial"/>
          <w:b/>
        </w:rPr>
        <w:t xml:space="preserve"> Fringe Benefits?</w:t>
      </w:r>
    </w:p>
    <w:p w:rsidR="00813120" w:rsidRPr="005F1BE6" w:rsidRDefault="00813120" w:rsidP="005F1BE6">
      <w:pPr>
        <w:rPr>
          <w:rFonts w:ascii="Arial" w:hAnsi="Arial" w:cs="Arial"/>
        </w:rPr>
      </w:pPr>
    </w:p>
    <w:p w:rsidR="002F7B56" w:rsidRDefault="00813120" w:rsidP="005F1BE6">
      <w:pPr>
        <w:rPr>
          <w:rFonts w:ascii="Arial" w:hAnsi="Arial" w:cs="Arial"/>
        </w:rPr>
      </w:pPr>
      <w:r w:rsidRPr="005F1BE6">
        <w:rPr>
          <w:rFonts w:ascii="Arial" w:hAnsi="Arial" w:cs="Arial"/>
        </w:rPr>
        <w:t xml:space="preserve">Fringe Benefits are contributions irrevocably made to a trustee or third party pursuant to a bona fide fringe benefit fund plan or program. </w:t>
      </w:r>
      <w:r w:rsidR="00012374" w:rsidRPr="005F1BE6">
        <w:rPr>
          <w:rFonts w:ascii="Arial" w:hAnsi="Arial" w:cs="Arial"/>
        </w:rPr>
        <w:t>Examples of fringe benefits are:</w:t>
      </w:r>
      <w:r w:rsidRPr="005F1BE6">
        <w:rPr>
          <w:rFonts w:ascii="Arial" w:hAnsi="Arial" w:cs="Arial"/>
        </w:rPr>
        <w:t xml:space="preserve"> Life insurance, Health insurance, Pension, Vacation, Holidays, Sick Lea</w:t>
      </w:r>
      <w:r w:rsidR="00012374" w:rsidRPr="005F1BE6">
        <w:rPr>
          <w:rFonts w:ascii="Arial" w:hAnsi="Arial" w:cs="Arial"/>
        </w:rPr>
        <w:t>ve and other bona fide fringe</w:t>
      </w:r>
      <w:r w:rsidRPr="005F1BE6">
        <w:rPr>
          <w:rFonts w:ascii="Arial" w:hAnsi="Arial" w:cs="Arial"/>
        </w:rPr>
        <w:t xml:space="preserve"> benefits</w:t>
      </w:r>
      <w:r w:rsidR="00012374" w:rsidRPr="005F1BE6">
        <w:rPr>
          <w:rFonts w:ascii="Arial" w:hAnsi="Arial" w:cs="Arial"/>
        </w:rPr>
        <w:t>. P</w:t>
      </w:r>
      <w:r w:rsidRPr="005F1BE6">
        <w:rPr>
          <w:rFonts w:ascii="Arial" w:hAnsi="Arial" w:cs="Arial"/>
        </w:rPr>
        <w:t xml:space="preserve">ayments required by federal, state or local law are not fringe benefit contributions. </w:t>
      </w:r>
    </w:p>
    <w:p w:rsidR="00813120" w:rsidRPr="005F1BE6" w:rsidRDefault="002F7B56" w:rsidP="005F1BE6">
      <w:pPr>
        <w:rPr>
          <w:rFonts w:ascii="Arial" w:hAnsi="Arial" w:cs="Arial"/>
        </w:rPr>
      </w:pPr>
      <w:r w:rsidRPr="00726860"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t xml:space="preserve"> </w:t>
      </w:r>
      <w:r w:rsidR="00813120" w:rsidRPr="005F1BE6">
        <w:rPr>
          <w:rFonts w:ascii="Arial" w:hAnsi="Arial" w:cs="Arial"/>
        </w:rPr>
        <w:t>Such payments required to fund Social Security, unemployment compensation and workers’ compensation programs, as required by law, do not count as fringe benefits.</w:t>
      </w:r>
      <w:r w:rsidR="00012374" w:rsidRPr="005F1BE6">
        <w:rPr>
          <w:rFonts w:ascii="Arial" w:hAnsi="Arial" w:cs="Arial"/>
        </w:rPr>
        <w:t xml:space="preserve">  Fringe Benefits can be paid in cash to the employee or paid into bona fide fringe benefit program.</w:t>
      </w:r>
    </w:p>
    <w:p w:rsidR="002836AD" w:rsidRPr="005F1BE6" w:rsidRDefault="002836AD" w:rsidP="005F1BE6">
      <w:pPr>
        <w:rPr>
          <w:rFonts w:ascii="Arial" w:hAnsi="Arial" w:cs="Arial"/>
        </w:rPr>
      </w:pPr>
    </w:p>
    <w:p w:rsidR="0065681A" w:rsidRPr="004B4FD7" w:rsidRDefault="00EC7DCD" w:rsidP="005F1BE6">
      <w:pPr>
        <w:rPr>
          <w:rFonts w:ascii="Arial" w:hAnsi="Arial" w:cs="Arial"/>
          <w:b/>
        </w:rPr>
      </w:pPr>
      <w:r>
        <w:rPr>
          <w:rFonts w:ascii="Arial" w:hAnsi="Arial" w:cs="Arial"/>
        </w:rPr>
        <w:t>7</w:t>
      </w:r>
      <w:r w:rsidR="0065681A" w:rsidRPr="005F1BE6">
        <w:rPr>
          <w:rFonts w:ascii="Arial" w:hAnsi="Arial" w:cs="Arial"/>
        </w:rPr>
        <w:t xml:space="preserve">. </w:t>
      </w:r>
      <w:r w:rsidR="0065681A" w:rsidRPr="004B4FD7">
        <w:rPr>
          <w:rFonts w:ascii="Arial" w:hAnsi="Arial" w:cs="Arial"/>
          <w:b/>
        </w:rPr>
        <w:t>Can appre</w:t>
      </w:r>
      <w:r w:rsidR="00726860" w:rsidRPr="004B4FD7">
        <w:rPr>
          <w:rFonts w:ascii="Arial" w:hAnsi="Arial" w:cs="Arial"/>
          <w:b/>
        </w:rPr>
        <w:t>ntices</w:t>
      </w:r>
      <w:r w:rsidR="0065681A" w:rsidRPr="004B4FD7">
        <w:rPr>
          <w:rFonts w:ascii="Arial" w:hAnsi="Arial" w:cs="Arial"/>
          <w:b/>
        </w:rPr>
        <w:t xml:space="preserve"> work on a project covered by the Davis</w:t>
      </w:r>
      <w:r w:rsidR="0065681A" w:rsidRPr="004B4FD7">
        <w:rPr>
          <w:rFonts w:ascii="Cambria Math" w:hAnsi="Cambria Math" w:cs="Cambria Math"/>
          <w:b/>
        </w:rPr>
        <w:t>‐</w:t>
      </w:r>
      <w:r w:rsidR="0065681A" w:rsidRPr="004B4FD7">
        <w:rPr>
          <w:rFonts w:ascii="Arial" w:hAnsi="Arial" w:cs="Arial"/>
          <w:b/>
        </w:rPr>
        <w:t>Bacon or related Acts (DBRA), and what wage rates must they be paid?</w:t>
      </w:r>
    </w:p>
    <w:p w:rsidR="00726860" w:rsidRPr="005F1BE6" w:rsidRDefault="00726860" w:rsidP="005F1BE6">
      <w:pPr>
        <w:rPr>
          <w:rFonts w:ascii="Arial" w:hAnsi="Arial" w:cs="Arial"/>
        </w:rPr>
      </w:pPr>
    </w:p>
    <w:p w:rsidR="0065681A" w:rsidRPr="005F1BE6" w:rsidRDefault="0065681A" w:rsidP="005F1BE6">
      <w:pPr>
        <w:rPr>
          <w:rFonts w:ascii="Arial" w:hAnsi="Arial" w:cs="Arial"/>
        </w:rPr>
      </w:pPr>
      <w:r w:rsidRPr="005F1BE6">
        <w:rPr>
          <w:rFonts w:ascii="Arial" w:hAnsi="Arial" w:cs="Arial"/>
        </w:rPr>
        <w:t>Individuals who meet the following definition may be employed as apprentices on DBRA</w:t>
      </w:r>
    </w:p>
    <w:p w:rsidR="0065681A" w:rsidRPr="005F1BE6" w:rsidRDefault="0065681A" w:rsidP="005F1BE6">
      <w:pPr>
        <w:rPr>
          <w:rFonts w:ascii="Arial" w:hAnsi="Arial" w:cs="Arial"/>
        </w:rPr>
      </w:pPr>
      <w:proofErr w:type="gramStart"/>
      <w:r w:rsidRPr="005F1BE6">
        <w:rPr>
          <w:rFonts w:ascii="Arial" w:hAnsi="Arial" w:cs="Arial"/>
        </w:rPr>
        <w:t>projects</w:t>
      </w:r>
      <w:proofErr w:type="gramEnd"/>
      <w:r w:rsidRPr="005F1BE6">
        <w:rPr>
          <w:rFonts w:ascii="Arial" w:hAnsi="Arial" w:cs="Arial"/>
        </w:rPr>
        <w:t>:</w:t>
      </w:r>
    </w:p>
    <w:p w:rsidR="0065681A" w:rsidRPr="005F1BE6" w:rsidRDefault="0065681A" w:rsidP="005F1BE6">
      <w:pPr>
        <w:rPr>
          <w:rFonts w:ascii="Arial" w:hAnsi="Arial" w:cs="Arial"/>
        </w:rPr>
      </w:pPr>
      <w:r w:rsidRPr="005F1BE6">
        <w:rPr>
          <w:rFonts w:ascii="Arial" w:hAnsi="Arial" w:cs="Arial"/>
        </w:rPr>
        <w:t>(a) A person employed and individually registered in a bona fide apprenticeship program</w:t>
      </w:r>
    </w:p>
    <w:p w:rsidR="0065681A" w:rsidRPr="005F1BE6" w:rsidRDefault="0065681A" w:rsidP="005F1BE6">
      <w:pPr>
        <w:rPr>
          <w:rFonts w:ascii="Arial" w:hAnsi="Arial" w:cs="Arial"/>
        </w:rPr>
      </w:pPr>
      <w:proofErr w:type="gramStart"/>
      <w:r w:rsidRPr="005F1BE6">
        <w:rPr>
          <w:rFonts w:ascii="Arial" w:hAnsi="Arial" w:cs="Arial"/>
        </w:rPr>
        <w:t>registered</w:t>
      </w:r>
      <w:proofErr w:type="gramEnd"/>
      <w:r w:rsidRPr="005F1BE6">
        <w:rPr>
          <w:rFonts w:ascii="Arial" w:hAnsi="Arial" w:cs="Arial"/>
        </w:rPr>
        <w:t xml:space="preserve"> with the U.S. Department of Labor, Employment and Training Administration,</w:t>
      </w:r>
    </w:p>
    <w:p w:rsidR="0065681A" w:rsidRPr="005F1BE6" w:rsidRDefault="0065681A" w:rsidP="005F1BE6">
      <w:pPr>
        <w:rPr>
          <w:rFonts w:ascii="Arial" w:hAnsi="Arial" w:cs="Arial"/>
        </w:rPr>
      </w:pPr>
      <w:r w:rsidRPr="005F1BE6">
        <w:rPr>
          <w:rFonts w:ascii="Arial" w:hAnsi="Arial" w:cs="Arial"/>
        </w:rPr>
        <w:t>Bureau of Apprenticeship and Training, or with a State Apprenticeship Agency</w:t>
      </w:r>
      <w:r w:rsidR="003019AD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recognized by the Bureau,</w:t>
      </w:r>
    </w:p>
    <w:p w:rsidR="0065681A" w:rsidRPr="005F1BE6" w:rsidRDefault="0065681A" w:rsidP="005F1BE6">
      <w:pPr>
        <w:rPr>
          <w:rFonts w:ascii="Arial" w:hAnsi="Arial" w:cs="Arial"/>
        </w:rPr>
      </w:pPr>
      <w:proofErr w:type="gramStart"/>
      <w:r w:rsidRPr="005F1BE6">
        <w:rPr>
          <w:rFonts w:ascii="Arial" w:hAnsi="Arial" w:cs="Arial"/>
        </w:rPr>
        <w:t>or</w:t>
      </w:r>
      <w:proofErr w:type="gramEnd"/>
    </w:p>
    <w:p w:rsidR="0065681A" w:rsidRPr="005F1BE6" w:rsidRDefault="0065681A" w:rsidP="005F1BE6">
      <w:pPr>
        <w:rPr>
          <w:rFonts w:ascii="Arial" w:hAnsi="Arial" w:cs="Arial"/>
        </w:rPr>
      </w:pPr>
      <w:r w:rsidRPr="005F1BE6">
        <w:rPr>
          <w:rFonts w:ascii="Arial" w:hAnsi="Arial" w:cs="Arial"/>
        </w:rPr>
        <w:t>(b) A person in the first 90 days of probationary employment as an apprentice in such an</w:t>
      </w:r>
    </w:p>
    <w:p w:rsidR="0065681A" w:rsidRPr="005F1BE6" w:rsidRDefault="0065681A" w:rsidP="005F1BE6">
      <w:pPr>
        <w:rPr>
          <w:rFonts w:ascii="Arial" w:hAnsi="Arial" w:cs="Arial"/>
        </w:rPr>
      </w:pPr>
      <w:proofErr w:type="gramStart"/>
      <w:r w:rsidRPr="005F1BE6">
        <w:rPr>
          <w:rFonts w:ascii="Arial" w:hAnsi="Arial" w:cs="Arial"/>
        </w:rPr>
        <w:t>apprenticeship</w:t>
      </w:r>
      <w:proofErr w:type="gramEnd"/>
      <w:r w:rsidRPr="005F1BE6">
        <w:rPr>
          <w:rFonts w:ascii="Arial" w:hAnsi="Arial" w:cs="Arial"/>
        </w:rPr>
        <w:t xml:space="preserve"> program, who is not individually registered in the program, but who has</w:t>
      </w:r>
    </w:p>
    <w:p w:rsidR="0065681A" w:rsidRPr="005F1BE6" w:rsidRDefault="0065681A" w:rsidP="005F1BE6">
      <w:pPr>
        <w:rPr>
          <w:rFonts w:ascii="Arial" w:hAnsi="Arial" w:cs="Arial"/>
        </w:rPr>
      </w:pPr>
      <w:proofErr w:type="gramStart"/>
      <w:r w:rsidRPr="005F1BE6">
        <w:rPr>
          <w:rFonts w:ascii="Arial" w:hAnsi="Arial" w:cs="Arial"/>
        </w:rPr>
        <w:t>been</w:t>
      </w:r>
      <w:proofErr w:type="gramEnd"/>
      <w:r w:rsidRPr="005F1BE6">
        <w:rPr>
          <w:rFonts w:ascii="Arial" w:hAnsi="Arial" w:cs="Arial"/>
        </w:rPr>
        <w:t xml:space="preserve"> properly certified to be eligible for probationary employment as an apprentice.</w:t>
      </w:r>
    </w:p>
    <w:p w:rsidR="0065681A" w:rsidRPr="005F1BE6" w:rsidRDefault="0065681A" w:rsidP="005F1BE6">
      <w:pPr>
        <w:rPr>
          <w:rFonts w:ascii="Arial" w:hAnsi="Arial" w:cs="Arial"/>
        </w:rPr>
      </w:pPr>
      <w:r w:rsidRPr="005F1BE6">
        <w:rPr>
          <w:rFonts w:ascii="Arial" w:hAnsi="Arial" w:cs="Arial"/>
        </w:rPr>
        <w:t xml:space="preserve">Information on wage rates paid to apprentices </w:t>
      </w:r>
      <w:proofErr w:type="gramStart"/>
      <w:r w:rsidR="00726860">
        <w:rPr>
          <w:rFonts w:ascii="Arial" w:hAnsi="Arial" w:cs="Arial"/>
        </w:rPr>
        <w:t>are</w:t>
      </w:r>
      <w:proofErr w:type="gramEnd"/>
      <w:r w:rsidR="00726860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not reflected in Davis</w:t>
      </w:r>
      <w:r w:rsidRPr="005F1BE6">
        <w:rPr>
          <w:rFonts w:ascii="Cambria Math" w:hAnsi="Cambria Math" w:cs="Cambria Math"/>
        </w:rPr>
        <w:t>‐</w:t>
      </w:r>
      <w:r w:rsidRPr="005F1BE6">
        <w:rPr>
          <w:rFonts w:ascii="Arial" w:hAnsi="Arial" w:cs="Arial"/>
        </w:rPr>
        <w:t xml:space="preserve">Bacon wage determinations. </w:t>
      </w:r>
      <w:r w:rsidR="00F44968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The proper wage rates to be paid to apprentices are those specified by the</w:t>
      </w:r>
    </w:p>
    <w:p w:rsidR="0065681A" w:rsidRPr="005F1BE6" w:rsidRDefault="0065681A" w:rsidP="005F1BE6">
      <w:pPr>
        <w:rPr>
          <w:rFonts w:ascii="Arial" w:hAnsi="Arial" w:cs="Arial"/>
        </w:rPr>
      </w:pPr>
      <w:proofErr w:type="gramStart"/>
      <w:r w:rsidRPr="005F1BE6">
        <w:rPr>
          <w:rFonts w:ascii="Arial" w:hAnsi="Arial" w:cs="Arial"/>
        </w:rPr>
        <w:t>particular</w:t>
      </w:r>
      <w:proofErr w:type="gramEnd"/>
      <w:r w:rsidRPr="005F1BE6">
        <w:rPr>
          <w:rFonts w:ascii="Arial" w:hAnsi="Arial" w:cs="Arial"/>
        </w:rPr>
        <w:t xml:space="preserve"> programs in which they are enrolled, expressed as a percentage of the</w:t>
      </w:r>
      <w:r w:rsidR="00F44968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journeyman rate on the wage determination. In the event employees reported as</w:t>
      </w:r>
      <w:r w:rsidR="00F44968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apprentices on a covered project have not been properly registered within</w:t>
      </w:r>
      <w:r w:rsidR="00F44968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the meaning of the Regulations and the contract stipulations, or are utilized at the job</w:t>
      </w:r>
      <w:r w:rsidR="00F44968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site in excess of the ratio to journeymen permitted under the approved program, they</w:t>
      </w:r>
      <w:r w:rsidR="00F44968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must be paid the applicable wage rates for laborers and mechanics employed on the</w:t>
      </w:r>
      <w:r w:rsidR="00F44968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project performing in the classification of work they actually performed. This applies</w:t>
      </w:r>
      <w:r w:rsidR="00F44968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regardless of work classifications which may be listed on the submitted payrolls and</w:t>
      </w:r>
      <w:r w:rsidR="00F44968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regardless of their level of skill.</w:t>
      </w:r>
    </w:p>
    <w:p w:rsidR="00F44968" w:rsidRDefault="00F44968" w:rsidP="005F1BE6">
      <w:pPr>
        <w:rPr>
          <w:rFonts w:ascii="Arial" w:hAnsi="Arial" w:cs="Arial"/>
        </w:rPr>
      </w:pPr>
    </w:p>
    <w:p w:rsidR="0065681A" w:rsidRPr="004B4FD7" w:rsidRDefault="00EC7DCD" w:rsidP="005F1BE6">
      <w:pPr>
        <w:rPr>
          <w:rFonts w:ascii="Arial" w:hAnsi="Arial" w:cs="Arial"/>
          <w:b/>
        </w:rPr>
      </w:pPr>
      <w:r>
        <w:rPr>
          <w:rFonts w:ascii="Arial" w:hAnsi="Arial" w:cs="Arial"/>
        </w:rPr>
        <w:t>8</w:t>
      </w:r>
      <w:r w:rsidR="0065681A" w:rsidRPr="005F1BE6">
        <w:rPr>
          <w:rFonts w:ascii="Arial" w:hAnsi="Arial" w:cs="Arial"/>
        </w:rPr>
        <w:t xml:space="preserve">. </w:t>
      </w:r>
      <w:r w:rsidR="0065681A" w:rsidRPr="004B4FD7">
        <w:rPr>
          <w:rFonts w:ascii="Arial" w:hAnsi="Arial" w:cs="Arial"/>
          <w:b/>
        </w:rPr>
        <w:t>What wage rates must be paid to supervisory employees (foremen, superintendents,</w:t>
      </w:r>
      <w:r w:rsidR="00F44968" w:rsidRPr="004B4FD7">
        <w:rPr>
          <w:rFonts w:ascii="Arial" w:hAnsi="Arial" w:cs="Arial"/>
          <w:b/>
        </w:rPr>
        <w:t xml:space="preserve"> </w:t>
      </w:r>
      <w:r w:rsidR="0065681A" w:rsidRPr="004B4FD7">
        <w:rPr>
          <w:rFonts w:ascii="Arial" w:hAnsi="Arial" w:cs="Arial"/>
          <w:b/>
        </w:rPr>
        <w:t>etc.) employed on a covered project?</w:t>
      </w:r>
    </w:p>
    <w:p w:rsidR="00F44968" w:rsidRPr="005F1BE6" w:rsidRDefault="00F44968" w:rsidP="005F1BE6">
      <w:pPr>
        <w:rPr>
          <w:rFonts w:ascii="Arial" w:hAnsi="Arial" w:cs="Arial"/>
        </w:rPr>
      </w:pPr>
    </w:p>
    <w:p w:rsidR="0065681A" w:rsidRDefault="0065681A" w:rsidP="005F1BE6">
      <w:pPr>
        <w:rPr>
          <w:rFonts w:ascii="Arial" w:hAnsi="Arial" w:cs="Arial"/>
        </w:rPr>
      </w:pPr>
      <w:r w:rsidRPr="005F1BE6">
        <w:rPr>
          <w:rFonts w:ascii="Arial" w:hAnsi="Arial" w:cs="Arial"/>
        </w:rPr>
        <w:lastRenderedPageBreak/>
        <w:t>The wage rates for bona fide supervisory employees are not regulated under the Davis</w:t>
      </w:r>
      <w:r w:rsidRPr="005F1BE6">
        <w:rPr>
          <w:rFonts w:ascii="Cambria Math" w:hAnsi="Cambria Math" w:cs="Cambria Math"/>
        </w:rPr>
        <w:t>‐</w:t>
      </w:r>
      <w:r w:rsidRPr="005F1BE6">
        <w:rPr>
          <w:rFonts w:ascii="Arial" w:hAnsi="Arial" w:cs="Arial"/>
        </w:rPr>
        <w:t>Bacon and Related Acts because their duties are primarily administrative or executive in</w:t>
      </w:r>
      <w:r w:rsidR="003019AD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nature rather than those of laborers or mechanics. However, such employees who</w:t>
      </w:r>
      <w:r w:rsidR="003019AD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 xml:space="preserve">devote more than 20 </w:t>
      </w:r>
      <w:r w:rsidR="003019AD">
        <w:rPr>
          <w:rFonts w:ascii="Arial" w:hAnsi="Arial" w:cs="Arial"/>
        </w:rPr>
        <w:t>p</w:t>
      </w:r>
      <w:r w:rsidRPr="005F1BE6">
        <w:rPr>
          <w:rFonts w:ascii="Arial" w:hAnsi="Arial" w:cs="Arial"/>
        </w:rPr>
        <w:t>ercent of their time during a workweek to mechanic or laborer</w:t>
      </w:r>
      <w:r w:rsidR="003019AD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duties are laborers and mechanics for the time so spent, and must be paid at least the</w:t>
      </w:r>
      <w:r w:rsidR="003019AD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appropriate wage rates specified in the wage determination. Employees who are bona</w:t>
      </w:r>
      <w:r w:rsidR="003019AD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 xml:space="preserve">fide executive, administrative, or </w:t>
      </w:r>
      <w:r w:rsidR="003019AD">
        <w:rPr>
          <w:rFonts w:ascii="Arial" w:hAnsi="Arial" w:cs="Arial"/>
        </w:rPr>
        <w:t>p</w:t>
      </w:r>
      <w:r w:rsidRPr="005F1BE6">
        <w:rPr>
          <w:rFonts w:ascii="Arial" w:hAnsi="Arial" w:cs="Arial"/>
        </w:rPr>
        <w:t>rofessional employees as defined under the Fair</w:t>
      </w:r>
      <w:r w:rsidR="003019AD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Labor Standards Act at 29 CFR Part 541 are not covered by the Davis</w:t>
      </w:r>
      <w:r w:rsidRPr="005F1BE6">
        <w:rPr>
          <w:rFonts w:ascii="Cambria Math" w:hAnsi="Cambria Math" w:cs="Cambria Math"/>
        </w:rPr>
        <w:t>‐</w:t>
      </w:r>
      <w:r w:rsidRPr="005F1BE6">
        <w:rPr>
          <w:rFonts w:ascii="Arial" w:hAnsi="Arial" w:cs="Arial"/>
        </w:rPr>
        <w:t>Bacon Act.</w:t>
      </w:r>
    </w:p>
    <w:p w:rsidR="00F44968" w:rsidRPr="005F1BE6" w:rsidRDefault="00F44968" w:rsidP="005F1BE6">
      <w:pPr>
        <w:rPr>
          <w:rFonts w:ascii="Arial" w:hAnsi="Arial" w:cs="Arial"/>
        </w:rPr>
      </w:pPr>
    </w:p>
    <w:p w:rsidR="0065681A" w:rsidRDefault="00EC7DCD" w:rsidP="005F1BE6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5681A" w:rsidRPr="005F1BE6">
        <w:rPr>
          <w:rFonts w:ascii="Arial" w:hAnsi="Arial" w:cs="Arial"/>
        </w:rPr>
        <w:t xml:space="preserve">. </w:t>
      </w:r>
      <w:r w:rsidR="0065681A" w:rsidRPr="004B4FD7">
        <w:rPr>
          <w:rFonts w:ascii="Arial" w:hAnsi="Arial" w:cs="Arial"/>
          <w:b/>
        </w:rPr>
        <w:t>Does Davis</w:t>
      </w:r>
      <w:r w:rsidR="0065681A" w:rsidRPr="004B4FD7">
        <w:rPr>
          <w:rFonts w:ascii="Cambria Math" w:hAnsi="Cambria Math" w:cs="Cambria Math"/>
          <w:b/>
        </w:rPr>
        <w:t>‐</w:t>
      </w:r>
      <w:r w:rsidR="0065681A" w:rsidRPr="004B4FD7">
        <w:rPr>
          <w:rFonts w:ascii="Arial" w:hAnsi="Arial" w:cs="Arial"/>
          <w:b/>
        </w:rPr>
        <w:t>Bacon apply to the entire project?</w:t>
      </w:r>
    </w:p>
    <w:p w:rsidR="00EC7DCD" w:rsidRPr="005F1BE6" w:rsidRDefault="00EC7DCD" w:rsidP="005F1BE6">
      <w:pPr>
        <w:rPr>
          <w:rFonts w:ascii="Arial" w:hAnsi="Arial" w:cs="Arial"/>
        </w:rPr>
      </w:pPr>
    </w:p>
    <w:p w:rsidR="0065681A" w:rsidRDefault="0065681A" w:rsidP="005F1BE6">
      <w:pPr>
        <w:rPr>
          <w:rFonts w:ascii="Arial" w:hAnsi="Arial" w:cs="Arial"/>
        </w:rPr>
      </w:pPr>
      <w:r w:rsidRPr="005F1BE6">
        <w:rPr>
          <w:rFonts w:ascii="Arial" w:hAnsi="Arial" w:cs="Arial"/>
        </w:rPr>
        <w:t>Yes, Davis</w:t>
      </w:r>
      <w:r w:rsidRPr="005F1BE6">
        <w:rPr>
          <w:rFonts w:ascii="Cambria Math" w:hAnsi="Cambria Math" w:cs="Cambria Math"/>
        </w:rPr>
        <w:t>‐</w:t>
      </w:r>
      <w:r w:rsidRPr="005F1BE6">
        <w:rPr>
          <w:rFonts w:ascii="Arial" w:hAnsi="Arial" w:cs="Arial"/>
        </w:rPr>
        <w:t>Bacon applies to the entire project, not</w:t>
      </w:r>
      <w:r w:rsidR="00EC7DCD">
        <w:rPr>
          <w:rFonts w:ascii="Arial" w:hAnsi="Arial" w:cs="Arial"/>
        </w:rPr>
        <w:t xml:space="preserve"> just the portion funded by CWSRF</w:t>
      </w:r>
      <w:r w:rsidRPr="005F1BE6">
        <w:rPr>
          <w:rFonts w:ascii="Arial" w:hAnsi="Arial" w:cs="Arial"/>
        </w:rPr>
        <w:t>.</w:t>
      </w:r>
    </w:p>
    <w:p w:rsidR="00EC7DCD" w:rsidRPr="005F1BE6" w:rsidRDefault="00EC7DCD" w:rsidP="005F1BE6">
      <w:pPr>
        <w:rPr>
          <w:rFonts w:ascii="Arial" w:hAnsi="Arial" w:cs="Arial"/>
        </w:rPr>
      </w:pPr>
    </w:p>
    <w:p w:rsidR="0065681A" w:rsidRDefault="00EC7DCD" w:rsidP="005F1BE6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5681A" w:rsidRPr="005F1BE6">
        <w:rPr>
          <w:rFonts w:ascii="Arial" w:hAnsi="Arial" w:cs="Arial"/>
        </w:rPr>
        <w:t xml:space="preserve">. </w:t>
      </w:r>
      <w:r w:rsidR="0065681A" w:rsidRPr="004B4FD7">
        <w:rPr>
          <w:rFonts w:ascii="Arial" w:hAnsi="Arial" w:cs="Arial"/>
          <w:b/>
        </w:rPr>
        <w:t>What Davis</w:t>
      </w:r>
      <w:r w:rsidR="0065681A" w:rsidRPr="004B4FD7">
        <w:rPr>
          <w:rFonts w:ascii="Cambria Math" w:hAnsi="Cambria Math" w:cs="Cambria Math"/>
          <w:b/>
        </w:rPr>
        <w:t>‐</w:t>
      </w:r>
      <w:r w:rsidR="0065681A" w:rsidRPr="004B4FD7">
        <w:rPr>
          <w:rFonts w:ascii="Arial" w:hAnsi="Arial" w:cs="Arial"/>
          <w:b/>
        </w:rPr>
        <w:t>Bacon prevailing wage rates are used in the bid solicitation and contract?</w:t>
      </w:r>
    </w:p>
    <w:p w:rsidR="00EC7DCD" w:rsidRPr="005F1BE6" w:rsidRDefault="00EC7DCD" w:rsidP="005F1BE6">
      <w:pPr>
        <w:rPr>
          <w:rFonts w:ascii="Arial" w:hAnsi="Arial" w:cs="Arial"/>
        </w:rPr>
      </w:pPr>
    </w:p>
    <w:p w:rsidR="0065681A" w:rsidRDefault="0065681A" w:rsidP="005F1BE6">
      <w:pPr>
        <w:rPr>
          <w:rFonts w:ascii="Arial" w:hAnsi="Arial" w:cs="Arial"/>
        </w:rPr>
      </w:pPr>
      <w:r w:rsidRPr="005F1BE6">
        <w:rPr>
          <w:rFonts w:ascii="Arial" w:hAnsi="Arial" w:cs="Arial"/>
        </w:rPr>
        <w:t>The prevailing wage rate for the job classification for the locality must be used. If the</w:t>
      </w:r>
      <w:r w:rsidR="00EC7DCD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wage rate changes more than 10 days of the bid opening, the solicitation must be</w:t>
      </w:r>
      <w:r w:rsidR="00EC7DCD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modified to include the new rate. If the wage rate changes less than 10 days of the bid</w:t>
      </w:r>
      <w:r w:rsidR="00EC7DCD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opening, the AR must get a written determination from the State Water Board that</w:t>
      </w:r>
      <w:r w:rsidR="00EC7DCD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there is not reasonable time to modify the bid solicitation.</w:t>
      </w:r>
    </w:p>
    <w:p w:rsidR="00EC7DCD" w:rsidRPr="005F1BE6" w:rsidRDefault="00EC7DCD" w:rsidP="005F1BE6">
      <w:pPr>
        <w:rPr>
          <w:rFonts w:ascii="Arial" w:hAnsi="Arial" w:cs="Arial"/>
        </w:rPr>
      </w:pPr>
    </w:p>
    <w:p w:rsidR="0065681A" w:rsidRDefault="00EC7DCD" w:rsidP="005F1BE6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65681A" w:rsidRPr="005F1BE6">
        <w:rPr>
          <w:rFonts w:ascii="Arial" w:hAnsi="Arial" w:cs="Arial"/>
        </w:rPr>
        <w:t xml:space="preserve">. </w:t>
      </w:r>
      <w:r w:rsidR="0065681A" w:rsidRPr="004B4FD7">
        <w:rPr>
          <w:rFonts w:ascii="Arial" w:hAnsi="Arial" w:cs="Arial"/>
          <w:b/>
        </w:rPr>
        <w:t>Do projects need to comply with state and federal prevailing wage laws?</w:t>
      </w:r>
    </w:p>
    <w:p w:rsidR="004B4FD7" w:rsidRPr="005F1BE6" w:rsidRDefault="004B4FD7" w:rsidP="005F1BE6">
      <w:pPr>
        <w:rPr>
          <w:rFonts w:ascii="Arial" w:hAnsi="Arial" w:cs="Arial"/>
        </w:rPr>
      </w:pPr>
    </w:p>
    <w:p w:rsidR="0065681A" w:rsidRDefault="0065681A" w:rsidP="005F1BE6">
      <w:pPr>
        <w:rPr>
          <w:rFonts w:ascii="Arial" w:hAnsi="Arial" w:cs="Arial"/>
        </w:rPr>
      </w:pPr>
      <w:r w:rsidRPr="005F1BE6">
        <w:rPr>
          <w:rFonts w:ascii="Arial" w:hAnsi="Arial" w:cs="Arial"/>
        </w:rPr>
        <w:t>Yes, all projects need to comply with both state and federal prevailing wage laws and</w:t>
      </w:r>
      <w:r w:rsidR="00EC7DCD">
        <w:rPr>
          <w:rFonts w:ascii="Arial" w:hAnsi="Arial" w:cs="Arial"/>
        </w:rPr>
        <w:t xml:space="preserve"> </w:t>
      </w:r>
      <w:r w:rsidRPr="005F1BE6">
        <w:rPr>
          <w:rFonts w:ascii="Arial" w:hAnsi="Arial" w:cs="Arial"/>
        </w:rPr>
        <w:t>must pay the higher rate.</w:t>
      </w:r>
    </w:p>
    <w:p w:rsidR="00EC7DCD" w:rsidRDefault="00EC7DCD" w:rsidP="005F1BE6">
      <w:pPr>
        <w:rPr>
          <w:rFonts w:ascii="Arial" w:hAnsi="Arial" w:cs="Arial"/>
        </w:rPr>
      </w:pPr>
    </w:p>
    <w:p w:rsidR="00EC7DCD" w:rsidRDefault="008A3D69" w:rsidP="005F1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  </w:t>
      </w:r>
      <w:r w:rsidRPr="004B4FD7">
        <w:rPr>
          <w:rFonts w:ascii="Arial" w:hAnsi="Arial" w:cs="Arial"/>
          <w:b/>
        </w:rPr>
        <w:t>Are employee interviews required?</w:t>
      </w:r>
    </w:p>
    <w:p w:rsidR="008A3D69" w:rsidRDefault="008A3D69" w:rsidP="005F1BE6">
      <w:pPr>
        <w:rPr>
          <w:rFonts w:ascii="Arial" w:hAnsi="Arial" w:cs="Arial"/>
        </w:rPr>
      </w:pPr>
    </w:p>
    <w:p w:rsidR="008A3D69" w:rsidRDefault="008A3D69" w:rsidP="005F1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Yes, in </w:t>
      </w:r>
      <w:r w:rsidRPr="003019AD">
        <w:rPr>
          <w:rFonts w:ascii="Arial" w:hAnsi="Arial" w:cs="Arial"/>
          <w:highlight w:val="yellow"/>
          <w:u w:val="single"/>
        </w:rPr>
        <w:t>Exhibit “G”,</w:t>
      </w:r>
      <w:r>
        <w:rPr>
          <w:rFonts w:ascii="Arial" w:hAnsi="Arial" w:cs="Arial"/>
        </w:rPr>
        <w:t xml:space="preserve"> of the CWSRF Agreement, the recipient is required to conduct employee interviews.</w:t>
      </w:r>
    </w:p>
    <w:p w:rsidR="003019AD" w:rsidRDefault="003019AD" w:rsidP="005F1BE6">
      <w:pPr>
        <w:rPr>
          <w:rFonts w:ascii="Arial" w:hAnsi="Arial" w:cs="Arial"/>
        </w:rPr>
      </w:pPr>
    </w:p>
    <w:p w:rsidR="00F25A8D" w:rsidRDefault="004E023F" w:rsidP="005F1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Pr="009E7B1A">
        <w:rPr>
          <w:rFonts w:ascii="Arial" w:hAnsi="Arial" w:cs="Arial"/>
          <w:b/>
        </w:rPr>
        <w:t>Can the contractor/subcontractor submit the certified payrolls to the recipient on a biweekly or monthly basis?</w:t>
      </w:r>
    </w:p>
    <w:p w:rsidR="00F25A8D" w:rsidRDefault="00F25A8D" w:rsidP="005F1BE6">
      <w:pPr>
        <w:rPr>
          <w:rFonts w:ascii="Arial" w:hAnsi="Arial" w:cs="Arial"/>
        </w:rPr>
      </w:pPr>
    </w:p>
    <w:p w:rsidR="00F25A8D" w:rsidRDefault="00F25A8D" w:rsidP="005F1BE6">
      <w:pPr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4E023F">
        <w:rPr>
          <w:rFonts w:ascii="Arial" w:hAnsi="Arial" w:cs="Arial"/>
        </w:rPr>
        <w:t>.  Laborers and mechanics are to be paid no less than weekly.  The payroll must be submitted to the recipient along with the compl</w:t>
      </w:r>
      <w:r w:rsidR="009E7B1A">
        <w:rPr>
          <w:rFonts w:ascii="Arial" w:hAnsi="Arial" w:cs="Arial"/>
        </w:rPr>
        <w:t>iance statement within seven days after the regular payroll period.</w:t>
      </w:r>
    </w:p>
    <w:p w:rsidR="00BE7A69" w:rsidRDefault="00BE7A69" w:rsidP="005F1BE6">
      <w:pPr>
        <w:rPr>
          <w:rFonts w:ascii="Arial" w:hAnsi="Arial" w:cs="Arial"/>
        </w:rPr>
      </w:pPr>
    </w:p>
    <w:p w:rsidR="00BE7A69" w:rsidRDefault="00BE7A69" w:rsidP="005F1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  </w:t>
      </w:r>
      <w:r w:rsidRPr="00BE7A69">
        <w:rPr>
          <w:rFonts w:ascii="Arial" w:eastAsia="Times New Roman" w:hAnsi="Arial" w:cs="Arial"/>
          <w:color w:val="000000"/>
        </w:rPr>
        <w:t xml:space="preserve">What is Davis-Bacon's ruling for showing owner/operators on certified payroll? </w:t>
      </w:r>
    </w:p>
    <w:p w:rsidR="003019AD" w:rsidRDefault="003019AD" w:rsidP="005F1BE6">
      <w:pPr>
        <w:rPr>
          <w:rFonts w:ascii="Arial" w:hAnsi="Arial" w:cs="Arial"/>
        </w:rPr>
      </w:pPr>
    </w:p>
    <w:p w:rsidR="00BE7A69" w:rsidRPr="005F1BE6" w:rsidRDefault="00C631A7" w:rsidP="005F1BE6">
      <w:pPr>
        <w:rPr>
          <w:rFonts w:ascii="Arial" w:hAnsi="Arial" w:cs="Arial"/>
        </w:rPr>
      </w:pPr>
      <w:r w:rsidRPr="00C631A7">
        <w:rPr>
          <w:rFonts w:ascii="Arial" w:hAnsi="Arial" w:cs="Arial"/>
        </w:rPr>
        <w:t xml:space="preserve">Davis-Bacon </w:t>
      </w:r>
      <w:r>
        <w:rPr>
          <w:rFonts w:ascii="Arial" w:hAnsi="Arial" w:cs="Arial"/>
        </w:rPr>
        <w:t>does not apply</w:t>
      </w:r>
      <w:r w:rsidRPr="00C631A7">
        <w:rPr>
          <w:rFonts w:ascii="Arial" w:hAnsi="Arial" w:cs="Arial"/>
        </w:rPr>
        <w:t xml:space="preserve"> to owner-operators of trucks who are independent </w:t>
      </w:r>
      <w:r>
        <w:rPr>
          <w:rFonts w:ascii="Arial" w:hAnsi="Arial" w:cs="Arial"/>
        </w:rPr>
        <w:t>c</w:t>
      </w:r>
      <w:r w:rsidRPr="00C631A7">
        <w:rPr>
          <w:rFonts w:ascii="Arial" w:hAnsi="Arial" w:cs="Arial"/>
        </w:rPr>
        <w:t>ontractors.  Certified payrolls need only include the names of such owner-operators and the notation “Owner-operator.”</w:t>
      </w:r>
    </w:p>
    <w:p w:rsidR="00B942B0" w:rsidRDefault="00B942B0" w:rsidP="005F1BE6">
      <w:pPr>
        <w:rPr>
          <w:rFonts w:ascii="Arial" w:hAnsi="Arial" w:cs="Arial"/>
        </w:rPr>
      </w:pPr>
    </w:p>
    <w:p w:rsidR="003019AD" w:rsidRPr="005F1BE6" w:rsidRDefault="003019AD" w:rsidP="003019AD">
      <w:pPr>
        <w:rPr>
          <w:rFonts w:ascii="Arial" w:hAnsi="Arial" w:cs="Arial"/>
        </w:rPr>
      </w:pPr>
      <w:r w:rsidRPr="005F1BE6">
        <w:rPr>
          <w:rFonts w:ascii="Arial" w:hAnsi="Arial" w:cs="Arial"/>
        </w:rPr>
        <w:lastRenderedPageBreak/>
        <w:t>Note: We will be continually updating this FAQ list. If your</w:t>
      </w:r>
      <w:r>
        <w:rPr>
          <w:rFonts w:ascii="Arial" w:hAnsi="Arial" w:cs="Arial"/>
        </w:rPr>
        <w:t xml:space="preserve"> question is not answered </w:t>
      </w:r>
      <w:r w:rsidRPr="005F1BE6">
        <w:rPr>
          <w:rFonts w:ascii="Arial" w:hAnsi="Arial" w:cs="Arial"/>
        </w:rPr>
        <w:t xml:space="preserve">please contact us at </w:t>
      </w:r>
      <w:hyperlink r:id="rId9" w:history="1">
        <w:r w:rsidRPr="00BE7A69">
          <w:rPr>
            <w:rStyle w:val="Hyperlink"/>
            <w:rFonts w:ascii="Arial" w:hAnsi="Arial" w:cs="Arial"/>
          </w:rPr>
          <w:t>DavisBacon@waterboards.ca.gov</w:t>
        </w:r>
      </w:hyperlink>
      <w:r w:rsidRPr="005F1BE6">
        <w:rPr>
          <w:rFonts w:ascii="Arial" w:hAnsi="Arial" w:cs="Arial"/>
        </w:rPr>
        <w:t xml:space="preserve"> or (916) 327</w:t>
      </w:r>
      <w:r w:rsidRPr="005F1BE6">
        <w:rPr>
          <w:rFonts w:ascii="Cambria Math" w:hAnsi="Cambria Math" w:cs="Cambria Math"/>
        </w:rPr>
        <w:t>‐</w:t>
      </w:r>
      <w:r w:rsidRPr="005F1BE6">
        <w:rPr>
          <w:rFonts w:ascii="Arial" w:hAnsi="Arial" w:cs="Arial"/>
        </w:rPr>
        <w:t>7323.</w:t>
      </w:r>
    </w:p>
    <w:p w:rsidR="005F1BE6" w:rsidRPr="005F1BE6" w:rsidRDefault="005F1BE6" w:rsidP="005F1BE6">
      <w:pPr>
        <w:rPr>
          <w:rFonts w:ascii="Arial" w:hAnsi="Arial" w:cs="Arial"/>
        </w:rPr>
      </w:pPr>
    </w:p>
    <w:sectPr w:rsidR="005F1BE6" w:rsidRPr="005F1BE6" w:rsidSect="00C56DE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AE35C30"/>
    <w:multiLevelType w:val="multilevel"/>
    <w:tmpl w:val="D79615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64F18"/>
    <w:multiLevelType w:val="hybridMultilevel"/>
    <w:tmpl w:val="BB2C4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E2F75"/>
    <w:multiLevelType w:val="hybridMultilevel"/>
    <w:tmpl w:val="E2625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644DF"/>
    <w:multiLevelType w:val="hybridMultilevel"/>
    <w:tmpl w:val="6C0C9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F2030"/>
    <w:multiLevelType w:val="hybridMultilevel"/>
    <w:tmpl w:val="D00E3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30231"/>
    <w:multiLevelType w:val="hybridMultilevel"/>
    <w:tmpl w:val="EE469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83B78"/>
    <w:multiLevelType w:val="hybridMultilevel"/>
    <w:tmpl w:val="13089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A4F08"/>
    <w:multiLevelType w:val="hybridMultilevel"/>
    <w:tmpl w:val="3E34A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C38D9"/>
    <w:multiLevelType w:val="multilevel"/>
    <w:tmpl w:val="55F4DEE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1A"/>
    <w:rsid w:val="00012374"/>
    <w:rsid w:val="00047670"/>
    <w:rsid w:val="000A0466"/>
    <w:rsid w:val="000E342B"/>
    <w:rsid w:val="002836AD"/>
    <w:rsid w:val="002F7B56"/>
    <w:rsid w:val="003019AD"/>
    <w:rsid w:val="004B4FD7"/>
    <w:rsid w:val="004E023F"/>
    <w:rsid w:val="005324F2"/>
    <w:rsid w:val="0055605C"/>
    <w:rsid w:val="005D097E"/>
    <w:rsid w:val="005F1BE6"/>
    <w:rsid w:val="0065681A"/>
    <w:rsid w:val="006A2488"/>
    <w:rsid w:val="00726860"/>
    <w:rsid w:val="00813120"/>
    <w:rsid w:val="00827DCD"/>
    <w:rsid w:val="008A3D69"/>
    <w:rsid w:val="008E6F07"/>
    <w:rsid w:val="00922F81"/>
    <w:rsid w:val="009C707E"/>
    <w:rsid w:val="009E69C1"/>
    <w:rsid w:val="009E7B1A"/>
    <w:rsid w:val="00A57D50"/>
    <w:rsid w:val="00A627FB"/>
    <w:rsid w:val="00B942B0"/>
    <w:rsid w:val="00BD5903"/>
    <w:rsid w:val="00BE7A69"/>
    <w:rsid w:val="00BF6A00"/>
    <w:rsid w:val="00C16402"/>
    <w:rsid w:val="00C631A7"/>
    <w:rsid w:val="00D76E4C"/>
    <w:rsid w:val="00DA7B2D"/>
    <w:rsid w:val="00DB1D18"/>
    <w:rsid w:val="00E82735"/>
    <w:rsid w:val="00EC7DCD"/>
    <w:rsid w:val="00F25A8D"/>
    <w:rsid w:val="00F44968"/>
    <w:rsid w:val="00F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35"/>
    <w:pPr>
      <w:spacing w:after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3120"/>
    <w:pPr>
      <w:spacing w:before="100" w:beforeAutospacing="1" w:after="75" w:line="240" w:lineRule="auto"/>
      <w:ind w:left="150"/>
    </w:pPr>
    <w:rPr>
      <w:rFonts w:eastAsia="Times New Roman"/>
      <w:sz w:val="19"/>
      <w:szCs w:val="19"/>
    </w:rPr>
  </w:style>
  <w:style w:type="character" w:styleId="Strong">
    <w:name w:val="Strong"/>
    <w:basedOn w:val="DefaultParagraphFont"/>
    <w:uiPriority w:val="22"/>
    <w:qFormat/>
    <w:rsid w:val="00813120"/>
    <w:rPr>
      <w:b/>
      <w:bCs/>
    </w:rPr>
  </w:style>
  <w:style w:type="character" w:styleId="Hyperlink">
    <w:name w:val="Hyperlink"/>
    <w:basedOn w:val="DefaultParagraphFont"/>
    <w:uiPriority w:val="99"/>
    <w:unhideWhenUsed/>
    <w:rsid w:val="000476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F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D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7A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35"/>
    <w:pPr>
      <w:spacing w:after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3120"/>
    <w:pPr>
      <w:spacing w:before="100" w:beforeAutospacing="1" w:after="75" w:line="240" w:lineRule="auto"/>
      <w:ind w:left="150"/>
    </w:pPr>
    <w:rPr>
      <w:rFonts w:eastAsia="Times New Roman"/>
      <w:sz w:val="19"/>
      <w:szCs w:val="19"/>
    </w:rPr>
  </w:style>
  <w:style w:type="character" w:styleId="Strong">
    <w:name w:val="Strong"/>
    <w:basedOn w:val="DefaultParagraphFont"/>
    <w:uiPriority w:val="22"/>
    <w:qFormat/>
    <w:rsid w:val="00813120"/>
    <w:rPr>
      <w:b/>
      <w:bCs/>
    </w:rPr>
  </w:style>
  <w:style w:type="character" w:styleId="Hyperlink">
    <w:name w:val="Hyperlink"/>
    <w:basedOn w:val="DefaultParagraphFont"/>
    <w:uiPriority w:val="99"/>
    <w:unhideWhenUsed/>
    <w:rsid w:val="000476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F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D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7A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40290">
                  <w:marLeft w:val="2850"/>
                  <w:marRight w:val="15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dol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DavisBacon@Waterboards.c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D:\CWhite\Desktop\DavisBacon@waterboards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56EA2-36A9-4D4C-B5FC-0EA3949D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Cheung, Debbie@Waterboards</cp:lastModifiedBy>
  <cp:revision>3</cp:revision>
  <cp:lastPrinted>2013-06-07T16:11:00Z</cp:lastPrinted>
  <dcterms:created xsi:type="dcterms:W3CDTF">2013-09-18T14:55:00Z</dcterms:created>
  <dcterms:modified xsi:type="dcterms:W3CDTF">2013-09-19T13:25:00Z</dcterms:modified>
</cp:coreProperties>
</file>