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F7167" w:rsidP="00A91D3B" w:rsidRDefault="00B55EE3" w14:paraId="627DA44D" w14:textId="7B5A11BC">
      <w:pPr>
        <w:pStyle w:val="Heading1"/>
      </w:pPr>
      <w:bookmarkStart w:name="_Toc226536077" w:id="0"/>
      <w:r w:rsidRPr="008978D7">
        <w:t>ATTACHMENT</w:t>
      </w:r>
      <w:r w:rsidRPr="003A6FF5">
        <w:t xml:space="preserve"> </w:t>
      </w:r>
      <w:r w:rsidR="00280BF0">
        <w:t>A</w:t>
      </w:r>
      <w:r w:rsidRPr="003A6FF5" w:rsidR="65ACE56A">
        <w:t xml:space="preserve"> </w:t>
      </w:r>
      <w:r w:rsidRPr="003A6FF5">
        <w:t>–</w:t>
      </w:r>
      <w:r w:rsidRPr="003A6FF5" w:rsidR="5E476E26">
        <w:t xml:space="preserve"> </w:t>
      </w:r>
      <w:r w:rsidRPr="003A6FF5">
        <w:t>FACT SHEET</w:t>
      </w:r>
      <w:bookmarkEnd w:id="0"/>
    </w:p>
    <w:p w:rsidRPr="000156BE" w:rsidR="00A91D3B" w:rsidP="00A91D3B" w:rsidRDefault="00A91D3B" w14:paraId="242A2AE6" w14:textId="77777777">
      <w:pPr>
        <w:rPr>
          <w:color w:val="FFFFFF" w:themeColor="background1"/>
        </w:rPr>
      </w:pPr>
    </w:p>
    <w:bookmarkStart w:name="_Hlk178346217" w:displacedByCustomXml="next" w:id="1"/>
    <w:bookmarkEnd w:displacedByCustomXml="next" w:id="1"/>
    <w:sdt>
      <w:sdtPr>
        <w:id w:val="1149862229"/>
        <w:docPartObj>
          <w:docPartGallery w:val="Table of Contents"/>
          <w:docPartUnique/>
        </w:docPartObj>
        <w:rPr>
          <w:rFonts w:ascii="Arial" w:hAnsi="Arial"/>
          <w:caps w:val="0"/>
          <w:smallCaps w:val="0"/>
          <w:color w:val="auto"/>
          <w:sz w:val="24"/>
          <w:szCs w:val="24"/>
        </w:rPr>
      </w:sdtPr>
      <w:sdtEndPr>
        <w:rPr>
          <w:rFonts w:ascii="Times New Roman" w:hAnsi="Times New Roman"/>
          <w:caps w:val="1"/>
          <w:noProof/>
          <w:color w:val="auto"/>
          <w:sz w:val="32"/>
          <w:szCs w:val="32"/>
        </w:rPr>
      </w:sdtEndPr>
      <w:sdtContent>
        <w:p w:rsidR="009C3AC2" w:rsidP="00120913" w:rsidRDefault="00A91D3B" w14:paraId="7E48C526" w14:textId="77777777">
          <w:pPr>
            <w:pStyle w:val="TOCHeading"/>
            <w:rPr>
              <w:noProof/>
            </w:rPr>
          </w:pPr>
          <w:r w:rsidRPr="00D1574F">
            <w:rPr>
              <w:rFonts w:ascii="Arial" w:hAnsi="Arial" w:cs="Arial"/>
              <w:color w:val="auto"/>
              <w:sz w:val="24"/>
              <w:szCs w:val="24"/>
            </w:rPr>
            <w:t>Table of Contents</w:t>
          </w:r>
          <w:r w:rsidRPr="00DA521E" w:rsidR="00120913">
            <w:rPr>
              <w:color w:val="auto"/>
            </w:rPr>
            <w:fldChar w:fldCharType="begin"/>
          </w:r>
          <w:r w:rsidRPr="00DA521E" w:rsidR="00120913">
            <w:rPr>
              <w:color w:val="auto"/>
            </w:rPr>
            <w:instrText xml:space="preserve"> TOC \o "1-2" \u </w:instrText>
          </w:r>
          <w:r w:rsidRPr="00DA521E" w:rsidR="00120913">
            <w:rPr>
              <w:color w:val="auto"/>
            </w:rPr>
            <w:fldChar w:fldCharType="separate"/>
          </w:r>
        </w:p>
        <w:p w:rsidR="009C3AC2" w:rsidRDefault="009C3AC2" w14:paraId="48C044BB" w14:textId="5AA6DAA1">
          <w:pPr>
            <w:pStyle w:val="TOC1"/>
            <w:rPr>
              <w:rFonts w:asciiTheme="minorHAnsi" w:hAnsiTheme="minorHAnsi" w:eastAsiaTheme="minorEastAsia" w:cstheme="minorBidi"/>
              <w:bCs w:val="0"/>
              <w:caps w:val="0"/>
              <w:kern w:val="2"/>
              <w:szCs w:val="24"/>
              <w14:ligatures w14:val="standardContextual"/>
            </w:rPr>
          </w:pPr>
          <w:r>
            <w:t>ATTACHMENT A – FACT SHEET</w:t>
          </w:r>
          <w:r>
            <w:tab/>
          </w:r>
          <w:r>
            <w:fldChar w:fldCharType="begin"/>
          </w:r>
          <w:r>
            <w:instrText xml:space="preserve"> PAGEREF _Toc226536077 \h </w:instrText>
          </w:r>
          <w:r>
            <w:fldChar w:fldCharType="separate"/>
          </w:r>
          <w:r>
            <w:t>1</w:t>
          </w:r>
          <w:r>
            <w:fldChar w:fldCharType="end"/>
          </w:r>
        </w:p>
        <w:p w:rsidR="009C3AC2" w:rsidRDefault="009C3AC2" w14:paraId="13199294" w14:textId="79EA3DE7">
          <w:pPr>
            <w:pStyle w:val="TOC2"/>
            <w:rPr>
              <w:rFonts w:asciiTheme="minorHAnsi" w:hAnsiTheme="minorHAnsi" w:eastAsiaTheme="minorEastAsia" w:cstheme="minorBidi"/>
              <w:kern w:val="2"/>
              <w14:ligatures w14:val="standardContextual"/>
            </w:rPr>
          </w:pPr>
          <w:r>
            <w:t>A1</w:t>
          </w:r>
          <w:r>
            <w:rPr>
              <w:rFonts w:asciiTheme="minorHAnsi" w:hAnsiTheme="minorHAnsi" w:eastAsiaTheme="minorEastAsia" w:cstheme="minorBidi"/>
              <w:kern w:val="2"/>
              <w14:ligatures w14:val="standardContextual"/>
            </w:rPr>
            <w:tab/>
          </w:r>
          <w:r>
            <w:t>INTRODUCTION</w:t>
          </w:r>
          <w:r>
            <w:tab/>
          </w:r>
          <w:r>
            <w:fldChar w:fldCharType="begin"/>
          </w:r>
          <w:r>
            <w:instrText xml:space="preserve"> PAGEREF _Toc226536078 \h </w:instrText>
          </w:r>
          <w:r>
            <w:fldChar w:fldCharType="separate"/>
          </w:r>
          <w:r>
            <w:t>2</w:t>
          </w:r>
          <w:r>
            <w:fldChar w:fldCharType="end"/>
          </w:r>
        </w:p>
        <w:p w:rsidR="009C3AC2" w:rsidRDefault="009C3AC2" w14:paraId="5718E6AB" w14:textId="38DE7556">
          <w:pPr>
            <w:pStyle w:val="TOC2"/>
            <w:rPr>
              <w:rFonts w:asciiTheme="minorHAnsi" w:hAnsiTheme="minorHAnsi" w:eastAsiaTheme="minorEastAsia" w:cstheme="minorBidi"/>
              <w:kern w:val="2"/>
              <w14:ligatures w14:val="standardContextual"/>
            </w:rPr>
          </w:pPr>
          <w:r>
            <w:t>A2</w:t>
          </w:r>
          <w:r>
            <w:rPr>
              <w:rFonts w:asciiTheme="minorHAnsi" w:hAnsiTheme="minorHAnsi" w:eastAsiaTheme="minorEastAsia" w:cstheme="minorBidi"/>
              <w:kern w:val="2"/>
              <w14:ligatures w14:val="standardContextual"/>
            </w:rPr>
            <w:tab/>
          </w:r>
          <w:r>
            <w:t>PERMITTING BACKGROUND</w:t>
          </w:r>
          <w:r>
            <w:tab/>
          </w:r>
          <w:r>
            <w:fldChar w:fldCharType="begin"/>
          </w:r>
          <w:r>
            <w:instrText xml:space="preserve"> PAGEREF _Toc226536079 \h </w:instrText>
          </w:r>
          <w:r>
            <w:fldChar w:fldCharType="separate"/>
          </w:r>
          <w:r>
            <w:t>2</w:t>
          </w:r>
          <w:r>
            <w:fldChar w:fldCharType="end"/>
          </w:r>
        </w:p>
        <w:p w:rsidR="009C3AC2" w:rsidRDefault="009C3AC2" w14:paraId="71562315" w14:textId="717474F7">
          <w:pPr>
            <w:pStyle w:val="TOC2"/>
            <w:rPr>
              <w:rFonts w:asciiTheme="minorHAnsi" w:hAnsiTheme="minorHAnsi" w:eastAsiaTheme="minorEastAsia" w:cstheme="minorBidi"/>
              <w:kern w:val="2"/>
              <w14:ligatures w14:val="standardContextual"/>
            </w:rPr>
          </w:pPr>
          <w:r>
            <w:t>A3</w:t>
          </w:r>
          <w:r>
            <w:rPr>
              <w:rFonts w:asciiTheme="minorHAnsi" w:hAnsiTheme="minorHAnsi" w:eastAsiaTheme="minorEastAsia" w:cstheme="minorBidi"/>
              <w:kern w:val="2"/>
              <w14:ligatures w14:val="standardContextual"/>
            </w:rPr>
            <w:tab/>
          </w:r>
          <w:r>
            <w:t>FEDERAL REGULATORY BACKGROUND AND DESIGNATION CRITERIA</w:t>
          </w:r>
          <w:r>
            <w:tab/>
          </w:r>
          <w:r>
            <w:fldChar w:fldCharType="begin"/>
          </w:r>
          <w:r>
            <w:instrText xml:space="preserve"> PAGEREF _Toc226536080 \h </w:instrText>
          </w:r>
          <w:r>
            <w:fldChar w:fldCharType="separate"/>
          </w:r>
          <w:r>
            <w:t>3</w:t>
          </w:r>
          <w:r>
            <w:fldChar w:fldCharType="end"/>
          </w:r>
        </w:p>
        <w:p w:rsidR="009C3AC2" w:rsidRDefault="009C3AC2" w14:paraId="108CCB3A" w14:textId="00D8850F">
          <w:pPr>
            <w:pStyle w:val="TOC2"/>
            <w:rPr>
              <w:rFonts w:asciiTheme="minorHAnsi" w:hAnsiTheme="minorHAnsi" w:eastAsiaTheme="minorEastAsia" w:cstheme="minorBidi"/>
              <w:kern w:val="2"/>
              <w14:ligatures w14:val="standardContextual"/>
            </w:rPr>
          </w:pPr>
          <w:r>
            <w:t>A4</w:t>
          </w:r>
          <w:r>
            <w:rPr>
              <w:rFonts w:asciiTheme="minorHAnsi" w:hAnsiTheme="minorHAnsi" w:eastAsiaTheme="minorEastAsia" w:cstheme="minorBidi"/>
              <w:kern w:val="2"/>
              <w14:ligatures w14:val="standardContextual"/>
            </w:rPr>
            <w:tab/>
          </w:r>
          <w:r>
            <w:t>WAIVERS</w:t>
          </w:r>
          <w:r>
            <w:tab/>
          </w:r>
          <w:r>
            <w:fldChar w:fldCharType="begin"/>
          </w:r>
          <w:r>
            <w:instrText xml:space="preserve"> PAGEREF _Toc226536081 \h </w:instrText>
          </w:r>
          <w:r>
            <w:fldChar w:fldCharType="separate"/>
          </w:r>
          <w:r>
            <w:t>7</w:t>
          </w:r>
          <w:r>
            <w:fldChar w:fldCharType="end"/>
          </w:r>
        </w:p>
        <w:p w:rsidR="009C3AC2" w:rsidRDefault="009C3AC2" w14:paraId="045D2772" w14:textId="658DDA59">
          <w:pPr>
            <w:pStyle w:val="TOC2"/>
            <w:rPr>
              <w:rFonts w:asciiTheme="minorHAnsi" w:hAnsiTheme="minorHAnsi" w:eastAsiaTheme="minorEastAsia" w:cstheme="minorBidi"/>
              <w:kern w:val="2"/>
              <w14:ligatures w14:val="standardContextual"/>
            </w:rPr>
          </w:pPr>
          <w:r>
            <w:t>A5.</w:t>
          </w:r>
          <w:r>
            <w:rPr>
              <w:rFonts w:asciiTheme="minorHAnsi" w:hAnsiTheme="minorHAnsi" w:eastAsiaTheme="minorEastAsia" w:cstheme="minorBidi"/>
              <w:kern w:val="2"/>
              <w14:ligatures w14:val="standardContextual"/>
            </w:rPr>
            <w:tab/>
          </w:r>
          <w:r>
            <w:t>NEW AND REMOVED PERMITTEES</w:t>
          </w:r>
          <w:r>
            <w:tab/>
          </w:r>
          <w:r>
            <w:fldChar w:fldCharType="begin"/>
          </w:r>
          <w:r>
            <w:instrText xml:space="preserve"> PAGEREF _Toc226536082 \h </w:instrText>
          </w:r>
          <w:r>
            <w:fldChar w:fldCharType="separate"/>
          </w:r>
          <w:r>
            <w:t>8</w:t>
          </w:r>
          <w:r>
            <w:fldChar w:fldCharType="end"/>
          </w:r>
        </w:p>
        <w:p w:rsidR="009C3AC2" w:rsidRDefault="009C3AC2" w14:paraId="04BEFCCF" w14:textId="764C0E0C">
          <w:pPr>
            <w:pStyle w:val="TOC2"/>
            <w:rPr>
              <w:rFonts w:asciiTheme="minorHAnsi" w:hAnsiTheme="minorHAnsi" w:eastAsiaTheme="minorEastAsia" w:cstheme="minorBidi"/>
              <w:kern w:val="2"/>
              <w14:ligatures w14:val="standardContextual"/>
            </w:rPr>
          </w:pPr>
          <w:r>
            <w:t>A6</w:t>
          </w:r>
          <w:r>
            <w:rPr>
              <w:rFonts w:asciiTheme="minorHAnsi" w:hAnsiTheme="minorHAnsi" w:eastAsiaTheme="minorEastAsia" w:cstheme="minorBidi"/>
              <w:kern w:val="2"/>
              <w14:ligatures w14:val="standardContextual"/>
            </w:rPr>
            <w:tab/>
          </w:r>
          <w:r>
            <w:t>UPDATED AND REVISED PERMIT REQUIREMENTS</w:t>
          </w:r>
          <w:r>
            <w:tab/>
          </w:r>
          <w:r>
            <w:fldChar w:fldCharType="begin"/>
          </w:r>
          <w:r>
            <w:instrText xml:space="preserve"> PAGEREF _Toc226536083 \h </w:instrText>
          </w:r>
          <w:r>
            <w:fldChar w:fldCharType="separate"/>
          </w:r>
          <w:r>
            <w:t>12</w:t>
          </w:r>
          <w:r>
            <w:fldChar w:fldCharType="end"/>
          </w:r>
        </w:p>
        <w:p w:rsidR="009C3AC2" w:rsidRDefault="009C3AC2" w14:paraId="2DF5541D" w14:textId="1A11547F">
          <w:pPr>
            <w:pStyle w:val="TOC2"/>
            <w:rPr>
              <w:rFonts w:asciiTheme="minorHAnsi" w:hAnsiTheme="minorHAnsi" w:eastAsiaTheme="minorEastAsia" w:cstheme="minorBidi"/>
              <w:kern w:val="2"/>
              <w14:ligatures w14:val="standardContextual"/>
            </w:rPr>
          </w:pPr>
          <w:r>
            <w:t>A7</w:t>
          </w:r>
          <w:r>
            <w:rPr>
              <w:rFonts w:asciiTheme="minorHAnsi" w:hAnsiTheme="minorHAnsi" w:eastAsiaTheme="minorEastAsia" w:cstheme="minorBidi"/>
              <w:kern w:val="2"/>
              <w14:ligatures w14:val="standardContextual"/>
            </w:rPr>
            <w:tab/>
          </w:r>
          <w:r>
            <w:t>LEGAL AUTHORITIES, APPLICABLE PLANS, POLICIES, REGULATIONS</w:t>
          </w:r>
          <w:r>
            <w:tab/>
          </w:r>
          <w:r>
            <w:fldChar w:fldCharType="begin"/>
          </w:r>
          <w:r>
            <w:instrText xml:space="preserve"> PAGEREF _Toc226536084 \h </w:instrText>
          </w:r>
          <w:r>
            <w:fldChar w:fldCharType="separate"/>
          </w:r>
          <w:r>
            <w:t>15</w:t>
          </w:r>
          <w:r>
            <w:fldChar w:fldCharType="end"/>
          </w:r>
        </w:p>
        <w:p w:rsidR="009C3AC2" w:rsidRDefault="009C3AC2" w14:paraId="37A897E1" w14:textId="1ADE1245">
          <w:pPr>
            <w:pStyle w:val="TOC2"/>
            <w:rPr>
              <w:rFonts w:asciiTheme="minorHAnsi" w:hAnsiTheme="minorHAnsi" w:eastAsiaTheme="minorEastAsia" w:cstheme="minorBidi"/>
              <w:kern w:val="2"/>
              <w14:ligatures w14:val="standardContextual"/>
            </w:rPr>
          </w:pPr>
          <w:r>
            <w:t>A8</w:t>
          </w:r>
          <w:r>
            <w:rPr>
              <w:rFonts w:asciiTheme="minorHAnsi" w:hAnsiTheme="minorHAnsi" w:eastAsiaTheme="minorEastAsia" w:cstheme="minorBidi"/>
              <w:kern w:val="2"/>
              <w14:ligatures w14:val="standardContextual"/>
            </w:rPr>
            <w:tab/>
          </w:r>
          <w:r>
            <w:t>GENERAL DISCHARGE PROHIBITIONS</w:t>
          </w:r>
          <w:r>
            <w:tab/>
          </w:r>
          <w:r>
            <w:fldChar w:fldCharType="begin"/>
          </w:r>
          <w:r>
            <w:instrText xml:space="preserve"> PAGEREF _Toc226536085 \h </w:instrText>
          </w:r>
          <w:r>
            <w:fldChar w:fldCharType="separate"/>
          </w:r>
          <w:r>
            <w:t>23</w:t>
          </w:r>
          <w:r>
            <w:fldChar w:fldCharType="end"/>
          </w:r>
        </w:p>
        <w:p w:rsidR="009C3AC2" w:rsidRDefault="009C3AC2" w14:paraId="59D7672E" w14:textId="587A0078">
          <w:pPr>
            <w:pStyle w:val="TOC2"/>
            <w:rPr>
              <w:rFonts w:asciiTheme="minorHAnsi" w:hAnsiTheme="minorHAnsi" w:eastAsiaTheme="minorEastAsia" w:cstheme="minorBidi"/>
              <w:kern w:val="2"/>
              <w14:ligatures w14:val="standardContextual"/>
            </w:rPr>
          </w:pPr>
          <w:r>
            <w:t>A9</w:t>
          </w:r>
          <w:r>
            <w:rPr>
              <w:rFonts w:asciiTheme="minorHAnsi" w:hAnsiTheme="minorHAnsi" w:eastAsiaTheme="minorEastAsia" w:cstheme="minorBidi"/>
              <w:kern w:val="2"/>
              <w14:ligatures w14:val="standardContextual"/>
            </w:rPr>
            <w:tab/>
          </w:r>
          <w:r>
            <w:t>EFFLUENT LIMITATIONS</w:t>
          </w:r>
          <w:r>
            <w:tab/>
          </w:r>
          <w:r>
            <w:fldChar w:fldCharType="begin"/>
          </w:r>
          <w:r>
            <w:instrText xml:space="preserve"> PAGEREF _Toc226536086 \h </w:instrText>
          </w:r>
          <w:r>
            <w:fldChar w:fldCharType="separate"/>
          </w:r>
          <w:r>
            <w:t>26</w:t>
          </w:r>
          <w:r>
            <w:fldChar w:fldCharType="end"/>
          </w:r>
        </w:p>
        <w:p w:rsidR="009C3AC2" w:rsidRDefault="009C3AC2" w14:paraId="379E44C0" w14:textId="12543987">
          <w:pPr>
            <w:pStyle w:val="TOC2"/>
            <w:rPr>
              <w:rFonts w:asciiTheme="minorHAnsi" w:hAnsiTheme="minorHAnsi" w:eastAsiaTheme="minorEastAsia" w:cstheme="minorBidi"/>
              <w:kern w:val="2"/>
              <w14:ligatures w14:val="standardContextual"/>
            </w:rPr>
          </w:pPr>
          <w:r>
            <w:t>A10</w:t>
          </w:r>
          <w:r>
            <w:rPr>
              <w:rFonts w:asciiTheme="minorHAnsi" w:hAnsiTheme="minorHAnsi" w:eastAsiaTheme="minorEastAsia" w:cstheme="minorBidi"/>
              <w:kern w:val="2"/>
              <w14:ligatures w14:val="standardContextual"/>
            </w:rPr>
            <w:tab/>
          </w:r>
          <w:r>
            <w:t>RECEIVING WATER LIMITATIONS</w:t>
          </w:r>
          <w:r>
            <w:tab/>
          </w:r>
          <w:r>
            <w:fldChar w:fldCharType="begin"/>
          </w:r>
          <w:r>
            <w:instrText xml:space="preserve"> PAGEREF _Toc226536087 \h </w:instrText>
          </w:r>
          <w:r>
            <w:fldChar w:fldCharType="separate"/>
          </w:r>
          <w:r>
            <w:t>27</w:t>
          </w:r>
          <w:r>
            <w:fldChar w:fldCharType="end"/>
          </w:r>
        </w:p>
        <w:p w:rsidR="009C3AC2" w:rsidRDefault="009C3AC2" w14:paraId="4DC048F3" w14:textId="712E27AB">
          <w:pPr>
            <w:pStyle w:val="TOC2"/>
            <w:rPr>
              <w:rFonts w:asciiTheme="minorHAnsi" w:hAnsiTheme="minorHAnsi" w:eastAsiaTheme="minorEastAsia" w:cstheme="minorBidi"/>
              <w:kern w:val="2"/>
              <w14:ligatures w14:val="standardContextual"/>
            </w:rPr>
          </w:pPr>
          <w:r>
            <w:t>A11</w:t>
          </w:r>
          <w:r>
            <w:rPr>
              <w:rFonts w:asciiTheme="minorHAnsi" w:hAnsiTheme="minorHAnsi" w:eastAsiaTheme="minorEastAsia" w:cstheme="minorBidi"/>
              <w:kern w:val="2"/>
              <w14:ligatures w14:val="standardContextual"/>
            </w:rPr>
            <w:tab/>
          </w:r>
          <w:r>
            <w:t>STANDARD PROVISIONS</w:t>
          </w:r>
          <w:r>
            <w:tab/>
          </w:r>
          <w:r>
            <w:fldChar w:fldCharType="begin"/>
          </w:r>
          <w:r>
            <w:instrText xml:space="preserve"> PAGEREF _Toc226536088 \h </w:instrText>
          </w:r>
          <w:r>
            <w:fldChar w:fldCharType="separate"/>
          </w:r>
          <w:r>
            <w:t>30</w:t>
          </w:r>
          <w:r>
            <w:fldChar w:fldCharType="end"/>
          </w:r>
        </w:p>
        <w:p w:rsidR="009C3AC2" w:rsidRDefault="009C3AC2" w14:paraId="64BB6BE4" w14:textId="3C05EB0B">
          <w:pPr>
            <w:pStyle w:val="TOC2"/>
            <w:rPr>
              <w:rFonts w:asciiTheme="minorHAnsi" w:hAnsiTheme="minorHAnsi" w:eastAsiaTheme="minorEastAsia" w:cstheme="minorBidi"/>
              <w:kern w:val="2"/>
              <w14:ligatures w14:val="standardContextual"/>
            </w:rPr>
          </w:pPr>
          <w:r>
            <w:t>A12</w:t>
          </w:r>
          <w:r>
            <w:rPr>
              <w:rFonts w:asciiTheme="minorHAnsi" w:hAnsiTheme="minorHAnsi" w:eastAsiaTheme="minorEastAsia" w:cstheme="minorBidi"/>
              <w:kern w:val="2"/>
              <w14:ligatures w14:val="standardContextual"/>
            </w:rPr>
            <w:tab/>
          </w:r>
          <w:r>
            <w:t>PERMIT–SPECIFIC PROVISIONS</w:t>
          </w:r>
          <w:r>
            <w:tab/>
          </w:r>
          <w:r>
            <w:fldChar w:fldCharType="begin"/>
          </w:r>
          <w:r>
            <w:instrText xml:space="preserve"> PAGEREF _Toc226536089 \h </w:instrText>
          </w:r>
          <w:r>
            <w:fldChar w:fldCharType="separate"/>
          </w:r>
          <w:r>
            <w:t>30</w:t>
          </w:r>
          <w:r>
            <w:fldChar w:fldCharType="end"/>
          </w:r>
        </w:p>
        <w:p w:rsidR="009C3AC2" w:rsidRDefault="009C3AC2" w14:paraId="0526ECF6" w14:textId="676A4C33">
          <w:pPr>
            <w:pStyle w:val="TOC2"/>
            <w:rPr>
              <w:rFonts w:asciiTheme="minorHAnsi" w:hAnsiTheme="minorHAnsi" w:eastAsiaTheme="minorEastAsia" w:cstheme="minorBidi"/>
              <w:kern w:val="2"/>
              <w14:ligatures w14:val="standardContextual"/>
            </w:rPr>
          </w:pPr>
          <w:r>
            <w:t>A13</w:t>
          </w:r>
          <w:r>
            <w:rPr>
              <w:rFonts w:asciiTheme="minorHAnsi" w:hAnsiTheme="minorHAnsi" w:eastAsiaTheme="minorEastAsia" w:cstheme="minorBidi"/>
              <w:kern w:val="2"/>
              <w14:ligatures w14:val="standardContextual"/>
            </w:rPr>
            <w:tab/>
          </w:r>
          <w:r>
            <w:t>REGION-SPECIFIC TMDL INFORMATION</w:t>
          </w:r>
          <w:r>
            <w:tab/>
          </w:r>
          <w:r>
            <w:fldChar w:fldCharType="begin"/>
          </w:r>
          <w:r>
            <w:instrText xml:space="preserve"> PAGEREF _Toc226536090 \h </w:instrText>
          </w:r>
          <w:r>
            <w:fldChar w:fldCharType="separate"/>
          </w:r>
          <w:r>
            <w:t>40</w:t>
          </w:r>
          <w:r>
            <w:fldChar w:fldCharType="end"/>
          </w:r>
        </w:p>
        <w:p w:rsidR="009C3AC2" w:rsidRDefault="009C3AC2" w14:paraId="415D58C2" w14:textId="61E87F3C">
          <w:pPr>
            <w:pStyle w:val="TOC2"/>
            <w:rPr>
              <w:rFonts w:asciiTheme="minorHAnsi" w:hAnsiTheme="minorHAnsi" w:eastAsiaTheme="minorEastAsia" w:cstheme="minorBidi"/>
              <w:kern w:val="2"/>
              <w14:ligatures w14:val="standardContextual"/>
            </w:rPr>
          </w:pPr>
          <w:r>
            <w:t>A13.1</w:t>
          </w:r>
          <w:r>
            <w:rPr>
              <w:rFonts w:asciiTheme="minorHAnsi" w:hAnsiTheme="minorHAnsi" w:eastAsiaTheme="minorEastAsia" w:cstheme="minorBidi"/>
              <w:kern w:val="2"/>
              <w14:ligatures w14:val="standardContextual"/>
            </w:rPr>
            <w:tab/>
          </w:r>
          <w:r>
            <w:t>NORTH COAST WATER BOARD TMDLs</w:t>
          </w:r>
          <w:r>
            <w:tab/>
          </w:r>
          <w:r>
            <w:fldChar w:fldCharType="begin"/>
          </w:r>
          <w:r>
            <w:instrText xml:space="preserve"> PAGEREF _Toc226536091 \h </w:instrText>
          </w:r>
          <w:r>
            <w:fldChar w:fldCharType="separate"/>
          </w:r>
          <w:r>
            <w:t>40</w:t>
          </w:r>
          <w:r>
            <w:fldChar w:fldCharType="end"/>
          </w:r>
        </w:p>
        <w:p w:rsidR="009C3AC2" w:rsidRDefault="009C3AC2" w14:paraId="3522D794" w14:textId="782FFB28">
          <w:pPr>
            <w:pStyle w:val="TOC2"/>
            <w:rPr>
              <w:rFonts w:asciiTheme="minorHAnsi" w:hAnsiTheme="minorHAnsi" w:eastAsiaTheme="minorEastAsia" w:cstheme="minorBidi"/>
              <w:kern w:val="2"/>
              <w14:ligatures w14:val="standardContextual"/>
            </w:rPr>
          </w:pPr>
          <w:r>
            <w:t>A13.2</w:t>
          </w:r>
          <w:r>
            <w:rPr>
              <w:rFonts w:asciiTheme="minorHAnsi" w:hAnsiTheme="minorHAnsi" w:eastAsiaTheme="minorEastAsia" w:cstheme="minorBidi"/>
              <w:kern w:val="2"/>
              <w14:ligatures w14:val="standardContextual"/>
            </w:rPr>
            <w:tab/>
          </w:r>
          <w:r>
            <w:t>SAN FRANCISCO BAY WATER BOARD TMDLs</w:t>
          </w:r>
          <w:r>
            <w:tab/>
          </w:r>
          <w:r>
            <w:fldChar w:fldCharType="begin"/>
          </w:r>
          <w:r>
            <w:instrText xml:space="preserve"> PAGEREF _Toc226536092 \h </w:instrText>
          </w:r>
          <w:r>
            <w:fldChar w:fldCharType="separate"/>
          </w:r>
          <w:r>
            <w:t>42</w:t>
          </w:r>
          <w:r>
            <w:fldChar w:fldCharType="end"/>
          </w:r>
        </w:p>
        <w:p w:rsidR="009C3AC2" w:rsidRDefault="009C3AC2" w14:paraId="14B51F16" w14:textId="51681AEC">
          <w:pPr>
            <w:pStyle w:val="TOC2"/>
            <w:rPr>
              <w:rFonts w:asciiTheme="minorHAnsi" w:hAnsiTheme="minorHAnsi" w:eastAsiaTheme="minorEastAsia" w:cstheme="minorBidi"/>
              <w:kern w:val="2"/>
              <w14:ligatures w14:val="standardContextual"/>
            </w:rPr>
          </w:pPr>
          <w:r>
            <w:t>A13.3</w:t>
          </w:r>
          <w:r>
            <w:rPr>
              <w:rFonts w:asciiTheme="minorHAnsi" w:hAnsiTheme="minorHAnsi" w:eastAsiaTheme="minorEastAsia" w:cstheme="minorBidi"/>
              <w:kern w:val="2"/>
              <w14:ligatures w14:val="standardContextual"/>
            </w:rPr>
            <w:tab/>
          </w:r>
          <w:r>
            <w:t>CENTRAL COAST WATER BOARD TMDLs</w:t>
          </w:r>
          <w:r>
            <w:tab/>
          </w:r>
          <w:r>
            <w:fldChar w:fldCharType="begin"/>
          </w:r>
          <w:r>
            <w:instrText xml:space="preserve"> PAGEREF _Toc226536093 \h </w:instrText>
          </w:r>
          <w:r>
            <w:fldChar w:fldCharType="separate"/>
          </w:r>
          <w:r>
            <w:t>52</w:t>
          </w:r>
          <w:r>
            <w:fldChar w:fldCharType="end"/>
          </w:r>
        </w:p>
        <w:p w:rsidR="009C3AC2" w:rsidRDefault="009C3AC2" w14:paraId="03764C10" w14:textId="52010414">
          <w:pPr>
            <w:pStyle w:val="TOC2"/>
            <w:rPr>
              <w:rFonts w:asciiTheme="minorHAnsi" w:hAnsiTheme="minorHAnsi" w:eastAsiaTheme="minorEastAsia" w:cstheme="minorBidi"/>
              <w:kern w:val="2"/>
              <w14:ligatures w14:val="standardContextual"/>
            </w:rPr>
          </w:pPr>
          <w:r>
            <w:t>A13.4</w:t>
          </w:r>
          <w:r>
            <w:rPr>
              <w:rFonts w:asciiTheme="minorHAnsi" w:hAnsiTheme="minorHAnsi" w:eastAsiaTheme="minorEastAsia" w:cstheme="minorBidi"/>
              <w:kern w:val="2"/>
              <w14:ligatures w14:val="standardContextual"/>
            </w:rPr>
            <w:tab/>
          </w:r>
          <w:r>
            <w:t>LOS ANGELES WATER BOARD TMDLs</w:t>
          </w:r>
          <w:r>
            <w:tab/>
          </w:r>
          <w:r>
            <w:fldChar w:fldCharType="begin"/>
          </w:r>
          <w:r>
            <w:instrText xml:space="preserve"> PAGEREF _Toc226536094 \h </w:instrText>
          </w:r>
          <w:r>
            <w:fldChar w:fldCharType="separate"/>
          </w:r>
          <w:r>
            <w:t>90</w:t>
          </w:r>
          <w:r>
            <w:fldChar w:fldCharType="end"/>
          </w:r>
        </w:p>
        <w:p w:rsidR="009C3AC2" w:rsidRDefault="009C3AC2" w14:paraId="6C50B6B6" w14:textId="6B105C3A">
          <w:pPr>
            <w:pStyle w:val="TOC2"/>
            <w:rPr>
              <w:rFonts w:asciiTheme="minorHAnsi" w:hAnsiTheme="minorHAnsi" w:eastAsiaTheme="minorEastAsia" w:cstheme="minorBidi"/>
              <w:kern w:val="2"/>
              <w14:ligatures w14:val="standardContextual"/>
            </w:rPr>
          </w:pPr>
          <w:r>
            <w:t>A13.5</w:t>
          </w:r>
          <w:r>
            <w:rPr>
              <w:rFonts w:asciiTheme="minorHAnsi" w:hAnsiTheme="minorHAnsi" w:eastAsiaTheme="minorEastAsia" w:cstheme="minorBidi"/>
              <w:kern w:val="2"/>
              <w14:ligatures w14:val="standardContextual"/>
            </w:rPr>
            <w:tab/>
          </w:r>
          <w:r>
            <w:t>CENTRAL VALLEY WATER BOARD TMDLS</w:t>
          </w:r>
          <w:r>
            <w:tab/>
          </w:r>
          <w:r>
            <w:fldChar w:fldCharType="begin"/>
          </w:r>
          <w:r>
            <w:instrText xml:space="preserve"> PAGEREF _Toc226536095 \h </w:instrText>
          </w:r>
          <w:r>
            <w:fldChar w:fldCharType="separate"/>
          </w:r>
          <w:r>
            <w:t>112</w:t>
          </w:r>
          <w:r>
            <w:fldChar w:fldCharType="end"/>
          </w:r>
        </w:p>
        <w:p w:rsidR="009C3AC2" w:rsidRDefault="009C3AC2" w14:paraId="6F7E4718" w14:textId="6D4E6E49">
          <w:pPr>
            <w:pStyle w:val="TOC2"/>
            <w:rPr>
              <w:rFonts w:asciiTheme="minorHAnsi" w:hAnsiTheme="minorHAnsi" w:eastAsiaTheme="minorEastAsia" w:cstheme="minorBidi"/>
              <w:kern w:val="2"/>
              <w14:ligatures w14:val="standardContextual"/>
            </w:rPr>
          </w:pPr>
          <w:r>
            <w:t>A13.6</w:t>
          </w:r>
          <w:r>
            <w:rPr>
              <w:rFonts w:asciiTheme="minorHAnsi" w:hAnsiTheme="minorHAnsi" w:eastAsiaTheme="minorEastAsia" w:cstheme="minorBidi"/>
              <w:kern w:val="2"/>
              <w14:ligatures w14:val="standardContextual"/>
            </w:rPr>
            <w:tab/>
          </w:r>
          <w:r>
            <w:t>LAHONTAN WATER BOARD TMDLs</w:t>
          </w:r>
          <w:r>
            <w:tab/>
          </w:r>
          <w:r>
            <w:fldChar w:fldCharType="begin"/>
          </w:r>
          <w:r>
            <w:instrText xml:space="preserve"> PAGEREF _Toc226536096 \h </w:instrText>
          </w:r>
          <w:r>
            <w:fldChar w:fldCharType="separate"/>
          </w:r>
          <w:r>
            <w:t>125</w:t>
          </w:r>
          <w:r>
            <w:fldChar w:fldCharType="end"/>
          </w:r>
        </w:p>
        <w:p w:rsidR="009C3AC2" w:rsidRDefault="009C3AC2" w14:paraId="5A7A61F9" w14:textId="4C4518F4">
          <w:pPr>
            <w:pStyle w:val="TOC2"/>
            <w:rPr>
              <w:rFonts w:asciiTheme="minorHAnsi" w:hAnsiTheme="minorHAnsi" w:eastAsiaTheme="minorEastAsia" w:cstheme="minorBidi"/>
              <w:kern w:val="2"/>
              <w14:ligatures w14:val="standardContextual"/>
            </w:rPr>
          </w:pPr>
          <w:r>
            <w:t>A13.8</w:t>
          </w:r>
          <w:r>
            <w:rPr>
              <w:rFonts w:asciiTheme="minorHAnsi" w:hAnsiTheme="minorHAnsi" w:eastAsiaTheme="minorEastAsia" w:cstheme="minorBidi"/>
              <w:kern w:val="2"/>
              <w14:ligatures w14:val="standardContextual"/>
            </w:rPr>
            <w:tab/>
          </w:r>
          <w:r>
            <w:t>SANTA ANA WATER BOARD TMDLS</w:t>
          </w:r>
          <w:r>
            <w:tab/>
          </w:r>
          <w:r>
            <w:fldChar w:fldCharType="begin"/>
          </w:r>
          <w:r>
            <w:instrText xml:space="preserve"> PAGEREF _Toc226536097 \h </w:instrText>
          </w:r>
          <w:r>
            <w:fldChar w:fldCharType="separate"/>
          </w:r>
          <w:r>
            <w:t>126</w:t>
          </w:r>
          <w:r>
            <w:fldChar w:fldCharType="end"/>
          </w:r>
        </w:p>
        <w:p w:rsidR="009C3AC2" w:rsidRDefault="009C3AC2" w14:paraId="240D69D8" w14:textId="1FC38EFA">
          <w:pPr>
            <w:pStyle w:val="TOC2"/>
            <w:rPr>
              <w:rFonts w:asciiTheme="minorHAnsi" w:hAnsiTheme="minorHAnsi" w:eastAsiaTheme="minorEastAsia" w:cstheme="minorBidi"/>
              <w:kern w:val="2"/>
              <w14:ligatures w14:val="standardContextual"/>
            </w:rPr>
          </w:pPr>
          <w:r>
            <w:t>A13.9</w:t>
          </w:r>
          <w:r>
            <w:rPr>
              <w:rFonts w:asciiTheme="minorHAnsi" w:hAnsiTheme="minorHAnsi" w:eastAsiaTheme="minorEastAsia" w:cstheme="minorBidi"/>
              <w:kern w:val="2"/>
              <w14:ligatures w14:val="standardContextual"/>
            </w:rPr>
            <w:tab/>
          </w:r>
          <w:r>
            <w:t>SAN DIEGO WATER BOARD TMDLS</w:t>
          </w:r>
          <w:r>
            <w:tab/>
          </w:r>
          <w:r>
            <w:fldChar w:fldCharType="begin"/>
          </w:r>
          <w:r>
            <w:instrText xml:space="preserve"> PAGEREF _Toc226536098 \h </w:instrText>
          </w:r>
          <w:r>
            <w:fldChar w:fldCharType="separate"/>
          </w:r>
          <w:r>
            <w:t>133</w:t>
          </w:r>
          <w:r>
            <w:fldChar w:fldCharType="end"/>
          </w:r>
        </w:p>
        <w:p w:rsidRPr="00DA521E" w:rsidR="00A91D3B" w:rsidP="00120913" w:rsidRDefault="00120913" w14:paraId="016665C0" w14:textId="30926B4C">
          <w:pPr>
            <w:pStyle w:val="TOCHeading"/>
            <w:rPr>
              <w:color w:val="auto"/>
            </w:rPr>
          </w:pPr>
          <w:r w:rsidRPr="00DA521E">
            <w:rPr>
              <w:color w:val="auto"/>
            </w:rPr>
            <w:fldChar w:fldCharType="end"/>
          </w:r>
        </w:p>
      </w:sdtContent>
    </w:sdt>
    <w:p w:rsidR="00A91D3B" w:rsidRDefault="00A91D3B" w14:paraId="23BA9342" w14:textId="413160E1">
      <w:pPr>
        <w:spacing w:before="0" w:line="247" w:lineRule="auto"/>
      </w:pPr>
      <w:r>
        <w:br w:type="page"/>
      </w:r>
    </w:p>
    <w:p w:rsidRPr="00F70205" w:rsidR="00A91D3B" w:rsidP="00A91D3B" w:rsidRDefault="00A91D3B" w14:paraId="1E5E7B52" w14:textId="77777777">
      <w:pPr>
        <w:rPr>
          <w:color w:val="FFFFFF" w:themeColor="background1"/>
        </w:rPr>
      </w:pPr>
    </w:p>
    <w:p w:rsidRPr="0099303F" w:rsidR="0027059B" w:rsidP="001A1BAA" w:rsidRDefault="000F6B50" w14:paraId="41F83D34" w14:textId="025E8349">
      <w:pPr>
        <w:pStyle w:val="Heading2"/>
      </w:pPr>
      <w:bookmarkStart w:name="_Toc51173165" w:id="2"/>
      <w:bookmarkStart w:name="_Toc74912527" w:id="3"/>
      <w:bookmarkStart w:name="_Toc226536078" w:id="4"/>
      <w:r>
        <w:t>A</w:t>
      </w:r>
      <w:r w:rsidRPr="00493C9F" w:rsidR="00611BA4">
        <w:t>1</w:t>
      </w:r>
      <w:r w:rsidRPr="0099303F" w:rsidR="00DF4D00">
        <w:tab/>
      </w:r>
      <w:r w:rsidRPr="0099303F" w:rsidR="00EC04D2">
        <w:t>INTRODUCTION</w:t>
      </w:r>
      <w:bookmarkEnd w:id="2"/>
      <w:bookmarkEnd w:id="3"/>
      <w:bookmarkEnd w:id="4"/>
    </w:p>
    <w:p w:rsidRPr="00B817D3" w:rsidR="000E6A9E" w:rsidP="000E6A9E" w:rsidRDefault="00AB0A73" w14:paraId="742783D3" w14:textId="3EF8D600">
      <w:pPr>
        <w:pStyle w:val="NoSpacing"/>
        <w:snapToGrid w:val="0"/>
        <w:spacing w:before="120" w:line="259" w:lineRule="auto"/>
        <w:ind w:left="720"/>
        <w:rPr>
          <w:rFonts w:eastAsiaTheme="minorHAnsi"/>
        </w:rPr>
      </w:pPr>
      <w:r>
        <w:rPr>
          <w:rFonts w:eastAsiaTheme="minorHAnsi"/>
        </w:rPr>
        <w:t xml:space="preserve">This Order provides requirements </w:t>
      </w:r>
      <w:r w:rsidR="006B6F4B">
        <w:rPr>
          <w:rFonts w:eastAsiaTheme="minorHAnsi"/>
        </w:rPr>
        <w:t>for</w:t>
      </w:r>
      <w:r w:rsidR="00C6393F">
        <w:rPr>
          <w:rFonts w:eastAsiaTheme="minorHAnsi"/>
        </w:rPr>
        <w:t xml:space="preserve"> the discharge of </w:t>
      </w:r>
      <w:r>
        <w:rPr>
          <w:rFonts w:eastAsiaTheme="minorHAnsi"/>
        </w:rPr>
        <w:t xml:space="preserve">stormwater to surface water by </w:t>
      </w:r>
      <w:r w:rsidR="00491EF1">
        <w:rPr>
          <w:rFonts w:eastAsiaTheme="minorHAnsi"/>
        </w:rPr>
        <w:t xml:space="preserve">designated </w:t>
      </w:r>
      <w:r>
        <w:rPr>
          <w:rFonts w:eastAsiaTheme="minorHAnsi"/>
        </w:rPr>
        <w:t>small municipalities and</w:t>
      </w:r>
      <w:r w:rsidR="004F0B6F">
        <w:rPr>
          <w:rFonts w:eastAsiaTheme="minorHAnsi"/>
        </w:rPr>
        <w:t xml:space="preserve"> </w:t>
      </w:r>
      <w:r w:rsidR="00E22071">
        <w:rPr>
          <w:rFonts w:eastAsiaTheme="minorHAnsi"/>
        </w:rPr>
        <w:t>public</w:t>
      </w:r>
      <w:r>
        <w:rPr>
          <w:rFonts w:eastAsiaTheme="minorHAnsi"/>
        </w:rPr>
        <w:t xml:space="preserve"> agencies. </w:t>
      </w:r>
      <w:r w:rsidRPr="00C41023" w:rsidR="000E6A9E">
        <w:rPr>
          <w:rFonts w:eastAsiaTheme="minorHAnsi"/>
        </w:rPr>
        <w:t xml:space="preserve">During rain, runoff picks up pollutants, </w:t>
      </w:r>
      <w:r w:rsidR="00086A46">
        <w:rPr>
          <w:rFonts w:eastAsiaTheme="minorHAnsi"/>
        </w:rPr>
        <w:t>is washed into</w:t>
      </w:r>
      <w:r w:rsidRPr="00C41023" w:rsidR="000E6A9E">
        <w:rPr>
          <w:rFonts w:eastAsiaTheme="minorHAnsi"/>
        </w:rPr>
        <w:t xml:space="preserve"> storm sewer systems, and eventually ends up in local rivers, creeks, and streams. Common pollutants found in runoff include oil and grease from roadways</w:t>
      </w:r>
      <w:r w:rsidR="00D03A3A">
        <w:rPr>
          <w:rFonts w:eastAsiaTheme="minorHAnsi"/>
        </w:rPr>
        <w:t>;</w:t>
      </w:r>
      <w:r w:rsidRPr="00C41023" w:rsidR="000E6A9E">
        <w:rPr>
          <w:rFonts w:eastAsiaTheme="minorHAnsi"/>
        </w:rPr>
        <w:t xml:space="preserve"> pesticides </w:t>
      </w:r>
      <w:r w:rsidR="001F31F4">
        <w:rPr>
          <w:rFonts w:eastAsiaTheme="minorHAnsi"/>
        </w:rPr>
        <w:t>from lawns and garden</w:t>
      </w:r>
      <w:r w:rsidR="00724745">
        <w:rPr>
          <w:rFonts w:eastAsiaTheme="minorHAnsi"/>
        </w:rPr>
        <w:t>s</w:t>
      </w:r>
      <w:r w:rsidR="00D03A3A">
        <w:rPr>
          <w:rFonts w:eastAsiaTheme="minorHAnsi"/>
        </w:rPr>
        <w:t>;</w:t>
      </w:r>
      <w:r w:rsidR="00724745">
        <w:rPr>
          <w:rFonts w:eastAsiaTheme="minorHAnsi"/>
        </w:rPr>
        <w:t xml:space="preserve"> </w:t>
      </w:r>
      <w:r w:rsidR="00B360BF">
        <w:rPr>
          <w:rFonts w:eastAsiaTheme="minorHAnsi"/>
        </w:rPr>
        <w:t xml:space="preserve">nutrients </w:t>
      </w:r>
      <w:r w:rsidRPr="00C41023" w:rsidR="000E6A9E">
        <w:rPr>
          <w:rFonts w:eastAsiaTheme="minorHAnsi"/>
        </w:rPr>
        <w:t xml:space="preserve">from </w:t>
      </w:r>
      <w:r w:rsidR="0040435B">
        <w:rPr>
          <w:rFonts w:eastAsiaTheme="minorHAnsi"/>
        </w:rPr>
        <w:t xml:space="preserve">lawn and agricultural </w:t>
      </w:r>
      <w:r w:rsidR="00724745">
        <w:rPr>
          <w:rFonts w:eastAsiaTheme="minorHAnsi"/>
        </w:rPr>
        <w:t>fertilizer</w:t>
      </w:r>
      <w:r w:rsidR="00320E3B">
        <w:rPr>
          <w:rFonts w:eastAsiaTheme="minorHAnsi"/>
        </w:rPr>
        <w:t>s</w:t>
      </w:r>
      <w:r w:rsidR="00D41300">
        <w:rPr>
          <w:rFonts w:eastAsiaTheme="minorHAnsi"/>
        </w:rPr>
        <w:t>;</w:t>
      </w:r>
      <w:r w:rsidRPr="00C41023" w:rsidR="000E6A9E">
        <w:rPr>
          <w:rFonts w:eastAsiaTheme="minorHAnsi"/>
        </w:rPr>
        <w:t xml:space="preserve"> </w:t>
      </w:r>
      <w:r w:rsidR="00B360BF">
        <w:rPr>
          <w:rFonts w:eastAsiaTheme="minorHAnsi"/>
        </w:rPr>
        <w:t>bacteria</w:t>
      </w:r>
      <w:r w:rsidR="00724745">
        <w:rPr>
          <w:rFonts w:eastAsiaTheme="minorHAnsi"/>
        </w:rPr>
        <w:t xml:space="preserve"> </w:t>
      </w:r>
      <w:r w:rsidR="00187F4D">
        <w:rPr>
          <w:rFonts w:eastAsiaTheme="minorHAnsi"/>
        </w:rPr>
        <w:t xml:space="preserve">from warm-blooded </w:t>
      </w:r>
      <w:r w:rsidR="00F50C8D">
        <w:rPr>
          <w:rFonts w:eastAsiaTheme="minorHAnsi"/>
        </w:rPr>
        <w:t>species</w:t>
      </w:r>
      <w:r w:rsidR="00C561B0">
        <w:rPr>
          <w:rFonts w:eastAsiaTheme="minorHAnsi"/>
        </w:rPr>
        <w:t xml:space="preserve"> and failing septic systems</w:t>
      </w:r>
      <w:r w:rsidR="00D41300">
        <w:rPr>
          <w:rFonts w:eastAsiaTheme="minorHAnsi"/>
        </w:rPr>
        <w:t>;</w:t>
      </w:r>
      <w:r w:rsidR="00A40EE0">
        <w:rPr>
          <w:rFonts w:eastAsiaTheme="minorHAnsi"/>
        </w:rPr>
        <w:t xml:space="preserve"> </w:t>
      </w:r>
      <w:r w:rsidRPr="00C41023" w:rsidR="000E6A9E">
        <w:rPr>
          <w:rFonts w:eastAsiaTheme="minorHAnsi"/>
        </w:rPr>
        <w:t xml:space="preserve">sediment from </w:t>
      </w:r>
      <w:r w:rsidR="00D41300">
        <w:rPr>
          <w:rFonts w:eastAsiaTheme="minorHAnsi"/>
        </w:rPr>
        <w:t xml:space="preserve">roadways and </w:t>
      </w:r>
      <w:r w:rsidRPr="00C41023" w:rsidR="000E6A9E">
        <w:rPr>
          <w:rFonts w:eastAsiaTheme="minorHAnsi"/>
        </w:rPr>
        <w:t>construction sites</w:t>
      </w:r>
      <w:r w:rsidR="00D41300">
        <w:rPr>
          <w:rFonts w:eastAsiaTheme="minorHAnsi"/>
        </w:rPr>
        <w:t>;</w:t>
      </w:r>
      <w:r w:rsidRPr="00C41023" w:rsidR="000E6A9E">
        <w:rPr>
          <w:rFonts w:eastAsiaTheme="minorHAnsi"/>
        </w:rPr>
        <w:t xml:space="preserve"> and trash</w:t>
      </w:r>
      <w:r w:rsidR="00A005C7">
        <w:rPr>
          <w:rFonts w:eastAsiaTheme="minorHAnsi"/>
        </w:rPr>
        <w:t xml:space="preserve"> from roads</w:t>
      </w:r>
      <w:r w:rsidR="008A7BBC">
        <w:rPr>
          <w:rFonts w:eastAsiaTheme="minorHAnsi"/>
        </w:rPr>
        <w:t>,</w:t>
      </w:r>
      <w:r w:rsidR="00A005C7">
        <w:rPr>
          <w:rFonts w:eastAsiaTheme="minorHAnsi"/>
        </w:rPr>
        <w:t xml:space="preserve"> sidewalks</w:t>
      </w:r>
      <w:r w:rsidR="008A7BBC">
        <w:rPr>
          <w:rFonts w:eastAsiaTheme="minorHAnsi"/>
        </w:rPr>
        <w:t>, and illegal dumping</w:t>
      </w:r>
      <w:r w:rsidRPr="00C41023" w:rsidR="000E6A9E">
        <w:rPr>
          <w:rFonts w:eastAsiaTheme="minorHAnsi"/>
        </w:rPr>
        <w:t>.</w:t>
      </w:r>
      <w:r w:rsidR="00040A13">
        <w:rPr>
          <w:rFonts w:eastAsiaTheme="minorHAnsi"/>
        </w:rPr>
        <w:t xml:space="preserve"> </w:t>
      </w:r>
      <w:r w:rsidRPr="00CA5969" w:rsidR="002E2AE8">
        <w:rPr>
          <w:rFonts w:eastAsiaTheme="minorHAnsi"/>
        </w:rPr>
        <w:t xml:space="preserve">When deposited into nearby waterways through </w:t>
      </w:r>
      <w:r w:rsidR="002E2AE8">
        <w:rPr>
          <w:rFonts w:eastAsiaTheme="minorHAnsi"/>
        </w:rPr>
        <w:t>storm sewer</w:t>
      </w:r>
      <w:r w:rsidRPr="00CA5969" w:rsidR="002E2AE8">
        <w:rPr>
          <w:rFonts w:eastAsiaTheme="minorHAnsi"/>
        </w:rPr>
        <w:t xml:space="preserve"> discharges, these pollutants can impair waterways, thereby discouraging recreation, contaminating drinking water supplies, and degrading </w:t>
      </w:r>
      <w:r w:rsidR="002E2AE8">
        <w:rPr>
          <w:rFonts w:eastAsiaTheme="minorHAnsi"/>
        </w:rPr>
        <w:t xml:space="preserve">the habitat for </w:t>
      </w:r>
      <w:r w:rsidRPr="00CA5969" w:rsidR="002E2AE8">
        <w:rPr>
          <w:rFonts w:eastAsiaTheme="minorHAnsi"/>
        </w:rPr>
        <w:t>fish</w:t>
      </w:r>
      <w:r w:rsidR="002E2AE8">
        <w:rPr>
          <w:rFonts w:eastAsiaTheme="minorHAnsi"/>
        </w:rPr>
        <w:t xml:space="preserve">, </w:t>
      </w:r>
      <w:r w:rsidRPr="00CA5969" w:rsidR="002E2AE8">
        <w:rPr>
          <w:rFonts w:eastAsiaTheme="minorHAnsi"/>
        </w:rPr>
        <w:t>wildlife</w:t>
      </w:r>
      <w:r w:rsidR="002E2AE8">
        <w:rPr>
          <w:rFonts w:eastAsiaTheme="minorHAnsi"/>
        </w:rPr>
        <w:t>, and aquatic species</w:t>
      </w:r>
      <w:r w:rsidRPr="00CA5969" w:rsidR="002E2AE8">
        <w:rPr>
          <w:rFonts w:eastAsiaTheme="minorHAnsi"/>
        </w:rPr>
        <w:t>.</w:t>
      </w:r>
      <w:r w:rsidR="00D30CF8">
        <w:rPr>
          <w:rFonts w:eastAsiaTheme="minorHAnsi"/>
        </w:rPr>
        <w:t xml:space="preserve"> </w:t>
      </w:r>
      <w:r w:rsidR="004B3262">
        <w:rPr>
          <w:rFonts w:eastAsiaTheme="minorHAnsi"/>
        </w:rPr>
        <w:t xml:space="preserve">The </w:t>
      </w:r>
      <w:r w:rsidRPr="009640B2" w:rsidR="009640B2">
        <w:rPr>
          <w:rFonts w:eastAsiaTheme="minorHAnsi"/>
        </w:rPr>
        <w:t xml:space="preserve">Small </w:t>
      </w:r>
      <w:r w:rsidR="00EF0F84">
        <w:rPr>
          <w:rFonts w:eastAsiaTheme="minorHAnsi"/>
        </w:rPr>
        <w:t>Munic</w:t>
      </w:r>
      <w:r w:rsidR="005B2846">
        <w:rPr>
          <w:rFonts w:eastAsiaTheme="minorHAnsi"/>
        </w:rPr>
        <w:t xml:space="preserve">ipal Separate Storm Sewer </w:t>
      </w:r>
      <w:r w:rsidR="00FF245C">
        <w:rPr>
          <w:rFonts w:eastAsiaTheme="minorHAnsi"/>
        </w:rPr>
        <w:t>System (</w:t>
      </w:r>
      <w:r w:rsidRPr="009640B2" w:rsidR="009640B2">
        <w:rPr>
          <w:rFonts w:eastAsiaTheme="minorHAnsi"/>
        </w:rPr>
        <w:t>MS4</w:t>
      </w:r>
      <w:r w:rsidR="00FF245C">
        <w:rPr>
          <w:rFonts w:eastAsiaTheme="minorHAnsi"/>
        </w:rPr>
        <w:t>)</w:t>
      </w:r>
      <w:r w:rsidRPr="009640B2" w:rsidR="009640B2">
        <w:rPr>
          <w:rFonts w:eastAsiaTheme="minorHAnsi"/>
        </w:rPr>
        <w:t xml:space="preserve"> permit aim</w:t>
      </w:r>
      <w:r w:rsidR="004B3262">
        <w:rPr>
          <w:rFonts w:eastAsiaTheme="minorHAnsi"/>
        </w:rPr>
        <w:t>s</w:t>
      </w:r>
      <w:r w:rsidRPr="009640B2" w:rsidR="009640B2">
        <w:rPr>
          <w:rFonts w:eastAsiaTheme="minorHAnsi"/>
        </w:rPr>
        <w:t xml:space="preserve"> to control these pollutants to protect </w:t>
      </w:r>
      <w:r w:rsidR="002D012A">
        <w:rPr>
          <w:rFonts w:eastAsiaTheme="minorHAnsi"/>
        </w:rPr>
        <w:t xml:space="preserve">surface </w:t>
      </w:r>
      <w:r w:rsidRPr="009640B2" w:rsidR="009640B2">
        <w:rPr>
          <w:rFonts w:eastAsiaTheme="minorHAnsi"/>
        </w:rPr>
        <w:t>water quality.</w:t>
      </w:r>
    </w:p>
    <w:p w:rsidR="00CC601C" w:rsidP="44618744" w:rsidRDefault="00517B75" w14:paraId="660E1207" w14:textId="30B7CB57">
      <w:pPr>
        <w:pStyle w:val="NoSpacing"/>
        <w:snapToGrid w:val="0"/>
        <w:spacing w:before="120" w:line="259" w:lineRule="auto"/>
        <w:ind w:left="720"/>
        <w:rPr>
          <w:rFonts w:eastAsiaTheme="minorEastAsia"/>
        </w:rPr>
      </w:pPr>
      <w:r w:rsidRPr="44618744">
        <w:rPr>
          <w:rFonts w:eastAsiaTheme="minorEastAsia"/>
        </w:rPr>
        <w:t xml:space="preserve">This Fact Sheet </w:t>
      </w:r>
      <w:r w:rsidRPr="44618744" w:rsidR="00D26140">
        <w:rPr>
          <w:rFonts w:eastAsiaTheme="minorEastAsia"/>
        </w:rPr>
        <w:t xml:space="preserve">provides </w:t>
      </w:r>
      <w:r w:rsidRPr="44618744" w:rsidR="00384BA9">
        <w:rPr>
          <w:rFonts w:eastAsiaTheme="minorEastAsia"/>
        </w:rPr>
        <w:t>federal</w:t>
      </w:r>
      <w:r w:rsidRPr="44618744" w:rsidR="009A49C3">
        <w:rPr>
          <w:rFonts w:eastAsiaTheme="minorEastAsia"/>
        </w:rPr>
        <w:t xml:space="preserve"> </w:t>
      </w:r>
      <w:r w:rsidRPr="44618744" w:rsidR="2A27F6B6">
        <w:rPr>
          <w:rFonts w:eastAsiaTheme="minorEastAsia"/>
        </w:rPr>
        <w:t xml:space="preserve">and state </w:t>
      </w:r>
      <w:r w:rsidRPr="44618744" w:rsidR="00384BA9">
        <w:rPr>
          <w:rFonts w:eastAsiaTheme="minorEastAsia"/>
        </w:rPr>
        <w:t>regulations</w:t>
      </w:r>
      <w:r w:rsidRPr="44618744" w:rsidR="00634A9D">
        <w:rPr>
          <w:rFonts w:eastAsiaTheme="minorEastAsia"/>
        </w:rPr>
        <w:t xml:space="preserve"> and state and regional </w:t>
      </w:r>
      <w:r w:rsidRPr="44618744" w:rsidR="00384BA9">
        <w:rPr>
          <w:rFonts w:eastAsiaTheme="minorEastAsia"/>
        </w:rPr>
        <w:t xml:space="preserve"> policies</w:t>
      </w:r>
      <w:r w:rsidRPr="44618744" w:rsidR="005F2CCC">
        <w:rPr>
          <w:rFonts w:eastAsiaTheme="minorEastAsia"/>
        </w:rPr>
        <w:t xml:space="preserve"> for</w:t>
      </w:r>
      <w:r w:rsidRPr="44618744" w:rsidR="00DA50A3">
        <w:rPr>
          <w:rFonts w:eastAsiaTheme="minorEastAsia"/>
        </w:rPr>
        <w:t xml:space="preserve"> </w:t>
      </w:r>
      <w:r w:rsidRPr="44618744" w:rsidR="00155399">
        <w:rPr>
          <w:rFonts w:eastAsiaTheme="minorEastAsia"/>
        </w:rPr>
        <w:t>this Order’s</w:t>
      </w:r>
      <w:r w:rsidRPr="44618744" w:rsidR="00DA50A3">
        <w:rPr>
          <w:rFonts w:eastAsiaTheme="minorEastAsia"/>
        </w:rPr>
        <w:t xml:space="preserve"> requirements </w:t>
      </w:r>
      <w:r w:rsidRPr="44618744" w:rsidR="00FD7F65">
        <w:rPr>
          <w:rFonts w:eastAsiaTheme="minorEastAsia"/>
        </w:rPr>
        <w:t>to control stormwater discharges</w:t>
      </w:r>
      <w:r w:rsidRPr="44618744" w:rsidR="00C82BCB">
        <w:rPr>
          <w:rFonts w:eastAsiaTheme="minorEastAsia"/>
        </w:rPr>
        <w:t xml:space="preserve">. Federal regulations include </w:t>
      </w:r>
      <w:r w:rsidRPr="44618744" w:rsidR="006324CE">
        <w:rPr>
          <w:rFonts w:eastAsiaTheme="minorEastAsia"/>
        </w:rPr>
        <w:t xml:space="preserve">the </w:t>
      </w:r>
      <w:r w:rsidR="00157338">
        <w:t>Clean Water Act</w:t>
      </w:r>
      <w:r w:rsidRPr="44618744" w:rsidR="000D1032">
        <w:rPr>
          <w:rFonts w:eastAsiaTheme="minorEastAsia"/>
        </w:rPr>
        <w:t xml:space="preserve">. </w:t>
      </w:r>
      <w:r w:rsidRPr="44618744" w:rsidR="00991818">
        <w:rPr>
          <w:rFonts w:eastAsiaTheme="minorEastAsia"/>
        </w:rPr>
        <w:t>S</w:t>
      </w:r>
      <w:r w:rsidRPr="44618744" w:rsidR="000D1032">
        <w:rPr>
          <w:rFonts w:eastAsiaTheme="minorEastAsia"/>
        </w:rPr>
        <w:t xml:space="preserve">tate </w:t>
      </w:r>
      <w:r w:rsidRPr="44618744" w:rsidR="00991818">
        <w:rPr>
          <w:rFonts w:eastAsiaTheme="minorEastAsia"/>
        </w:rPr>
        <w:t xml:space="preserve">regulations and </w:t>
      </w:r>
      <w:r w:rsidRPr="44618744" w:rsidR="002B7AA0">
        <w:rPr>
          <w:rFonts w:eastAsiaTheme="minorEastAsia"/>
        </w:rPr>
        <w:t>policies include the</w:t>
      </w:r>
      <w:r w:rsidRPr="44618744" w:rsidR="00276FC7">
        <w:rPr>
          <w:rFonts w:eastAsiaTheme="minorEastAsia"/>
        </w:rPr>
        <w:t xml:space="preserve"> </w:t>
      </w:r>
      <w:r w:rsidRPr="44618744" w:rsidR="00991818">
        <w:rPr>
          <w:rFonts w:eastAsiaTheme="minorEastAsia"/>
        </w:rPr>
        <w:t>California Water Code (Water Code)</w:t>
      </w:r>
      <w:r w:rsidRPr="44618744" w:rsidR="00F1674F">
        <w:rPr>
          <w:rFonts w:eastAsiaTheme="minorEastAsia"/>
        </w:rPr>
        <w:t xml:space="preserve">, </w:t>
      </w:r>
      <w:r w:rsidRPr="44618744" w:rsidR="00A574DE">
        <w:rPr>
          <w:rFonts w:eastAsiaTheme="minorEastAsia"/>
        </w:rPr>
        <w:t xml:space="preserve">and </w:t>
      </w:r>
      <w:r w:rsidRPr="44618744" w:rsidR="005F2CCC">
        <w:rPr>
          <w:rFonts w:eastAsiaTheme="minorEastAsia"/>
        </w:rPr>
        <w:t xml:space="preserve">State Water Board </w:t>
      </w:r>
      <w:r w:rsidRPr="44618744" w:rsidR="00DF24F2">
        <w:rPr>
          <w:rFonts w:eastAsiaTheme="minorEastAsia"/>
        </w:rPr>
        <w:t>T</w:t>
      </w:r>
      <w:r w:rsidRPr="44618744" w:rsidR="007D0597">
        <w:rPr>
          <w:rFonts w:eastAsiaTheme="minorEastAsia"/>
        </w:rPr>
        <w:t>rash</w:t>
      </w:r>
      <w:r w:rsidRPr="44618744" w:rsidR="00DF24F2">
        <w:rPr>
          <w:rFonts w:eastAsiaTheme="minorEastAsia"/>
        </w:rPr>
        <w:t xml:space="preserve"> Provisions</w:t>
      </w:r>
      <w:r w:rsidRPr="44618744" w:rsidR="00DD581D">
        <w:rPr>
          <w:rFonts w:eastAsiaTheme="minorEastAsia"/>
        </w:rPr>
        <w:t>,</w:t>
      </w:r>
      <w:r w:rsidRPr="44618744" w:rsidR="005F2CCC">
        <w:rPr>
          <w:rFonts w:eastAsiaTheme="minorEastAsia"/>
        </w:rPr>
        <w:t xml:space="preserve"> </w:t>
      </w:r>
      <w:r w:rsidRPr="44618744" w:rsidR="00235051">
        <w:rPr>
          <w:rFonts w:eastAsiaTheme="minorEastAsia"/>
        </w:rPr>
        <w:t>Areas of Special Biological Significance</w:t>
      </w:r>
      <w:r w:rsidRPr="44618744" w:rsidR="008A5157">
        <w:rPr>
          <w:rFonts w:eastAsiaTheme="minorEastAsia"/>
        </w:rPr>
        <w:t xml:space="preserve"> (ASBS)</w:t>
      </w:r>
      <w:r w:rsidRPr="44618744" w:rsidR="00D912B2">
        <w:rPr>
          <w:rFonts w:eastAsiaTheme="minorEastAsia"/>
        </w:rPr>
        <w:t xml:space="preserve">, </w:t>
      </w:r>
      <w:r w:rsidRPr="44618744" w:rsidR="00CC52DE">
        <w:rPr>
          <w:rFonts w:eastAsiaTheme="minorEastAsia"/>
        </w:rPr>
        <w:t xml:space="preserve">Policy </w:t>
      </w:r>
      <w:r w:rsidRPr="44618744" w:rsidR="00D94FB8">
        <w:rPr>
          <w:rFonts w:eastAsiaTheme="minorEastAsia"/>
        </w:rPr>
        <w:t xml:space="preserve">for the </w:t>
      </w:r>
      <w:r w:rsidRPr="44618744" w:rsidR="006C2DDE">
        <w:rPr>
          <w:rFonts w:eastAsiaTheme="minorEastAsia"/>
        </w:rPr>
        <w:t>Standardization</w:t>
      </w:r>
      <w:r w:rsidRPr="44618744" w:rsidR="00D94FB8">
        <w:rPr>
          <w:rFonts w:eastAsiaTheme="minorEastAsia"/>
        </w:rPr>
        <w:t xml:space="preserve"> </w:t>
      </w:r>
      <w:r w:rsidRPr="44618744" w:rsidR="006C2DDE">
        <w:rPr>
          <w:rFonts w:eastAsiaTheme="minorEastAsia"/>
        </w:rPr>
        <w:t>of Cost Reporting in Municipal Stormwater Permits</w:t>
      </w:r>
      <w:r w:rsidRPr="44618744" w:rsidR="00C93106">
        <w:rPr>
          <w:rFonts w:eastAsiaTheme="minorEastAsia"/>
        </w:rPr>
        <w:t>, and Antidegradation Policy</w:t>
      </w:r>
      <w:r w:rsidRPr="44618744" w:rsidR="00FF21E7">
        <w:rPr>
          <w:rFonts w:eastAsiaTheme="minorEastAsia"/>
        </w:rPr>
        <w:t>. Regional water board policies include the Basin Plans.</w:t>
      </w:r>
      <w:r w:rsidRPr="44618744" w:rsidR="00A321F1">
        <w:rPr>
          <w:rFonts w:eastAsiaTheme="minorEastAsia"/>
        </w:rPr>
        <w:t xml:space="preserve"> </w:t>
      </w:r>
      <w:r w:rsidRPr="44618744" w:rsidR="009C49C1">
        <w:rPr>
          <w:rFonts w:eastAsiaTheme="minorEastAsia"/>
        </w:rPr>
        <w:t>A</w:t>
      </w:r>
      <w:r w:rsidRPr="44618744" w:rsidR="0087055A">
        <w:rPr>
          <w:rFonts w:eastAsiaTheme="minorEastAsia"/>
        </w:rPr>
        <w:t xml:space="preserve">ll </w:t>
      </w:r>
      <w:r w:rsidRPr="44618744" w:rsidR="00540772">
        <w:rPr>
          <w:rFonts w:eastAsiaTheme="minorEastAsia"/>
        </w:rPr>
        <w:t>A</w:t>
      </w:r>
      <w:r w:rsidRPr="44618744" w:rsidR="0087055A">
        <w:rPr>
          <w:rFonts w:eastAsiaTheme="minorEastAsia"/>
        </w:rPr>
        <w:t>ttachments</w:t>
      </w:r>
      <w:r w:rsidRPr="44618744" w:rsidR="009C49C1">
        <w:rPr>
          <w:rFonts w:eastAsiaTheme="minorEastAsia"/>
        </w:rPr>
        <w:t xml:space="preserve"> to this Order</w:t>
      </w:r>
      <w:r w:rsidRPr="44618744" w:rsidR="0087055A">
        <w:rPr>
          <w:rFonts w:eastAsiaTheme="minorEastAsia"/>
        </w:rPr>
        <w:t xml:space="preserve">, including </w:t>
      </w:r>
      <w:r w:rsidRPr="44618744" w:rsidR="7C7DEFDA">
        <w:rPr>
          <w:rFonts w:eastAsiaTheme="minorEastAsia"/>
        </w:rPr>
        <w:t>this Fact Sheet</w:t>
      </w:r>
      <w:r w:rsidRPr="44618744" w:rsidR="0087055A">
        <w:rPr>
          <w:rFonts w:eastAsiaTheme="minorEastAsia"/>
        </w:rPr>
        <w:t>,</w:t>
      </w:r>
      <w:r w:rsidRPr="44618744" w:rsidR="008F2F1A">
        <w:rPr>
          <w:rFonts w:eastAsiaTheme="minorEastAsia"/>
        </w:rPr>
        <w:t xml:space="preserve"> </w:t>
      </w:r>
      <w:r w:rsidRPr="44618744" w:rsidR="009C49C1">
        <w:rPr>
          <w:rFonts w:eastAsiaTheme="minorEastAsia"/>
        </w:rPr>
        <w:t xml:space="preserve">are </w:t>
      </w:r>
      <w:r w:rsidRPr="44618744" w:rsidR="00D912B2">
        <w:rPr>
          <w:rFonts w:eastAsiaTheme="minorEastAsia"/>
        </w:rPr>
        <w:t xml:space="preserve">hereby </w:t>
      </w:r>
      <w:r w:rsidRPr="44618744" w:rsidR="009C49C1">
        <w:rPr>
          <w:rFonts w:eastAsiaTheme="minorEastAsia"/>
        </w:rPr>
        <w:t xml:space="preserve">incorporated </w:t>
      </w:r>
      <w:r w:rsidRPr="44618744" w:rsidR="008F2F1A">
        <w:rPr>
          <w:rFonts w:eastAsiaTheme="minorEastAsia"/>
        </w:rPr>
        <w:t>by reference in</w:t>
      </w:r>
      <w:r w:rsidRPr="44618744" w:rsidR="00054C76">
        <w:rPr>
          <w:rFonts w:eastAsiaTheme="minorEastAsia"/>
        </w:rPr>
        <w:t>to</w:t>
      </w:r>
      <w:r w:rsidRPr="44618744" w:rsidR="00262BDD">
        <w:rPr>
          <w:rFonts w:eastAsiaTheme="minorEastAsia"/>
        </w:rPr>
        <w:t xml:space="preserve"> </w:t>
      </w:r>
      <w:r w:rsidRPr="44618744" w:rsidR="7C7DEFDA">
        <w:rPr>
          <w:rFonts w:eastAsiaTheme="minorEastAsia"/>
        </w:rPr>
        <w:t>this Order.</w:t>
      </w:r>
      <w:r w:rsidRPr="44618744" w:rsidR="00DD581D">
        <w:rPr>
          <w:rFonts w:eastAsiaTheme="minorEastAsia"/>
        </w:rPr>
        <w:t xml:space="preserve"> </w:t>
      </w:r>
    </w:p>
    <w:p w:rsidRPr="007D11F2" w:rsidR="00821C45" w:rsidP="001A1BAA" w:rsidRDefault="000F6B50" w14:paraId="428C24CF" w14:textId="52CD927E">
      <w:pPr>
        <w:pStyle w:val="Heading2"/>
      </w:pPr>
      <w:bookmarkStart w:name="_Toc51173169" w:id="5"/>
      <w:bookmarkStart w:name="_Toc74912531" w:id="6"/>
      <w:bookmarkStart w:name="_Toc226536079" w:id="7"/>
      <w:bookmarkStart w:name="_Toc51173166" w:id="8"/>
      <w:bookmarkStart w:name="_Toc74912528" w:id="9"/>
      <w:r>
        <w:t>A</w:t>
      </w:r>
      <w:r w:rsidRPr="00551260" w:rsidR="00821C45">
        <w:t>2</w:t>
      </w:r>
      <w:r w:rsidRPr="00551260" w:rsidR="00821C45">
        <w:tab/>
      </w:r>
      <w:r w:rsidR="007D11F2">
        <w:t>PERMITTING BACKGROUND</w:t>
      </w:r>
      <w:bookmarkEnd w:id="5"/>
      <w:bookmarkEnd w:id="6"/>
      <w:bookmarkEnd w:id="7"/>
    </w:p>
    <w:p w:rsidR="00821C45" w:rsidP="00821C45" w:rsidRDefault="00821C45" w14:paraId="156D01A7" w14:textId="7D876132">
      <w:pPr>
        <w:snapToGrid w:val="0"/>
        <w:ind w:left="720"/>
      </w:pPr>
      <w:r>
        <w:t>In 2003, the State Water Board adopted</w:t>
      </w:r>
      <w:r w:rsidR="00787C50">
        <w:t xml:space="preserve"> WQ Order </w:t>
      </w:r>
      <w:hyperlink w:history="1" r:id="rId11">
        <w:r w:rsidRPr="000A16EE" w:rsidR="00787C50">
          <w:rPr>
            <w:rStyle w:val="Hyperlink"/>
          </w:rPr>
          <w:t>2003</w:t>
        </w:r>
        <w:r w:rsidRPr="000A16EE" w:rsidR="00787C50">
          <w:rPr>
            <w:rStyle w:val="Hyperlink"/>
          </w:rPr>
          <w:noBreakHyphen/>
          <w:t>0005-DWQ</w:t>
        </w:r>
      </w:hyperlink>
      <w:r w:rsidR="00787C50">
        <w:rPr>
          <w:rStyle w:val="Hyperlink"/>
        </w:rPr>
        <w:t>,</w:t>
      </w:r>
      <w:r>
        <w:t xml:space="preserve"> the first statewide general permit for stormwater discharges from Small </w:t>
      </w:r>
      <w:r w:rsidR="00C038C4">
        <w:t xml:space="preserve">Municipal </w:t>
      </w:r>
      <w:r>
        <w:t>MS4</w:t>
      </w:r>
      <w:r w:rsidR="00826137">
        <w:t xml:space="preserve"> permittees</w:t>
      </w:r>
      <w:r>
        <w:t xml:space="preserve"> to comply with Clean Water Act section 402(p)(6). A subsequent permit</w:t>
      </w:r>
      <w:r w:rsidR="00603DDE">
        <w:t xml:space="preserve">, WQ Order </w:t>
      </w:r>
      <w:hyperlink w:history="1" r:id="rId12">
        <w:r w:rsidRPr="00846EE5" w:rsidR="00603DDE">
          <w:rPr>
            <w:rStyle w:val="Hyperlink"/>
          </w:rPr>
          <w:t>2013</w:t>
        </w:r>
        <w:r w:rsidRPr="00846EE5" w:rsidR="00603DDE">
          <w:rPr>
            <w:rStyle w:val="Hyperlink"/>
          </w:rPr>
          <w:noBreakHyphen/>
          <w:t>0001-DWQ</w:t>
        </w:r>
      </w:hyperlink>
      <w:r w:rsidR="00603DDE">
        <w:t>,</w:t>
      </w:r>
      <w:r>
        <w:t xml:space="preserve"> was adopted by the State Water Board on February 15, 2013</w:t>
      </w:r>
      <w:r w:rsidR="00603DDE">
        <w:t xml:space="preserve"> and has since been amended several times</w:t>
      </w:r>
      <w:r>
        <w:t xml:space="preserve">. </w:t>
      </w:r>
    </w:p>
    <w:p w:rsidRPr="0099303F" w:rsidR="005757A1" w:rsidP="00821C45" w:rsidRDefault="00A90FC0" w14:paraId="7B8A9C1B" w14:textId="5EB864FE">
      <w:pPr>
        <w:snapToGrid w:val="0"/>
        <w:ind w:left="720"/>
        <w:rPr>
          <w:rFonts w:cs="Arial"/>
        </w:rPr>
      </w:pPr>
      <w:r>
        <w:t>This Order is a Comprehensive General Permit that is structured to contain all necessary requirements for all Small MS4 Permittees covered under this Order. Requirements are expressed in clear, specific, and measurable terms for</w:t>
      </w:r>
      <w:r w:rsidR="00DD08DB">
        <w:t xml:space="preserve"> </w:t>
      </w:r>
      <w:r w:rsidR="00802561">
        <w:t xml:space="preserve">all </w:t>
      </w:r>
      <w:r w:rsidR="00DD08DB">
        <w:t>part</w:t>
      </w:r>
      <w:r w:rsidR="00802561">
        <w:t>s</w:t>
      </w:r>
      <w:r w:rsidR="00DD08DB">
        <w:t xml:space="preserve"> of the permit that addresses the six minimum control measures, </w:t>
      </w:r>
      <w:r w:rsidR="007B0FBA">
        <w:t>total maximum daily load</w:t>
      </w:r>
      <w:r w:rsidR="00085A26">
        <w:t>s</w:t>
      </w:r>
      <w:r w:rsidR="007B0FBA">
        <w:t xml:space="preserve"> (TMDL</w:t>
      </w:r>
      <w:r w:rsidR="00085A26">
        <w:t>s</w:t>
      </w:r>
      <w:r w:rsidR="007B0FBA">
        <w:t>)</w:t>
      </w:r>
      <w:r w:rsidR="00DD08DB">
        <w:t>, and annual reports.</w:t>
      </w:r>
    </w:p>
    <w:p w:rsidRPr="0099303F" w:rsidR="00C165B1" w:rsidP="001A1BAA" w:rsidRDefault="000F6B50" w14:paraId="0DE547D5" w14:textId="65817CF5">
      <w:pPr>
        <w:pStyle w:val="Heading2"/>
      </w:pPr>
      <w:bookmarkStart w:name="_Toc51173167" w:id="10"/>
      <w:bookmarkStart w:name="_Toc74912529" w:id="11"/>
      <w:bookmarkStart w:name="_Toc226536080" w:id="12"/>
      <w:r>
        <w:t>A</w:t>
      </w:r>
      <w:r w:rsidR="00C165B1">
        <w:t>3</w:t>
      </w:r>
      <w:r w:rsidRPr="0099303F" w:rsidR="00C165B1">
        <w:tab/>
      </w:r>
      <w:r w:rsidRPr="0099303F" w:rsidR="00C165B1">
        <w:t>FEDERAL REGULATORY BACKGROUND</w:t>
      </w:r>
      <w:bookmarkEnd w:id="10"/>
      <w:bookmarkEnd w:id="11"/>
      <w:r w:rsidR="00296E3C">
        <w:t xml:space="preserve"> </w:t>
      </w:r>
      <w:r w:rsidR="006D68C6">
        <w:t>AND DESIGNATION CRITERIA</w:t>
      </w:r>
      <w:bookmarkEnd w:id="12"/>
    </w:p>
    <w:p w:rsidRPr="0099303F" w:rsidR="00C165B1" w:rsidP="00C165B1" w:rsidRDefault="00C165B1" w14:paraId="30016835" w14:textId="2BD91BE9">
      <w:pPr>
        <w:pStyle w:val="NoSpacing"/>
        <w:snapToGrid w:val="0"/>
        <w:spacing w:before="120" w:line="259" w:lineRule="auto"/>
        <w:ind w:left="720"/>
      </w:pPr>
      <w:r w:rsidRPr="00A21D92">
        <w:t xml:space="preserve">In 1972 the Federal Water Pollution Control Act (also referred to as the Clean Water Act) was amended to provide that the discharge of pollutants to waters of the United States from any point source is unlawful unless the discharger obtains </w:t>
      </w:r>
      <w:r w:rsidRPr="00A21D92">
        <w:t>an NPDES permit and the discharges compl</w:t>
      </w:r>
      <w:r>
        <w:t>y</w:t>
      </w:r>
      <w:r w:rsidRPr="0099303F">
        <w:t xml:space="preserve"> with an NPDES permit. In 1987, the Clean Water Act was amended, adding section</w:t>
      </w:r>
      <w:r>
        <w:t xml:space="preserve"> </w:t>
      </w:r>
      <w:r w:rsidRPr="0099303F">
        <w:t>402(p) and establishing stormwater discharges as point source discharges. Section</w:t>
      </w:r>
      <w:r>
        <w:t xml:space="preserve"> </w:t>
      </w:r>
      <w:r w:rsidRPr="0099303F">
        <w:t>402(p) of the Clean Water Act provides a framework for regulating municipal stormwater discharges under the NPDES program.</w:t>
      </w:r>
      <w:r>
        <w:t xml:space="preserve"> </w:t>
      </w:r>
      <w:r w:rsidR="00766ACF">
        <w:t>USEPA</w:t>
      </w:r>
      <w:r w:rsidR="00C56C92">
        <w:t xml:space="preserve"> </w:t>
      </w:r>
      <w:r w:rsidR="002C0D59">
        <w:t xml:space="preserve">authorized </w:t>
      </w:r>
      <w:r w:rsidR="006318B7">
        <w:t>California State and Regional Water Boards to admi</w:t>
      </w:r>
      <w:r w:rsidR="00671B77">
        <w:t>nister the NPDES stormwater permit program.</w:t>
      </w:r>
    </w:p>
    <w:p w:rsidR="00F40FA3" w:rsidP="00C165B1" w:rsidRDefault="00F40FA3" w14:paraId="51C86324" w14:textId="7E708FC7">
      <w:pPr>
        <w:pStyle w:val="NoSpacing"/>
        <w:snapToGrid w:val="0"/>
        <w:spacing w:before="120" w:line="259" w:lineRule="auto"/>
        <w:ind w:left="720"/>
      </w:pPr>
      <w:r>
        <w:t xml:space="preserve">On December 8, 1999, </w:t>
      </w:r>
      <w:r w:rsidR="00766ACF">
        <w:t>USEPA</w:t>
      </w:r>
      <w:r>
        <w:t xml:space="preserve"> issued the Phase II rule. </w:t>
      </w:r>
      <w:r w:rsidRPr="008234E5">
        <w:t xml:space="preserve">The Phase II </w:t>
      </w:r>
      <w:r w:rsidR="00462098">
        <w:t>rule</w:t>
      </w:r>
      <w:r w:rsidR="005A0069">
        <w:t xml:space="preserve"> </w:t>
      </w:r>
      <w:r w:rsidRPr="008234E5">
        <w:t>requires operators of Small MS4s</w:t>
      </w:r>
      <w:r w:rsidR="00F11258">
        <w:t xml:space="preserve"> also be permitted for discharging stormwater</w:t>
      </w:r>
      <w:r w:rsidR="00B47B4A">
        <w:t xml:space="preserve">, as described in the following subsections. </w:t>
      </w:r>
    </w:p>
    <w:p w:rsidRPr="00E02C3D" w:rsidR="006D42DA" w:rsidP="0019762D" w:rsidRDefault="001B58F2" w14:paraId="6933D077" w14:textId="4648F659">
      <w:pPr>
        <w:pStyle w:val="Heading3"/>
        <w:tabs>
          <w:tab w:val="clear" w:pos="720"/>
          <w:tab w:val="left" w:pos="900"/>
        </w:tabs>
        <w:ind w:left="900" w:hanging="900"/>
        <w:rPr>
          <w:rFonts w:hint="eastAsia" w:eastAsiaTheme="majorEastAsia"/>
          <w:iCs/>
          <w:shd w:val="clear" w:color="auto" w:fill="FFFFFF" w:themeFill="background1"/>
        </w:rPr>
      </w:pPr>
      <w:r w:rsidRPr="00E02C3D">
        <w:rPr>
          <w:rFonts w:eastAsiaTheme="majorEastAsia"/>
          <w:iCs/>
          <w:shd w:val="clear" w:color="auto" w:fill="FFFFFF" w:themeFill="background1"/>
        </w:rPr>
        <w:t>A</w:t>
      </w:r>
      <w:r w:rsidRPr="00E02C3D" w:rsidR="00181B07">
        <w:rPr>
          <w:rFonts w:eastAsiaTheme="majorEastAsia"/>
          <w:iCs/>
          <w:shd w:val="clear" w:color="auto" w:fill="FFFFFF" w:themeFill="background1"/>
        </w:rPr>
        <w:t>3.1</w:t>
      </w:r>
      <w:r w:rsidRPr="00E02C3D" w:rsidR="00DF03D4">
        <w:rPr>
          <w:rFonts w:eastAsiaTheme="majorEastAsia"/>
          <w:iCs/>
          <w:shd w:val="clear" w:color="auto" w:fill="FFFFFF" w:themeFill="background1"/>
        </w:rPr>
        <w:tab/>
      </w:r>
      <w:r w:rsidRPr="00E02C3D" w:rsidR="0055795E">
        <w:rPr>
          <w:rFonts w:eastAsiaTheme="majorEastAsia"/>
          <w:iCs/>
          <w:shd w:val="clear" w:color="auto" w:fill="FFFFFF" w:themeFill="background1"/>
        </w:rPr>
        <w:t>Definition</w:t>
      </w:r>
      <w:r w:rsidRPr="00E02C3D" w:rsidR="00181B07">
        <w:rPr>
          <w:rFonts w:eastAsiaTheme="majorEastAsia"/>
          <w:iCs/>
          <w:shd w:val="clear" w:color="auto" w:fill="FFFFFF" w:themeFill="background1"/>
        </w:rPr>
        <w:t xml:space="preserve"> of </w:t>
      </w:r>
      <w:r w:rsidR="00D6392F">
        <w:rPr>
          <w:rFonts w:eastAsiaTheme="majorEastAsia"/>
          <w:iCs/>
          <w:shd w:val="clear" w:color="auto" w:fill="FFFFFF" w:themeFill="background1"/>
        </w:rPr>
        <w:t>a</w:t>
      </w:r>
      <w:r w:rsidR="00F41B80">
        <w:rPr>
          <w:rFonts w:eastAsiaTheme="majorEastAsia"/>
          <w:iCs/>
          <w:shd w:val="clear" w:color="auto" w:fill="FFFFFF" w:themeFill="background1"/>
        </w:rPr>
        <w:t>n MS4</w:t>
      </w:r>
    </w:p>
    <w:p w:rsidR="000E7A91" w:rsidP="0019762D" w:rsidRDefault="00822A9D" w14:paraId="49876629" w14:textId="6FDD4913">
      <w:pPr>
        <w:pStyle w:val="NoSpacing"/>
        <w:snapToGrid w:val="0"/>
        <w:spacing w:before="120" w:line="259" w:lineRule="auto"/>
        <w:ind w:left="900"/>
      </w:pPr>
      <w:r>
        <w:t>T</w:t>
      </w:r>
      <w:r w:rsidR="009E2234">
        <w:t xml:space="preserve">he </w:t>
      </w:r>
      <w:r w:rsidR="007F67A1">
        <w:t>d</w:t>
      </w:r>
      <w:r w:rsidR="009E2234">
        <w:t>efinition</w:t>
      </w:r>
      <w:r>
        <w:t xml:space="preserve"> of a</w:t>
      </w:r>
      <w:r w:rsidR="007F67A1">
        <w:t>n MS4</w:t>
      </w:r>
      <w:r>
        <w:t xml:space="preserve"> </w:t>
      </w:r>
      <w:r w:rsidR="00E041DA">
        <w:t>per</w:t>
      </w:r>
      <w:r w:rsidR="009E2234">
        <w:t xml:space="preserve"> </w:t>
      </w:r>
      <w:r w:rsidRPr="002953DD" w:rsidR="0055795E">
        <w:t xml:space="preserve">40 </w:t>
      </w:r>
      <w:r w:rsidR="000561B6">
        <w:t>C.F.R.</w:t>
      </w:r>
      <w:r w:rsidRPr="002953DD" w:rsidR="0055795E">
        <w:t xml:space="preserve"> 122.26(b)(8)</w:t>
      </w:r>
      <w:r w:rsidR="00481326">
        <w:t xml:space="preserve"> </w:t>
      </w:r>
      <w:r w:rsidR="00E041DA">
        <w:t>is</w:t>
      </w:r>
      <w:r w:rsidR="00D260CF">
        <w:t>:</w:t>
      </w:r>
      <w:r w:rsidR="00033B72">
        <w:t xml:space="preserve"> </w:t>
      </w:r>
    </w:p>
    <w:p w:rsidRPr="004E0E7D" w:rsidR="006A437F" w:rsidP="000A6CE8" w:rsidRDefault="00850E04" w14:paraId="32D17554" w14:textId="17153EFA">
      <w:pPr>
        <w:pStyle w:val="NoSpacing"/>
        <w:tabs>
          <w:tab w:val="left" w:pos="1350"/>
        </w:tabs>
        <w:snapToGrid w:val="0"/>
        <w:spacing w:before="120" w:line="259" w:lineRule="auto"/>
        <w:ind w:left="1350" w:hanging="450"/>
        <w:rPr>
          <w:i/>
          <w:iCs/>
        </w:rPr>
      </w:pPr>
      <w:r w:rsidRPr="004E0E7D">
        <w:rPr>
          <w:i/>
          <w:iCs/>
        </w:rPr>
        <w:t>(8)</w:t>
      </w:r>
      <w:r w:rsidRPr="004E0E7D" w:rsidR="000A6CE8">
        <w:rPr>
          <w:i/>
          <w:iCs/>
        </w:rPr>
        <w:tab/>
      </w:r>
      <w:r w:rsidRPr="004E0E7D" w:rsidR="0092720D">
        <w:rPr>
          <w:i/>
          <w:iCs/>
        </w:rPr>
        <w:t>M</w:t>
      </w:r>
      <w:r w:rsidRPr="004E0E7D" w:rsidR="0055795E">
        <w:rPr>
          <w:i/>
          <w:iCs/>
        </w:rPr>
        <w:t xml:space="preserve">unicipal separate storm sewer means a conveyance or system of conveyances (including roads with drainage systems, municipal streets, catch basins, curbs, gutters, ditches, man-made channels, or storm drains): </w:t>
      </w:r>
    </w:p>
    <w:p w:rsidRPr="004E0E7D" w:rsidR="00FA3340" w:rsidP="000A6CE8" w:rsidRDefault="00CB4971" w14:paraId="76066A74" w14:textId="4DD2491A">
      <w:pPr>
        <w:pStyle w:val="NoSpacing"/>
        <w:tabs>
          <w:tab w:val="left" w:pos="1800"/>
        </w:tabs>
        <w:snapToGrid w:val="0"/>
        <w:spacing w:before="120" w:line="259" w:lineRule="auto"/>
        <w:ind w:left="1800" w:hanging="450"/>
        <w:rPr>
          <w:i/>
          <w:iCs/>
        </w:rPr>
      </w:pPr>
      <w:r w:rsidRPr="004E0E7D">
        <w:rPr>
          <w:i/>
          <w:iCs/>
        </w:rPr>
        <w:t>(i)</w:t>
      </w:r>
      <w:r w:rsidRPr="004E0E7D" w:rsidR="0094698B">
        <w:rPr>
          <w:i/>
          <w:iCs/>
        </w:rPr>
        <w:tab/>
      </w:r>
      <w:r w:rsidRPr="004E0E7D" w:rsidR="0055795E">
        <w:rPr>
          <w:i/>
          <w:iCs/>
        </w:rPr>
        <w:t xml:space="preserve">Owned or operated by a State, city, town, borough, county, parish, district, association, or other public body (created by or pursuant to State law)...including special districts under State law such as a sewer district, flood control district or drainage district, or similar entity, or an Indian tribe or an authorized Indian tribal organization, or a designated and approved management agency under section 208 of the Clean Water Act that discharges into waters of the United States. </w:t>
      </w:r>
    </w:p>
    <w:p w:rsidRPr="004E0E7D" w:rsidR="00E77F6B" w:rsidP="000A6CE8" w:rsidRDefault="00E77F6B" w14:paraId="03DD8FCD" w14:textId="174B5B97">
      <w:pPr>
        <w:pStyle w:val="NoSpacing"/>
        <w:tabs>
          <w:tab w:val="left" w:pos="1800"/>
        </w:tabs>
        <w:snapToGrid w:val="0"/>
        <w:spacing w:before="120" w:line="259" w:lineRule="auto"/>
        <w:ind w:left="1800" w:hanging="450"/>
        <w:rPr>
          <w:i/>
          <w:iCs/>
        </w:rPr>
      </w:pPr>
      <w:r w:rsidRPr="004E0E7D">
        <w:rPr>
          <w:i/>
          <w:iCs/>
        </w:rPr>
        <w:t>(i</w:t>
      </w:r>
      <w:r w:rsidRPr="004E0E7D" w:rsidR="00842792">
        <w:rPr>
          <w:i/>
          <w:iCs/>
        </w:rPr>
        <w:t>i</w:t>
      </w:r>
      <w:r w:rsidRPr="004E0E7D">
        <w:rPr>
          <w:i/>
          <w:iCs/>
        </w:rPr>
        <w:t>)</w:t>
      </w:r>
      <w:r w:rsidRPr="004E0E7D" w:rsidR="00A27245">
        <w:rPr>
          <w:i/>
          <w:iCs/>
        </w:rPr>
        <w:tab/>
      </w:r>
      <w:r w:rsidRPr="004E0E7D" w:rsidR="0055795E">
        <w:rPr>
          <w:i/>
          <w:iCs/>
        </w:rPr>
        <w:t xml:space="preserve">Designed or used for collecting or conveying stormwater; </w:t>
      </w:r>
    </w:p>
    <w:p w:rsidRPr="004E0E7D" w:rsidR="00E77F6B" w:rsidP="000A6CE8" w:rsidRDefault="00E77F6B" w14:paraId="65D79AC2" w14:textId="5C184C1F">
      <w:pPr>
        <w:pStyle w:val="NoSpacing"/>
        <w:tabs>
          <w:tab w:val="left" w:pos="1800"/>
        </w:tabs>
        <w:snapToGrid w:val="0"/>
        <w:spacing w:before="120" w:line="259" w:lineRule="auto"/>
        <w:ind w:left="1800" w:hanging="450"/>
        <w:rPr>
          <w:i/>
          <w:iCs/>
        </w:rPr>
      </w:pPr>
      <w:r w:rsidRPr="004E0E7D">
        <w:rPr>
          <w:i/>
          <w:iCs/>
        </w:rPr>
        <w:t>(ii</w:t>
      </w:r>
      <w:r w:rsidRPr="004E0E7D" w:rsidR="00842792">
        <w:rPr>
          <w:i/>
          <w:iCs/>
        </w:rPr>
        <w:t>i</w:t>
      </w:r>
      <w:r w:rsidRPr="004E0E7D">
        <w:rPr>
          <w:i/>
          <w:iCs/>
        </w:rPr>
        <w:t>)</w:t>
      </w:r>
      <w:r w:rsidRPr="004E0E7D" w:rsidR="00A27245">
        <w:rPr>
          <w:i/>
          <w:iCs/>
        </w:rPr>
        <w:tab/>
      </w:r>
      <w:r w:rsidRPr="004E0E7D" w:rsidR="0055795E">
        <w:rPr>
          <w:i/>
          <w:iCs/>
        </w:rPr>
        <w:t xml:space="preserve">Which is not a combined sewer; and </w:t>
      </w:r>
    </w:p>
    <w:p w:rsidRPr="004E0E7D" w:rsidR="00181B07" w:rsidP="000A6CE8" w:rsidRDefault="00E77F6B" w14:paraId="2B5EA988" w14:textId="1203339D">
      <w:pPr>
        <w:pStyle w:val="NoSpacing"/>
        <w:tabs>
          <w:tab w:val="left" w:pos="1800"/>
        </w:tabs>
        <w:snapToGrid w:val="0"/>
        <w:spacing w:before="120" w:line="259" w:lineRule="auto"/>
        <w:ind w:left="1800" w:hanging="450"/>
        <w:rPr>
          <w:i/>
          <w:iCs/>
        </w:rPr>
      </w:pPr>
      <w:r w:rsidRPr="004E0E7D">
        <w:rPr>
          <w:i/>
          <w:iCs/>
        </w:rPr>
        <w:t>(i</w:t>
      </w:r>
      <w:r w:rsidRPr="004E0E7D" w:rsidR="00842792">
        <w:rPr>
          <w:i/>
          <w:iCs/>
        </w:rPr>
        <w:t>v</w:t>
      </w:r>
      <w:r w:rsidRPr="004E0E7D">
        <w:rPr>
          <w:i/>
          <w:iCs/>
        </w:rPr>
        <w:t>)</w:t>
      </w:r>
      <w:r w:rsidRPr="004E0E7D" w:rsidR="0094698B">
        <w:rPr>
          <w:i/>
          <w:iCs/>
        </w:rPr>
        <w:tab/>
      </w:r>
      <w:r w:rsidRPr="004E0E7D" w:rsidR="0055795E">
        <w:rPr>
          <w:i/>
          <w:iCs/>
        </w:rPr>
        <w:t>Which is not part of a Publicly Owned Treatment</w:t>
      </w:r>
      <w:r w:rsidRPr="004E0E7D" w:rsidR="00F16178">
        <w:rPr>
          <w:i/>
          <w:iCs/>
        </w:rPr>
        <w:t xml:space="preserve"> </w:t>
      </w:r>
      <w:r w:rsidRPr="004E0E7D" w:rsidR="0055795E">
        <w:rPr>
          <w:i/>
          <w:iCs/>
        </w:rPr>
        <w:t xml:space="preserve">Works (POTW) as defined at 40 </w:t>
      </w:r>
      <w:r w:rsidR="000561B6">
        <w:rPr>
          <w:i/>
          <w:iCs/>
        </w:rPr>
        <w:t>C.F.R.</w:t>
      </w:r>
      <w:r w:rsidRPr="004E0E7D" w:rsidR="0055795E">
        <w:rPr>
          <w:i/>
          <w:iCs/>
        </w:rPr>
        <w:t xml:space="preserve"> 122.2.</w:t>
      </w:r>
    </w:p>
    <w:p w:rsidRPr="00DE680D" w:rsidR="009C7022" w:rsidP="00F15BB0" w:rsidRDefault="009C7022" w14:paraId="1FAC6128" w14:textId="78700D13">
      <w:pPr>
        <w:pStyle w:val="Heading3"/>
        <w:tabs>
          <w:tab w:val="clear" w:pos="720"/>
          <w:tab w:val="left" w:pos="900"/>
        </w:tabs>
        <w:ind w:left="900" w:hanging="900"/>
        <w:rPr>
          <w:rFonts w:hint="eastAsia" w:eastAsiaTheme="majorEastAsia"/>
          <w:bCs w:val="0"/>
          <w:iCs/>
          <w:shd w:val="clear" w:color="auto" w:fill="FFFFFF" w:themeFill="background1"/>
        </w:rPr>
      </w:pPr>
      <w:r w:rsidRPr="00DE680D">
        <w:rPr>
          <w:rFonts w:eastAsiaTheme="majorEastAsia"/>
          <w:bCs w:val="0"/>
          <w:iCs/>
          <w:shd w:val="clear" w:color="auto" w:fill="FFFFFF" w:themeFill="background1"/>
        </w:rPr>
        <w:t>A3.2</w:t>
      </w:r>
      <w:r w:rsidRPr="00DE680D">
        <w:rPr>
          <w:rFonts w:eastAsiaTheme="majorEastAsia"/>
          <w:bCs w:val="0"/>
          <w:iCs/>
          <w:shd w:val="clear" w:color="auto" w:fill="FFFFFF" w:themeFill="background1"/>
        </w:rPr>
        <w:tab/>
      </w:r>
      <w:r w:rsidRPr="00DE680D">
        <w:rPr>
          <w:rFonts w:eastAsiaTheme="majorEastAsia"/>
          <w:bCs w:val="0"/>
          <w:iCs/>
          <w:shd w:val="clear" w:color="auto" w:fill="FFFFFF" w:themeFill="background1"/>
        </w:rPr>
        <w:t>Definition of a Small MS4</w:t>
      </w:r>
    </w:p>
    <w:p w:rsidR="00C4354B" w:rsidP="00F15BB0" w:rsidRDefault="00C4354B" w14:paraId="3360629B" w14:textId="71D4C459">
      <w:pPr>
        <w:pStyle w:val="NoSpacing"/>
        <w:snapToGrid w:val="0"/>
        <w:spacing w:before="120" w:line="259" w:lineRule="auto"/>
        <w:ind w:left="900"/>
      </w:pPr>
      <w:r>
        <w:t xml:space="preserve">The definition of a </w:t>
      </w:r>
      <w:r w:rsidR="00D143DE">
        <w:t>S</w:t>
      </w:r>
      <w:r>
        <w:t xml:space="preserve">mall MS4 </w:t>
      </w:r>
      <w:r w:rsidR="002C7DD6">
        <w:t>per</w:t>
      </w:r>
      <w:r>
        <w:t xml:space="preserve"> </w:t>
      </w:r>
      <w:r w:rsidRPr="00C4354B">
        <w:t xml:space="preserve">40 </w:t>
      </w:r>
      <w:r w:rsidR="000561B6">
        <w:t>C.F.R.</w:t>
      </w:r>
      <w:r w:rsidRPr="00C4354B">
        <w:t xml:space="preserve"> 122.26(b)(16)</w:t>
      </w:r>
      <w:r>
        <w:t xml:space="preserve"> </w:t>
      </w:r>
      <w:r w:rsidR="002C7DD6">
        <w:t>is</w:t>
      </w:r>
      <w:r>
        <w:t>:</w:t>
      </w:r>
    </w:p>
    <w:p w:rsidRPr="004E0E7D" w:rsidR="00826CD2" w:rsidP="002921A8" w:rsidRDefault="00826CD2" w14:paraId="03613B56" w14:textId="6A1C9980">
      <w:pPr>
        <w:tabs>
          <w:tab w:val="left" w:pos="1530"/>
        </w:tabs>
        <w:ind w:left="1530" w:hanging="630"/>
        <w:rPr>
          <w:i/>
          <w:iCs/>
        </w:rPr>
      </w:pPr>
      <w:r w:rsidRPr="004E0E7D">
        <w:rPr>
          <w:i/>
          <w:iCs/>
        </w:rPr>
        <w:t>(16)</w:t>
      </w:r>
      <w:r w:rsidRPr="004E0E7D" w:rsidR="002703CA">
        <w:rPr>
          <w:i/>
          <w:iCs/>
        </w:rPr>
        <w:tab/>
      </w:r>
      <w:r w:rsidRPr="004E0E7D">
        <w:rPr>
          <w:i/>
          <w:iCs/>
        </w:rPr>
        <w:t>Small municipal separate storm sewer system means all separate storm sewers that are:</w:t>
      </w:r>
    </w:p>
    <w:p w:rsidRPr="004E0E7D" w:rsidR="00826CD2" w:rsidP="00FB0C06" w:rsidRDefault="00826CD2" w14:paraId="442DF72F" w14:textId="431B9030">
      <w:pPr>
        <w:tabs>
          <w:tab w:val="left" w:pos="1980"/>
        </w:tabs>
        <w:ind w:left="1890" w:hanging="450"/>
        <w:rPr>
          <w:i/>
          <w:iCs/>
        </w:rPr>
      </w:pPr>
      <w:r w:rsidRPr="004E0E7D">
        <w:rPr>
          <w:i/>
          <w:iCs/>
        </w:rPr>
        <w:t>(i)</w:t>
      </w:r>
      <w:r w:rsidRPr="004E0E7D" w:rsidR="00583EE0">
        <w:rPr>
          <w:i/>
          <w:iCs/>
        </w:rPr>
        <w:tab/>
      </w:r>
      <w:r w:rsidRPr="004E0E7D">
        <w:rPr>
          <w:i/>
          <w:iCs/>
        </w:rPr>
        <w:t xml:space="preserve">Owned or operated by the United States, a State, city, town, borough, county, parish, district, association, or other public body (created by or pursuant to State law) having jurisdiction over disposal of sewage, industrial wastes, </w:t>
      </w:r>
      <w:r w:rsidRPr="004E0E7D" w:rsidR="003253DD">
        <w:rPr>
          <w:i/>
          <w:iCs/>
        </w:rPr>
        <w:t>stormwater</w:t>
      </w:r>
      <w:r w:rsidRPr="004E0E7D">
        <w:rPr>
          <w:i/>
          <w:iCs/>
        </w:rPr>
        <w:t xml:space="preserve">, or other wastes, including special districts under State law such as a sewer district, flood control district or drainage district, or similar entity, or an Indian tribe or an authorized Indian tribal organization, or a designated and approved management </w:t>
      </w:r>
      <w:r w:rsidRPr="004E0E7D">
        <w:rPr>
          <w:i/>
          <w:iCs/>
        </w:rPr>
        <w:t>agency under section 208 of the C</w:t>
      </w:r>
      <w:r w:rsidRPr="004E0E7D" w:rsidR="00AA45B2">
        <w:rPr>
          <w:i/>
          <w:iCs/>
        </w:rPr>
        <w:t xml:space="preserve">lean </w:t>
      </w:r>
      <w:r w:rsidRPr="004E0E7D">
        <w:rPr>
          <w:i/>
          <w:iCs/>
        </w:rPr>
        <w:t>W</w:t>
      </w:r>
      <w:r w:rsidRPr="004E0E7D" w:rsidR="00AA45B2">
        <w:rPr>
          <w:i/>
          <w:iCs/>
        </w:rPr>
        <w:t xml:space="preserve">ater </w:t>
      </w:r>
      <w:r w:rsidRPr="004E0E7D">
        <w:rPr>
          <w:i/>
          <w:iCs/>
        </w:rPr>
        <w:t>A</w:t>
      </w:r>
      <w:r w:rsidRPr="004E0E7D" w:rsidR="00AA45B2">
        <w:rPr>
          <w:i/>
          <w:iCs/>
        </w:rPr>
        <w:t>ct</w:t>
      </w:r>
      <w:r w:rsidRPr="004E0E7D">
        <w:rPr>
          <w:i/>
          <w:iCs/>
        </w:rPr>
        <w:t xml:space="preserve"> that discharges to waters of the United States.</w:t>
      </w:r>
    </w:p>
    <w:p w:rsidRPr="004E0E7D" w:rsidR="00826CD2" w:rsidP="00FB0C06" w:rsidRDefault="00826CD2" w14:paraId="32708E9B" w14:textId="04CD5185">
      <w:pPr>
        <w:tabs>
          <w:tab w:val="left" w:pos="1440"/>
          <w:tab w:val="left" w:pos="1980"/>
        </w:tabs>
        <w:ind w:left="1890" w:hanging="450"/>
        <w:rPr>
          <w:i/>
          <w:iCs/>
        </w:rPr>
      </w:pPr>
      <w:r w:rsidRPr="004E0E7D">
        <w:rPr>
          <w:i/>
          <w:iCs/>
        </w:rPr>
        <w:t xml:space="preserve">(ii) </w:t>
      </w:r>
      <w:r w:rsidRPr="004E0E7D" w:rsidR="00583EE0">
        <w:rPr>
          <w:i/>
          <w:iCs/>
        </w:rPr>
        <w:tab/>
      </w:r>
      <w:r w:rsidRPr="004E0E7D">
        <w:rPr>
          <w:i/>
          <w:iCs/>
        </w:rPr>
        <w:t xml:space="preserve">Not defined as “large” or “medium” municipal separate storm sewer systems pursuant to </w:t>
      </w:r>
      <w:hyperlink w:history="1" w:anchor="p-122.26(b)(4)" r:id="rId13">
        <w:r w:rsidRPr="004E0E7D">
          <w:rPr>
            <w:rStyle w:val="Hyperlink"/>
            <w:i/>
            <w:iCs/>
          </w:rPr>
          <w:t>paragraphs (b)(4)</w:t>
        </w:r>
      </w:hyperlink>
      <w:r w:rsidRPr="004E0E7D">
        <w:rPr>
          <w:i/>
          <w:iCs/>
        </w:rPr>
        <w:t xml:space="preserve"> and </w:t>
      </w:r>
      <w:hyperlink w:history="1" w:anchor="p-122.26(b)(7)" r:id="rId14">
        <w:r w:rsidRPr="004E0E7D">
          <w:rPr>
            <w:rStyle w:val="Hyperlink"/>
            <w:i/>
            <w:iCs/>
          </w:rPr>
          <w:t>(b)(7)</w:t>
        </w:r>
      </w:hyperlink>
      <w:r w:rsidRPr="004E0E7D">
        <w:rPr>
          <w:i/>
          <w:iCs/>
        </w:rPr>
        <w:t xml:space="preserve"> of section 40 C.F.R 122.26(b), or designated under </w:t>
      </w:r>
      <w:hyperlink w:history="1" w:anchor="p-122.26(a)(1)(v)" r:id="rId15">
        <w:r w:rsidRPr="004E0E7D">
          <w:rPr>
            <w:rStyle w:val="Hyperlink"/>
            <w:i/>
            <w:iCs/>
          </w:rPr>
          <w:t>paragraph (a)(1)(v)</w:t>
        </w:r>
      </w:hyperlink>
      <w:r w:rsidRPr="004E0E7D">
        <w:rPr>
          <w:i/>
          <w:iCs/>
        </w:rPr>
        <w:t xml:space="preserve"> of 122.26(b).</w:t>
      </w:r>
    </w:p>
    <w:p w:rsidRPr="004E0E7D" w:rsidR="00826CD2" w:rsidP="00FB0C06" w:rsidRDefault="00826CD2" w14:paraId="231BA38E" w14:textId="53BD0C05">
      <w:pPr>
        <w:tabs>
          <w:tab w:val="left" w:pos="1440"/>
          <w:tab w:val="left" w:pos="1980"/>
        </w:tabs>
        <w:ind w:left="1890" w:hanging="450"/>
        <w:rPr>
          <w:i/>
          <w:iCs/>
        </w:rPr>
      </w:pPr>
      <w:r w:rsidRPr="004E0E7D">
        <w:rPr>
          <w:i/>
          <w:iCs/>
        </w:rPr>
        <w:t xml:space="preserve">(iii) </w:t>
      </w:r>
      <w:r w:rsidRPr="004E0E7D" w:rsidR="00583EE0">
        <w:rPr>
          <w:i/>
          <w:iCs/>
        </w:rPr>
        <w:tab/>
      </w:r>
      <w:r w:rsidRPr="004E0E7D">
        <w:rPr>
          <w:i/>
          <w:iCs/>
        </w:rPr>
        <w:t>This term includes systems similar to separate storm sewer systems in municipalities, such as systems at military bases, large hospital or prison complexes, and highways and other thoroughfares. The term does not include separate storm sewers in very discrete areas, such as individual buildings.</w:t>
      </w:r>
    </w:p>
    <w:p w:rsidRPr="004E0E7D" w:rsidR="00826CD2" w:rsidP="00D143DE" w:rsidRDefault="00826CD2" w14:paraId="0DBC143E" w14:textId="3D92BB5E">
      <w:pPr>
        <w:ind w:left="1530" w:hanging="540"/>
        <w:rPr>
          <w:i/>
          <w:iCs/>
        </w:rPr>
      </w:pPr>
      <w:r w:rsidRPr="004E0E7D">
        <w:rPr>
          <w:i/>
          <w:iCs/>
        </w:rPr>
        <w:t xml:space="preserve">(17) </w:t>
      </w:r>
      <w:r w:rsidRPr="004E0E7D" w:rsidR="00583EE0">
        <w:rPr>
          <w:i/>
          <w:iCs/>
        </w:rPr>
        <w:tab/>
      </w:r>
      <w:r w:rsidRPr="004E0E7D">
        <w:rPr>
          <w:i/>
          <w:iCs/>
        </w:rPr>
        <w:t>Small MS4 means a small municipal separate storm sewer system.</w:t>
      </w:r>
    </w:p>
    <w:p w:rsidRPr="00DE680D" w:rsidR="00990460" w:rsidP="00AB2633" w:rsidRDefault="001B58F2" w14:paraId="37D32698" w14:textId="6A391052">
      <w:pPr>
        <w:pStyle w:val="Heading3"/>
        <w:tabs>
          <w:tab w:val="clear" w:pos="720"/>
          <w:tab w:val="left" w:pos="900"/>
        </w:tabs>
        <w:ind w:left="900" w:hanging="900"/>
        <w:rPr>
          <w:rFonts w:hint="eastAsia" w:eastAsiaTheme="majorEastAsia"/>
          <w:bCs w:val="0"/>
          <w:iCs/>
          <w:shd w:val="clear" w:color="auto" w:fill="FFFFFF" w:themeFill="background1"/>
        </w:rPr>
      </w:pPr>
      <w:r w:rsidRPr="00DE680D">
        <w:rPr>
          <w:rFonts w:eastAsiaTheme="majorEastAsia"/>
          <w:bCs w:val="0"/>
          <w:iCs/>
          <w:shd w:val="clear" w:color="auto" w:fill="FFFFFF" w:themeFill="background1"/>
        </w:rPr>
        <w:t>A3.</w:t>
      </w:r>
      <w:r w:rsidRPr="00DE680D" w:rsidR="00990460">
        <w:rPr>
          <w:rFonts w:eastAsiaTheme="majorEastAsia"/>
          <w:bCs w:val="0"/>
          <w:iCs/>
          <w:shd w:val="clear" w:color="auto" w:fill="FFFFFF" w:themeFill="background1"/>
        </w:rPr>
        <w:t>3</w:t>
      </w:r>
      <w:r w:rsidRPr="00DE680D" w:rsidR="00683945">
        <w:rPr>
          <w:rFonts w:eastAsiaTheme="majorEastAsia"/>
          <w:bCs w:val="0"/>
          <w:iCs/>
          <w:shd w:val="clear" w:color="auto" w:fill="FFFFFF" w:themeFill="background1"/>
        </w:rPr>
        <w:tab/>
      </w:r>
      <w:r w:rsidRPr="00DE680D" w:rsidR="006A6928">
        <w:rPr>
          <w:rFonts w:eastAsiaTheme="majorEastAsia"/>
          <w:bCs w:val="0"/>
          <w:iCs/>
          <w:shd w:val="clear" w:color="auto" w:fill="FFFFFF" w:themeFill="background1"/>
        </w:rPr>
        <w:t xml:space="preserve">Designating Traditional and Non-Traditional </w:t>
      </w:r>
      <w:r w:rsidRPr="00DE680D" w:rsidR="004C2CC2">
        <w:rPr>
          <w:rFonts w:eastAsiaTheme="majorEastAsia"/>
          <w:bCs w:val="0"/>
          <w:iCs/>
          <w:shd w:val="clear" w:color="auto" w:fill="FFFFFF" w:themeFill="background1"/>
        </w:rPr>
        <w:t>Small MS4s</w:t>
      </w:r>
    </w:p>
    <w:p w:rsidR="0078728E" w:rsidP="00842C4D" w:rsidRDefault="000E4A89" w14:paraId="5F3A13F9" w14:textId="6CAD77BB">
      <w:pPr>
        <w:snapToGrid w:val="0"/>
        <w:ind w:left="990"/>
      </w:pPr>
      <w:r>
        <w:t xml:space="preserve">The term </w:t>
      </w:r>
      <w:r w:rsidRPr="00926FDB">
        <w:t xml:space="preserve">“Traditional </w:t>
      </w:r>
      <w:r>
        <w:t xml:space="preserve">Small </w:t>
      </w:r>
      <w:r w:rsidRPr="00926FDB">
        <w:t>MS4s”</w:t>
      </w:r>
      <w:r w:rsidR="003A7F3C">
        <w:t xml:space="preserve"> </w:t>
      </w:r>
      <w:r w:rsidRPr="00926FDB" w:rsidR="006A2204">
        <w:t xml:space="preserve">refers to </w:t>
      </w:r>
      <w:r w:rsidR="0039510E">
        <w:t xml:space="preserve">typical </w:t>
      </w:r>
      <w:r w:rsidRPr="008C0A46" w:rsidR="0039510E">
        <w:t>municipally-owned system</w:t>
      </w:r>
      <w:r w:rsidR="002C4523">
        <w:t>s</w:t>
      </w:r>
      <w:r w:rsidRPr="008C0A46" w:rsidR="0039510E">
        <w:t xml:space="preserve"> of conveyance (like storm drains, pipes, and ditches) that collect and convey stormwater and </w:t>
      </w:r>
      <w:r w:rsidR="002C4523">
        <w:t>are</w:t>
      </w:r>
      <w:r w:rsidRPr="008C0A46" w:rsidR="002C4523">
        <w:t xml:space="preserve"> </w:t>
      </w:r>
      <w:r w:rsidRPr="008C0A46" w:rsidR="0039510E">
        <w:t>part of a local government unit with the usual powers of self-government, including the authority to pass and enforce ordinances related to stormwater management.</w:t>
      </w:r>
    </w:p>
    <w:p w:rsidR="006A2204" w:rsidP="00842C4D" w:rsidRDefault="00754E75" w14:paraId="2F5913A6" w14:textId="00C9DE36">
      <w:pPr>
        <w:snapToGrid w:val="0"/>
        <w:ind w:left="990"/>
      </w:pPr>
      <w:r>
        <w:t>The term “Non-Tradi</w:t>
      </w:r>
      <w:r w:rsidR="00776D39">
        <w:t>tional Small MS4</w:t>
      </w:r>
      <w:r w:rsidR="003941D2">
        <w:t>s</w:t>
      </w:r>
      <w:r w:rsidR="00776D39">
        <w:t xml:space="preserve">” </w:t>
      </w:r>
      <w:r w:rsidRPr="003D6CEB" w:rsidR="003D6CEB">
        <w:t>includes systems</w:t>
      </w:r>
      <w:r w:rsidR="002C4523">
        <w:t xml:space="preserve"> of conveyances</w:t>
      </w:r>
      <w:r w:rsidRPr="003D6CEB" w:rsidR="003D6CEB">
        <w:t xml:space="preserve"> at military bases, large hospital or prison complexes, and highways and other thoroughfares</w:t>
      </w:r>
      <w:r w:rsidR="00EA721F">
        <w:t xml:space="preserve"> that collect and convey stormwater</w:t>
      </w:r>
      <w:r w:rsidRPr="003D6CEB" w:rsidR="003D6CEB">
        <w:t>. The term does not include separate storm sewers in very discrete areas, such as individual buildings.</w:t>
      </w:r>
      <w:r w:rsidR="00261B8D">
        <w:t xml:space="preserve"> </w:t>
      </w:r>
      <w:r w:rsidR="00730092">
        <w:t xml:space="preserve">They </w:t>
      </w:r>
      <w:r w:rsidRPr="008C0A46" w:rsidR="00076F9B">
        <w:t>may have different administrative structures and often do not have the same ordinance-passing or general enforcement authority over the public within</w:t>
      </w:r>
      <w:r w:rsidR="00076F9B">
        <w:t xml:space="preserve"> a defined geographic area.</w:t>
      </w:r>
    </w:p>
    <w:p w:rsidR="007222C5" w:rsidP="000E4A89" w:rsidRDefault="009964AA" w14:paraId="78EDBAC2" w14:textId="1B53D444">
      <w:pPr>
        <w:snapToGrid w:val="0"/>
        <w:ind w:left="990"/>
      </w:pPr>
      <w:r>
        <w:t xml:space="preserve">An MS4 may be designated automatically or on a case-by-case basis. </w:t>
      </w:r>
      <w:r w:rsidR="00CC1E07">
        <w:t>S</w:t>
      </w:r>
      <w:r w:rsidR="00C20818">
        <w:t>mall MS4</w:t>
      </w:r>
      <w:r w:rsidR="00C0384E">
        <w:t>s</w:t>
      </w:r>
      <w:r w:rsidR="00C20818">
        <w:t xml:space="preserve"> </w:t>
      </w:r>
      <w:r w:rsidR="00C0384E">
        <w:t>listed in Attachment B are</w:t>
      </w:r>
      <w:r w:rsidR="00C20818">
        <w:t xml:space="preserve"> </w:t>
      </w:r>
      <w:r w:rsidR="00CC1E07">
        <w:t xml:space="preserve">designated and are </w:t>
      </w:r>
      <w:r w:rsidR="00C20818">
        <w:t xml:space="preserve">regulated under this </w:t>
      </w:r>
      <w:r w:rsidR="00C0384E">
        <w:t>Order.</w:t>
      </w:r>
    </w:p>
    <w:p w:rsidR="00294F0F" w:rsidP="005711AE" w:rsidRDefault="007222C5" w14:paraId="212A42F5" w14:textId="2C054449">
      <w:pPr>
        <w:pStyle w:val="Heading4-ish"/>
      </w:pPr>
      <w:r>
        <w:t>A3.</w:t>
      </w:r>
      <w:r w:rsidR="00CA0698">
        <w:t>3</w:t>
      </w:r>
      <w:r w:rsidR="00C26307">
        <w:t>.</w:t>
      </w:r>
      <w:r w:rsidR="00CA0698">
        <w:t>1</w:t>
      </w:r>
      <w:r w:rsidR="00C26307">
        <w:tab/>
      </w:r>
      <w:r w:rsidR="004C379A">
        <w:t xml:space="preserve">Automatic </w:t>
      </w:r>
      <w:r w:rsidR="00B35A86">
        <w:t>D</w:t>
      </w:r>
      <w:r w:rsidR="004C379A">
        <w:t xml:space="preserve">esignation </w:t>
      </w:r>
      <w:r w:rsidR="00E36678">
        <w:t>– Traditional Permittees</w:t>
      </w:r>
    </w:p>
    <w:p w:rsidR="004C379A" w:rsidP="006E415F" w:rsidRDefault="00294F0F" w14:paraId="3831BFFA" w14:textId="0491971A">
      <w:pPr>
        <w:ind w:left="994"/>
      </w:pPr>
      <w:r>
        <w:t xml:space="preserve">Automatic designation </w:t>
      </w:r>
      <w:r w:rsidR="004C379A">
        <w:t xml:space="preserve">applies to operators of </w:t>
      </w:r>
      <w:r w:rsidR="001F685A">
        <w:t xml:space="preserve">Traditional </w:t>
      </w:r>
      <w:r w:rsidR="00124437">
        <w:t>Small MS4</w:t>
      </w:r>
      <w:r w:rsidR="004C379A">
        <w:t xml:space="preserve">s </w:t>
      </w:r>
      <w:r w:rsidRPr="0065114A" w:rsidR="004C379A">
        <w:t>located within the boundaries of a</w:t>
      </w:r>
      <w:r w:rsidR="004C379A">
        <w:t>n</w:t>
      </w:r>
      <w:r w:rsidRPr="0065114A" w:rsidR="004C379A">
        <w:t xml:space="preserve"> </w:t>
      </w:r>
      <w:r w:rsidRPr="00B62471" w:rsidR="004C379A">
        <w:t>urban area</w:t>
      </w:r>
      <w:r w:rsidR="007D1E66">
        <w:rPr>
          <w:rStyle w:val="FootnoteReference"/>
        </w:rPr>
        <w:footnoteReference w:id="2"/>
      </w:r>
      <w:r w:rsidRPr="00B62471" w:rsidR="004C379A">
        <w:t xml:space="preserve"> with a population of 50,000 or more people</w:t>
      </w:r>
      <w:r w:rsidR="006E415F">
        <w:t xml:space="preserve"> </w:t>
      </w:r>
      <w:r w:rsidRPr="00BB5696" w:rsidR="00BB5696">
        <w:t xml:space="preserve">based on the latest decennial Census. Once a </w:t>
      </w:r>
      <w:r w:rsidR="00124437">
        <w:t>Small MS4</w:t>
      </w:r>
      <w:r w:rsidRPr="00BB5696" w:rsidR="00BB5696">
        <w:t xml:space="preserve"> is </w:t>
      </w:r>
      <w:r w:rsidR="003F545C">
        <w:t xml:space="preserve">automatically </w:t>
      </w:r>
      <w:r w:rsidRPr="00BB5696" w:rsidR="00BB5696">
        <w:t xml:space="preserve">designated, it cannot be removed from the program on the basis </w:t>
      </w:r>
      <w:r w:rsidRPr="00BB5696" w:rsidR="00BB5696">
        <w:t xml:space="preserve">that a subsequent decennial urban area calculation shows that the </w:t>
      </w:r>
      <w:r w:rsidR="00124437">
        <w:t>Small MS4</w:t>
      </w:r>
      <w:r w:rsidRPr="00BB5696" w:rsidR="00BB5696">
        <w:t xml:space="preserve"> is no longer within the urban area with a population of 50,000 or more people.</w:t>
      </w:r>
      <w:r w:rsidRPr="00327766" w:rsidR="00327766">
        <w:t xml:space="preserve"> </w:t>
      </w:r>
    </w:p>
    <w:p w:rsidR="004C379A" w:rsidP="00033FA0" w:rsidRDefault="004A096F" w14:paraId="5583B132" w14:textId="01A715D9">
      <w:pPr>
        <w:pStyle w:val="Heading4-ish"/>
        <w:tabs>
          <w:tab w:val="left" w:pos="1080"/>
        </w:tabs>
      </w:pPr>
      <w:r>
        <w:t>A3.</w:t>
      </w:r>
      <w:r w:rsidR="00ED08E5">
        <w:t>3</w:t>
      </w:r>
      <w:r w:rsidR="004D47B4">
        <w:t>.</w:t>
      </w:r>
      <w:r w:rsidR="00907948">
        <w:t>2</w:t>
      </w:r>
      <w:r w:rsidR="004D47B4">
        <w:t xml:space="preserve"> </w:t>
      </w:r>
      <w:r w:rsidR="004D47B4">
        <w:tab/>
      </w:r>
      <w:r w:rsidR="004D47B4">
        <w:t xml:space="preserve">Case-by-Case Designation by </w:t>
      </w:r>
      <w:r w:rsidR="004F0BCD">
        <w:t xml:space="preserve">State </w:t>
      </w:r>
      <w:r w:rsidR="0071312C">
        <w:t xml:space="preserve">and Regional </w:t>
      </w:r>
      <w:r w:rsidR="00262D4B">
        <w:t xml:space="preserve">Water </w:t>
      </w:r>
      <w:r w:rsidR="0071312C">
        <w:t>Boards</w:t>
      </w:r>
    </w:p>
    <w:p w:rsidRPr="003C24A7" w:rsidR="00542012" w:rsidP="00542012" w:rsidRDefault="003C24A7" w14:paraId="735AF543" w14:textId="235B2D5B">
      <w:pPr>
        <w:pStyle w:val="ListParagraph"/>
        <w:numPr>
          <w:ilvl w:val="0"/>
          <w:numId w:val="84"/>
        </w:numPr>
        <w:ind w:left="1350"/>
        <w:contextualSpacing w:val="0"/>
      </w:pPr>
      <w:r w:rsidRPr="003C24A7">
        <w:t xml:space="preserve">On a case-by-case basis, the </w:t>
      </w:r>
      <w:r w:rsidR="00053A16">
        <w:t xml:space="preserve">State </w:t>
      </w:r>
      <w:r w:rsidR="0071312C">
        <w:t xml:space="preserve">and Regional </w:t>
      </w:r>
      <w:r w:rsidR="00262D4B">
        <w:t xml:space="preserve">Water </w:t>
      </w:r>
      <w:r w:rsidR="0071312C">
        <w:t>Boards</w:t>
      </w:r>
      <w:r w:rsidRPr="003C24A7">
        <w:t xml:space="preserve"> may designate </w:t>
      </w:r>
      <w:r w:rsidR="00124437">
        <w:t>Small MS4</w:t>
      </w:r>
      <w:r w:rsidRPr="003C24A7">
        <w:t>s for regulation other than those subject to automatic nationwide designation</w:t>
      </w:r>
      <w:r w:rsidR="00DB14FB">
        <w:t xml:space="preserve">. </w:t>
      </w:r>
      <w:r w:rsidR="00542012">
        <w:t>T</w:t>
      </w:r>
      <w:r w:rsidRPr="003C24A7" w:rsidR="00542012">
        <w:t xml:space="preserve">he </w:t>
      </w:r>
      <w:r w:rsidR="00542012">
        <w:t xml:space="preserve">State </w:t>
      </w:r>
      <w:r w:rsidR="00310AA7">
        <w:t xml:space="preserve">and Regional </w:t>
      </w:r>
      <w:r w:rsidRPr="003C24A7" w:rsidR="00542012">
        <w:t>Water Board</w:t>
      </w:r>
      <w:r w:rsidR="00310AA7">
        <w:t>s</w:t>
      </w:r>
      <w:r w:rsidRPr="003C24A7" w:rsidR="00542012">
        <w:t xml:space="preserve"> </w:t>
      </w:r>
      <w:r w:rsidR="00A15AD5">
        <w:t>appl</w:t>
      </w:r>
      <w:r w:rsidR="00310AA7">
        <w:t>y</w:t>
      </w:r>
      <w:r w:rsidRPr="003C24A7" w:rsidR="00542012">
        <w:t xml:space="preserve"> a balanced consideration of the following </w:t>
      </w:r>
      <w:r w:rsidR="00542012">
        <w:t xml:space="preserve">case-by-case </w:t>
      </w:r>
      <w:r w:rsidRPr="003C24A7" w:rsidR="00542012">
        <w:t>designation criteria on a watershed or other local basis</w:t>
      </w:r>
      <w:r w:rsidR="00F9576A">
        <w:t xml:space="preserve"> to entities that </w:t>
      </w:r>
      <w:r w:rsidR="00542012">
        <w:t>meet the definition of a</w:t>
      </w:r>
      <w:r w:rsidR="00A15AD5">
        <w:t xml:space="preserve"> traditional or non-traditional</w:t>
      </w:r>
      <w:r w:rsidR="00542012">
        <w:t xml:space="preserve"> </w:t>
      </w:r>
      <w:r w:rsidR="00D0144C">
        <w:t>S</w:t>
      </w:r>
      <w:r w:rsidR="00542012">
        <w:t>mall MS</w:t>
      </w:r>
      <w:r w:rsidR="00F9576A">
        <w:t>4</w:t>
      </w:r>
      <w:r w:rsidR="00542012">
        <w:t>:</w:t>
      </w:r>
      <w:r w:rsidRPr="003C24A7" w:rsidR="00542012">
        <w:t xml:space="preserve"> </w:t>
      </w:r>
    </w:p>
    <w:p w:rsidRPr="003C24A7" w:rsidR="00542012" w:rsidP="00542012" w:rsidRDefault="00542012" w14:paraId="03800720" w14:textId="77777777">
      <w:pPr>
        <w:numPr>
          <w:ilvl w:val="0"/>
          <w:numId w:val="85"/>
        </w:numPr>
        <w:ind w:left="1980" w:hanging="630"/>
        <w:rPr>
          <w:lang w:eastAsia="en-US"/>
        </w:rPr>
      </w:pPr>
      <w:r>
        <w:rPr>
          <w:lang w:eastAsia="en-US"/>
        </w:rPr>
        <w:t>d</w:t>
      </w:r>
      <w:r w:rsidRPr="003C24A7">
        <w:rPr>
          <w:lang w:eastAsia="en-US"/>
        </w:rPr>
        <w:t>ischarge</w:t>
      </w:r>
      <w:r>
        <w:rPr>
          <w:lang w:eastAsia="en-US"/>
        </w:rPr>
        <w:t>s</w:t>
      </w:r>
      <w:r w:rsidRPr="003C24A7">
        <w:rPr>
          <w:lang w:eastAsia="en-US"/>
        </w:rPr>
        <w:t xml:space="preserve"> to sensitive waters. </w:t>
      </w:r>
    </w:p>
    <w:p w:rsidRPr="003C24A7" w:rsidR="00542012" w:rsidP="00542012" w:rsidRDefault="00542012" w14:paraId="619E0CCC" w14:textId="77777777">
      <w:pPr>
        <w:numPr>
          <w:ilvl w:val="0"/>
          <w:numId w:val="85"/>
        </w:numPr>
        <w:ind w:left="1980" w:hanging="630"/>
        <w:rPr>
          <w:lang w:eastAsia="en-US"/>
        </w:rPr>
      </w:pPr>
      <w:r>
        <w:rPr>
          <w:lang w:eastAsia="en-US"/>
        </w:rPr>
        <w:t>has a h</w:t>
      </w:r>
      <w:r w:rsidRPr="003C24A7">
        <w:rPr>
          <w:lang w:eastAsia="en-US"/>
        </w:rPr>
        <w:t xml:space="preserve">igh population density. </w:t>
      </w:r>
    </w:p>
    <w:p w:rsidRPr="003C24A7" w:rsidR="00542012" w:rsidP="00542012" w:rsidRDefault="00542012" w14:paraId="075DD477" w14:textId="77777777">
      <w:pPr>
        <w:numPr>
          <w:ilvl w:val="0"/>
          <w:numId w:val="85"/>
        </w:numPr>
        <w:ind w:left="1980" w:hanging="630"/>
        <w:rPr>
          <w:lang w:eastAsia="en-US"/>
        </w:rPr>
      </w:pPr>
      <w:r>
        <w:rPr>
          <w:lang w:eastAsia="en-US"/>
        </w:rPr>
        <w:t>has a h</w:t>
      </w:r>
      <w:r w:rsidRPr="003C24A7">
        <w:rPr>
          <w:lang w:eastAsia="en-US"/>
        </w:rPr>
        <w:t xml:space="preserve">igh growth or growth potential. </w:t>
      </w:r>
    </w:p>
    <w:p w:rsidRPr="003C24A7" w:rsidR="00542012" w:rsidP="00542012" w:rsidRDefault="00542012" w14:paraId="35AC915A" w14:textId="77777777">
      <w:pPr>
        <w:numPr>
          <w:ilvl w:val="0"/>
          <w:numId w:val="85"/>
        </w:numPr>
        <w:ind w:left="1980" w:hanging="630"/>
        <w:rPr>
          <w:lang w:eastAsia="en-US"/>
        </w:rPr>
      </w:pPr>
      <w:r>
        <w:rPr>
          <w:lang w:eastAsia="en-US"/>
        </w:rPr>
        <w:t>has c</w:t>
      </w:r>
      <w:r w:rsidRPr="003C24A7">
        <w:rPr>
          <w:lang w:eastAsia="en-US"/>
        </w:rPr>
        <w:t xml:space="preserve">ontiguity to an urban area with a population of 50,000 or more people. </w:t>
      </w:r>
    </w:p>
    <w:p w:rsidRPr="003C24A7" w:rsidR="00542012" w:rsidP="00542012" w:rsidRDefault="00965912" w14:paraId="38510569" w14:textId="5E4805DD">
      <w:pPr>
        <w:numPr>
          <w:ilvl w:val="0"/>
          <w:numId w:val="85"/>
        </w:numPr>
        <w:ind w:left="1980" w:hanging="630"/>
        <w:rPr>
          <w:lang w:eastAsia="en-US"/>
        </w:rPr>
      </w:pPr>
      <w:r>
        <w:rPr>
          <w:lang w:eastAsia="en-US"/>
        </w:rPr>
        <w:t>I</w:t>
      </w:r>
      <w:r w:rsidR="00542012">
        <w:rPr>
          <w:lang w:eastAsia="en-US"/>
        </w:rPr>
        <w:t>s</w:t>
      </w:r>
      <w:r>
        <w:rPr>
          <w:lang w:eastAsia="en-US"/>
        </w:rPr>
        <w:t xml:space="preserve"> a</w:t>
      </w:r>
      <w:r w:rsidR="00542012">
        <w:rPr>
          <w:lang w:eastAsia="en-US"/>
        </w:rPr>
        <w:t xml:space="preserve"> s</w:t>
      </w:r>
      <w:r w:rsidRPr="003C24A7" w:rsidR="00542012">
        <w:rPr>
          <w:lang w:eastAsia="en-US"/>
        </w:rPr>
        <w:t xml:space="preserve">ignificant contributor of pollutants to waters of the United States. </w:t>
      </w:r>
    </w:p>
    <w:p w:rsidR="00542012" w:rsidP="00542012" w:rsidRDefault="00965912" w14:paraId="17494D36" w14:textId="2E48154D">
      <w:pPr>
        <w:numPr>
          <w:ilvl w:val="0"/>
          <w:numId w:val="85"/>
        </w:numPr>
        <w:ind w:left="1980" w:hanging="630"/>
        <w:rPr>
          <w:lang w:eastAsia="en-US"/>
        </w:rPr>
      </w:pPr>
      <w:r>
        <w:rPr>
          <w:lang w:eastAsia="en-US"/>
        </w:rPr>
        <w:t>o</w:t>
      </w:r>
      <w:r w:rsidR="005B5BC7">
        <w:rPr>
          <w:lang w:eastAsia="en-US"/>
        </w:rPr>
        <w:t xml:space="preserve">ther </w:t>
      </w:r>
      <w:r w:rsidRPr="003C24A7" w:rsidR="00542012">
        <w:rPr>
          <w:lang w:eastAsia="en-US"/>
        </w:rPr>
        <w:t>programs</w:t>
      </w:r>
      <w:r w:rsidR="00F9576A">
        <w:rPr>
          <w:lang w:eastAsia="en-US"/>
        </w:rPr>
        <w:t xml:space="preserve"> are not effectively protective of water quality</w:t>
      </w:r>
      <w:r w:rsidRPr="003C24A7" w:rsidR="00542012">
        <w:rPr>
          <w:lang w:eastAsia="en-US"/>
        </w:rPr>
        <w:t>.</w:t>
      </w:r>
    </w:p>
    <w:p w:rsidR="00542012" w:rsidP="00542012" w:rsidRDefault="00542012" w14:paraId="7223CFB4" w14:textId="77777777">
      <w:pPr>
        <w:numPr>
          <w:ilvl w:val="0"/>
          <w:numId w:val="85"/>
        </w:numPr>
        <w:ind w:left="1980" w:hanging="630"/>
        <w:rPr>
          <w:lang w:eastAsia="en-US"/>
        </w:rPr>
      </w:pPr>
      <w:r>
        <w:rPr>
          <w:lang w:eastAsia="en-US"/>
        </w:rPr>
        <w:t>discharges to an ASBS.</w:t>
      </w:r>
    </w:p>
    <w:p w:rsidRPr="003C24A7" w:rsidR="00542012" w:rsidP="00542012" w:rsidRDefault="00542012" w14:paraId="62E42A58" w14:textId="77777777">
      <w:pPr>
        <w:numPr>
          <w:ilvl w:val="0"/>
          <w:numId w:val="85"/>
        </w:numPr>
        <w:ind w:left="1980" w:hanging="630"/>
        <w:rPr>
          <w:lang w:eastAsia="en-US"/>
        </w:rPr>
      </w:pPr>
      <w:r>
        <w:rPr>
          <w:lang w:eastAsia="en-US"/>
        </w:rPr>
        <w:t xml:space="preserve">other criteria. </w:t>
      </w:r>
    </w:p>
    <w:p w:rsidRPr="00D260CF" w:rsidR="00CA5F23" w:rsidP="00E8254E" w:rsidRDefault="00804C1C" w14:paraId="0919DD60" w14:textId="556D5399">
      <w:pPr>
        <w:pStyle w:val="ListParagraph"/>
        <w:numPr>
          <w:ilvl w:val="0"/>
          <w:numId w:val="84"/>
        </w:numPr>
        <w:ind w:left="1350"/>
        <w:contextualSpacing w:val="0"/>
      </w:pPr>
      <w:r w:rsidRPr="00D260CF">
        <w:t xml:space="preserve">The </w:t>
      </w:r>
      <w:r w:rsidRPr="00D260CF" w:rsidR="003C24A7">
        <w:t xml:space="preserve">designation criteria </w:t>
      </w:r>
      <w:r w:rsidR="009B1E2D">
        <w:t>are</w:t>
      </w:r>
      <w:r w:rsidRPr="00D260CF" w:rsidR="009B1E2D">
        <w:t xml:space="preserve"> </w:t>
      </w:r>
      <w:r w:rsidRPr="00D260CF" w:rsidR="002C18AC">
        <w:t>applied</w:t>
      </w:r>
      <w:r w:rsidRPr="00D260CF" w:rsidR="003C24A7">
        <w:t xml:space="preserve">, at a minimum, to </w:t>
      </w:r>
      <w:r w:rsidR="001442EA">
        <w:t xml:space="preserve">entities that meet the definition of a traditional or non-traditional </w:t>
      </w:r>
      <w:r w:rsidR="00D0144C">
        <w:t>S</w:t>
      </w:r>
      <w:r w:rsidRPr="00D260CF" w:rsidR="003C24A7">
        <w:t>mall MS4</w:t>
      </w:r>
      <w:r w:rsidR="00130C20">
        <w:t xml:space="preserve"> that</w:t>
      </w:r>
      <w:r w:rsidR="000C6CA5">
        <w:t xml:space="preserve"> are located outside of an urban area with a population of 50,000 or more people and</w:t>
      </w:r>
      <w:r w:rsidR="00130C20">
        <w:t>:</w:t>
      </w:r>
      <w:r w:rsidRPr="00D260CF" w:rsidR="003C24A7">
        <w:t xml:space="preserve"> </w:t>
      </w:r>
    </w:p>
    <w:p w:rsidR="00CA5F23" w:rsidP="00E8254E" w:rsidRDefault="00246229" w14:paraId="04335357" w14:textId="0BA3E705">
      <w:pPr>
        <w:pStyle w:val="ListParagraph"/>
        <w:numPr>
          <w:ilvl w:val="1"/>
          <w:numId w:val="84"/>
        </w:numPr>
        <w:ind w:left="1890" w:hanging="540"/>
        <w:contextualSpacing w:val="0"/>
      </w:pPr>
      <w:r>
        <w:t>A</w:t>
      </w:r>
      <w:r w:rsidR="00E8222F">
        <w:t>re</w:t>
      </w:r>
      <w:r w:rsidRPr="00D260CF" w:rsidR="003C24A7">
        <w:t xml:space="preserve"> serving a jurisdiction with a population of at least 10,000 and a population density of at least 1,000 people/square mile</w:t>
      </w:r>
      <w:r w:rsidR="00A12C04">
        <w:t>; or</w:t>
      </w:r>
      <w:r w:rsidRPr="00D260CF" w:rsidR="003C24A7">
        <w:t xml:space="preserve"> </w:t>
      </w:r>
    </w:p>
    <w:p w:rsidRPr="00D260CF" w:rsidR="00946478" w:rsidP="00E8254E" w:rsidRDefault="00716A18" w14:paraId="4C573C10" w14:textId="2D107325">
      <w:pPr>
        <w:pStyle w:val="ListParagraph"/>
        <w:numPr>
          <w:ilvl w:val="1"/>
          <w:numId w:val="84"/>
        </w:numPr>
        <w:ind w:left="1890" w:hanging="540"/>
        <w:contextualSpacing w:val="0"/>
      </w:pPr>
      <w:r>
        <w:t>That d</w:t>
      </w:r>
      <w:r w:rsidR="00EC66B0">
        <w:t>ischarge to Areas of Special Biological Significance as defined in the California Ocean Plan</w:t>
      </w:r>
      <w:r w:rsidR="008B3DAA">
        <w:t>; or</w:t>
      </w:r>
    </w:p>
    <w:p w:rsidR="00D07BBB" w:rsidP="00E8254E" w:rsidRDefault="00A95557" w14:paraId="41C9BF92" w14:textId="77777777">
      <w:pPr>
        <w:pStyle w:val="ListParagraph"/>
        <w:numPr>
          <w:ilvl w:val="1"/>
          <w:numId w:val="84"/>
        </w:numPr>
        <w:ind w:left="1890" w:hanging="540"/>
        <w:contextualSpacing w:val="0"/>
      </w:pPr>
      <w:r w:rsidRPr="00D260CF">
        <w:t>T</w:t>
      </w:r>
      <w:r w:rsidRPr="00D260CF" w:rsidR="003C24A7">
        <w:t xml:space="preserve">hat have caused, or have the potential to cause, an adverse impact on water quality. </w:t>
      </w:r>
    </w:p>
    <w:p w:rsidR="000C5D90" w:rsidP="00D07BBB" w:rsidRDefault="00033870" w14:paraId="18C0AE60" w14:textId="553ADD2E">
      <w:pPr>
        <w:ind w:left="1080"/>
      </w:pPr>
      <w:r w:rsidRPr="00D260CF">
        <w:t>The State Water Board has discretion to apply the criteria</w:t>
      </w:r>
      <w:r w:rsidR="00C4157A">
        <w:t xml:space="preserve"> above</w:t>
      </w:r>
      <w:r w:rsidRPr="00D260CF">
        <w:t xml:space="preserve"> to jurisdictions with smaller population or lower</w:t>
      </w:r>
      <w:r w:rsidRPr="001814E9">
        <w:t xml:space="preserve"> density. </w:t>
      </w:r>
    </w:p>
    <w:p w:rsidR="00581933" w:rsidP="004E2AEC" w:rsidRDefault="00C21383" w14:paraId="1746F912" w14:textId="1D2280E8">
      <w:pPr>
        <w:ind w:left="1080"/>
      </w:pPr>
      <w:r>
        <w:t>Additionally</w:t>
      </w:r>
      <w:r w:rsidR="000B6317">
        <w:t xml:space="preserve">, the State Water Board is required to </w:t>
      </w:r>
      <w:r w:rsidR="00787188">
        <w:t>designate</w:t>
      </w:r>
      <w:r w:rsidR="00864502">
        <w:t xml:space="preserve"> a</w:t>
      </w:r>
      <w:r w:rsidRPr="00DC4164" w:rsidR="00DC4164">
        <w:t xml:space="preserve">ny </w:t>
      </w:r>
      <w:r w:rsidR="00983E2A">
        <w:t>S</w:t>
      </w:r>
      <w:r w:rsidRPr="00DC4164" w:rsidR="00DC4164">
        <w:t xml:space="preserve">mall MS4 that contributes substantially to the pollutant loadings of a physically interconnected </w:t>
      </w:r>
      <w:r w:rsidR="00787188">
        <w:t>regulated MS4</w:t>
      </w:r>
      <w:r w:rsidR="00756250">
        <w:t xml:space="preserve"> (40 </w:t>
      </w:r>
      <w:r w:rsidR="000561B6">
        <w:t>C.F.R.</w:t>
      </w:r>
      <w:r w:rsidR="00756250">
        <w:t xml:space="preserve"> 123.35(b)(4)).</w:t>
      </w:r>
      <w:r w:rsidR="007464FA">
        <w:t xml:space="preserve"> </w:t>
      </w:r>
      <w:r w:rsidRPr="00364797" w:rsidR="00364797">
        <w:t xml:space="preserve">A </w:t>
      </w:r>
      <w:r w:rsidR="00124437">
        <w:t>Small MS4</w:t>
      </w:r>
      <w:r w:rsidRPr="00364797" w:rsidR="00364797">
        <w:t xml:space="preserve"> is interconnected with a separately permitted MS4 if storm water that has entered the Small MS4 is allowed to flow</w:t>
      </w:r>
      <w:r w:rsidR="00364797">
        <w:t xml:space="preserve"> </w:t>
      </w:r>
      <w:r w:rsidRPr="00364797" w:rsidR="00364797">
        <w:t xml:space="preserve">directly into a permitted MS4. </w:t>
      </w:r>
      <w:r w:rsidR="00364797">
        <w:t xml:space="preserve">A </w:t>
      </w:r>
      <w:r w:rsidR="001E0D1E">
        <w:t xml:space="preserve">Small </w:t>
      </w:r>
      <w:r w:rsidRPr="000E741A" w:rsidR="000E741A">
        <w:t>MS4</w:t>
      </w:r>
      <w:r w:rsidR="00364797">
        <w:t xml:space="preserve"> </w:t>
      </w:r>
      <w:r w:rsidR="004C4A70">
        <w:t>whose</w:t>
      </w:r>
      <w:r w:rsidRPr="000E741A" w:rsidR="000E741A">
        <w:t xml:space="preserve"> discharge makes up more than 10 percent of the other </w:t>
      </w:r>
      <w:r w:rsidRPr="000E741A" w:rsidR="000E741A">
        <w:t>permitted MS4's total stormwater volume</w:t>
      </w:r>
      <w:r w:rsidR="004C4A70">
        <w:t xml:space="preserve"> is presumed to be</w:t>
      </w:r>
      <w:r w:rsidRPr="000E741A" w:rsidR="000E741A">
        <w:t xml:space="preserve"> a significant contributor of pollutants to the permitted MS4</w:t>
      </w:r>
      <w:r w:rsidR="003253DD">
        <w:t>.</w:t>
      </w:r>
    </w:p>
    <w:p w:rsidR="00AB6F82" w:rsidP="007348D2" w:rsidRDefault="00AB6F82" w14:paraId="774ECAF3" w14:textId="733DDD83">
      <w:pPr>
        <w:pStyle w:val="Heading4-ish"/>
        <w:tabs>
          <w:tab w:val="clear" w:pos="1260"/>
        </w:tabs>
      </w:pPr>
      <w:r>
        <w:t>A3.</w:t>
      </w:r>
      <w:r w:rsidR="00ED08E5">
        <w:t>3</w:t>
      </w:r>
      <w:r>
        <w:t>.</w:t>
      </w:r>
      <w:r w:rsidR="00907948">
        <w:t>3</w:t>
      </w:r>
      <w:r>
        <w:tab/>
      </w:r>
      <w:r w:rsidR="00B22BEF">
        <w:t xml:space="preserve">Separate Implementing Entity </w:t>
      </w:r>
      <w:r w:rsidRPr="00AB6F82">
        <w:t>(C</w:t>
      </w:r>
      <w:r w:rsidR="00B22BEF">
        <w:t>o</w:t>
      </w:r>
      <w:r w:rsidRPr="00AB6F82">
        <w:t>-</w:t>
      </w:r>
      <w:r w:rsidR="00B22BEF">
        <w:t>Permittees</w:t>
      </w:r>
      <w:r w:rsidRPr="00AB6F82">
        <w:t>)</w:t>
      </w:r>
    </w:p>
    <w:p w:rsidR="00B22BEF" w:rsidP="0014798A" w:rsidRDefault="001F6288" w14:paraId="48E7FF30" w14:textId="68628B8C">
      <w:pPr>
        <w:ind w:left="1080"/>
      </w:pPr>
      <w:r w:rsidRPr="001F532E">
        <w:t>A Separate Implementing Entity is a</w:t>
      </w:r>
      <w:r w:rsidR="00320C29">
        <w:t xml:space="preserve"> separate third-party</w:t>
      </w:r>
      <w:r w:rsidRPr="001F532E">
        <w:t xml:space="preserve"> entity that a </w:t>
      </w:r>
      <w:r w:rsidR="00952041">
        <w:t>S</w:t>
      </w:r>
      <w:r w:rsidRPr="001F532E" w:rsidR="00952041">
        <w:t xml:space="preserve">mall </w:t>
      </w:r>
      <w:r w:rsidRPr="001F532E">
        <w:t xml:space="preserve">MS4 </w:t>
      </w:r>
      <w:r>
        <w:t>P</w:t>
      </w:r>
      <w:r w:rsidRPr="001F532E">
        <w:t xml:space="preserve">ermittee can rely on to implement some or all of its minimum control measures as required </w:t>
      </w:r>
      <w:r w:rsidR="007135C3">
        <w:t>under this Order</w:t>
      </w:r>
      <w:r w:rsidRPr="001F532E">
        <w:t>.</w:t>
      </w:r>
      <w:r>
        <w:t xml:space="preserve"> </w:t>
      </w:r>
      <w:r w:rsidRPr="001F532E">
        <w:t xml:space="preserve">The Separate Implementing Entity implements the measures on behalf of the </w:t>
      </w:r>
      <w:r w:rsidR="007135C3">
        <w:t xml:space="preserve">Small MS4 </w:t>
      </w:r>
      <w:r>
        <w:t>P</w:t>
      </w:r>
      <w:r w:rsidRPr="001F532E">
        <w:t>ermittee</w:t>
      </w:r>
      <w:r w:rsidR="00903DE1">
        <w:t xml:space="preserve">. </w:t>
      </w:r>
      <w:r w:rsidRPr="001F532E">
        <w:t xml:space="preserve">This allows </w:t>
      </w:r>
      <w:r w:rsidR="003D6A50">
        <w:t xml:space="preserve">a </w:t>
      </w:r>
      <w:r w:rsidR="00C57135">
        <w:t xml:space="preserve">Small </w:t>
      </w:r>
      <w:r w:rsidRPr="001F532E" w:rsidR="003D6A50">
        <w:t>MS4</w:t>
      </w:r>
      <w:r w:rsidR="003D6A50">
        <w:t xml:space="preserve"> Permittee</w:t>
      </w:r>
      <w:r w:rsidRPr="001F532E">
        <w:t>, such as a town or city, to share responsibility with other organizations like counties, government agencies, or non-profits, which are the Separate Implementing Entities.</w:t>
      </w:r>
      <w:r>
        <w:t xml:space="preserve"> </w:t>
      </w:r>
      <w:r w:rsidR="00B22BEF">
        <w:t>Some Small MS4</w:t>
      </w:r>
      <w:r w:rsidR="003D6A50">
        <w:t xml:space="preserve"> Permittees </w:t>
      </w:r>
      <w:r w:rsidR="00B22BEF">
        <w:t>s may lack the necessary legal authority to implement one or more of the required minimum control measures require</w:t>
      </w:r>
      <w:r w:rsidR="00FA5B83">
        <w:t>d</w:t>
      </w:r>
      <w:r w:rsidR="00B22BEF">
        <w:t xml:space="preserve"> under this Order. In these situations, the Small MS4 </w:t>
      </w:r>
      <w:r w:rsidR="003D6A50">
        <w:t xml:space="preserve">Permittee </w:t>
      </w:r>
      <w:r w:rsidR="00FA5B83">
        <w:t>may</w:t>
      </w:r>
      <w:r w:rsidR="00B22BEF">
        <w:t xml:space="preserve"> work with the neighboring regulated MS4s</w:t>
      </w:r>
      <w:r w:rsidR="00AD3D8A">
        <w:t>.</w:t>
      </w:r>
      <w:r w:rsidR="00B22BEF">
        <w:rPr>
          <w:rStyle w:val="FootnoteReference"/>
        </w:rPr>
        <w:footnoteReference w:id="3"/>
      </w:r>
      <w:r w:rsidR="00B22BEF">
        <w:t xml:space="preserve"> </w:t>
      </w:r>
      <w:r w:rsidR="00173367">
        <w:t>T</w:t>
      </w:r>
      <w:r w:rsidRPr="001F532E" w:rsidR="00173367">
        <w:t>he</w:t>
      </w:r>
      <w:r w:rsidR="00173367">
        <w:t xml:space="preserve"> Small MS4 P</w:t>
      </w:r>
      <w:r w:rsidRPr="001F532E" w:rsidR="00173367">
        <w:t>ermittee</w:t>
      </w:r>
      <w:r w:rsidR="00173367">
        <w:t xml:space="preserve"> </w:t>
      </w:r>
      <w:r w:rsidRPr="001F532E" w:rsidR="00173367">
        <w:t xml:space="preserve">remains ultimately responsible for </w:t>
      </w:r>
      <w:r w:rsidR="00173367">
        <w:t>meeting this Order’s requirements</w:t>
      </w:r>
      <w:r w:rsidRPr="001F532E" w:rsidR="00173367">
        <w:t>.</w:t>
      </w:r>
    </w:p>
    <w:p w:rsidR="00D2123C" w:rsidP="00B45F12" w:rsidRDefault="00D2123C" w14:paraId="6C9DC822" w14:textId="2E31004D">
      <w:pPr>
        <w:pStyle w:val="Heading4-ish"/>
      </w:pPr>
      <w:r>
        <w:t>A3.3.</w:t>
      </w:r>
      <w:r w:rsidR="00202C7E">
        <w:t>4</w:t>
      </w:r>
      <w:r>
        <w:tab/>
      </w:r>
      <w:r>
        <w:t>Limited Co-Permittee</w:t>
      </w:r>
    </w:p>
    <w:p w:rsidR="00D2123C" w:rsidP="007348D2" w:rsidRDefault="00000824" w14:paraId="7C13BAA2" w14:textId="1304282B">
      <w:pPr>
        <w:ind w:left="1080"/>
      </w:pPr>
      <w:r w:rsidRPr="00000824">
        <w:t xml:space="preserve">If the regulated </w:t>
      </w:r>
      <w:r w:rsidR="00124437">
        <w:t>Small MS4</w:t>
      </w:r>
      <w:r w:rsidRPr="00000824">
        <w:t xml:space="preserve"> is in the same urban area as a medium or large MS4 with an NPDES storm water permit and that other MS4 is willing to have the </w:t>
      </w:r>
      <w:r w:rsidR="00124437">
        <w:t>Small MS4</w:t>
      </w:r>
      <w:r w:rsidRPr="00000824">
        <w:t xml:space="preserve"> operator participate in its storm water program, the parties may jointly seek a modification of the other MS4 permit to include the </w:t>
      </w:r>
      <w:r w:rsidR="00124437">
        <w:t>Small MS4</w:t>
      </w:r>
      <w:r w:rsidRPr="00000824">
        <w:t xml:space="preserve"> operator as a limited co-permittee. </w:t>
      </w:r>
      <w:r w:rsidRPr="00ED4B66" w:rsidR="00ED4B66">
        <w:t xml:space="preserve">A </w:t>
      </w:r>
      <w:r w:rsidR="00124437">
        <w:t>Small MS4</w:t>
      </w:r>
      <w:r w:rsidRPr="00ED4B66" w:rsidR="00ED4B66">
        <w:t xml:space="preserve"> co-permittee is a smaller public entity that, along with other municipalities, shares responsibility for a single stormwater permit under a joint agreement. </w:t>
      </w:r>
      <w:r w:rsidRPr="00760EA3" w:rsidR="00D2123C">
        <w:t>The applicability of this Order is automatically terminated on the effective date of the joint permit or the date of approval for coverage under the alternative general permit.</w:t>
      </w:r>
      <w:r w:rsidR="00D2123C">
        <w:t xml:space="preserve"> </w:t>
      </w:r>
      <w:r w:rsidR="00D43597">
        <w:t>(</w:t>
      </w:r>
      <w:r w:rsidR="00D2123C">
        <w:t xml:space="preserve">40 C.F.R. </w:t>
      </w:r>
      <w:r w:rsidR="007A2734">
        <w:t>§</w:t>
      </w:r>
      <w:r w:rsidRPr="00457656" w:rsidR="00D2123C">
        <w:t>122.34(b)(3)</w:t>
      </w:r>
      <w:r w:rsidR="00D2123C">
        <w:t xml:space="preserve"> and </w:t>
      </w:r>
      <w:r w:rsidR="007A2734">
        <w:t>§</w:t>
      </w:r>
      <w:r w:rsidRPr="004D2ABA" w:rsidR="00D2123C">
        <w:t>122.28(b)(3)</w:t>
      </w:r>
      <w:r w:rsidR="00AC4E2F">
        <w:t>)</w:t>
      </w:r>
      <w:r w:rsidR="00D2123C">
        <w:t>.</w:t>
      </w:r>
    </w:p>
    <w:p w:rsidRPr="0059459F" w:rsidR="00785CBF" w:rsidP="003F611F" w:rsidRDefault="00785CBF" w14:paraId="2FBE4B34" w14:textId="564D13BE">
      <w:pPr>
        <w:ind w:left="1260" w:hanging="1350"/>
        <w:rPr>
          <w:b/>
          <w:bCs/>
          <w:i/>
          <w:iCs/>
        </w:rPr>
      </w:pPr>
      <w:r w:rsidRPr="0059459F">
        <w:rPr>
          <w:b/>
          <w:bCs/>
          <w:i/>
          <w:iCs/>
        </w:rPr>
        <w:t>A3.3.5</w:t>
      </w:r>
      <w:r w:rsidRPr="0059459F">
        <w:rPr>
          <w:b/>
          <w:bCs/>
          <w:i/>
          <w:iCs/>
        </w:rPr>
        <w:tab/>
      </w:r>
      <w:r w:rsidRPr="0059459F">
        <w:rPr>
          <w:b/>
          <w:bCs/>
          <w:i/>
          <w:iCs/>
        </w:rPr>
        <w:t>Census Designated Place</w:t>
      </w:r>
    </w:p>
    <w:p w:rsidRPr="00196409" w:rsidR="003037AA" w:rsidP="003037AA" w:rsidRDefault="0059459F" w14:paraId="0049FD3C" w14:textId="55BDE958">
      <w:pPr>
        <w:ind w:left="1080"/>
        <w:rPr>
          <w:rFonts w:eastAsiaTheme="majorEastAsia"/>
          <w:bCs/>
          <w:iCs/>
          <w:shd w:val="clear" w:color="auto" w:fill="FFFFFF" w:themeFill="background1"/>
        </w:rPr>
      </w:pPr>
      <w:r w:rsidRPr="0059459F">
        <w:t xml:space="preserve">A </w:t>
      </w:r>
      <w:r w:rsidR="001923E2">
        <w:t>C</w:t>
      </w:r>
      <w:r w:rsidRPr="0059459F">
        <w:t xml:space="preserve">ensus </w:t>
      </w:r>
      <w:r w:rsidR="001923E2">
        <w:t>D</w:t>
      </w:r>
      <w:r w:rsidRPr="0059459F">
        <w:t xml:space="preserve">esignated </w:t>
      </w:r>
      <w:r w:rsidR="001923E2">
        <w:t>P</w:t>
      </w:r>
      <w:r w:rsidRPr="0059459F">
        <w:t>lace is a concentration of population defined by the US Census Bureau for statistical purposes that i</w:t>
      </w:r>
      <w:r w:rsidR="00B45176">
        <w:t>s</w:t>
      </w:r>
      <w:r w:rsidRPr="0059459F">
        <w:t xml:space="preserve"> not an incorporated municipality. A Census Designated Place does not have its own legal government with elected officials</w:t>
      </w:r>
      <w:r w:rsidR="003D6E8F">
        <w:t xml:space="preserve"> and</w:t>
      </w:r>
      <w:r w:rsidR="00581659">
        <w:t xml:space="preserve"> </w:t>
      </w:r>
      <w:r w:rsidR="003D6E8F">
        <w:t>p</w:t>
      </w:r>
      <w:r w:rsidR="00F7458C">
        <w:t>ublic s</w:t>
      </w:r>
      <w:r w:rsidRPr="0059459F">
        <w:t>ervices are typically handled by the county</w:t>
      </w:r>
      <w:r w:rsidR="003037AA">
        <w:t>.</w:t>
      </w:r>
      <w:r w:rsidRPr="00196409" w:rsidR="003037AA">
        <w:rPr>
          <w:rFonts w:eastAsiaTheme="majorEastAsia"/>
          <w:bCs/>
          <w:iCs/>
          <w:shd w:val="clear" w:color="auto" w:fill="FFFFFF" w:themeFill="background1"/>
        </w:rPr>
        <w:t xml:space="preserve"> </w:t>
      </w:r>
    </w:p>
    <w:p w:rsidRPr="00196409" w:rsidR="000E6E9E" w:rsidP="00366AA7" w:rsidRDefault="00DE0C93" w14:paraId="70837CCD" w14:textId="4C37F28E">
      <w:pPr>
        <w:pStyle w:val="Heading3"/>
        <w:tabs>
          <w:tab w:val="clear" w:pos="720"/>
          <w:tab w:val="left" w:pos="900"/>
        </w:tabs>
        <w:ind w:left="900" w:hanging="900"/>
        <w:rPr>
          <w:rFonts w:hint="eastAsia" w:eastAsiaTheme="majorEastAsia"/>
          <w:bCs w:val="0"/>
          <w:iCs/>
          <w:shd w:val="clear" w:color="auto" w:fill="FFFFFF" w:themeFill="background1"/>
        </w:rPr>
      </w:pPr>
      <w:r>
        <w:rPr>
          <w:rFonts w:eastAsiaTheme="majorEastAsia"/>
          <w:bCs w:val="0"/>
          <w:iCs/>
          <w:shd w:val="clear" w:color="auto" w:fill="FFFFFF" w:themeFill="background1"/>
        </w:rPr>
        <w:t>A3.</w:t>
      </w:r>
      <w:r w:rsidR="00C62EB7">
        <w:rPr>
          <w:rFonts w:eastAsiaTheme="majorEastAsia"/>
          <w:bCs w:val="0"/>
          <w:iCs/>
          <w:shd w:val="clear" w:color="auto" w:fill="FFFFFF" w:themeFill="background1"/>
        </w:rPr>
        <w:t>4</w:t>
      </w:r>
      <w:r>
        <w:rPr>
          <w:rFonts w:eastAsiaTheme="majorEastAsia"/>
          <w:bCs w:val="0"/>
          <w:iCs/>
          <w:shd w:val="clear" w:color="auto" w:fill="FFFFFF" w:themeFill="background1"/>
        </w:rPr>
        <w:tab/>
      </w:r>
      <w:r>
        <w:rPr>
          <w:rFonts w:eastAsiaTheme="majorEastAsia"/>
          <w:bCs w:val="0"/>
          <w:iCs/>
          <w:shd w:val="clear" w:color="auto" w:fill="FFFFFF" w:themeFill="background1"/>
        </w:rPr>
        <w:t>Application</w:t>
      </w:r>
      <w:r w:rsidRPr="00196409" w:rsidR="009F1B3D">
        <w:rPr>
          <w:rFonts w:eastAsiaTheme="majorEastAsia"/>
          <w:bCs w:val="0"/>
          <w:iCs/>
          <w:shd w:val="clear" w:color="auto" w:fill="FFFFFF" w:themeFill="background1"/>
        </w:rPr>
        <w:t xml:space="preserve"> for Coverage</w:t>
      </w:r>
    </w:p>
    <w:p w:rsidR="009F1B3D" w:rsidP="00B20E40" w:rsidRDefault="007D3AF3" w14:paraId="22C601D7" w14:textId="3F51DDC9">
      <w:pPr>
        <w:ind w:left="900"/>
        <w:rPr>
          <w:lang w:eastAsia="en-US"/>
        </w:rPr>
      </w:pPr>
      <w:r w:rsidRPr="007D3AF3">
        <w:rPr>
          <w:lang w:eastAsia="en-US"/>
        </w:rPr>
        <w:t xml:space="preserve">To apply </w:t>
      </w:r>
      <w:r>
        <w:rPr>
          <w:lang w:eastAsia="en-US"/>
        </w:rPr>
        <w:t xml:space="preserve">or re-apply </w:t>
      </w:r>
      <w:r w:rsidRPr="007D3AF3">
        <w:rPr>
          <w:lang w:eastAsia="en-US"/>
        </w:rPr>
        <w:t xml:space="preserve">for coverage authorizing </w:t>
      </w:r>
      <w:r w:rsidR="003253DD">
        <w:rPr>
          <w:lang w:eastAsia="en-US"/>
        </w:rPr>
        <w:t>stormwater</w:t>
      </w:r>
      <w:r w:rsidRPr="007D3AF3">
        <w:rPr>
          <w:lang w:eastAsia="en-US"/>
        </w:rPr>
        <w:t xml:space="preserve"> discharges pursuant to this Order, the Permittees shall electronically file a Notice of Intent using SMARTS and </w:t>
      </w:r>
      <w:r w:rsidR="00AA6CF4">
        <w:rPr>
          <w:lang w:eastAsia="en-US"/>
        </w:rPr>
        <w:t xml:space="preserve">shall </w:t>
      </w:r>
      <w:r w:rsidRPr="007D3AF3">
        <w:rPr>
          <w:lang w:eastAsia="en-US"/>
        </w:rPr>
        <w:t xml:space="preserve">mail the appropriate permit fee to the State Water Board. </w:t>
      </w:r>
      <w:r w:rsidRPr="007D3AF3">
        <w:rPr>
          <w:lang w:eastAsia="en-US"/>
        </w:rPr>
        <w:t xml:space="preserve">The </w:t>
      </w:r>
      <w:r w:rsidRPr="007D3AF3" w:rsidR="00304A04">
        <w:rPr>
          <w:lang w:eastAsia="en-US"/>
        </w:rPr>
        <w:t>Notice of Intent</w:t>
      </w:r>
      <w:r w:rsidRPr="007D3AF3">
        <w:rPr>
          <w:lang w:eastAsia="en-US"/>
        </w:rPr>
        <w:t xml:space="preserve"> represents the Permittee’s commitment to comply with this Order</w:t>
      </w:r>
      <w:r w:rsidR="00BD3DAA">
        <w:rPr>
          <w:lang w:eastAsia="en-US"/>
        </w:rPr>
        <w:t>, including the BMP require</w:t>
      </w:r>
      <w:r w:rsidR="00387239">
        <w:rPr>
          <w:lang w:eastAsia="en-US"/>
        </w:rPr>
        <w:t>m</w:t>
      </w:r>
      <w:r w:rsidR="00BD3DAA">
        <w:rPr>
          <w:lang w:eastAsia="en-US"/>
        </w:rPr>
        <w:t>ents</w:t>
      </w:r>
      <w:r w:rsidR="00C9343F">
        <w:rPr>
          <w:lang w:eastAsia="en-US"/>
        </w:rPr>
        <w:t xml:space="preserve"> of this Order in lieu of propos</w:t>
      </w:r>
      <w:r w:rsidR="00E44630">
        <w:rPr>
          <w:lang w:eastAsia="en-US"/>
        </w:rPr>
        <w:t>ing BMP practices</w:t>
      </w:r>
      <w:r w:rsidR="00AA6CF4">
        <w:rPr>
          <w:lang w:eastAsia="en-US"/>
        </w:rPr>
        <w:t xml:space="preserve">. Order Attachment </w:t>
      </w:r>
      <w:r w:rsidR="005E2472">
        <w:rPr>
          <w:lang w:eastAsia="en-US"/>
        </w:rPr>
        <w:t>C</w:t>
      </w:r>
      <w:r w:rsidR="00AA6CF4">
        <w:rPr>
          <w:lang w:eastAsia="en-US"/>
        </w:rPr>
        <w:t xml:space="preserve"> provides </w:t>
      </w:r>
      <w:r w:rsidR="00101D64">
        <w:rPr>
          <w:lang w:eastAsia="en-US"/>
        </w:rPr>
        <w:t xml:space="preserve">additional </w:t>
      </w:r>
      <w:r w:rsidR="00AA6CF4">
        <w:rPr>
          <w:lang w:eastAsia="en-US"/>
        </w:rPr>
        <w:t xml:space="preserve">information on the </w:t>
      </w:r>
      <w:r w:rsidR="009F4C80">
        <w:rPr>
          <w:lang w:eastAsia="en-US"/>
        </w:rPr>
        <w:t xml:space="preserve">application process. </w:t>
      </w:r>
    </w:p>
    <w:p w:rsidR="00BA644C" w:rsidP="00B20E40" w:rsidRDefault="00D943FF" w14:paraId="73192303" w14:textId="43B95C72">
      <w:pPr>
        <w:ind w:left="900"/>
        <w:rPr>
          <w:lang w:eastAsia="en-US"/>
        </w:rPr>
      </w:pPr>
      <w:r>
        <w:rPr>
          <w:lang w:eastAsia="en-US"/>
        </w:rPr>
        <w:t xml:space="preserve">For a Permittee that </w:t>
      </w:r>
      <w:r w:rsidR="00DA25B3">
        <w:rPr>
          <w:lang w:eastAsia="en-US"/>
        </w:rPr>
        <w:t xml:space="preserve">designates a </w:t>
      </w:r>
      <w:r>
        <w:rPr>
          <w:lang w:eastAsia="en-US"/>
        </w:rPr>
        <w:t>Separate Implementing En</w:t>
      </w:r>
      <w:r w:rsidR="00DA25B3">
        <w:rPr>
          <w:lang w:eastAsia="en-US"/>
        </w:rPr>
        <w:t>tity to implement some or all of the Permittee’s obligations under this Order</w:t>
      </w:r>
      <w:r w:rsidR="00AE2F1F">
        <w:rPr>
          <w:lang w:eastAsia="en-US"/>
        </w:rPr>
        <w:t xml:space="preserve">, the Permittee must submit a Notice of Intent and </w:t>
      </w:r>
      <w:r w:rsidR="00BF7728">
        <w:rPr>
          <w:lang w:eastAsia="en-US"/>
        </w:rPr>
        <w:t xml:space="preserve">name the other entity, </w:t>
      </w:r>
      <w:r w:rsidR="00AE2F1F">
        <w:rPr>
          <w:lang w:eastAsia="en-US"/>
        </w:rPr>
        <w:t xml:space="preserve">identify which </w:t>
      </w:r>
      <w:r w:rsidR="00396127">
        <w:rPr>
          <w:lang w:eastAsia="en-US"/>
        </w:rPr>
        <w:t>sections of this Order will be delegated to the Separate Implementing Entity</w:t>
      </w:r>
      <w:r w:rsidR="007644D0">
        <w:rPr>
          <w:lang w:eastAsia="en-US"/>
        </w:rPr>
        <w:t xml:space="preserve">, and which sections of this Order </w:t>
      </w:r>
      <w:r w:rsidR="00A31C5F">
        <w:rPr>
          <w:lang w:eastAsia="en-US"/>
        </w:rPr>
        <w:t>the Permittee will handle itself</w:t>
      </w:r>
      <w:r w:rsidR="00396127">
        <w:rPr>
          <w:lang w:eastAsia="en-US"/>
        </w:rPr>
        <w:t xml:space="preserve">. </w:t>
      </w:r>
    </w:p>
    <w:p w:rsidR="00BD122A" w:rsidP="00B20E40" w:rsidRDefault="003F266A" w14:paraId="6AE27889" w14:textId="2B339C7B">
      <w:pPr>
        <w:ind w:left="900"/>
        <w:rPr>
          <w:lang w:eastAsia="en-US"/>
        </w:rPr>
      </w:pPr>
      <w:r w:rsidRPr="003F266A">
        <w:rPr>
          <w:lang w:eastAsia="en-US"/>
        </w:rPr>
        <w:t>The county</w:t>
      </w:r>
      <w:r w:rsidR="001B4B89">
        <w:rPr>
          <w:lang w:eastAsia="en-US"/>
        </w:rPr>
        <w:t xml:space="preserve"> in which </w:t>
      </w:r>
      <w:r w:rsidR="00090471">
        <w:rPr>
          <w:lang w:eastAsia="en-US"/>
        </w:rPr>
        <w:t>a</w:t>
      </w:r>
      <w:r w:rsidR="001B4B89">
        <w:rPr>
          <w:lang w:eastAsia="en-US"/>
        </w:rPr>
        <w:t xml:space="preserve"> Census Designated Place is located</w:t>
      </w:r>
      <w:r w:rsidR="007823C3">
        <w:rPr>
          <w:lang w:eastAsia="en-US"/>
        </w:rPr>
        <w:t xml:space="preserve"> is the Permittee and</w:t>
      </w:r>
      <w:r w:rsidRPr="003F266A">
        <w:rPr>
          <w:lang w:eastAsia="en-US"/>
        </w:rPr>
        <w:t xml:space="preserve"> </w:t>
      </w:r>
      <w:r w:rsidR="00254B1C">
        <w:rPr>
          <w:lang w:eastAsia="en-US"/>
        </w:rPr>
        <w:t>the county</w:t>
      </w:r>
      <w:r w:rsidR="00342522">
        <w:rPr>
          <w:lang w:eastAsia="en-US"/>
        </w:rPr>
        <w:t xml:space="preserve"> </w:t>
      </w:r>
      <w:r w:rsidRPr="003F266A">
        <w:rPr>
          <w:lang w:eastAsia="en-US"/>
        </w:rPr>
        <w:t xml:space="preserve">will </w:t>
      </w:r>
      <w:r w:rsidR="00A81126">
        <w:rPr>
          <w:lang w:eastAsia="en-US"/>
        </w:rPr>
        <w:t>list</w:t>
      </w:r>
      <w:r w:rsidRPr="003F266A">
        <w:rPr>
          <w:lang w:eastAsia="en-US"/>
        </w:rPr>
        <w:t xml:space="preserve"> the </w:t>
      </w:r>
      <w:r w:rsidR="00C842A4">
        <w:rPr>
          <w:lang w:eastAsia="en-US"/>
        </w:rPr>
        <w:t>Census Designated Places</w:t>
      </w:r>
      <w:r w:rsidRPr="003F266A">
        <w:rPr>
          <w:lang w:eastAsia="en-US"/>
        </w:rPr>
        <w:t xml:space="preserve"> within </w:t>
      </w:r>
      <w:r w:rsidR="005A110A">
        <w:rPr>
          <w:lang w:eastAsia="en-US"/>
        </w:rPr>
        <w:t>its</w:t>
      </w:r>
      <w:r w:rsidRPr="003F266A" w:rsidR="005A110A">
        <w:rPr>
          <w:lang w:eastAsia="en-US"/>
        </w:rPr>
        <w:t xml:space="preserve"> </w:t>
      </w:r>
      <w:r w:rsidRPr="003F266A">
        <w:rPr>
          <w:lang w:eastAsia="en-US"/>
        </w:rPr>
        <w:t xml:space="preserve">jurisdiction when </w:t>
      </w:r>
      <w:r w:rsidR="007823C3">
        <w:rPr>
          <w:lang w:eastAsia="en-US"/>
        </w:rPr>
        <w:t>it</w:t>
      </w:r>
      <w:r w:rsidRPr="003F266A">
        <w:rPr>
          <w:lang w:eastAsia="en-US"/>
        </w:rPr>
        <w:t xml:space="preserve"> file</w:t>
      </w:r>
      <w:r w:rsidR="007823C3">
        <w:rPr>
          <w:lang w:eastAsia="en-US"/>
        </w:rPr>
        <w:t>s</w:t>
      </w:r>
      <w:r w:rsidRPr="003F266A">
        <w:rPr>
          <w:lang w:eastAsia="en-US"/>
        </w:rPr>
        <w:t xml:space="preserve"> </w:t>
      </w:r>
      <w:r w:rsidR="002400C1">
        <w:rPr>
          <w:lang w:eastAsia="en-US"/>
        </w:rPr>
        <w:t>the</w:t>
      </w:r>
      <w:r w:rsidRPr="003F266A">
        <w:rPr>
          <w:lang w:eastAsia="en-US"/>
        </w:rPr>
        <w:t xml:space="preserve"> </w:t>
      </w:r>
      <w:r w:rsidRPr="007D3AF3" w:rsidR="00304A04">
        <w:rPr>
          <w:lang w:eastAsia="en-US"/>
        </w:rPr>
        <w:t>Notice of Inten</w:t>
      </w:r>
      <w:r w:rsidR="00342522">
        <w:rPr>
          <w:lang w:eastAsia="en-US"/>
        </w:rPr>
        <w:t>t</w:t>
      </w:r>
      <w:r w:rsidR="002400C1">
        <w:rPr>
          <w:lang w:eastAsia="en-US"/>
        </w:rPr>
        <w:t>.</w:t>
      </w:r>
      <w:r w:rsidR="000F6A50">
        <w:rPr>
          <w:lang w:eastAsia="en-US"/>
        </w:rPr>
        <w:t xml:space="preserve"> </w:t>
      </w:r>
    </w:p>
    <w:p w:rsidRPr="008D227C" w:rsidR="00B309B0" w:rsidP="001A1BAA" w:rsidRDefault="000F6B50" w14:paraId="4852D94D" w14:textId="10D4CAB3">
      <w:pPr>
        <w:pStyle w:val="Heading2"/>
      </w:pPr>
      <w:bookmarkStart w:name="_Toc226536081" w:id="13"/>
      <w:r>
        <w:t>A</w:t>
      </w:r>
      <w:r w:rsidR="000566B9">
        <w:t>4</w:t>
      </w:r>
      <w:r w:rsidRPr="008D227C" w:rsidR="00B309B0">
        <w:tab/>
      </w:r>
      <w:r w:rsidRPr="008D227C" w:rsidR="00B309B0">
        <w:t>WAIVERS</w:t>
      </w:r>
      <w:bookmarkEnd w:id="13"/>
    </w:p>
    <w:p w:rsidR="00721C65" w:rsidP="002B70F5" w:rsidRDefault="00C40185" w14:paraId="1F0F089F" w14:textId="70006FD8">
      <w:pPr>
        <w:shd w:val="clear" w:color="auto" w:fill="FFFFFF" w:themeFill="background1"/>
        <w:ind w:left="720"/>
        <w:rPr>
          <w:lang w:eastAsia="en-US"/>
        </w:rPr>
      </w:pPr>
      <w:r>
        <w:rPr>
          <w:lang w:eastAsia="en-US"/>
        </w:rPr>
        <w:t>A</w:t>
      </w:r>
      <w:r w:rsidR="00907D57">
        <w:rPr>
          <w:lang w:eastAsia="en-US"/>
        </w:rPr>
        <w:t xml:space="preserve"> </w:t>
      </w:r>
      <w:r w:rsidR="00CB0DAF">
        <w:rPr>
          <w:lang w:eastAsia="en-US"/>
        </w:rPr>
        <w:t xml:space="preserve">Permittee </w:t>
      </w:r>
      <w:r>
        <w:rPr>
          <w:lang w:eastAsia="en-US"/>
        </w:rPr>
        <w:t>may</w:t>
      </w:r>
      <w:r w:rsidR="00907D57">
        <w:rPr>
          <w:lang w:eastAsia="en-US"/>
        </w:rPr>
        <w:t xml:space="preserve"> request a waiver of this Order’s requirements. </w:t>
      </w:r>
      <w:r w:rsidR="005A6486">
        <w:rPr>
          <w:lang w:eastAsia="en-US"/>
        </w:rPr>
        <w:t xml:space="preserve">Directions for requesting a waiver are provided </w:t>
      </w:r>
      <w:r w:rsidRPr="002B70F5" w:rsidR="005A6486">
        <w:rPr>
          <w:lang w:eastAsia="en-US"/>
        </w:rPr>
        <w:t>in</w:t>
      </w:r>
      <w:r w:rsidR="005A6486">
        <w:rPr>
          <w:lang w:eastAsia="en-US"/>
        </w:rPr>
        <w:t xml:space="preserve"> Attachment C. </w:t>
      </w:r>
    </w:p>
    <w:p w:rsidR="00404618" w:rsidP="002B70F5" w:rsidRDefault="00404618" w14:paraId="5BAEB41C" w14:textId="31762B8C">
      <w:pPr>
        <w:shd w:val="clear" w:color="auto" w:fill="FFFFFF" w:themeFill="background1"/>
        <w:ind w:left="720"/>
        <w:rPr>
          <w:lang w:eastAsia="en-US"/>
        </w:rPr>
      </w:pPr>
      <w:r w:rsidRPr="00404618">
        <w:rPr>
          <w:lang w:eastAsia="en-US"/>
        </w:rPr>
        <w:t xml:space="preserve">Regulated Small MS4s may seek a waiver from Phase II requirements if they meet criteria specified in 40 </w:t>
      </w:r>
      <w:r w:rsidR="00092673">
        <w:rPr>
          <w:lang w:eastAsia="en-US"/>
        </w:rPr>
        <w:t>C.F.R.</w:t>
      </w:r>
      <w:r w:rsidRPr="00404618">
        <w:rPr>
          <w:lang w:eastAsia="en-US"/>
        </w:rPr>
        <w:t xml:space="preserve"> sections 122.32(c)-(e). The State</w:t>
      </w:r>
      <w:r w:rsidR="006F302A">
        <w:rPr>
          <w:lang w:eastAsia="en-US"/>
        </w:rPr>
        <w:t xml:space="preserve"> </w:t>
      </w:r>
      <w:r w:rsidRPr="006F302A" w:rsidR="006F302A">
        <w:rPr>
          <w:lang w:eastAsia="en-US"/>
        </w:rPr>
        <w:t>Water Board has additionally provided for a waiver for those communities outside</w:t>
      </w:r>
      <w:r w:rsidR="00E13B93">
        <w:rPr>
          <w:lang w:eastAsia="en-US"/>
        </w:rPr>
        <w:t xml:space="preserve"> </w:t>
      </w:r>
      <w:r w:rsidRPr="006F302A" w:rsidR="006F302A">
        <w:rPr>
          <w:lang w:eastAsia="en-US"/>
        </w:rPr>
        <w:t>of urbanized areas with a population of 20,000 or less with an annual median household income (MHI) that is less than 80 percent of the statewide annual MHI. (Wat. Code,§ 79505.5, subd. (a)).</w:t>
      </w:r>
    </w:p>
    <w:p w:rsidR="003023B2" w:rsidP="001A1BAA" w:rsidRDefault="003023B2" w14:paraId="31E5950C" w14:textId="6084F724">
      <w:pPr>
        <w:pStyle w:val="Heading2"/>
      </w:pPr>
      <w:bookmarkStart w:name="_Toc226536082" w:id="14"/>
      <w:r>
        <w:t>A5</w:t>
      </w:r>
      <w:r w:rsidR="003B2E83">
        <w:t>.</w:t>
      </w:r>
      <w:r w:rsidR="003B2E83">
        <w:tab/>
      </w:r>
      <w:r w:rsidR="00742EAB">
        <w:t>NEW AND REMOVED PERMITTEES</w:t>
      </w:r>
      <w:bookmarkEnd w:id="14"/>
    </w:p>
    <w:p w:rsidRPr="00A73746" w:rsidR="00742EAB" w:rsidP="00742EAB" w:rsidRDefault="00742EAB" w14:paraId="0BF05A94" w14:textId="4962C3B1">
      <w:pPr>
        <w:pStyle w:val="Heading3"/>
      </w:pPr>
      <w:r>
        <w:t>A5.1</w:t>
      </w:r>
      <w:r>
        <w:tab/>
      </w:r>
      <w:r>
        <w:t>New Traditional and Non-Traditional Permittees</w:t>
      </w:r>
    </w:p>
    <w:p w:rsidRPr="00EF1F74" w:rsidR="00742EAB" w:rsidP="00EF1F74" w:rsidRDefault="00EF1F74" w14:paraId="1ECFA633" w14:textId="789A2C07">
      <w:pPr>
        <w:pStyle w:val="Heading4"/>
        <w:spacing w:after="0"/>
        <w:ind w:left="1267" w:hanging="1267"/>
        <w:rPr>
          <w:b/>
          <w:bCs/>
        </w:rPr>
      </w:pPr>
      <w:r w:rsidRPr="00EF1F74">
        <w:rPr>
          <w:b/>
          <w:bCs/>
        </w:rPr>
        <w:t xml:space="preserve">Table 5.1. </w:t>
      </w:r>
      <w:r w:rsidRPr="00EF1F74" w:rsidR="00742EAB">
        <w:rPr>
          <w:b/>
          <w:bCs/>
        </w:rPr>
        <w:t xml:space="preserve">New </w:t>
      </w:r>
      <w:r w:rsidRPr="00EF1F74" w:rsidR="00D94A17">
        <w:rPr>
          <w:b/>
          <w:bCs/>
        </w:rPr>
        <w:t>Traditional and Non-Traditional Permittees</w:t>
      </w:r>
    </w:p>
    <w:tbl>
      <w:tblPr>
        <w:tblStyle w:val="Style2"/>
        <w:tblW w:w="9360" w:type="dxa"/>
        <w:tblLayout w:type="fixed"/>
        <w:tblLook w:val="06A0" w:firstRow="1" w:lastRow="0" w:firstColumn="1" w:lastColumn="0" w:noHBand="1" w:noVBand="1"/>
      </w:tblPr>
      <w:tblGrid>
        <w:gridCol w:w="1290"/>
        <w:gridCol w:w="2430"/>
        <w:gridCol w:w="2010"/>
        <w:gridCol w:w="3630"/>
      </w:tblGrid>
      <w:tr w:rsidRPr="005E2429" w:rsidR="00742EAB" w:rsidTr="00B06317" w14:paraId="32DCECBC" w14:textId="77777777">
        <w:trPr>
          <w:cnfStyle w:val="100000000000" w:firstRow="1" w:lastRow="0" w:firstColumn="0" w:lastColumn="0" w:oddVBand="0" w:evenVBand="0" w:oddHBand="0" w:evenHBand="0" w:firstRowFirstColumn="0" w:firstRowLastColumn="0" w:lastRowFirstColumn="0" w:lastRowLastColumn="0"/>
          <w:trHeight w:val="300"/>
          <w:tblHeader/>
        </w:trPr>
        <w:tc>
          <w:tcPr>
            <w:tcW w:w="1290" w:type="dxa"/>
            <w:shd w:val="clear" w:color="auto" w:fill="EAF1DD" w:themeFill="accent3" w:themeFillTint="33"/>
          </w:tcPr>
          <w:p w:rsidRPr="005E2429" w:rsidR="00742EAB" w:rsidP="005E2429" w:rsidRDefault="00742EAB" w14:paraId="1F27C27A" w14:textId="77777777">
            <w:pPr>
              <w:spacing w:before="0"/>
              <w:rPr>
                <w:rFonts w:eastAsia="Arial" w:cs="Arial"/>
                <w:sz w:val="22"/>
                <w:szCs w:val="22"/>
              </w:rPr>
            </w:pPr>
            <w:r w:rsidRPr="005E2429">
              <w:rPr>
                <w:rFonts w:eastAsia="Arial" w:cs="Arial"/>
                <w:sz w:val="22"/>
                <w:szCs w:val="22"/>
              </w:rPr>
              <w:t>Regional Board</w:t>
            </w:r>
          </w:p>
        </w:tc>
        <w:tc>
          <w:tcPr>
            <w:tcW w:w="2430" w:type="dxa"/>
            <w:shd w:val="clear" w:color="auto" w:fill="EAF1DD" w:themeFill="accent3" w:themeFillTint="33"/>
          </w:tcPr>
          <w:p w:rsidRPr="005E2429" w:rsidR="00742EAB" w:rsidP="005E2429" w:rsidRDefault="00742EAB" w14:paraId="535C94E4" w14:textId="77777777">
            <w:pPr>
              <w:spacing w:before="0"/>
              <w:rPr>
                <w:rFonts w:eastAsia="Arial" w:cs="Arial"/>
                <w:sz w:val="22"/>
                <w:szCs w:val="22"/>
              </w:rPr>
            </w:pPr>
            <w:r w:rsidRPr="005E2429">
              <w:rPr>
                <w:rFonts w:eastAsia="Arial" w:cs="Arial"/>
                <w:sz w:val="22"/>
                <w:szCs w:val="22"/>
              </w:rPr>
              <w:t>New</w:t>
            </w:r>
            <w:r w:rsidRPr="005E2429">
              <w:rPr>
                <w:rFonts w:eastAsia="Arial" w:cs="Arial"/>
                <w:sz w:val="22"/>
                <w:szCs w:val="22"/>
              </w:rPr>
              <w:br/>
            </w:r>
            <w:r w:rsidRPr="005E2429">
              <w:rPr>
                <w:rFonts w:eastAsia="Arial" w:cs="Arial"/>
                <w:sz w:val="22"/>
                <w:szCs w:val="22"/>
              </w:rPr>
              <w:t>Entity/Place Name</w:t>
            </w:r>
          </w:p>
        </w:tc>
        <w:tc>
          <w:tcPr>
            <w:tcW w:w="2010" w:type="dxa"/>
            <w:shd w:val="clear" w:color="auto" w:fill="EAF1DD" w:themeFill="accent3" w:themeFillTint="33"/>
          </w:tcPr>
          <w:p w:rsidRPr="005E2429" w:rsidR="00742EAB" w:rsidP="005E2429" w:rsidRDefault="00742EAB" w14:paraId="21C8CF1D" w14:textId="77777777">
            <w:pPr>
              <w:spacing w:before="0"/>
              <w:rPr>
                <w:rFonts w:eastAsia="Arial" w:cs="Arial"/>
                <w:sz w:val="22"/>
                <w:szCs w:val="22"/>
              </w:rPr>
            </w:pPr>
            <w:r w:rsidRPr="005E2429">
              <w:rPr>
                <w:rFonts w:eastAsia="Arial" w:cs="Arial"/>
                <w:sz w:val="22"/>
                <w:szCs w:val="22"/>
              </w:rPr>
              <w:t>Category</w:t>
            </w:r>
          </w:p>
        </w:tc>
        <w:tc>
          <w:tcPr>
            <w:tcW w:w="3630" w:type="dxa"/>
            <w:shd w:val="clear" w:color="auto" w:fill="EAF1DD" w:themeFill="accent3" w:themeFillTint="33"/>
          </w:tcPr>
          <w:p w:rsidRPr="005E2429" w:rsidR="00742EAB" w:rsidP="005E2429" w:rsidRDefault="00D965C2" w14:paraId="2FBE4EAC" w14:textId="5755B032">
            <w:pPr>
              <w:spacing w:before="0"/>
              <w:rPr>
                <w:rFonts w:eastAsia="Arial" w:cs="Arial"/>
                <w:sz w:val="22"/>
                <w:szCs w:val="22"/>
              </w:rPr>
            </w:pPr>
            <w:r>
              <w:rPr>
                <w:rFonts w:eastAsia="Arial" w:cs="Arial"/>
                <w:sz w:val="22"/>
                <w:szCs w:val="22"/>
              </w:rPr>
              <w:t>Rationale</w:t>
            </w:r>
          </w:p>
        </w:tc>
      </w:tr>
      <w:tr w:rsidRPr="005E2429" w:rsidR="00742EAB" w:rsidTr="00E1171B" w14:paraId="05197FD3" w14:textId="77777777">
        <w:trPr>
          <w:trHeight w:val="300"/>
        </w:trPr>
        <w:tc>
          <w:tcPr>
            <w:tcW w:w="1290" w:type="dxa"/>
          </w:tcPr>
          <w:p w:rsidRPr="005E2429" w:rsidR="00742EAB" w:rsidP="00EF1F74" w:rsidRDefault="00742EAB" w14:paraId="6072B060" w14:textId="77777777">
            <w:pPr>
              <w:spacing w:before="0"/>
              <w:jc w:val="left"/>
              <w:rPr>
                <w:rFonts w:eastAsia="Arial" w:cs="Arial"/>
                <w:sz w:val="22"/>
                <w:szCs w:val="22"/>
              </w:rPr>
            </w:pPr>
            <w:r w:rsidRPr="005E2429">
              <w:rPr>
                <w:rFonts w:eastAsia="Arial" w:cs="Arial"/>
                <w:sz w:val="22"/>
                <w:szCs w:val="22"/>
              </w:rPr>
              <w:t>1</w:t>
            </w:r>
          </w:p>
        </w:tc>
        <w:tc>
          <w:tcPr>
            <w:tcW w:w="2430" w:type="dxa"/>
          </w:tcPr>
          <w:p w:rsidRPr="005E2429" w:rsidR="00742EAB" w:rsidP="00EF1F74" w:rsidRDefault="00742EAB" w14:paraId="2AE5490A" w14:textId="77777777">
            <w:pPr>
              <w:spacing w:before="0"/>
              <w:jc w:val="left"/>
              <w:rPr>
                <w:rFonts w:eastAsia="Arial" w:cs="Arial"/>
                <w:sz w:val="22"/>
                <w:szCs w:val="22"/>
              </w:rPr>
            </w:pPr>
            <w:r w:rsidRPr="005E2429">
              <w:rPr>
                <w:rFonts w:eastAsia="Arial" w:cs="Arial"/>
                <w:sz w:val="22"/>
                <w:szCs w:val="22"/>
              </w:rPr>
              <w:t>California State Polytechnic University, Humboldt</w:t>
            </w:r>
          </w:p>
        </w:tc>
        <w:tc>
          <w:tcPr>
            <w:tcW w:w="2010" w:type="dxa"/>
          </w:tcPr>
          <w:p w:rsidRPr="005E2429" w:rsidR="00742EAB" w:rsidP="00EF1F74" w:rsidRDefault="00742EAB" w14:paraId="392FC945" w14:textId="77777777">
            <w:pPr>
              <w:spacing w:before="0"/>
              <w:jc w:val="left"/>
              <w:rPr>
                <w:rFonts w:eastAsia="Arial" w:cs="Arial"/>
                <w:sz w:val="22"/>
                <w:szCs w:val="22"/>
              </w:rPr>
            </w:pPr>
            <w:r w:rsidRPr="005E2429">
              <w:rPr>
                <w:rFonts w:eastAsia="Arial" w:cs="Arial"/>
                <w:sz w:val="22"/>
                <w:szCs w:val="22"/>
              </w:rPr>
              <w:t>Non-Traditional</w:t>
            </w:r>
          </w:p>
        </w:tc>
        <w:tc>
          <w:tcPr>
            <w:tcW w:w="3630" w:type="dxa"/>
          </w:tcPr>
          <w:p w:rsidR="00CA7644" w:rsidP="00EF1F74" w:rsidRDefault="0029233A" w14:paraId="15C64C81" w14:textId="224852FF">
            <w:pPr>
              <w:spacing w:before="0"/>
              <w:jc w:val="left"/>
              <w:rPr>
                <w:rFonts w:eastAsia="Arial" w:cs="Arial"/>
                <w:sz w:val="22"/>
                <w:szCs w:val="22"/>
              </w:rPr>
            </w:pPr>
            <w:r>
              <w:rPr>
                <w:rFonts w:eastAsia="Arial" w:cs="Arial"/>
                <w:sz w:val="22"/>
                <w:szCs w:val="22"/>
              </w:rPr>
              <w:t xml:space="preserve">Operates a stormwater sewer system </w:t>
            </w:r>
            <w:r w:rsidR="00334647">
              <w:rPr>
                <w:rFonts w:eastAsia="Arial" w:cs="Arial"/>
                <w:sz w:val="22"/>
                <w:szCs w:val="22"/>
              </w:rPr>
              <w:t>c</w:t>
            </w:r>
            <w:r w:rsidR="00612DB0">
              <w:rPr>
                <w:rFonts w:eastAsia="Arial" w:cs="Arial"/>
                <w:sz w:val="22"/>
                <w:szCs w:val="22"/>
              </w:rPr>
              <w:t xml:space="preserve">ontiguous to </w:t>
            </w:r>
            <w:r w:rsidR="00AC0A3C">
              <w:rPr>
                <w:rFonts w:eastAsia="Arial" w:cs="Arial"/>
                <w:sz w:val="22"/>
                <w:szCs w:val="22"/>
              </w:rPr>
              <w:t xml:space="preserve">the City of Arcata, a permitted </w:t>
            </w:r>
            <w:r w:rsidR="00124437">
              <w:rPr>
                <w:rFonts w:eastAsia="Arial" w:cs="Arial"/>
                <w:sz w:val="22"/>
                <w:szCs w:val="22"/>
              </w:rPr>
              <w:t>Small MS4</w:t>
            </w:r>
            <w:r w:rsidR="00AC0A3C">
              <w:rPr>
                <w:rFonts w:eastAsia="Arial" w:cs="Arial"/>
                <w:sz w:val="22"/>
                <w:szCs w:val="22"/>
              </w:rPr>
              <w:t>.</w:t>
            </w:r>
          </w:p>
          <w:p w:rsidRPr="005E2429" w:rsidR="00742EAB" w:rsidP="00EF1F74" w:rsidRDefault="00742EAB" w14:paraId="79491E3A" w14:textId="0A5FBC45">
            <w:pPr>
              <w:spacing w:before="0"/>
              <w:jc w:val="left"/>
              <w:rPr>
                <w:rFonts w:eastAsia="Arial" w:cs="Arial"/>
                <w:sz w:val="22"/>
                <w:szCs w:val="22"/>
              </w:rPr>
            </w:pPr>
            <w:r w:rsidRPr="005E2429">
              <w:rPr>
                <w:rFonts w:eastAsia="Arial" w:cs="Arial"/>
                <w:sz w:val="22"/>
                <w:szCs w:val="22"/>
              </w:rPr>
              <w:t>California State Polytechnic University, Humboldt was mistakenly left off of the list of Permittees in the 2013 permit. However, Cal Poly Humboldt has been actively implementing the permit since 2013 and should continue to do so and be listed in the reissuance.</w:t>
            </w:r>
          </w:p>
        </w:tc>
      </w:tr>
      <w:tr w:rsidRPr="005E2429" w:rsidR="00304522" w:rsidTr="00E1171B" w14:paraId="0F15D034" w14:textId="77777777">
        <w:trPr>
          <w:trHeight w:val="300"/>
        </w:trPr>
        <w:tc>
          <w:tcPr>
            <w:tcW w:w="1290" w:type="dxa"/>
          </w:tcPr>
          <w:p w:rsidRPr="005E2429" w:rsidR="00304522" w:rsidP="00EF1F74" w:rsidRDefault="00304522" w14:paraId="69887DB4" w14:textId="06123567">
            <w:pPr>
              <w:spacing w:before="0"/>
              <w:jc w:val="left"/>
              <w:rPr>
                <w:rFonts w:eastAsia="Arial" w:cs="Arial"/>
                <w:sz w:val="22"/>
                <w:szCs w:val="22"/>
              </w:rPr>
            </w:pPr>
            <w:r>
              <w:rPr>
                <w:rFonts w:eastAsia="Arial" w:cs="Arial"/>
                <w:sz w:val="22"/>
                <w:szCs w:val="22"/>
              </w:rPr>
              <w:t>1</w:t>
            </w:r>
          </w:p>
        </w:tc>
        <w:tc>
          <w:tcPr>
            <w:tcW w:w="2430" w:type="dxa"/>
          </w:tcPr>
          <w:p w:rsidRPr="005E2429" w:rsidR="00304522" w:rsidP="00EF1F74" w:rsidRDefault="00304522" w14:paraId="344B4DC4" w14:textId="6687C7AC">
            <w:pPr>
              <w:spacing w:before="0"/>
              <w:jc w:val="left"/>
              <w:rPr>
                <w:rFonts w:eastAsia="Arial" w:cs="Arial"/>
                <w:sz w:val="22"/>
                <w:szCs w:val="22"/>
              </w:rPr>
            </w:pPr>
            <w:r>
              <w:rPr>
                <w:rFonts w:eastAsia="Arial" w:cs="Arial"/>
                <w:sz w:val="22"/>
                <w:szCs w:val="22"/>
              </w:rPr>
              <w:t>Garberville</w:t>
            </w:r>
          </w:p>
        </w:tc>
        <w:tc>
          <w:tcPr>
            <w:tcW w:w="2010" w:type="dxa"/>
          </w:tcPr>
          <w:p w:rsidRPr="005E2429" w:rsidR="00304522" w:rsidP="00EF1F74" w:rsidRDefault="003F6324" w14:paraId="47F316D8" w14:textId="3F7EBA16">
            <w:pPr>
              <w:spacing w:before="0"/>
              <w:jc w:val="left"/>
              <w:rPr>
                <w:rFonts w:eastAsia="Arial" w:cs="Arial"/>
                <w:sz w:val="22"/>
                <w:szCs w:val="22"/>
              </w:rPr>
            </w:pPr>
            <w:r>
              <w:rPr>
                <w:rFonts w:eastAsia="Arial" w:cs="Arial"/>
                <w:sz w:val="22"/>
                <w:szCs w:val="22"/>
              </w:rPr>
              <w:t>Traditional; Census Designated Place</w:t>
            </w:r>
          </w:p>
        </w:tc>
        <w:tc>
          <w:tcPr>
            <w:tcW w:w="3630" w:type="dxa"/>
          </w:tcPr>
          <w:p w:rsidRPr="005E2429" w:rsidR="00304522" w:rsidP="00EF1F74" w:rsidRDefault="003F6324" w14:paraId="53C0309D" w14:textId="7DBEFACB">
            <w:pPr>
              <w:spacing w:before="0"/>
              <w:jc w:val="left"/>
              <w:rPr>
                <w:rFonts w:eastAsia="Arial" w:cs="Arial"/>
                <w:sz w:val="22"/>
                <w:szCs w:val="22"/>
              </w:rPr>
            </w:pPr>
            <w:r>
              <w:rPr>
                <w:rFonts w:eastAsia="Arial" w:cs="Arial"/>
                <w:sz w:val="22"/>
                <w:szCs w:val="22"/>
              </w:rPr>
              <w:t xml:space="preserve">Census Designated Place in </w:t>
            </w:r>
            <w:r w:rsidR="006429AC">
              <w:rPr>
                <w:rFonts w:eastAsia="Arial" w:cs="Arial"/>
                <w:sz w:val="22"/>
                <w:szCs w:val="22"/>
              </w:rPr>
              <w:t>Humboldt County MS4 jurisdictional area</w:t>
            </w:r>
            <w:r w:rsidR="005048ED">
              <w:rPr>
                <w:rFonts w:eastAsia="Arial" w:cs="Arial"/>
                <w:sz w:val="22"/>
                <w:szCs w:val="22"/>
              </w:rPr>
              <w:t>;</w:t>
            </w:r>
            <w:r w:rsidR="00600CA6">
              <w:rPr>
                <w:rFonts w:eastAsia="Arial" w:cs="Arial"/>
                <w:sz w:val="22"/>
                <w:szCs w:val="22"/>
              </w:rPr>
              <w:t xml:space="preserve"> Garbervil</w:t>
            </w:r>
            <w:r w:rsidR="0085547F">
              <w:rPr>
                <w:rFonts w:eastAsia="Arial" w:cs="Arial"/>
                <w:sz w:val="22"/>
                <w:szCs w:val="22"/>
              </w:rPr>
              <w:t>l</w:t>
            </w:r>
            <w:r w:rsidR="00600CA6">
              <w:rPr>
                <w:rFonts w:eastAsia="Arial" w:cs="Arial"/>
                <w:sz w:val="22"/>
                <w:szCs w:val="22"/>
              </w:rPr>
              <w:t xml:space="preserve">e is </w:t>
            </w:r>
            <w:r w:rsidR="00C72FC3">
              <w:rPr>
                <w:rFonts w:eastAsia="Arial" w:cs="Arial"/>
                <w:sz w:val="22"/>
                <w:szCs w:val="22"/>
              </w:rPr>
              <w:t xml:space="preserve">in </w:t>
            </w:r>
            <w:r w:rsidR="00862645">
              <w:rPr>
                <w:rFonts w:eastAsia="Arial" w:cs="Arial"/>
                <w:sz w:val="22"/>
                <w:szCs w:val="22"/>
              </w:rPr>
              <w:t>the Eel River</w:t>
            </w:r>
            <w:r w:rsidR="0085547F">
              <w:rPr>
                <w:rFonts w:eastAsia="Arial" w:cs="Arial"/>
                <w:sz w:val="22"/>
                <w:szCs w:val="22"/>
              </w:rPr>
              <w:t xml:space="preserve"> </w:t>
            </w:r>
            <w:r w:rsidR="00936FBB">
              <w:rPr>
                <w:rFonts w:eastAsia="Arial" w:cs="Arial"/>
                <w:sz w:val="22"/>
                <w:szCs w:val="22"/>
              </w:rPr>
              <w:t xml:space="preserve">sediment and temperature </w:t>
            </w:r>
            <w:r w:rsidR="00563B82">
              <w:rPr>
                <w:rFonts w:eastAsia="Arial" w:cs="Arial"/>
                <w:sz w:val="22"/>
                <w:szCs w:val="22"/>
              </w:rPr>
              <w:t>T</w:t>
            </w:r>
            <w:r w:rsidR="0097204B">
              <w:rPr>
                <w:rFonts w:eastAsia="Arial" w:cs="Arial"/>
                <w:sz w:val="22"/>
                <w:szCs w:val="22"/>
              </w:rPr>
              <w:t>MDL</w:t>
            </w:r>
            <w:r w:rsidR="00563B82">
              <w:rPr>
                <w:rFonts w:eastAsia="Arial" w:cs="Arial"/>
                <w:sz w:val="22"/>
                <w:szCs w:val="22"/>
              </w:rPr>
              <w:t xml:space="preserve"> watershed</w:t>
            </w:r>
            <w:r w:rsidR="00377083">
              <w:rPr>
                <w:rFonts w:eastAsia="Arial" w:cs="Arial"/>
                <w:sz w:val="22"/>
                <w:szCs w:val="22"/>
              </w:rPr>
              <w:t>.</w:t>
            </w:r>
          </w:p>
        </w:tc>
      </w:tr>
      <w:tr w:rsidRPr="005E2429" w:rsidR="00FA65B7" w:rsidTr="00E1171B" w14:paraId="6C3C5AE8" w14:textId="77777777">
        <w:trPr>
          <w:trHeight w:val="300"/>
        </w:trPr>
        <w:tc>
          <w:tcPr>
            <w:tcW w:w="1290" w:type="dxa"/>
          </w:tcPr>
          <w:p w:rsidR="00FA65B7" w:rsidP="00EF1F74" w:rsidRDefault="00FA65B7" w14:paraId="4DF47767" w14:textId="78374646">
            <w:pPr>
              <w:spacing w:before="0"/>
              <w:jc w:val="left"/>
              <w:rPr>
                <w:rFonts w:eastAsia="Arial" w:cs="Arial"/>
                <w:sz w:val="22"/>
                <w:szCs w:val="22"/>
              </w:rPr>
            </w:pPr>
            <w:r>
              <w:rPr>
                <w:rFonts w:eastAsia="Arial" w:cs="Arial"/>
                <w:sz w:val="22"/>
                <w:szCs w:val="22"/>
              </w:rPr>
              <w:t>1</w:t>
            </w:r>
          </w:p>
        </w:tc>
        <w:tc>
          <w:tcPr>
            <w:tcW w:w="2430" w:type="dxa"/>
          </w:tcPr>
          <w:p w:rsidR="00FA65B7" w:rsidP="00EF1F74" w:rsidRDefault="00FA65B7" w14:paraId="36958948" w14:textId="5D2EB1FC">
            <w:pPr>
              <w:spacing w:before="0"/>
              <w:jc w:val="left"/>
              <w:rPr>
                <w:rFonts w:eastAsia="Arial" w:cs="Arial"/>
                <w:sz w:val="22"/>
                <w:szCs w:val="22"/>
              </w:rPr>
            </w:pPr>
            <w:r>
              <w:rPr>
                <w:rFonts w:eastAsia="Arial" w:cs="Arial"/>
                <w:sz w:val="22"/>
                <w:szCs w:val="22"/>
              </w:rPr>
              <w:t>Redway</w:t>
            </w:r>
          </w:p>
        </w:tc>
        <w:tc>
          <w:tcPr>
            <w:tcW w:w="2010" w:type="dxa"/>
          </w:tcPr>
          <w:p w:rsidR="00FA65B7" w:rsidP="00EF1F74" w:rsidRDefault="00D0078D" w14:paraId="21C057FD" w14:textId="45C996DE">
            <w:pPr>
              <w:spacing w:before="0"/>
              <w:jc w:val="left"/>
              <w:rPr>
                <w:rFonts w:eastAsia="Arial" w:cs="Arial"/>
                <w:sz w:val="22"/>
                <w:szCs w:val="22"/>
              </w:rPr>
            </w:pPr>
            <w:r>
              <w:rPr>
                <w:rFonts w:eastAsia="Arial" w:cs="Arial"/>
                <w:sz w:val="22"/>
                <w:szCs w:val="22"/>
              </w:rPr>
              <w:t>Traditional; Census Designated Place</w:t>
            </w:r>
          </w:p>
        </w:tc>
        <w:tc>
          <w:tcPr>
            <w:tcW w:w="3630" w:type="dxa"/>
          </w:tcPr>
          <w:p w:rsidR="00FA65B7" w:rsidP="00EF1F74" w:rsidRDefault="00D0078D" w14:paraId="6AFC4DAA" w14:textId="61E7EE33">
            <w:pPr>
              <w:spacing w:before="0"/>
              <w:jc w:val="left"/>
              <w:rPr>
                <w:rFonts w:eastAsia="Arial" w:cs="Arial"/>
                <w:sz w:val="22"/>
                <w:szCs w:val="22"/>
              </w:rPr>
            </w:pPr>
            <w:r>
              <w:rPr>
                <w:rFonts w:eastAsia="Arial" w:cs="Arial"/>
                <w:sz w:val="22"/>
                <w:szCs w:val="22"/>
              </w:rPr>
              <w:t xml:space="preserve">Census Designated Place in </w:t>
            </w:r>
            <w:r w:rsidR="00FA65B7">
              <w:rPr>
                <w:rFonts w:eastAsia="Arial" w:cs="Arial"/>
                <w:sz w:val="22"/>
                <w:szCs w:val="22"/>
              </w:rPr>
              <w:t>Humboldt County MS4 jurisdictional area</w:t>
            </w:r>
            <w:r w:rsidR="005048ED">
              <w:rPr>
                <w:rFonts w:eastAsia="Arial" w:cs="Arial"/>
                <w:sz w:val="22"/>
                <w:szCs w:val="22"/>
              </w:rPr>
              <w:t>;</w:t>
            </w:r>
            <w:r w:rsidR="00FA65B7">
              <w:rPr>
                <w:rFonts w:eastAsia="Arial" w:cs="Arial"/>
                <w:sz w:val="22"/>
                <w:szCs w:val="22"/>
              </w:rPr>
              <w:t xml:space="preserve"> </w:t>
            </w:r>
            <w:r w:rsidR="0085547F">
              <w:rPr>
                <w:rFonts w:eastAsia="Arial" w:cs="Arial"/>
                <w:sz w:val="22"/>
                <w:szCs w:val="22"/>
              </w:rPr>
              <w:t xml:space="preserve">Redway is </w:t>
            </w:r>
            <w:r w:rsidR="00FA65B7">
              <w:rPr>
                <w:rFonts w:eastAsia="Arial" w:cs="Arial"/>
                <w:sz w:val="22"/>
                <w:szCs w:val="22"/>
              </w:rPr>
              <w:t xml:space="preserve">in </w:t>
            </w:r>
            <w:r w:rsidR="00862645">
              <w:rPr>
                <w:rFonts w:eastAsia="Arial" w:cs="Arial"/>
                <w:sz w:val="22"/>
                <w:szCs w:val="22"/>
              </w:rPr>
              <w:t>the Eel River</w:t>
            </w:r>
            <w:r w:rsidR="00FA65B7">
              <w:rPr>
                <w:rFonts w:eastAsia="Arial" w:cs="Arial"/>
                <w:sz w:val="22"/>
                <w:szCs w:val="22"/>
              </w:rPr>
              <w:t xml:space="preserve"> </w:t>
            </w:r>
            <w:r w:rsidR="00936FBB">
              <w:rPr>
                <w:rFonts w:eastAsia="Arial" w:cs="Arial"/>
                <w:sz w:val="22"/>
                <w:szCs w:val="22"/>
              </w:rPr>
              <w:t xml:space="preserve">sediment and temperature </w:t>
            </w:r>
            <w:r w:rsidR="00FA65B7">
              <w:rPr>
                <w:rFonts w:eastAsia="Arial" w:cs="Arial"/>
                <w:sz w:val="22"/>
                <w:szCs w:val="22"/>
              </w:rPr>
              <w:t>TMDL watershed</w:t>
            </w:r>
            <w:r>
              <w:rPr>
                <w:rFonts w:eastAsia="Arial" w:cs="Arial"/>
                <w:sz w:val="22"/>
                <w:szCs w:val="22"/>
              </w:rPr>
              <w:t>.</w:t>
            </w:r>
          </w:p>
        </w:tc>
      </w:tr>
      <w:tr w:rsidRPr="005E2429" w:rsidR="008764F0" w:rsidTr="00E1171B" w14:paraId="1D6CA2CE" w14:textId="77777777">
        <w:trPr>
          <w:trHeight w:val="300"/>
        </w:trPr>
        <w:tc>
          <w:tcPr>
            <w:tcW w:w="1290" w:type="dxa"/>
          </w:tcPr>
          <w:p w:rsidR="008764F0" w:rsidP="00EF1F74" w:rsidRDefault="008764F0" w14:paraId="29E78D3D" w14:textId="3127CDBB">
            <w:pPr>
              <w:spacing w:before="0"/>
              <w:jc w:val="left"/>
              <w:rPr>
                <w:rFonts w:eastAsia="Arial" w:cs="Arial"/>
                <w:sz w:val="22"/>
                <w:szCs w:val="22"/>
              </w:rPr>
            </w:pPr>
            <w:r>
              <w:rPr>
                <w:rFonts w:eastAsia="Arial" w:cs="Arial"/>
                <w:sz w:val="22"/>
                <w:szCs w:val="22"/>
              </w:rPr>
              <w:t>1</w:t>
            </w:r>
          </w:p>
        </w:tc>
        <w:tc>
          <w:tcPr>
            <w:tcW w:w="2430" w:type="dxa"/>
          </w:tcPr>
          <w:p w:rsidR="008764F0" w:rsidP="00EF1F74" w:rsidRDefault="008764F0" w14:paraId="332226D1" w14:textId="52416FEA">
            <w:pPr>
              <w:spacing w:before="0"/>
              <w:jc w:val="left"/>
              <w:rPr>
                <w:rFonts w:eastAsia="Arial" w:cs="Arial"/>
                <w:sz w:val="22"/>
                <w:szCs w:val="22"/>
              </w:rPr>
            </w:pPr>
            <w:r>
              <w:rPr>
                <w:rFonts w:eastAsia="Arial" w:cs="Arial"/>
                <w:sz w:val="22"/>
                <w:szCs w:val="22"/>
              </w:rPr>
              <w:t>Shelter Cove</w:t>
            </w:r>
          </w:p>
        </w:tc>
        <w:tc>
          <w:tcPr>
            <w:tcW w:w="2010" w:type="dxa"/>
          </w:tcPr>
          <w:p w:rsidR="008764F0" w:rsidP="00EF1F74" w:rsidRDefault="00D0078D" w14:paraId="4037E89B" w14:textId="2F7BF0E3">
            <w:pPr>
              <w:spacing w:before="0"/>
              <w:jc w:val="left"/>
              <w:rPr>
                <w:rFonts w:eastAsia="Arial" w:cs="Arial"/>
                <w:sz w:val="22"/>
                <w:szCs w:val="22"/>
              </w:rPr>
            </w:pPr>
            <w:r>
              <w:rPr>
                <w:rFonts w:eastAsia="Arial" w:cs="Arial"/>
                <w:sz w:val="22"/>
                <w:szCs w:val="22"/>
              </w:rPr>
              <w:t>Traditional; Census Designated Place</w:t>
            </w:r>
          </w:p>
        </w:tc>
        <w:tc>
          <w:tcPr>
            <w:tcW w:w="3630" w:type="dxa"/>
          </w:tcPr>
          <w:p w:rsidR="008764F0" w:rsidP="00EF1F74" w:rsidRDefault="00D0078D" w14:paraId="3BE3637E" w14:textId="525A94E5">
            <w:pPr>
              <w:spacing w:before="0"/>
              <w:jc w:val="left"/>
              <w:rPr>
                <w:rFonts w:eastAsia="Arial" w:cs="Arial"/>
                <w:sz w:val="22"/>
                <w:szCs w:val="22"/>
              </w:rPr>
            </w:pPr>
            <w:r>
              <w:rPr>
                <w:rFonts w:eastAsia="Arial" w:cs="Arial"/>
                <w:sz w:val="22"/>
                <w:szCs w:val="22"/>
              </w:rPr>
              <w:t xml:space="preserve">Census Designated Place in </w:t>
            </w:r>
            <w:r w:rsidR="00D11EAB">
              <w:rPr>
                <w:rFonts w:eastAsia="Arial" w:cs="Arial"/>
                <w:sz w:val="22"/>
                <w:szCs w:val="22"/>
              </w:rPr>
              <w:t>Humboldt County MS4 jurisdictional area</w:t>
            </w:r>
            <w:r>
              <w:rPr>
                <w:rFonts w:eastAsia="Arial" w:cs="Arial"/>
                <w:sz w:val="22"/>
                <w:szCs w:val="22"/>
              </w:rPr>
              <w:t>.</w:t>
            </w:r>
            <w:r w:rsidR="00D11EAB">
              <w:rPr>
                <w:rFonts w:eastAsia="Arial" w:cs="Arial"/>
                <w:sz w:val="22"/>
                <w:szCs w:val="22"/>
              </w:rPr>
              <w:t xml:space="preserve"> </w:t>
            </w:r>
            <w:r w:rsidR="00862645">
              <w:rPr>
                <w:rFonts w:eastAsia="Arial" w:cs="Arial"/>
                <w:sz w:val="22"/>
                <w:szCs w:val="22"/>
              </w:rPr>
              <w:t>Shelter Cove</w:t>
            </w:r>
            <w:r w:rsidR="009B3F2D">
              <w:rPr>
                <w:rFonts w:eastAsia="Arial" w:cs="Arial"/>
                <w:sz w:val="22"/>
                <w:szCs w:val="22"/>
              </w:rPr>
              <w:t xml:space="preserve"> </w:t>
            </w:r>
            <w:r w:rsidR="00FE7E1D">
              <w:rPr>
                <w:rFonts w:eastAsia="Arial" w:cs="Arial"/>
                <w:sz w:val="22"/>
                <w:szCs w:val="22"/>
              </w:rPr>
              <w:t>discharges to</w:t>
            </w:r>
            <w:r w:rsidR="009B3F2D">
              <w:rPr>
                <w:rFonts w:eastAsia="Arial" w:cs="Arial"/>
                <w:sz w:val="22"/>
                <w:szCs w:val="22"/>
              </w:rPr>
              <w:t xml:space="preserve"> the </w:t>
            </w:r>
            <w:r w:rsidR="008255CC">
              <w:rPr>
                <w:rFonts w:eastAsia="Arial" w:cs="Arial"/>
                <w:sz w:val="22"/>
                <w:szCs w:val="22"/>
              </w:rPr>
              <w:t>Ki</w:t>
            </w:r>
            <w:r w:rsidR="009B3F2D">
              <w:rPr>
                <w:rFonts w:eastAsia="Arial" w:cs="Arial"/>
                <w:sz w:val="22"/>
                <w:szCs w:val="22"/>
              </w:rPr>
              <w:t xml:space="preserve">ng Range ASBS </w:t>
            </w:r>
            <w:r w:rsidR="00FE7E1D">
              <w:rPr>
                <w:rFonts w:eastAsia="Arial" w:cs="Arial"/>
                <w:sz w:val="22"/>
                <w:szCs w:val="22"/>
              </w:rPr>
              <w:t xml:space="preserve">via Humboldt County’s existing outfall </w:t>
            </w:r>
            <w:r w:rsidR="009B3F2D">
              <w:rPr>
                <w:rFonts w:eastAsia="Arial" w:cs="Arial"/>
                <w:sz w:val="22"/>
                <w:szCs w:val="22"/>
              </w:rPr>
              <w:t>and</w:t>
            </w:r>
            <w:r w:rsidR="00D11EAB">
              <w:rPr>
                <w:rFonts w:eastAsia="Arial" w:cs="Arial"/>
                <w:sz w:val="22"/>
                <w:szCs w:val="22"/>
              </w:rPr>
              <w:t xml:space="preserve"> is in </w:t>
            </w:r>
            <w:r w:rsidR="00433407">
              <w:rPr>
                <w:rFonts w:eastAsia="Arial" w:cs="Arial"/>
                <w:sz w:val="22"/>
                <w:szCs w:val="22"/>
              </w:rPr>
              <w:t>the Mattole River</w:t>
            </w:r>
            <w:r w:rsidR="00D11EAB">
              <w:rPr>
                <w:rFonts w:eastAsia="Arial" w:cs="Arial"/>
                <w:sz w:val="22"/>
                <w:szCs w:val="22"/>
              </w:rPr>
              <w:t xml:space="preserve"> sediment and temperature TMDL watershed</w:t>
            </w:r>
          </w:p>
        </w:tc>
      </w:tr>
      <w:tr w:rsidRPr="005E2429" w:rsidR="00E1171B" w:rsidTr="00E1171B" w14:paraId="4FB1DE94" w14:textId="77777777">
        <w:trPr>
          <w:trHeight w:val="300"/>
        </w:trPr>
        <w:tc>
          <w:tcPr>
            <w:tcW w:w="1290" w:type="dxa"/>
          </w:tcPr>
          <w:p w:rsidRPr="005E2429" w:rsidR="00E1171B" w:rsidP="00EF1F74" w:rsidRDefault="00F00DBC" w14:paraId="7C0323B1" w14:textId="4144A62F">
            <w:pPr>
              <w:spacing w:before="0"/>
              <w:jc w:val="left"/>
              <w:rPr>
                <w:rFonts w:eastAsia="Arial" w:cs="Arial"/>
                <w:sz w:val="22"/>
                <w:szCs w:val="22"/>
              </w:rPr>
            </w:pPr>
            <w:r>
              <w:rPr>
                <w:rFonts w:eastAsia="Arial" w:cs="Arial"/>
                <w:sz w:val="22"/>
                <w:szCs w:val="22"/>
              </w:rPr>
              <w:t>1</w:t>
            </w:r>
          </w:p>
        </w:tc>
        <w:tc>
          <w:tcPr>
            <w:tcW w:w="2430" w:type="dxa"/>
          </w:tcPr>
          <w:p w:rsidRPr="005E2429" w:rsidR="00E1171B" w:rsidP="00EF1F74" w:rsidRDefault="00F00DBC" w14:paraId="1F7D3C9B" w14:textId="797D2E4F">
            <w:pPr>
              <w:spacing w:before="0"/>
              <w:jc w:val="left"/>
              <w:rPr>
                <w:rFonts w:eastAsia="Arial" w:cs="Arial"/>
                <w:sz w:val="22"/>
                <w:szCs w:val="22"/>
              </w:rPr>
            </w:pPr>
            <w:r>
              <w:rPr>
                <w:rFonts w:eastAsia="Arial" w:cs="Arial"/>
                <w:sz w:val="22"/>
                <w:szCs w:val="22"/>
              </w:rPr>
              <w:t>Willits</w:t>
            </w:r>
          </w:p>
        </w:tc>
        <w:tc>
          <w:tcPr>
            <w:tcW w:w="2010" w:type="dxa"/>
          </w:tcPr>
          <w:p w:rsidRPr="005E2429" w:rsidR="00E1171B" w:rsidP="00EF1F74" w:rsidRDefault="00F00DBC" w14:paraId="228AD12A" w14:textId="721D692A">
            <w:pPr>
              <w:spacing w:before="0"/>
              <w:jc w:val="left"/>
              <w:rPr>
                <w:rFonts w:eastAsia="Arial" w:cs="Arial"/>
                <w:sz w:val="22"/>
                <w:szCs w:val="22"/>
              </w:rPr>
            </w:pPr>
            <w:r>
              <w:rPr>
                <w:rFonts w:eastAsia="Arial" w:cs="Arial"/>
                <w:sz w:val="22"/>
                <w:szCs w:val="22"/>
              </w:rPr>
              <w:t>Traditional</w:t>
            </w:r>
          </w:p>
        </w:tc>
        <w:tc>
          <w:tcPr>
            <w:tcW w:w="3630" w:type="dxa"/>
          </w:tcPr>
          <w:p w:rsidRPr="005E2429" w:rsidR="00E1171B" w:rsidP="00EF1F74" w:rsidRDefault="00FB72B3" w14:paraId="4286FD58" w14:textId="19F14C7F">
            <w:pPr>
              <w:spacing w:before="0"/>
              <w:jc w:val="left"/>
              <w:rPr>
                <w:rFonts w:eastAsia="Arial" w:cs="Arial"/>
                <w:sz w:val="22"/>
                <w:szCs w:val="22"/>
              </w:rPr>
            </w:pPr>
            <w:r>
              <w:rPr>
                <w:rFonts w:eastAsia="Arial" w:cs="Arial"/>
                <w:sz w:val="22"/>
                <w:szCs w:val="22"/>
              </w:rPr>
              <w:t xml:space="preserve">Willits </w:t>
            </w:r>
            <w:r w:rsidR="007D6228">
              <w:rPr>
                <w:rFonts w:eastAsia="Arial" w:cs="Arial"/>
                <w:sz w:val="22"/>
                <w:szCs w:val="22"/>
              </w:rPr>
              <w:t xml:space="preserve">discharges to a waterbody with </w:t>
            </w:r>
            <w:r w:rsidR="0083186C">
              <w:rPr>
                <w:rFonts w:eastAsia="Arial" w:cs="Arial"/>
                <w:sz w:val="22"/>
                <w:szCs w:val="22"/>
              </w:rPr>
              <w:t xml:space="preserve">a </w:t>
            </w:r>
            <w:r w:rsidR="002C0169">
              <w:rPr>
                <w:rFonts w:eastAsia="Arial" w:cs="Arial"/>
                <w:sz w:val="22"/>
                <w:szCs w:val="22"/>
              </w:rPr>
              <w:t xml:space="preserve">sediment </w:t>
            </w:r>
            <w:r w:rsidR="00051743">
              <w:rPr>
                <w:rFonts w:eastAsia="Arial" w:cs="Arial"/>
                <w:sz w:val="22"/>
                <w:szCs w:val="22"/>
              </w:rPr>
              <w:t xml:space="preserve">and temperature </w:t>
            </w:r>
            <w:r w:rsidR="0083186C">
              <w:rPr>
                <w:rFonts w:eastAsia="Arial" w:cs="Arial"/>
                <w:sz w:val="22"/>
                <w:szCs w:val="22"/>
              </w:rPr>
              <w:t xml:space="preserve">TMDL </w:t>
            </w:r>
            <w:r w:rsidR="007D6228">
              <w:rPr>
                <w:rFonts w:eastAsia="Arial" w:cs="Arial"/>
                <w:sz w:val="22"/>
                <w:szCs w:val="22"/>
              </w:rPr>
              <w:t xml:space="preserve">and </w:t>
            </w:r>
            <w:r w:rsidR="002B4E86">
              <w:rPr>
                <w:rFonts w:eastAsia="Arial" w:cs="Arial"/>
                <w:sz w:val="22"/>
                <w:szCs w:val="22"/>
              </w:rPr>
              <w:t xml:space="preserve">as of the 2020 census </w:t>
            </w:r>
            <w:r w:rsidR="007D6228">
              <w:rPr>
                <w:rFonts w:eastAsia="Arial" w:cs="Arial"/>
                <w:sz w:val="22"/>
                <w:szCs w:val="22"/>
              </w:rPr>
              <w:t xml:space="preserve">has a </w:t>
            </w:r>
            <w:r w:rsidR="002F47F1">
              <w:rPr>
                <w:rFonts w:eastAsia="Arial" w:cs="Arial"/>
                <w:sz w:val="22"/>
                <w:szCs w:val="22"/>
              </w:rPr>
              <w:t>population density of 1,770</w:t>
            </w:r>
            <w:r w:rsidR="00E24FE2">
              <w:rPr>
                <w:rFonts w:eastAsia="Arial" w:cs="Arial"/>
                <w:sz w:val="22"/>
                <w:szCs w:val="22"/>
              </w:rPr>
              <w:t xml:space="preserve"> residents per square mile</w:t>
            </w:r>
            <w:r w:rsidR="002F47F1">
              <w:rPr>
                <w:rFonts w:eastAsia="Arial" w:cs="Arial"/>
                <w:sz w:val="22"/>
                <w:szCs w:val="22"/>
              </w:rPr>
              <w:t xml:space="preserve"> </w:t>
            </w:r>
            <w:r w:rsidR="00E24FE2">
              <w:rPr>
                <w:rFonts w:eastAsia="Arial" w:cs="Arial"/>
                <w:sz w:val="22"/>
                <w:szCs w:val="22"/>
              </w:rPr>
              <w:t xml:space="preserve">which is considered high (&gt;1,000 </w:t>
            </w:r>
            <w:r w:rsidR="00827E04">
              <w:rPr>
                <w:rFonts w:eastAsia="Arial" w:cs="Arial"/>
                <w:sz w:val="22"/>
                <w:szCs w:val="22"/>
              </w:rPr>
              <w:t>residents per square mile</w:t>
            </w:r>
            <w:r w:rsidR="00E24FE2">
              <w:rPr>
                <w:rFonts w:eastAsia="Arial" w:cs="Arial"/>
                <w:sz w:val="22"/>
                <w:szCs w:val="22"/>
              </w:rPr>
              <w:t>)</w:t>
            </w:r>
            <w:r w:rsidR="0083186C">
              <w:rPr>
                <w:rFonts w:eastAsia="Arial" w:cs="Arial"/>
                <w:sz w:val="22"/>
                <w:szCs w:val="22"/>
              </w:rPr>
              <w:t xml:space="preserve">. </w:t>
            </w:r>
          </w:p>
        </w:tc>
      </w:tr>
      <w:tr w:rsidRPr="005E2429" w:rsidR="00742EAB" w:rsidTr="00E1171B" w14:paraId="00F249D6" w14:textId="77777777">
        <w:trPr>
          <w:trHeight w:val="300"/>
        </w:trPr>
        <w:tc>
          <w:tcPr>
            <w:tcW w:w="1290" w:type="dxa"/>
          </w:tcPr>
          <w:p w:rsidRPr="005E2429" w:rsidR="00742EAB" w:rsidP="00EF1F74" w:rsidRDefault="00742EAB" w14:paraId="3E4972BB" w14:textId="77777777">
            <w:pPr>
              <w:spacing w:before="0"/>
              <w:jc w:val="left"/>
              <w:rPr>
                <w:rFonts w:eastAsia="Arial" w:cs="Arial"/>
                <w:sz w:val="22"/>
                <w:szCs w:val="22"/>
              </w:rPr>
            </w:pPr>
            <w:r w:rsidRPr="005E2429">
              <w:rPr>
                <w:rFonts w:eastAsia="Arial" w:cs="Arial"/>
                <w:sz w:val="22"/>
                <w:szCs w:val="22"/>
              </w:rPr>
              <w:t>1, 2</w:t>
            </w:r>
          </w:p>
        </w:tc>
        <w:tc>
          <w:tcPr>
            <w:tcW w:w="2430" w:type="dxa"/>
          </w:tcPr>
          <w:p w:rsidRPr="005E2429" w:rsidR="00742EAB" w:rsidP="00EF1F74" w:rsidRDefault="00742EAB" w14:paraId="22C348CD" w14:textId="77777777">
            <w:pPr>
              <w:spacing w:before="0"/>
              <w:jc w:val="left"/>
              <w:rPr>
                <w:rFonts w:eastAsia="Arial" w:cs="Arial"/>
                <w:sz w:val="22"/>
                <w:szCs w:val="22"/>
              </w:rPr>
            </w:pPr>
            <w:r w:rsidRPr="005E2429">
              <w:rPr>
                <w:rFonts w:eastAsia="Arial" w:cs="Arial"/>
                <w:sz w:val="22"/>
                <w:szCs w:val="22"/>
              </w:rPr>
              <w:t>Sonoma Marin Area Rail Transit (SMART)</w:t>
            </w:r>
          </w:p>
        </w:tc>
        <w:tc>
          <w:tcPr>
            <w:tcW w:w="2010" w:type="dxa"/>
          </w:tcPr>
          <w:p w:rsidRPr="005E2429" w:rsidR="00742EAB" w:rsidP="00EF1F74" w:rsidRDefault="00742EAB" w14:paraId="38CCA449" w14:textId="77777777">
            <w:pPr>
              <w:spacing w:before="0"/>
              <w:jc w:val="left"/>
              <w:rPr>
                <w:rFonts w:eastAsia="Arial" w:cs="Arial"/>
                <w:sz w:val="22"/>
                <w:szCs w:val="22"/>
              </w:rPr>
            </w:pPr>
            <w:r w:rsidRPr="005E2429">
              <w:rPr>
                <w:rFonts w:eastAsia="Arial" w:cs="Arial"/>
                <w:sz w:val="22"/>
                <w:szCs w:val="22"/>
              </w:rPr>
              <w:t>Non-Traditional</w:t>
            </w:r>
            <w:r w:rsidRPr="005E2429">
              <w:rPr>
                <w:rFonts w:eastAsia="Arial" w:cs="Arial"/>
                <w:sz w:val="22"/>
                <w:szCs w:val="22"/>
              </w:rPr>
              <w:br/>
            </w:r>
            <w:r w:rsidRPr="005E2429">
              <w:rPr>
                <w:rFonts w:eastAsia="Arial" w:cs="Arial"/>
                <w:sz w:val="22"/>
                <w:szCs w:val="22"/>
              </w:rPr>
              <w:t>Special District</w:t>
            </w:r>
          </w:p>
        </w:tc>
        <w:tc>
          <w:tcPr>
            <w:tcW w:w="3630" w:type="dxa"/>
          </w:tcPr>
          <w:p w:rsidRPr="005E2429" w:rsidR="00742EAB" w:rsidP="00EF1F74" w:rsidRDefault="00742EAB" w14:paraId="1DC746C2" w14:textId="713C4827">
            <w:pPr>
              <w:spacing w:before="0"/>
              <w:jc w:val="left"/>
              <w:rPr>
                <w:rFonts w:eastAsia="Arial" w:cs="Arial"/>
                <w:sz w:val="22"/>
                <w:szCs w:val="22"/>
              </w:rPr>
            </w:pPr>
            <w:r w:rsidRPr="005E2429">
              <w:rPr>
                <w:rFonts w:eastAsia="Arial" w:cs="Arial"/>
                <w:sz w:val="22"/>
                <w:szCs w:val="22"/>
              </w:rPr>
              <w:t xml:space="preserve">SMART is a special district rail corridor paralleling Highway 101 through Sonoma and Marin Counties. As of </w:t>
            </w:r>
            <w:r w:rsidR="00DA5647">
              <w:rPr>
                <w:rFonts w:eastAsia="Arial" w:cs="Arial"/>
                <w:sz w:val="22"/>
                <w:szCs w:val="22"/>
              </w:rPr>
              <w:t>4/7</w:t>
            </w:r>
            <w:r w:rsidRPr="005E2429">
              <w:rPr>
                <w:rFonts w:eastAsia="Arial" w:cs="Arial"/>
                <w:sz w:val="22"/>
                <w:szCs w:val="22"/>
              </w:rPr>
              <w:t>/202</w:t>
            </w:r>
            <w:r w:rsidR="00DA5647">
              <w:rPr>
                <w:rFonts w:eastAsia="Arial" w:cs="Arial"/>
                <w:sz w:val="22"/>
                <w:szCs w:val="22"/>
              </w:rPr>
              <w:t>6</w:t>
            </w:r>
            <w:r w:rsidRPr="005E2429">
              <w:rPr>
                <w:rFonts w:eastAsia="Arial" w:cs="Arial"/>
                <w:sz w:val="22"/>
                <w:szCs w:val="22"/>
              </w:rPr>
              <w:t>, SMART includes 1</w:t>
            </w:r>
            <w:r w:rsidR="00DA5647">
              <w:rPr>
                <w:rFonts w:eastAsia="Arial" w:cs="Arial"/>
                <w:sz w:val="22"/>
                <w:szCs w:val="22"/>
              </w:rPr>
              <w:t xml:space="preserve">4 </w:t>
            </w:r>
            <w:r w:rsidRPr="005E2429">
              <w:rPr>
                <w:rFonts w:eastAsia="Arial" w:cs="Arial"/>
                <w:sz w:val="22"/>
                <w:szCs w:val="22"/>
              </w:rPr>
              <w:t xml:space="preserve">stations, </w:t>
            </w:r>
            <w:r w:rsidR="00DA5647">
              <w:rPr>
                <w:rFonts w:eastAsia="Arial" w:cs="Arial"/>
                <w:sz w:val="22"/>
                <w:szCs w:val="22"/>
              </w:rPr>
              <w:t>an i</w:t>
            </w:r>
            <w:r w:rsidRPr="005E2429">
              <w:rPr>
                <w:rFonts w:eastAsia="Arial" w:cs="Arial"/>
                <w:sz w:val="22"/>
                <w:szCs w:val="22"/>
              </w:rPr>
              <w:t xml:space="preserve">s </w:t>
            </w:r>
            <w:r w:rsidR="00DA5647">
              <w:rPr>
                <w:rFonts w:eastAsia="Arial" w:cs="Arial"/>
                <w:sz w:val="22"/>
                <w:szCs w:val="22"/>
              </w:rPr>
              <w:t>planning constructions of</w:t>
            </w:r>
            <w:r w:rsidRPr="005E2429">
              <w:rPr>
                <w:rFonts w:eastAsia="Arial" w:cs="Arial"/>
                <w:sz w:val="22"/>
                <w:szCs w:val="22"/>
              </w:rPr>
              <w:t xml:space="preserve"> more future stations.</w:t>
            </w:r>
            <w:r w:rsidRPr="005E2429">
              <w:rPr>
                <w:sz w:val="22"/>
                <w:szCs w:val="22"/>
              </w:rPr>
              <w:t xml:space="preserve"> </w:t>
            </w:r>
            <w:r w:rsidRPr="005E2429">
              <w:rPr>
                <w:rFonts w:eastAsia="Arial" w:cs="Arial"/>
                <w:sz w:val="22"/>
                <w:szCs w:val="22"/>
              </w:rPr>
              <w:t>In order to fully regulate both maintenance facilities as well as existing and future stations and plazas, SMART needs to be fully regulated under the Phase II stormwater permit as they do not fall under the local city regulatory jurisdiction for all aspects of their operations.</w:t>
            </w:r>
            <w:r w:rsidR="00201F22">
              <w:rPr>
                <w:rFonts w:eastAsia="Arial" w:cs="Arial"/>
                <w:sz w:val="22"/>
                <w:szCs w:val="22"/>
              </w:rPr>
              <w:t xml:space="preserve"> SMART serves thousands of passengers per day</w:t>
            </w:r>
            <w:r w:rsidR="00B44D60">
              <w:rPr>
                <w:rFonts w:eastAsia="Arial" w:cs="Arial"/>
                <w:sz w:val="22"/>
                <w:szCs w:val="22"/>
              </w:rPr>
              <w:t xml:space="preserve"> and needs to control trash as well as other typical MS4 pollutants from its parking lots and other operations.</w:t>
            </w:r>
          </w:p>
        </w:tc>
      </w:tr>
      <w:tr w:rsidRPr="005E2429" w:rsidR="00742EAB" w:rsidTr="00E1171B" w14:paraId="5C4ED7D9" w14:textId="77777777">
        <w:trPr>
          <w:trHeight w:val="300"/>
        </w:trPr>
        <w:tc>
          <w:tcPr>
            <w:tcW w:w="1290" w:type="dxa"/>
          </w:tcPr>
          <w:p w:rsidRPr="005E2429" w:rsidR="00742EAB" w:rsidP="00EF1F74" w:rsidRDefault="00742EAB" w14:paraId="6A07438C" w14:textId="77777777">
            <w:pPr>
              <w:spacing w:before="0"/>
              <w:jc w:val="left"/>
              <w:rPr>
                <w:rFonts w:eastAsia="Arial" w:cs="Arial"/>
                <w:sz w:val="22"/>
                <w:szCs w:val="22"/>
              </w:rPr>
            </w:pPr>
            <w:r w:rsidRPr="005E2429">
              <w:rPr>
                <w:rFonts w:eastAsia="Arial" w:cs="Arial"/>
                <w:sz w:val="22"/>
                <w:szCs w:val="22"/>
              </w:rPr>
              <w:t>5</w:t>
            </w:r>
          </w:p>
        </w:tc>
        <w:tc>
          <w:tcPr>
            <w:tcW w:w="2430" w:type="dxa"/>
          </w:tcPr>
          <w:p w:rsidRPr="005E2429" w:rsidR="00742EAB" w:rsidP="00EF1F74" w:rsidRDefault="00742EAB" w14:paraId="33B74387" w14:textId="77777777">
            <w:pPr>
              <w:spacing w:before="0"/>
              <w:jc w:val="left"/>
              <w:rPr>
                <w:rFonts w:eastAsia="Arial" w:cs="Arial"/>
                <w:sz w:val="22"/>
                <w:szCs w:val="22"/>
              </w:rPr>
            </w:pPr>
            <w:r w:rsidRPr="005E2429">
              <w:rPr>
                <w:rFonts w:eastAsia="Arial" w:cs="Arial"/>
                <w:sz w:val="22"/>
                <w:szCs w:val="22"/>
              </w:rPr>
              <w:t>Mountain House, City of</w:t>
            </w:r>
          </w:p>
        </w:tc>
        <w:tc>
          <w:tcPr>
            <w:tcW w:w="2010" w:type="dxa"/>
          </w:tcPr>
          <w:p w:rsidRPr="005E2429" w:rsidR="00742EAB" w:rsidP="00EF1F74" w:rsidRDefault="00742EAB" w14:paraId="18A6660A" w14:textId="77777777">
            <w:pPr>
              <w:spacing w:before="0"/>
              <w:jc w:val="left"/>
              <w:rPr>
                <w:rFonts w:eastAsia="Arial" w:cs="Arial"/>
                <w:sz w:val="22"/>
                <w:szCs w:val="22"/>
              </w:rPr>
            </w:pPr>
            <w:r w:rsidRPr="005E2429">
              <w:rPr>
                <w:rFonts w:eastAsia="Arial" w:cs="Arial"/>
                <w:sz w:val="22"/>
                <w:szCs w:val="22"/>
              </w:rPr>
              <w:t>Traditional</w:t>
            </w:r>
          </w:p>
        </w:tc>
        <w:tc>
          <w:tcPr>
            <w:tcW w:w="3630" w:type="dxa"/>
          </w:tcPr>
          <w:p w:rsidRPr="005E2429" w:rsidR="00742EAB" w:rsidP="00EF1F74" w:rsidRDefault="00742EAB" w14:paraId="42A558DC" w14:textId="58EC85CF">
            <w:pPr>
              <w:spacing w:before="0"/>
              <w:jc w:val="left"/>
              <w:rPr>
                <w:rFonts w:eastAsia="Arial" w:cs="Arial"/>
                <w:sz w:val="22"/>
                <w:szCs w:val="22"/>
              </w:rPr>
            </w:pPr>
            <w:r w:rsidRPr="005E2429">
              <w:rPr>
                <w:rFonts w:eastAsia="Arial" w:cs="Arial"/>
                <w:sz w:val="22"/>
                <w:szCs w:val="22"/>
              </w:rPr>
              <w:t>Mountain House was designated in previous permits as a Community Services District which made it a non-traditional permittee. In 2024 Mountain House was incorporated and is now a city, making it a traditional permittee.</w:t>
            </w:r>
          </w:p>
        </w:tc>
      </w:tr>
    </w:tbl>
    <w:p w:rsidR="00FA170C" w:rsidP="00EF1F74" w:rsidRDefault="00FA170C" w14:paraId="75FBC819" w14:textId="63E16374">
      <w:pPr>
        <w:spacing w:before="0" w:line="247" w:lineRule="auto"/>
        <w:rPr>
          <w:rFonts w:ascii="Arial Bold" w:hAnsi="Arial Bold" w:eastAsia="Calibri" w:cs="Arial"/>
          <w:b/>
          <w:bCs/>
          <w:lang w:eastAsia="en-US"/>
        </w:rPr>
      </w:pPr>
    </w:p>
    <w:p w:rsidR="00742EAB" w:rsidP="00742EAB" w:rsidRDefault="00742EAB" w14:paraId="57BB7733" w14:textId="4CD17545">
      <w:pPr>
        <w:pStyle w:val="Heading3"/>
      </w:pPr>
      <w:r>
        <w:t>A5.2</w:t>
      </w:r>
      <w:r w:rsidR="00C933D3">
        <w:tab/>
      </w:r>
      <w:r>
        <w:t>Removed Traditional and Non-Traditional Permittees</w:t>
      </w:r>
    </w:p>
    <w:p w:rsidRPr="00BC1698" w:rsidR="00BC1698" w:rsidP="00BC1698" w:rsidRDefault="00BC1698" w14:paraId="585257D6" w14:textId="0D66FEC3">
      <w:pPr>
        <w:spacing w:after="0"/>
        <w:rPr>
          <w:b/>
          <w:bCs/>
          <w:lang w:eastAsia="en-US"/>
        </w:rPr>
      </w:pPr>
      <w:r w:rsidRPr="00BC1698">
        <w:rPr>
          <w:b/>
          <w:bCs/>
          <w:lang w:eastAsia="en-US"/>
        </w:rPr>
        <w:t>Table A5.2. Removed Traditional and Non-Traditional Permittees</w:t>
      </w:r>
    </w:p>
    <w:tbl>
      <w:tblPr>
        <w:tblStyle w:val="Style2"/>
        <w:tblW w:w="9360" w:type="dxa"/>
        <w:tblLayout w:type="fixed"/>
        <w:tblLook w:val="06A0" w:firstRow="1" w:lastRow="0" w:firstColumn="1" w:lastColumn="0" w:noHBand="1" w:noVBand="1"/>
      </w:tblPr>
      <w:tblGrid>
        <w:gridCol w:w="1260"/>
        <w:gridCol w:w="2490"/>
        <w:gridCol w:w="1470"/>
        <w:gridCol w:w="4140"/>
      </w:tblGrid>
      <w:tr w:rsidRPr="00E7069D" w:rsidR="00742EAB" w:rsidTr="00B06317" w14:paraId="4CFF497A" w14:textId="77777777">
        <w:trPr>
          <w:cnfStyle w:val="100000000000" w:firstRow="1" w:lastRow="0" w:firstColumn="0" w:lastColumn="0" w:oddVBand="0" w:evenVBand="0" w:oddHBand="0" w:evenHBand="0" w:firstRowFirstColumn="0" w:firstRowLastColumn="0" w:lastRowFirstColumn="0" w:lastRowLastColumn="0"/>
          <w:trHeight w:val="300"/>
          <w:tblHeader/>
        </w:trPr>
        <w:tc>
          <w:tcPr>
            <w:tcW w:w="1260" w:type="dxa"/>
            <w:shd w:val="clear" w:color="auto" w:fill="EAF1DD" w:themeFill="accent3" w:themeFillTint="33"/>
          </w:tcPr>
          <w:p w:rsidRPr="00E7069D" w:rsidR="00742EAB" w:rsidP="00E7069D" w:rsidRDefault="00742EAB" w14:paraId="4DD8B16C" w14:textId="3BCE1087">
            <w:pPr>
              <w:spacing w:before="0" w:line="240" w:lineRule="auto"/>
              <w:rPr>
                <w:rFonts w:eastAsia="Arial" w:cs="Arial"/>
                <w:sz w:val="22"/>
                <w:szCs w:val="22"/>
              </w:rPr>
            </w:pPr>
            <w:r w:rsidRPr="00E7069D">
              <w:rPr>
                <w:rFonts w:eastAsia="Arial" w:cs="Arial"/>
                <w:sz w:val="22"/>
                <w:szCs w:val="22"/>
              </w:rPr>
              <w:t xml:space="preserve">Regional </w:t>
            </w:r>
            <w:r w:rsidR="0051372B">
              <w:rPr>
                <w:rFonts w:eastAsia="Arial" w:cs="Arial"/>
                <w:sz w:val="22"/>
                <w:szCs w:val="22"/>
              </w:rPr>
              <w:t xml:space="preserve">Water </w:t>
            </w:r>
            <w:r w:rsidRPr="00E7069D">
              <w:rPr>
                <w:rFonts w:eastAsia="Arial" w:cs="Arial"/>
                <w:sz w:val="22"/>
                <w:szCs w:val="22"/>
              </w:rPr>
              <w:t>Board</w:t>
            </w:r>
          </w:p>
        </w:tc>
        <w:tc>
          <w:tcPr>
            <w:tcW w:w="2490" w:type="dxa"/>
            <w:shd w:val="clear" w:color="auto" w:fill="EAF1DD" w:themeFill="accent3" w:themeFillTint="33"/>
          </w:tcPr>
          <w:p w:rsidRPr="00E7069D" w:rsidR="00742EAB" w:rsidP="00E7069D" w:rsidRDefault="00742EAB" w14:paraId="0D1B6A88" w14:textId="77777777">
            <w:pPr>
              <w:spacing w:before="0" w:line="240" w:lineRule="auto"/>
              <w:rPr>
                <w:rFonts w:eastAsia="Arial" w:cs="Arial"/>
                <w:sz w:val="22"/>
                <w:szCs w:val="22"/>
              </w:rPr>
            </w:pPr>
            <w:r w:rsidRPr="00E7069D">
              <w:rPr>
                <w:rFonts w:eastAsia="Arial" w:cs="Arial"/>
                <w:sz w:val="22"/>
                <w:szCs w:val="22"/>
              </w:rPr>
              <w:t>Removed</w:t>
            </w:r>
            <w:r w:rsidRPr="00E7069D">
              <w:rPr>
                <w:rFonts w:eastAsia="Arial" w:cs="Arial"/>
                <w:sz w:val="22"/>
                <w:szCs w:val="22"/>
              </w:rPr>
              <w:br/>
            </w:r>
            <w:r w:rsidRPr="00E7069D">
              <w:rPr>
                <w:rFonts w:eastAsia="Arial" w:cs="Arial"/>
                <w:sz w:val="22"/>
                <w:szCs w:val="22"/>
              </w:rPr>
              <w:t>Entity/Place Name</w:t>
            </w:r>
          </w:p>
        </w:tc>
        <w:tc>
          <w:tcPr>
            <w:tcW w:w="1470" w:type="dxa"/>
            <w:shd w:val="clear" w:color="auto" w:fill="EAF1DD" w:themeFill="accent3" w:themeFillTint="33"/>
          </w:tcPr>
          <w:p w:rsidRPr="00E7069D" w:rsidR="00742EAB" w:rsidP="00E7069D" w:rsidRDefault="00742EAB" w14:paraId="6FD2A544" w14:textId="77777777">
            <w:pPr>
              <w:spacing w:before="0" w:line="240" w:lineRule="auto"/>
              <w:rPr>
                <w:rFonts w:eastAsia="Arial" w:cs="Arial"/>
                <w:sz w:val="22"/>
                <w:szCs w:val="22"/>
              </w:rPr>
            </w:pPr>
            <w:r w:rsidRPr="00E7069D">
              <w:rPr>
                <w:rFonts w:eastAsia="Arial" w:cs="Arial"/>
                <w:sz w:val="22"/>
                <w:szCs w:val="22"/>
              </w:rPr>
              <w:t>Category</w:t>
            </w:r>
          </w:p>
        </w:tc>
        <w:tc>
          <w:tcPr>
            <w:tcW w:w="4140" w:type="dxa"/>
            <w:shd w:val="clear" w:color="auto" w:fill="EAF1DD" w:themeFill="accent3" w:themeFillTint="33"/>
          </w:tcPr>
          <w:p w:rsidRPr="00E7069D" w:rsidR="00742EAB" w:rsidP="00E7069D" w:rsidRDefault="00D965C2" w14:paraId="7F1B14F0" w14:textId="0590B910">
            <w:pPr>
              <w:spacing w:before="0" w:line="240" w:lineRule="auto"/>
              <w:rPr>
                <w:rFonts w:eastAsia="Arial" w:cs="Arial"/>
                <w:sz w:val="22"/>
                <w:szCs w:val="22"/>
              </w:rPr>
            </w:pPr>
            <w:r>
              <w:rPr>
                <w:rFonts w:eastAsia="Arial" w:cs="Arial"/>
                <w:sz w:val="22"/>
                <w:szCs w:val="22"/>
              </w:rPr>
              <w:t>Rationale</w:t>
            </w:r>
          </w:p>
        </w:tc>
      </w:tr>
      <w:tr w:rsidRPr="00E7069D" w:rsidR="00E27C39" w:rsidTr="00EA0139" w14:paraId="0262E714" w14:textId="77777777">
        <w:trPr>
          <w:trHeight w:val="2879"/>
        </w:trPr>
        <w:tc>
          <w:tcPr>
            <w:tcW w:w="1260" w:type="dxa"/>
          </w:tcPr>
          <w:p w:rsidRPr="0006347D" w:rsidR="00E27C39" w:rsidP="00E7069D" w:rsidRDefault="003D2AC1" w14:paraId="64BB8294" w14:textId="727EBA92">
            <w:pPr>
              <w:spacing w:before="0" w:line="240" w:lineRule="auto"/>
              <w:rPr>
                <w:rFonts w:eastAsia="Arial" w:cs="Arial"/>
                <w:sz w:val="22"/>
                <w:szCs w:val="22"/>
              </w:rPr>
            </w:pPr>
            <w:r w:rsidRPr="0006347D">
              <w:rPr>
                <w:rFonts w:eastAsia="Arial" w:cs="Arial"/>
                <w:sz w:val="22"/>
                <w:szCs w:val="22"/>
              </w:rPr>
              <w:t>1</w:t>
            </w:r>
          </w:p>
        </w:tc>
        <w:tc>
          <w:tcPr>
            <w:tcW w:w="2490" w:type="dxa"/>
          </w:tcPr>
          <w:p w:rsidRPr="0006347D" w:rsidR="00E27C39" w:rsidP="00B76009" w:rsidRDefault="003D2AC1" w14:paraId="088D6367" w14:textId="024BD2B9">
            <w:pPr>
              <w:spacing w:before="0" w:line="240" w:lineRule="auto"/>
              <w:rPr>
                <w:rFonts w:eastAsia="Arial" w:cs="Arial"/>
                <w:sz w:val="22"/>
                <w:szCs w:val="22"/>
              </w:rPr>
            </w:pPr>
            <w:r w:rsidRPr="0006347D">
              <w:rPr>
                <w:rFonts w:eastAsia="Arial" w:cs="Arial"/>
                <w:sz w:val="22"/>
                <w:szCs w:val="22"/>
              </w:rPr>
              <w:t>Sonoma State University</w:t>
            </w:r>
          </w:p>
        </w:tc>
        <w:tc>
          <w:tcPr>
            <w:tcW w:w="1470" w:type="dxa"/>
          </w:tcPr>
          <w:p w:rsidRPr="0006347D" w:rsidR="00E27C39" w:rsidP="00E7069D" w:rsidRDefault="003D2AC1" w14:paraId="332B0EA8" w14:textId="5EB50329">
            <w:pPr>
              <w:spacing w:before="0" w:line="240" w:lineRule="auto"/>
              <w:rPr>
                <w:rFonts w:eastAsia="Arial" w:cs="Arial"/>
                <w:sz w:val="22"/>
                <w:szCs w:val="22"/>
              </w:rPr>
            </w:pPr>
            <w:r w:rsidRPr="0006347D">
              <w:rPr>
                <w:rFonts w:eastAsia="Arial" w:cs="Arial"/>
                <w:sz w:val="22"/>
                <w:szCs w:val="22"/>
              </w:rPr>
              <w:t>Non-Traditional</w:t>
            </w:r>
          </w:p>
        </w:tc>
        <w:tc>
          <w:tcPr>
            <w:tcW w:w="4140" w:type="dxa"/>
          </w:tcPr>
          <w:p w:rsidRPr="0006347D" w:rsidR="00E27C39" w:rsidP="00611F92" w:rsidRDefault="003D2AC1" w14:paraId="15DE0B44" w14:textId="3D111CB9">
            <w:pPr>
              <w:spacing w:before="0" w:line="240" w:lineRule="auto"/>
              <w:rPr>
                <w:rFonts w:eastAsia="Arial" w:cs="Arial"/>
                <w:sz w:val="22"/>
                <w:szCs w:val="22"/>
              </w:rPr>
            </w:pPr>
            <w:r w:rsidRPr="0006347D">
              <w:rPr>
                <w:rFonts w:eastAsia="Arial" w:cs="Arial"/>
                <w:sz w:val="22"/>
                <w:szCs w:val="22"/>
              </w:rPr>
              <w:t xml:space="preserve">The North Coast Water Board moved this </w:t>
            </w:r>
            <w:r w:rsidRPr="0006347D" w:rsidR="00817174">
              <w:rPr>
                <w:rFonts w:eastAsia="Arial" w:cs="Arial"/>
                <w:sz w:val="22"/>
                <w:szCs w:val="22"/>
              </w:rPr>
              <w:t>entity to the Phase I MS4 permit.</w:t>
            </w:r>
          </w:p>
        </w:tc>
      </w:tr>
      <w:tr w:rsidRPr="00E7069D" w:rsidR="0051372B" w:rsidTr="00EA0139" w14:paraId="71AB652D" w14:textId="77777777">
        <w:trPr>
          <w:trHeight w:val="971"/>
        </w:trPr>
        <w:tc>
          <w:tcPr>
            <w:tcW w:w="1260" w:type="dxa"/>
          </w:tcPr>
          <w:p w:rsidRPr="00E7069D" w:rsidR="0051372B" w:rsidP="00E7069D" w:rsidRDefault="0051372B" w14:paraId="078B453C" w14:textId="2E212597">
            <w:pPr>
              <w:spacing w:before="0" w:line="240" w:lineRule="auto"/>
              <w:rPr>
                <w:rFonts w:eastAsia="Arial" w:cs="Arial"/>
                <w:sz w:val="22"/>
                <w:szCs w:val="22"/>
              </w:rPr>
            </w:pPr>
            <w:r>
              <w:rPr>
                <w:rFonts w:eastAsia="Arial" w:cs="Arial"/>
                <w:sz w:val="22"/>
                <w:szCs w:val="22"/>
              </w:rPr>
              <w:t>2</w:t>
            </w:r>
          </w:p>
        </w:tc>
        <w:tc>
          <w:tcPr>
            <w:tcW w:w="2490" w:type="dxa"/>
          </w:tcPr>
          <w:p w:rsidRPr="00E7069D" w:rsidR="0051372B" w:rsidP="00B76009" w:rsidRDefault="0051372B" w14:paraId="04EBCD71" w14:textId="3148DC1F">
            <w:pPr>
              <w:spacing w:before="0" w:line="240" w:lineRule="auto"/>
              <w:jc w:val="left"/>
              <w:rPr>
                <w:rFonts w:eastAsia="Arial" w:cs="Arial"/>
                <w:sz w:val="22"/>
                <w:szCs w:val="22"/>
              </w:rPr>
            </w:pPr>
            <w:r>
              <w:rPr>
                <w:rFonts w:eastAsia="Arial" w:cs="Arial"/>
                <w:sz w:val="22"/>
                <w:szCs w:val="22"/>
              </w:rPr>
              <w:t>San Jose International Airport</w:t>
            </w:r>
          </w:p>
        </w:tc>
        <w:tc>
          <w:tcPr>
            <w:tcW w:w="1470" w:type="dxa"/>
          </w:tcPr>
          <w:p w:rsidRPr="00E7069D" w:rsidR="0051372B" w:rsidP="00E7069D" w:rsidRDefault="0051372B" w14:paraId="653515D4" w14:textId="08CF98AD">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432898" w:rsidP="0051372B" w:rsidRDefault="0051372B" w14:paraId="4093658B" w14:textId="58270EDF">
            <w:pPr>
              <w:spacing w:before="0" w:line="240" w:lineRule="auto"/>
              <w:jc w:val="left"/>
              <w:rPr>
                <w:rFonts w:eastAsia="Arial" w:cs="Arial"/>
                <w:sz w:val="22"/>
                <w:szCs w:val="22"/>
              </w:rPr>
            </w:pPr>
            <w:r>
              <w:rPr>
                <w:rFonts w:eastAsia="Arial" w:cs="Arial"/>
                <w:sz w:val="22"/>
                <w:szCs w:val="22"/>
              </w:rPr>
              <w:t xml:space="preserve">The </w:t>
            </w:r>
            <w:r w:rsidR="00B1396D">
              <w:rPr>
                <w:rFonts w:eastAsia="Arial" w:cs="Arial"/>
                <w:sz w:val="22"/>
                <w:szCs w:val="22"/>
              </w:rPr>
              <w:t xml:space="preserve">City of San Jose </w:t>
            </w:r>
            <w:r w:rsidR="003F62F3">
              <w:rPr>
                <w:rFonts w:eastAsia="Arial" w:cs="Arial"/>
                <w:sz w:val="22"/>
                <w:szCs w:val="22"/>
              </w:rPr>
              <w:t>covers the airport under the</w:t>
            </w:r>
            <w:r w:rsidR="00B1396D">
              <w:rPr>
                <w:rFonts w:eastAsia="Arial" w:cs="Arial"/>
                <w:sz w:val="22"/>
                <w:szCs w:val="22"/>
              </w:rPr>
              <w:t xml:space="preserve"> </w:t>
            </w:r>
            <w:r w:rsidR="002F58E7">
              <w:rPr>
                <w:rFonts w:eastAsia="Arial" w:cs="Arial"/>
                <w:sz w:val="22"/>
                <w:szCs w:val="22"/>
              </w:rPr>
              <w:t xml:space="preserve">San Francisco Bay Water Board’s </w:t>
            </w:r>
            <w:r w:rsidR="00B1396D">
              <w:rPr>
                <w:rFonts w:eastAsia="Arial" w:cs="Arial"/>
                <w:sz w:val="22"/>
                <w:szCs w:val="22"/>
              </w:rPr>
              <w:t>Phase I MS4 permit.</w:t>
            </w:r>
          </w:p>
        </w:tc>
      </w:tr>
      <w:tr w:rsidRPr="00E7069D" w:rsidR="00742EAB" w:rsidTr="0051372B" w14:paraId="65850E03" w14:textId="77777777">
        <w:trPr>
          <w:trHeight w:val="300"/>
        </w:trPr>
        <w:tc>
          <w:tcPr>
            <w:tcW w:w="1260" w:type="dxa"/>
          </w:tcPr>
          <w:p w:rsidRPr="00E7069D" w:rsidR="00742EAB" w:rsidP="00E7069D" w:rsidRDefault="00742EAB" w14:paraId="78B2A4C2" w14:textId="77777777">
            <w:pPr>
              <w:spacing w:before="0" w:line="240" w:lineRule="auto"/>
              <w:rPr>
                <w:rFonts w:eastAsia="Arial" w:cs="Arial"/>
                <w:sz w:val="22"/>
                <w:szCs w:val="22"/>
              </w:rPr>
            </w:pPr>
            <w:r w:rsidRPr="00E7069D">
              <w:rPr>
                <w:rFonts w:eastAsia="Arial" w:cs="Arial"/>
                <w:sz w:val="22"/>
                <w:szCs w:val="22"/>
              </w:rPr>
              <w:t>3</w:t>
            </w:r>
          </w:p>
        </w:tc>
        <w:tc>
          <w:tcPr>
            <w:tcW w:w="2490" w:type="dxa"/>
          </w:tcPr>
          <w:p w:rsidRPr="00E7069D" w:rsidR="00742EAB" w:rsidP="00B76009" w:rsidRDefault="00742EAB" w14:paraId="7867A5B4" w14:textId="77777777">
            <w:pPr>
              <w:spacing w:before="0" w:line="240" w:lineRule="auto"/>
              <w:jc w:val="left"/>
              <w:rPr>
                <w:rFonts w:eastAsia="Arial" w:cs="Arial"/>
                <w:sz w:val="22"/>
                <w:szCs w:val="22"/>
              </w:rPr>
            </w:pPr>
            <w:r w:rsidRPr="00E7069D">
              <w:rPr>
                <w:rFonts w:eastAsia="Arial" w:cs="Arial"/>
                <w:sz w:val="22"/>
                <w:szCs w:val="22"/>
              </w:rPr>
              <w:t>Carpinteria Unified School District</w:t>
            </w:r>
          </w:p>
        </w:tc>
        <w:tc>
          <w:tcPr>
            <w:tcW w:w="1470" w:type="dxa"/>
          </w:tcPr>
          <w:p w:rsidRPr="00E7069D" w:rsidR="00742EAB" w:rsidP="00E7069D" w:rsidRDefault="00742EAB" w14:paraId="3B4CD4B7"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742EAB" w14:paraId="0D8940BB" w14:textId="1876F525">
            <w:pPr>
              <w:spacing w:before="0" w:line="240" w:lineRule="auto"/>
              <w:jc w:val="left"/>
              <w:rPr>
                <w:rFonts w:cs="Arial"/>
                <w:sz w:val="22"/>
                <w:szCs w:val="22"/>
              </w:rPr>
            </w:pPr>
            <w:r w:rsidRPr="00E7069D">
              <w:rPr>
                <w:rFonts w:eastAsia="Arial" w:cs="Arial"/>
                <w:sz w:val="22"/>
                <w:szCs w:val="22"/>
              </w:rPr>
              <w:t>This is a small school district with under 2,000 students. It was incorrectly designated in previous permits.</w:t>
            </w:r>
          </w:p>
        </w:tc>
      </w:tr>
      <w:tr w:rsidRPr="00E7069D" w:rsidR="00742EAB" w:rsidTr="0051372B" w14:paraId="74D7D67B" w14:textId="77777777">
        <w:trPr>
          <w:trHeight w:val="300"/>
        </w:trPr>
        <w:tc>
          <w:tcPr>
            <w:tcW w:w="1260" w:type="dxa"/>
          </w:tcPr>
          <w:p w:rsidRPr="00E7069D" w:rsidR="00742EAB" w:rsidP="00E7069D" w:rsidRDefault="00742EAB" w14:paraId="3C777F41" w14:textId="77777777">
            <w:pPr>
              <w:spacing w:before="0" w:line="240" w:lineRule="auto"/>
              <w:rPr>
                <w:rFonts w:eastAsia="Arial" w:cs="Arial"/>
                <w:sz w:val="22"/>
                <w:szCs w:val="22"/>
              </w:rPr>
            </w:pPr>
            <w:r w:rsidRPr="00E7069D">
              <w:rPr>
                <w:rFonts w:eastAsia="Arial" w:cs="Arial"/>
                <w:sz w:val="22"/>
                <w:szCs w:val="22"/>
              </w:rPr>
              <w:t>3</w:t>
            </w:r>
          </w:p>
        </w:tc>
        <w:tc>
          <w:tcPr>
            <w:tcW w:w="2490" w:type="dxa"/>
          </w:tcPr>
          <w:p w:rsidRPr="00E7069D" w:rsidR="00742EAB" w:rsidP="00B76009" w:rsidRDefault="00742EAB" w14:paraId="4F59A53F" w14:textId="7B0B7E5B">
            <w:pPr>
              <w:spacing w:before="0" w:line="240" w:lineRule="auto"/>
              <w:jc w:val="left"/>
              <w:rPr>
                <w:rFonts w:eastAsia="Arial" w:cs="Arial"/>
                <w:sz w:val="22"/>
                <w:szCs w:val="22"/>
              </w:rPr>
            </w:pPr>
            <w:r w:rsidRPr="00E7069D">
              <w:rPr>
                <w:rFonts w:eastAsia="Arial" w:cs="Arial"/>
                <w:sz w:val="22"/>
                <w:szCs w:val="22"/>
              </w:rPr>
              <w:t>Fort Hunter Ligget</w:t>
            </w:r>
            <w:r w:rsidR="008D66EF">
              <w:rPr>
                <w:rFonts w:eastAsia="Arial" w:cs="Arial"/>
                <w:sz w:val="22"/>
                <w:szCs w:val="22"/>
              </w:rPr>
              <w:t>t</w:t>
            </w:r>
            <w:r w:rsidRPr="00E7069D">
              <w:rPr>
                <w:rFonts w:eastAsia="Arial" w:cs="Arial"/>
                <w:sz w:val="22"/>
                <w:szCs w:val="22"/>
              </w:rPr>
              <w:t xml:space="preserve"> Army Garrison</w:t>
            </w:r>
          </w:p>
        </w:tc>
        <w:tc>
          <w:tcPr>
            <w:tcW w:w="1470" w:type="dxa"/>
          </w:tcPr>
          <w:p w:rsidRPr="00E7069D" w:rsidR="00742EAB" w:rsidP="00E7069D" w:rsidRDefault="00742EAB" w14:paraId="3D254A6A"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AD326F" w14:paraId="5AA486E5" w14:textId="137C1352">
            <w:pPr>
              <w:spacing w:before="0" w:line="240" w:lineRule="auto"/>
              <w:jc w:val="left"/>
              <w:rPr>
                <w:rFonts w:cs="Arial"/>
                <w:sz w:val="22"/>
                <w:szCs w:val="22"/>
              </w:rPr>
            </w:pPr>
            <w:r>
              <w:rPr>
                <w:rFonts w:eastAsia="Arial" w:cs="Arial"/>
                <w:sz w:val="22"/>
                <w:szCs w:val="22"/>
              </w:rPr>
              <w:t xml:space="preserve">Following designation under the </w:t>
            </w:r>
            <w:r w:rsidRPr="00E7069D" w:rsidR="00742EAB">
              <w:rPr>
                <w:rFonts w:eastAsia="Arial" w:cs="Arial"/>
                <w:sz w:val="22"/>
                <w:szCs w:val="22"/>
              </w:rPr>
              <w:t>2013 Phase II Permit, the Fort made an agreement with State Board and Region 3 that the Fort's SWPPP for the IGP was adequate to address their stormwater discharges and</w:t>
            </w:r>
            <w:r w:rsidR="00587743">
              <w:rPr>
                <w:rFonts w:eastAsia="Arial" w:cs="Arial"/>
                <w:sz w:val="22"/>
                <w:szCs w:val="22"/>
              </w:rPr>
              <w:t xml:space="preserve"> that</w:t>
            </w:r>
            <w:r w:rsidRPr="00E7069D" w:rsidR="00742EAB">
              <w:rPr>
                <w:rFonts w:eastAsia="Arial" w:cs="Arial"/>
                <w:sz w:val="22"/>
                <w:szCs w:val="22"/>
              </w:rPr>
              <w:t xml:space="preserve"> they could be removed from the Phase II Permit upon approval of the SWPPP.</w:t>
            </w:r>
          </w:p>
        </w:tc>
      </w:tr>
      <w:tr w:rsidRPr="00E7069D" w:rsidR="00742EAB" w:rsidTr="0051372B" w14:paraId="7A6CDE97" w14:textId="77777777">
        <w:trPr>
          <w:trHeight w:val="300"/>
        </w:trPr>
        <w:tc>
          <w:tcPr>
            <w:tcW w:w="1260" w:type="dxa"/>
          </w:tcPr>
          <w:p w:rsidRPr="00E7069D" w:rsidR="00742EAB" w:rsidP="00E7069D" w:rsidRDefault="00742EAB" w14:paraId="174C1DFA" w14:textId="77777777">
            <w:pPr>
              <w:spacing w:before="0" w:line="240" w:lineRule="auto"/>
              <w:rPr>
                <w:rFonts w:eastAsia="Arial" w:cs="Arial"/>
                <w:sz w:val="22"/>
                <w:szCs w:val="22"/>
              </w:rPr>
            </w:pPr>
            <w:r w:rsidRPr="00E7069D">
              <w:rPr>
                <w:rFonts w:eastAsia="Arial" w:cs="Arial"/>
                <w:sz w:val="22"/>
                <w:szCs w:val="22"/>
              </w:rPr>
              <w:t>3</w:t>
            </w:r>
          </w:p>
        </w:tc>
        <w:tc>
          <w:tcPr>
            <w:tcW w:w="2490" w:type="dxa"/>
          </w:tcPr>
          <w:p w:rsidRPr="00E7069D" w:rsidR="00742EAB" w:rsidP="00B76009" w:rsidRDefault="00742EAB" w14:paraId="5E26CBDF" w14:textId="072A1233">
            <w:pPr>
              <w:spacing w:before="0" w:line="240" w:lineRule="auto"/>
              <w:jc w:val="left"/>
              <w:rPr>
                <w:rFonts w:eastAsia="Arial" w:cs="Arial"/>
                <w:sz w:val="22"/>
                <w:szCs w:val="22"/>
              </w:rPr>
            </w:pPr>
            <w:r w:rsidRPr="00E7069D">
              <w:rPr>
                <w:rFonts w:eastAsia="Arial" w:cs="Arial"/>
                <w:sz w:val="22"/>
                <w:szCs w:val="22"/>
              </w:rPr>
              <w:t>For</w:t>
            </w:r>
            <w:r w:rsidR="00B76009">
              <w:rPr>
                <w:rFonts w:eastAsia="Arial" w:cs="Arial"/>
                <w:sz w:val="22"/>
                <w:szCs w:val="22"/>
              </w:rPr>
              <w:t>t</w:t>
            </w:r>
            <w:r w:rsidRPr="00E7069D">
              <w:rPr>
                <w:rFonts w:eastAsia="Arial" w:cs="Arial"/>
                <w:sz w:val="22"/>
                <w:szCs w:val="22"/>
              </w:rPr>
              <w:t xml:space="preserve"> Ord Reuse Authority</w:t>
            </w:r>
          </w:p>
        </w:tc>
        <w:tc>
          <w:tcPr>
            <w:tcW w:w="1470" w:type="dxa"/>
          </w:tcPr>
          <w:p w:rsidRPr="00E7069D" w:rsidR="00742EAB" w:rsidP="00E7069D" w:rsidRDefault="00742EAB" w14:paraId="116811DE"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742EAB" w14:paraId="60821BAE" w14:textId="77777777">
            <w:pPr>
              <w:spacing w:before="0" w:line="240" w:lineRule="auto"/>
              <w:jc w:val="left"/>
              <w:rPr>
                <w:rFonts w:cs="Arial"/>
                <w:sz w:val="22"/>
                <w:szCs w:val="22"/>
              </w:rPr>
            </w:pPr>
            <w:r w:rsidRPr="00E7069D">
              <w:rPr>
                <w:rFonts w:eastAsia="Arial" w:cs="Arial"/>
                <w:sz w:val="22"/>
                <w:szCs w:val="22"/>
              </w:rPr>
              <w:t>Fort Ord Reuse Authority no longer exists. Areas of Fort Ord that have been developed were subsumed into the MS4 boundaries of the neighboring communities.</w:t>
            </w:r>
          </w:p>
        </w:tc>
      </w:tr>
      <w:tr w:rsidRPr="00E7069D" w:rsidR="00742EAB" w:rsidTr="0051372B" w14:paraId="0F68651D" w14:textId="77777777">
        <w:trPr>
          <w:trHeight w:val="300"/>
        </w:trPr>
        <w:tc>
          <w:tcPr>
            <w:tcW w:w="1260" w:type="dxa"/>
          </w:tcPr>
          <w:p w:rsidRPr="00E7069D" w:rsidR="00742EAB" w:rsidP="00E7069D" w:rsidRDefault="00742EAB" w14:paraId="3DA434C7" w14:textId="77777777">
            <w:pPr>
              <w:spacing w:before="0" w:line="240" w:lineRule="auto"/>
              <w:rPr>
                <w:rFonts w:eastAsia="Arial" w:cs="Arial"/>
                <w:sz w:val="22"/>
                <w:szCs w:val="22"/>
              </w:rPr>
            </w:pPr>
            <w:r w:rsidRPr="00E7069D">
              <w:rPr>
                <w:rFonts w:eastAsia="Arial" w:cs="Arial"/>
                <w:sz w:val="22"/>
                <w:szCs w:val="22"/>
              </w:rPr>
              <w:t>3</w:t>
            </w:r>
          </w:p>
        </w:tc>
        <w:tc>
          <w:tcPr>
            <w:tcW w:w="2490" w:type="dxa"/>
          </w:tcPr>
          <w:p w:rsidRPr="00E7069D" w:rsidR="00742EAB" w:rsidP="00B76009" w:rsidRDefault="00742EAB" w14:paraId="5F897BC0" w14:textId="77777777">
            <w:pPr>
              <w:spacing w:before="0" w:line="240" w:lineRule="auto"/>
              <w:jc w:val="left"/>
              <w:rPr>
                <w:rFonts w:eastAsia="Arial" w:cs="Arial"/>
                <w:sz w:val="22"/>
                <w:szCs w:val="22"/>
              </w:rPr>
            </w:pPr>
            <w:r w:rsidRPr="00E7069D">
              <w:rPr>
                <w:rFonts w:eastAsia="Arial" w:cs="Arial"/>
                <w:sz w:val="22"/>
                <w:szCs w:val="22"/>
              </w:rPr>
              <w:t>Oceano Community Services District</w:t>
            </w:r>
          </w:p>
        </w:tc>
        <w:tc>
          <w:tcPr>
            <w:tcW w:w="1470" w:type="dxa"/>
          </w:tcPr>
          <w:p w:rsidRPr="00E7069D" w:rsidR="00742EAB" w:rsidP="00E7069D" w:rsidRDefault="00742EAB" w14:paraId="385D5D33"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742EAB" w14:paraId="70CD4F4E" w14:textId="77777777">
            <w:pPr>
              <w:spacing w:before="0" w:line="240" w:lineRule="auto"/>
              <w:jc w:val="left"/>
              <w:rPr>
                <w:rFonts w:cs="Arial"/>
                <w:sz w:val="22"/>
                <w:szCs w:val="22"/>
              </w:rPr>
            </w:pPr>
            <w:r w:rsidRPr="00E7069D">
              <w:rPr>
                <w:rFonts w:eastAsia="Arial" w:cs="Arial"/>
                <w:sz w:val="22"/>
                <w:szCs w:val="22"/>
              </w:rPr>
              <w:t>Previously incorrectly designated and does not own or operate drainage infrastructure and has no development permitting authority.</w:t>
            </w:r>
          </w:p>
        </w:tc>
      </w:tr>
      <w:tr w:rsidRPr="00E7069D" w:rsidR="00742EAB" w:rsidTr="0051372B" w14:paraId="6C4907E0" w14:textId="77777777">
        <w:trPr>
          <w:trHeight w:val="300"/>
        </w:trPr>
        <w:tc>
          <w:tcPr>
            <w:tcW w:w="1260" w:type="dxa"/>
          </w:tcPr>
          <w:p w:rsidRPr="00E7069D" w:rsidR="00742EAB" w:rsidP="00E7069D" w:rsidRDefault="00742EAB" w14:paraId="32FBD417" w14:textId="77777777">
            <w:pPr>
              <w:spacing w:before="0" w:line="240" w:lineRule="auto"/>
              <w:rPr>
                <w:rFonts w:eastAsia="Arial" w:cs="Arial"/>
                <w:sz w:val="22"/>
                <w:szCs w:val="22"/>
              </w:rPr>
            </w:pPr>
            <w:r w:rsidRPr="00E7069D">
              <w:rPr>
                <w:rFonts w:eastAsia="Arial" w:cs="Arial"/>
                <w:sz w:val="22"/>
                <w:szCs w:val="22"/>
              </w:rPr>
              <w:t>3</w:t>
            </w:r>
          </w:p>
        </w:tc>
        <w:tc>
          <w:tcPr>
            <w:tcW w:w="2490" w:type="dxa"/>
          </w:tcPr>
          <w:p w:rsidRPr="00E7069D" w:rsidR="00742EAB" w:rsidP="00B76009" w:rsidRDefault="00742EAB" w14:paraId="020445EF" w14:textId="77777777">
            <w:pPr>
              <w:spacing w:before="0" w:line="240" w:lineRule="auto"/>
              <w:jc w:val="left"/>
              <w:rPr>
                <w:rFonts w:eastAsia="Arial" w:cs="Arial"/>
                <w:sz w:val="22"/>
                <w:szCs w:val="22"/>
              </w:rPr>
            </w:pPr>
            <w:r w:rsidRPr="00E7069D">
              <w:rPr>
                <w:rFonts w:eastAsia="Arial" w:cs="Arial"/>
                <w:sz w:val="22"/>
                <w:szCs w:val="22"/>
              </w:rPr>
              <w:t>Templeton Community Services District</w:t>
            </w:r>
          </w:p>
        </w:tc>
        <w:tc>
          <w:tcPr>
            <w:tcW w:w="1470" w:type="dxa"/>
          </w:tcPr>
          <w:p w:rsidRPr="00E7069D" w:rsidR="00742EAB" w:rsidP="00E7069D" w:rsidRDefault="00742EAB" w14:paraId="78FB918D"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742EAB" w14:paraId="660BC31C" w14:textId="77777777">
            <w:pPr>
              <w:spacing w:before="0" w:line="240" w:lineRule="auto"/>
              <w:jc w:val="left"/>
              <w:rPr>
                <w:rFonts w:cs="Arial"/>
                <w:sz w:val="22"/>
                <w:szCs w:val="22"/>
              </w:rPr>
            </w:pPr>
            <w:r w:rsidRPr="00E7069D">
              <w:rPr>
                <w:rFonts w:eastAsia="Arial" w:cs="Arial"/>
                <w:sz w:val="22"/>
                <w:szCs w:val="22"/>
              </w:rPr>
              <w:t>Previously incorrectly designated and does not own or operate drainage infrastructure and has no development permitting authority.</w:t>
            </w:r>
          </w:p>
        </w:tc>
      </w:tr>
      <w:tr w:rsidRPr="00E7069D" w:rsidR="00742EAB" w:rsidTr="0051372B" w14:paraId="5DB7893B" w14:textId="77777777">
        <w:trPr>
          <w:trHeight w:val="300"/>
        </w:trPr>
        <w:tc>
          <w:tcPr>
            <w:tcW w:w="1260" w:type="dxa"/>
          </w:tcPr>
          <w:p w:rsidRPr="00E7069D" w:rsidR="00742EAB" w:rsidP="00E7069D" w:rsidRDefault="00742EAB" w14:paraId="48BFFC22" w14:textId="77777777">
            <w:pPr>
              <w:spacing w:before="0" w:line="240" w:lineRule="auto"/>
              <w:rPr>
                <w:rFonts w:eastAsia="Arial" w:cs="Arial"/>
                <w:sz w:val="22"/>
                <w:szCs w:val="22"/>
              </w:rPr>
            </w:pPr>
            <w:r w:rsidRPr="00E7069D">
              <w:rPr>
                <w:rFonts w:eastAsia="Arial" w:cs="Arial"/>
                <w:sz w:val="22"/>
                <w:szCs w:val="22"/>
              </w:rPr>
              <w:t>4</w:t>
            </w:r>
          </w:p>
        </w:tc>
        <w:tc>
          <w:tcPr>
            <w:tcW w:w="2490" w:type="dxa"/>
          </w:tcPr>
          <w:p w:rsidRPr="00E7069D" w:rsidR="00742EAB" w:rsidP="00B76009" w:rsidRDefault="00742EAB" w14:paraId="08388397" w14:textId="7D58797D">
            <w:pPr>
              <w:spacing w:before="0" w:line="240" w:lineRule="auto"/>
              <w:jc w:val="left"/>
              <w:rPr>
                <w:rFonts w:eastAsia="Arial" w:cs="Arial"/>
                <w:sz w:val="22"/>
                <w:szCs w:val="22"/>
              </w:rPr>
            </w:pPr>
            <w:r w:rsidRPr="00E7069D">
              <w:rPr>
                <w:rFonts w:eastAsia="Arial" w:cs="Arial"/>
                <w:sz w:val="22"/>
                <w:szCs w:val="22"/>
              </w:rPr>
              <w:t>CCM Long Beach</w:t>
            </w:r>
            <w:r w:rsidR="00E32124">
              <w:rPr>
                <w:rFonts w:eastAsia="Arial" w:cs="Arial"/>
                <w:sz w:val="22"/>
                <w:szCs w:val="22"/>
              </w:rPr>
              <w:t>, Bureau of Prisons</w:t>
            </w:r>
          </w:p>
        </w:tc>
        <w:tc>
          <w:tcPr>
            <w:tcW w:w="1470" w:type="dxa"/>
          </w:tcPr>
          <w:p w:rsidRPr="00E7069D" w:rsidR="00742EAB" w:rsidP="00E7069D" w:rsidRDefault="00742EAB" w14:paraId="7B1CE628"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742EAB" w14:paraId="1EB6967A" w14:textId="77777777">
            <w:pPr>
              <w:spacing w:before="0" w:line="240" w:lineRule="auto"/>
              <w:jc w:val="left"/>
              <w:rPr>
                <w:rFonts w:cs="Arial"/>
                <w:sz w:val="22"/>
                <w:szCs w:val="22"/>
              </w:rPr>
            </w:pPr>
            <w:r w:rsidRPr="00E7069D">
              <w:rPr>
                <w:rFonts w:eastAsia="Arial" w:cs="Arial"/>
                <w:sz w:val="22"/>
                <w:szCs w:val="22"/>
              </w:rPr>
              <w:t>This downtown Long Beach office closed and moved to FCI Terminal Island.</w:t>
            </w:r>
          </w:p>
        </w:tc>
      </w:tr>
      <w:tr w:rsidRPr="00E7069D" w:rsidR="007832ED" w:rsidTr="0051372B" w14:paraId="38AC4B47" w14:textId="77777777">
        <w:trPr>
          <w:trHeight w:val="300"/>
        </w:trPr>
        <w:tc>
          <w:tcPr>
            <w:tcW w:w="1260" w:type="dxa"/>
          </w:tcPr>
          <w:p w:rsidRPr="00E7069D" w:rsidR="007832ED" w:rsidP="00E7069D" w:rsidRDefault="007832ED" w14:paraId="7F146A69" w14:textId="4E7B37ED">
            <w:pPr>
              <w:spacing w:before="0" w:line="240" w:lineRule="auto"/>
              <w:rPr>
                <w:rFonts w:eastAsia="Arial" w:cs="Arial"/>
                <w:sz w:val="22"/>
                <w:szCs w:val="22"/>
              </w:rPr>
            </w:pPr>
            <w:r>
              <w:rPr>
                <w:rFonts w:eastAsia="Arial" w:cs="Arial"/>
                <w:sz w:val="22"/>
                <w:szCs w:val="22"/>
              </w:rPr>
              <w:t>4</w:t>
            </w:r>
          </w:p>
        </w:tc>
        <w:tc>
          <w:tcPr>
            <w:tcW w:w="2490" w:type="dxa"/>
          </w:tcPr>
          <w:p w:rsidR="007832ED" w:rsidP="002D79C6" w:rsidRDefault="007832ED" w14:paraId="4D4334C1" w14:textId="0EBE8B56">
            <w:pPr>
              <w:spacing w:before="0" w:line="240" w:lineRule="auto"/>
              <w:jc w:val="left"/>
              <w:rPr>
                <w:rFonts w:eastAsia="Arial" w:cs="Arial"/>
                <w:sz w:val="22"/>
                <w:szCs w:val="22"/>
              </w:rPr>
            </w:pPr>
            <w:r>
              <w:rPr>
                <w:rFonts w:eastAsia="Arial" w:cs="Arial"/>
                <w:sz w:val="22"/>
                <w:szCs w:val="22"/>
              </w:rPr>
              <w:t>Lanterman Development Center</w:t>
            </w:r>
          </w:p>
        </w:tc>
        <w:tc>
          <w:tcPr>
            <w:tcW w:w="1470" w:type="dxa"/>
          </w:tcPr>
          <w:p w:rsidRPr="00E7069D" w:rsidR="007832ED" w:rsidP="00E7069D" w:rsidRDefault="007832ED" w14:paraId="264BBEA2" w14:textId="409DCF84">
            <w:pPr>
              <w:spacing w:before="0" w:line="240" w:lineRule="auto"/>
              <w:rPr>
                <w:rFonts w:eastAsia="Arial" w:cs="Arial"/>
                <w:sz w:val="22"/>
                <w:szCs w:val="22"/>
              </w:rPr>
            </w:pPr>
            <w:r>
              <w:rPr>
                <w:rFonts w:eastAsia="Arial" w:cs="Arial"/>
                <w:sz w:val="22"/>
                <w:szCs w:val="22"/>
              </w:rPr>
              <w:t>Non-Traditional</w:t>
            </w:r>
          </w:p>
        </w:tc>
        <w:tc>
          <w:tcPr>
            <w:tcW w:w="4140" w:type="dxa"/>
          </w:tcPr>
          <w:p w:rsidRPr="00E7069D" w:rsidR="007832ED" w:rsidP="002D79C6" w:rsidRDefault="00FE7AA1" w14:paraId="42DD239E" w14:textId="10B3EC20">
            <w:pPr>
              <w:spacing w:before="0" w:line="240" w:lineRule="auto"/>
              <w:jc w:val="left"/>
              <w:rPr>
                <w:rFonts w:eastAsia="Arial" w:cs="Arial"/>
                <w:sz w:val="22"/>
                <w:szCs w:val="22"/>
              </w:rPr>
            </w:pPr>
            <w:r>
              <w:rPr>
                <w:rFonts w:eastAsia="Arial" w:cs="Arial"/>
                <w:sz w:val="22"/>
                <w:szCs w:val="22"/>
              </w:rPr>
              <w:t xml:space="preserve">This </w:t>
            </w:r>
            <w:r w:rsidR="007545B8">
              <w:rPr>
                <w:rFonts w:eastAsia="Arial" w:cs="Arial"/>
                <w:sz w:val="22"/>
                <w:szCs w:val="22"/>
              </w:rPr>
              <w:t xml:space="preserve">psychiatric hospital closed in </w:t>
            </w:r>
            <w:r w:rsidR="002D79C6">
              <w:rPr>
                <w:rFonts w:eastAsia="Arial" w:cs="Arial"/>
                <w:sz w:val="22"/>
                <w:szCs w:val="22"/>
              </w:rPr>
              <w:t>2015,</w:t>
            </w:r>
            <w:r w:rsidR="007545B8">
              <w:rPr>
                <w:rFonts w:eastAsia="Arial" w:cs="Arial"/>
                <w:sz w:val="22"/>
                <w:szCs w:val="22"/>
              </w:rPr>
              <w:t xml:space="preserve"> and ownership was transferred to </w:t>
            </w:r>
            <w:r w:rsidR="00992631">
              <w:rPr>
                <w:rFonts w:eastAsia="Arial" w:cs="Arial"/>
                <w:sz w:val="22"/>
                <w:szCs w:val="22"/>
              </w:rPr>
              <w:t>Cal P</w:t>
            </w:r>
            <w:r w:rsidR="00404223">
              <w:rPr>
                <w:rFonts w:eastAsia="Arial" w:cs="Arial"/>
                <w:sz w:val="22"/>
                <w:szCs w:val="22"/>
              </w:rPr>
              <w:t>o</w:t>
            </w:r>
            <w:r w:rsidR="00992631">
              <w:rPr>
                <w:rFonts w:eastAsia="Arial" w:cs="Arial"/>
                <w:sz w:val="22"/>
                <w:szCs w:val="22"/>
              </w:rPr>
              <w:t>ly Pomona</w:t>
            </w:r>
            <w:r w:rsidR="002B02F7">
              <w:rPr>
                <w:rFonts w:eastAsia="Arial" w:cs="Arial"/>
                <w:sz w:val="22"/>
                <w:szCs w:val="22"/>
              </w:rPr>
              <w:t>. This area now fall</w:t>
            </w:r>
            <w:r w:rsidR="00505013">
              <w:rPr>
                <w:rFonts w:eastAsia="Arial" w:cs="Arial"/>
                <w:sz w:val="22"/>
                <w:szCs w:val="22"/>
              </w:rPr>
              <w:t>s</w:t>
            </w:r>
            <w:r w:rsidR="002B02F7">
              <w:rPr>
                <w:rFonts w:eastAsia="Arial" w:cs="Arial"/>
                <w:sz w:val="22"/>
                <w:szCs w:val="22"/>
              </w:rPr>
              <w:t xml:space="preserve"> under Cal Poly Pomona’s </w:t>
            </w:r>
            <w:r w:rsidR="002D79C6">
              <w:rPr>
                <w:rFonts w:eastAsia="Arial" w:cs="Arial"/>
                <w:sz w:val="22"/>
                <w:szCs w:val="22"/>
              </w:rPr>
              <w:t>MS4 permit coverage.</w:t>
            </w:r>
          </w:p>
        </w:tc>
      </w:tr>
      <w:tr w:rsidRPr="00E7069D" w:rsidR="00742EAB" w:rsidTr="0051372B" w14:paraId="1C1C0316" w14:textId="77777777">
        <w:trPr>
          <w:trHeight w:val="300"/>
        </w:trPr>
        <w:tc>
          <w:tcPr>
            <w:tcW w:w="1260" w:type="dxa"/>
          </w:tcPr>
          <w:p w:rsidRPr="00E7069D" w:rsidR="00742EAB" w:rsidP="00E7069D" w:rsidRDefault="00742EAB" w14:paraId="23EF20C5" w14:textId="77777777">
            <w:pPr>
              <w:spacing w:before="0" w:line="240" w:lineRule="auto"/>
              <w:rPr>
                <w:rFonts w:eastAsia="Arial" w:cs="Arial"/>
                <w:sz w:val="22"/>
                <w:szCs w:val="22"/>
              </w:rPr>
            </w:pPr>
            <w:r w:rsidRPr="00E7069D">
              <w:rPr>
                <w:rFonts w:eastAsia="Arial" w:cs="Arial"/>
                <w:sz w:val="22"/>
                <w:szCs w:val="22"/>
              </w:rPr>
              <w:t>5</w:t>
            </w:r>
          </w:p>
        </w:tc>
        <w:tc>
          <w:tcPr>
            <w:tcW w:w="2490" w:type="dxa"/>
          </w:tcPr>
          <w:p w:rsidRPr="00E7069D" w:rsidR="00742EAB" w:rsidP="00B76009" w:rsidRDefault="00742EAB" w14:paraId="27C8E5B5" w14:textId="77777777">
            <w:pPr>
              <w:spacing w:before="0" w:line="240" w:lineRule="auto"/>
              <w:jc w:val="left"/>
              <w:rPr>
                <w:rFonts w:eastAsia="Arial" w:cs="Arial"/>
                <w:sz w:val="22"/>
                <w:szCs w:val="22"/>
              </w:rPr>
            </w:pPr>
            <w:r w:rsidRPr="00E7069D">
              <w:rPr>
                <w:rFonts w:eastAsia="Arial" w:cs="Arial"/>
                <w:sz w:val="22"/>
                <w:szCs w:val="22"/>
              </w:rPr>
              <w:t>Mountain House Community Services District</w:t>
            </w:r>
          </w:p>
        </w:tc>
        <w:tc>
          <w:tcPr>
            <w:tcW w:w="1470" w:type="dxa"/>
          </w:tcPr>
          <w:p w:rsidRPr="00E7069D" w:rsidR="00742EAB" w:rsidP="00E7069D" w:rsidRDefault="00742EAB" w14:paraId="612116CF"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742EAB" w14:paraId="4D74FD08" w14:textId="21E92CDE">
            <w:pPr>
              <w:spacing w:before="0" w:line="240" w:lineRule="auto"/>
              <w:jc w:val="left"/>
              <w:rPr>
                <w:rFonts w:eastAsia="Arial" w:cs="Arial"/>
                <w:sz w:val="22"/>
                <w:szCs w:val="22"/>
              </w:rPr>
            </w:pPr>
            <w:r w:rsidRPr="00E7069D">
              <w:rPr>
                <w:rFonts w:eastAsia="Arial" w:cs="Arial"/>
                <w:sz w:val="22"/>
                <w:szCs w:val="22"/>
              </w:rPr>
              <w:t xml:space="preserve">Mountain House was incorporated into a city in 2024 and has been </w:t>
            </w:r>
            <w:r w:rsidRPr="00E7069D" w:rsidR="00974390">
              <w:rPr>
                <w:rFonts w:eastAsia="Arial" w:cs="Arial"/>
                <w:sz w:val="22"/>
                <w:szCs w:val="22"/>
              </w:rPr>
              <w:t>redesignated</w:t>
            </w:r>
            <w:r w:rsidRPr="00E7069D">
              <w:rPr>
                <w:rFonts w:eastAsia="Arial" w:cs="Arial"/>
                <w:sz w:val="22"/>
                <w:szCs w:val="22"/>
              </w:rPr>
              <w:t xml:space="preserve"> as </w:t>
            </w:r>
            <w:r w:rsidR="009900A5">
              <w:rPr>
                <w:rFonts w:eastAsia="Arial" w:cs="Arial"/>
                <w:sz w:val="22"/>
                <w:szCs w:val="22"/>
              </w:rPr>
              <w:t>a</w:t>
            </w:r>
            <w:r w:rsidRPr="00E7069D">
              <w:rPr>
                <w:rFonts w:eastAsia="Arial" w:cs="Arial"/>
                <w:sz w:val="22"/>
                <w:szCs w:val="22"/>
              </w:rPr>
              <w:t xml:space="preserve"> traditional permittee.</w:t>
            </w:r>
          </w:p>
        </w:tc>
      </w:tr>
      <w:tr w:rsidRPr="00E7069D" w:rsidR="00742EAB" w:rsidTr="0051372B" w14:paraId="37E9AA11" w14:textId="77777777">
        <w:trPr>
          <w:trHeight w:val="300"/>
        </w:trPr>
        <w:tc>
          <w:tcPr>
            <w:tcW w:w="1260" w:type="dxa"/>
          </w:tcPr>
          <w:p w:rsidRPr="00E7069D" w:rsidR="00742EAB" w:rsidP="00E7069D" w:rsidRDefault="00742EAB" w14:paraId="79AF1B09" w14:textId="77777777">
            <w:pPr>
              <w:spacing w:before="0" w:line="240" w:lineRule="auto"/>
              <w:rPr>
                <w:rFonts w:eastAsia="Arial" w:cs="Arial"/>
                <w:sz w:val="22"/>
                <w:szCs w:val="22"/>
              </w:rPr>
            </w:pPr>
            <w:r w:rsidRPr="00E7069D">
              <w:rPr>
                <w:rFonts w:eastAsia="Arial" w:cs="Arial"/>
                <w:sz w:val="22"/>
                <w:szCs w:val="22"/>
              </w:rPr>
              <w:t>5</w:t>
            </w:r>
          </w:p>
        </w:tc>
        <w:tc>
          <w:tcPr>
            <w:tcW w:w="2490" w:type="dxa"/>
          </w:tcPr>
          <w:p w:rsidRPr="00E7069D" w:rsidR="00742EAB" w:rsidP="00B76009" w:rsidRDefault="00742EAB" w14:paraId="4DAD2360" w14:textId="77777777">
            <w:pPr>
              <w:spacing w:before="0" w:line="240" w:lineRule="auto"/>
              <w:jc w:val="left"/>
              <w:rPr>
                <w:rFonts w:eastAsia="Arial" w:cs="Arial"/>
                <w:sz w:val="22"/>
                <w:szCs w:val="22"/>
              </w:rPr>
            </w:pPr>
            <w:r w:rsidRPr="00E7069D">
              <w:rPr>
                <w:rFonts w:eastAsia="Arial" w:cs="Arial"/>
                <w:sz w:val="22"/>
                <w:szCs w:val="22"/>
              </w:rPr>
              <w:t>Sacramento Medical Center at Mather</w:t>
            </w:r>
          </w:p>
        </w:tc>
        <w:tc>
          <w:tcPr>
            <w:tcW w:w="1470" w:type="dxa"/>
          </w:tcPr>
          <w:p w:rsidRPr="00E7069D" w:rsidR="00742EAB" w:rsidP="00E7069D" w:rsidRDefault="00742EAB" w14:paraId="06330480"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DD6C43" w14:paraId="6E40682E" w14:textId="59A981B4">
            <w:pPr>
              <w:spacing w:before="0" w:line="240" w:lineRule="auto"/>
              <w:jc w:val="left"/>
              <w:rPr>
                <w:rFonts w:cs="Arial"/>
                <w:sz w:val="22"/>
                <w:szCs w:val="22"/>
              </w:rPr>
            </w:pPr>
            <w:r w:rsidRPr="00E7069D">
              <w:rPr>
                <w:rFonts w:eastAsia="Arial" w:cs="Arial"/>
                <w:sz w:val="22"/>
                <w:szCs w:val="22"/>
              </w:rPr>
              <w:t>Sacramento Medical Center at Mather</w:t>
            </w:r>
            <w:r w:rsidR="009900A5">
              <w:rPr>
                <w:rFonts w:eastAsia="Arial" w:cs="Arial"/>
                <w:sz w:val="22"/>
                <w:szCs w:val="22"/>
              </w:rPr>
              <w:t xml:space="preserve"> </w:t>
            </w:r>
            <w:r w:rsidRPr="00E7069D" w:rsidR="00742EAB">
              <w:rPr>
                <w:rFonts w:eastAsia="Arial" w:cs="Arial"/>
                <w:sz w:val="22"/>
                <w:szCs w:val="22"/>
              </w:rPr>
              <w:t xml:space="preserve">was incorrectly designated in the 2013 permit. </w:t>
            </w:r>
            <w:r w:rsidR="00560BD3">
              <w:rPr>
                <w:rFonts w:eastAsia="Arial" w:cs="Arial"/>
                <w:sz w:val="22"/>
                <w:szCs w:val="22"/>
              </w:rPr>
              <w:t>The</w:t>
            </w:r>
            <w:r w:rsidRPr="00E7069D" w:rsidR="00742EAB">
              <w:rPr>
                <w:rFonts w:eastAsia="Arial" w:cs="Arial"/>
                <w:sz w:val="22"/>
                <w:szCs w:val="22"/>
              </w:rPr>
              <w:t xml:space="preserve"> facility is not a threat to water quality </w:t>
            </w:r>
            <w:r>
              <w:rPr>
                <w:rFonts w:eastAsia="Arial" w:cs="Arial"/>
                <w:sz w:val="22"/>
                <w:szCs w:val="22"/>
              </w:rPr>
              <w:t xml:space="preserve">and does not satisfy the criteria for </w:t>
            </w:r>
            <w:r w:rsidRPr="00E7069D" w:rsidR="00742EAB">
              <w:rPr>
                <w:rFonts w:eastAsia="Arial" w:cs="Arial"/>
                <w:sz w:val="22"/>
                <w:szCs w:val="22"/>
              </w:rPr>
              <w:t>case-by-case basis designation.</w:t>
            </w:r>
          </w:p>
        </w:tc>
      </w:tr>
      <w:tr w:rsidRPr="00E7069D" w:rsidR="00742EAB" w:rsidTr="0051372B" w14:paraId="742EAA6E" w14:textId="77777777">
        <w:trPr>
          <w:trHeight w:val="300"/>
        </w:trPr>
        <w:tc>
          <w:tcPr>
            <w:tcW w:w="1260" w:type="dxa"/>
          </w:tcPr>
          <w:p w:rsidRPr="00E7069D" w:rsidR="00742EAB" w:rsidP="00E7069D" w:rsidRDefault="00742EAB" w14:paraId="1A2E23AC" w14:textId="77777777">
            <w:pPr>
              <w:spacing w:before="0" w:line="240" w:lineRule="auto"/>
              <w:rPr>
                <w:rFonts w:eastAsia="Arial" w:cs="Arial"/>
                <w:sz w:val="22"/>
                <w:szCs w:val="22"/>
              </w:rPr>
            </w:pPr>
            <w:r w:rsidRPr="00E7069D">
              <w:rPr>
                <w:rFonts w:eastAsia="Arial" w:cs="Arial"/>
                <w:sz w:val="22"/>
                <w:szCs w:val="22"/>
              </w:rPr>
              <w:t>9</w:t>
            </w:r>
          </w:p>
        </w:tc>
        <w:tc>
          <w:tcPr>
            <w:tcW w:w="2490" w:type="dxa"/>
          </w:tcPr>
          <w:p w:rsidRPr="00E7069D" w:rsidR="00742EAB" w:rsidP="00B76009" w:rsidRDefault="00742EAB" w14:paraId="771B3A9F" w14:textId="77777777">
            <w:pPr>
              <w:spacing w:before="0" w:line="240" w:lineRule="auto"/>
              <w:jc w:val="left"/>
              <w:rPr>
                <w:rFonts w:eastAsia="Arial" w:cs="Arial"/>
                <w:sz w:val="22"/>
                <w:szCs w:val="22"/>
              </w:rPr>
            </w:pPr>
            <w:r w:rsidRPr="00E7069D">
              <w:rPr>
                <w:rFonts w:eastAsia="Arial" w:cs="Arial"/>
                <w:sz w:val="22"/>
                <w:szCs w:val="22"/>
              </w:rPr>
              <w:t>MCC San Diego</w:t>
            </w:r>
          </w:p>
        </w:tc>
        <w:tc>
          <w:tcPr>
            <w:tcW w:w="1470" w:type="dxa"/>
          </w:tcPr>
          <w:p w:rsidRPr="00E7069D" w:rsidR="00742EAB" w:rsidP="00E7069D" w:rsidRDefault="00742EAB" w14:paraId="6AA4EE5B" w14:textId="77777777">
            <w:pPr>
              <w:spacing w:before="0" w:line="240" w:lineRule="auto"/>
              <w:rPr>
                <w:rFonts w:eastAsia="Arial" w:cs="Arial"/>
                <w:sz w:val="22"/>
                <w:szCs w:val="22"/>
              </w:rPr>
            </w:pPr>
            <w:r w:rsidRPr="00E7069D">
              <w:rPr>
                <w:rFonts w:eastAsia="Arial" w:cs="Arial"/>
                <w:sz w:val="22"/>
                <w:szCs w:val="22"/>
              </w:rPr>
              <w:t>Non-Traditional</w:t>
            </w:r>
          </w:p>
        </w:tc>
        <w:tc>
          <w:tcPr>
            <w:tcW w:w="4140" w:type="dxa"/>
          </w:tcPr>
          <w:p w:rsidRPr="00E7069D" w:rsidR="00742EAB" w:rsidP="00E7069D" w:rsidRDefault="00DD6C43" w14:paraId="5458F7FE" w14:textId="20C09BC3">
            <w:pPr>
              <w:spacing w:before="0" w:line="240" w:lineRule="auto"/>
              <w:jc w:val="left"/>
              <w:rPr>
                <w:rFonts w:cs="Arial"/>
                <w:sz w:val="22"/>
                <w:szCs w:val="22"/>
              </w:rPr>
            </w:pPr>
            <w:r w:rsidRPr="00E7069D">
              <w:rPr>
                <w:rFonts w:eastAsia="Arial" w:cs="Arial"/>
                <w:sz w:val="22"/>
                <w:szCs w:val="22"/>
              </w:rPr>
              <w:t>MCC San Diego</w:t>
            </w:r>
            <w:r w:rsidRPr="00E7069D" w:rsidDel="00DD6C43">
              <w:rPr>
                <w:rFonts w:eastAsia="Arial" w:cs="Arial"/>
                <w:sz w:val="22"/>
                <w:szCs w:val="22"/>
              </w:rPr>
              <w:t xml:space="preserve"> </w:t>
            </w:r>
            <w:r w:rsidRPr="00E7069D" w:rsidR="00742EAB">
              <w:rPr>
                <w:rFonts w:eastAsia="Arial" w:cs="Arial"/>
                <w:sz w:val="22"/>
                <w:szCs w:val="22"/>
              </w:rPr>
              <w:t>was incorrectly designated in the 2013 permit. This is a single building located in downtown San Diego. It has a small footprint and no stormwater infrastructure. A single building does not meet the minimum definition of an MS4.</w:t>
            </w:r>
          </w:p>
        </w:tc>
      </w:tr>
    </w:tbl>
    <w:p w:rsidR="00742EAB" w:rsidP="00124437" w:rsidRDefault="00742EAB" w14:paraId="5584F7F4" w14:textId="1A1DF58C">
      <w:pPr>
        <w:pStyle w:val="Heading3"/>
        <w:spacing w:before="360"/>
      </w:pPr>
      <w:r>
        <w:t xml:space="preserve">A5.3 </w:t>
      </w:r>
      <w:r w:rsidR="00E7069D">
        <w:tab/>
      </w:r>
      <w:r>
        <w:t xml:space="preserve">New and Removed </w:t>
      </w:r>
      <w:r w:rsidR="006E1C7A">
        <w:t xml:space="preserve">California </w:t>
      </w:r>
      <w:r w:rsidR="002256EE">
        <w:t>Department of</w:t>
      </w:r>
      <w:r>
        <w:t xml:space="preserve"> Parks</w:t>
      </w:r>
      <w:r w:rsidR="00875C5D">
        <w:t xml:space="preserve"> and Recreation</w:t>
      </w:r>
      <w:r w:rsidR="00D666B9">
        <w:t xml:space="preserve"> </w:t>
      </w:r>
      <w:r w:rsidR="0006301C">
        <w:t>Parks</w:t>
      </w:r>
    </w:p>
    <w:p w:rsidRPr="00E7069D" w:rsidR="00742EAB" w:rsidP="00E8279E" w:rsidRDefault="00742EAB" w14:paraId="69293B6E" w14:textId="44613D2D">
      <w:pPr>
        <w:keepNext/>
        <w:keepLines/>
        <w:spacing w:before="240" w:after="0" w:line="240" w:lineRule="auto"/>
        <w:rPr>
          <w:b/>
          <w:bCs/>
          <w:lang w:eastAsia="en-US"/>
        </w:rPr>
      </w:pPr>
      <w:r w:rsidRPr="00E7069D">
        <w:rPr>
          <w:b/>
          <w:bCs/>
          <w:lang w:eastAsia="en-US"/>
        </w:rPr>
        <w:t>Table A</w:t>
      </w:r>
      <w:r w:rsidR="00407A4D">
        <w:rPr>
          <w:b/>
          <w:bCs/>
          <w:lang w:eastAsia="en-US"/>
        </w:rPr>
        <w:t>5.3.</w:t>
      </w:r>
      <w:r w:rsidRPr="00E7069D">
        <w:rPr>
          <w:b/>
          <w:bCs/>
          <w:lang w:eastAsia="en-US"/>
        </w:rPr>
        <w:t xml:space="preserve"> New</w:t>
      </w:r>
      <w:r w:rsidR="008354BF">
        <w:rPr>
          <w:b/>
          <w:bCs/>
          <w:lang w:eastAsia="en-US"/>
        </w:rPr>
        <w:t xml:space="preserve"> and Removed</w:t>
      </w:r>
      <w:r w:rsidRPr="00E7069D">
        <w:rPr>
          <w:b/>
          <w:bCs/>
          <w:lang w:eastAsia="en-US"/>
        </w:rPr>
        <w:t xml:space="preserve"> </w:t>
      </w:r>
      <w:r w:rsidRPr="00875C5D" w:rsidR="00875C5D">
        <w:rPr>
          <w:b/>
          <w:bCs/>
          <w:lang w:eastAsia="en-US"/>
        </w:rPr>
        <w:t>California Department of Parks and Recreation</w:t>
      </w:r>
    </w:p>
    <w:tbl>
      <w:tblPr>
        <w:tblStyle w:val="TableGrid"/>
        <w:tblW w:w="9355" w:type="dxa"/>
        <w:tblLook w:val="04A0" w:firstRow="1" w:lastRow="0" w:firstColumn="1" w:lastColumn="0" w:noHBand="0" w:noVBand="1"/>
      </w:tblPr>
      <w:tblGrid>
        <w:gridCol w:w="1870"/>
        <w:gridCol w:w="1870"/>
        <w:gridCol w:w="1870"/>
        <w:gridCol w:w="3745"/>
      </w:tblGrid>
      <w:tr w:rsidRPr="00873E84" w:rsidR="007C3155" w:rsidTr="007C3155" w14:paraId="4190EEA9" w14:textId="77777777">
        <w:trPr>
          <w:tblHeader/>
        </w:trPr>
        <w:tc>
          <w:tcPr>
            <w:tcW w:w="1870" w:type="dxa"/>
            <w:shd w:val="clear" w:color="auto" w:fill="D6E3BC" w:themeFill="accent3" w:themeFillTint="66"/>
          </w:tcPr>
          <w:p w:rsidRPr="00873E84" w:rsidR="007C3155" w:rsidP="00E8279E" w:rsidRDefault="007C3155" w14:paraId="6DD9EB76" w14:textId="77777777">
            <w:pPr>
              <w:keepNext/>
              <w:keepLines/>
              <w:jc w:val="center"/>
              <w:rPr>
                <w:rFonts w:ascii="Arial" w:hAnsi="Arial" w:cs="Arial"/>
                <w:sz w:val="22"/>
                <w:szCs w:val="22"/>
                <w:lang w:eastAsia="en-US"/>
              </w:rPr>
            </w:pPr>
            <w:r w:rsidRPr="00873E84">
              <w:rPr>
                <w:rFonts w:ascii="Arial" w:hAnsi="Arial" w:cs="Arial"/>
                <w:sz w:val="22"/>
                <w:szCs w:val="22"/>
                <w:lang w:eastAsia="en-US"/>
              </w:rPr>
              <w:t>Regional Water Board</w:t>
            </w:r>
          </w:p>
        </w:tc>
        <w:tc>
          <w:tcPr>
            <w:tcW w:w="1870" w:type="dxa"/>
            <w:shd w:val="clear" w:color="auto" w:fill="D6E3BC" w:themeFill="accent3" w:themeFillTint="66"/>
          </w:tcPr>
          <w:p w:rsidRPr="00873E84" w:rsidR="007C3155" w:rsidP="00E8279E" w:rsidRDefault="007C3155" w14:paraId="5C2AFB69" w14:textId="77777777">
            <w:pPr>
              <w:keepNext/>
              <w:keepLines/>
              <w:jc w:val="center"/>
              <w:rPr>
                <w:rFonts w:ascii="Arial" w:hAnsi="Arial" w:cs="Arial"/>
                <w:sz w:val="22"/>
                <w:szCs w:val="22"/>
                <w:lang w:eastAsia="en-US"/>
              </w:rPr>
            </w:pPr>
            <w:r w:rsidRPr="00873E84">
              <w:rPr>
                <w:rFonts w:ascii="Arial" w:hAnsi="Arial" w:cs="Arial"/>
                <w:sz w:val="22"/>
                <w:szCs w:val="22"/>
                <w:lang w:eastAsia="en-US"/>
              </w:rPr>
              <w:t>State Park Name</w:t>
            </w:r>
          </w:p>
        </w:tc>
        <w:tc>
          <w:tcPr>
            <w:tcW w:w="1870" w:type="dxa"/>
            <w:shd w:val="clear" w:color="auto" w:fill="D6E3BC" w:themeFill="accent3" w:themeFillTint="66"/>
          </w:tcPr>
          <w:p w:rsidRPr="00873E84" w:rsidR="007C3155" w:rsidP="00E8279E" w:rsidRDefault="007C3155" w14:paraId="77FBDA8F" w14:textId="5E3B2EB2">
            <w:pPr>
              <w:keepNext/>
              <w:keepLines/>
              <w:jc w:val="center"/>
              <w:rPr>
                <w:rFonts w:ascii="Arial" w:hAnsi="Arial" w:cs="Arial"/>
                <w:sz w:val="22"/>
                <w:szCs w:val="22"/>
                <w:lang w:eastAsia="en-US"/>
              </w:rPr>
            </w:pPr>
            <w:r>
              <w:rPr>
                <w:rFonts w:ascii="Arial" w:hAnsi="Arial" w:cs="Arial"/>
                <w:sz w:val="22"/>
                <w:szCs w:val="22"/>
                <w:lang w:eastAsia="en-US"/>
              </w:rPr>
              <w:t>New or Removed</w:t>
            </w:r>
          </w:p>
        </w:tc>
        <w:tc>
          <w:tcPr>
            <w:tcW w:w="3745" w:type="dxa"/>
            <w:shd w:val="clear" w:color="auto" w:fill="D6E3BC" w:themeFill="accent3" w:themeFillTint="66"/>
          </w:tcPr>
          <w:p w:rsidRPr="00873E84" w:rsidR="007C3155" w:rsidP="00E8279E" w:rsidRDefault="007C3155" w14:paraId="5E2B6364" w14:textId="77777777">
            <w:pPr>
              <w:keepNext/>
              <w:keepLines/>
              <w:jc w:val="center"/>
              <w:rPr>
                <w:rFonts w:ascii="Arial" w:hAnsi="Arial" w:cs="Arial"/>
                <w:sz w:val="22"/>
                <w:szCs w:val="22"/>
                <w:lang w:eastAsia="en-US"/>
              </w:rPr>
            </w:pPr>
            <w:r w:rsidRPr="00873E84">
              <w:rPr>
                <w:rFonts w:ascii="Arial" w:hAnsi="Arial" w:cs="Arial"/>
                <w:sz w:val="22"/>
                <w:szCs w:val="22"/>
                <w:lang w:eastAsia="en-US"/>
              </w:rPr>
              <w:t>Rationale</w:t>
            </w:r>
          </w:p>
        </w:tc>
      </w:tr>
      <w:tr w:rsidRPr="00873E84" w:rsidR="007C3155" w:rsidTr="007C3155" w14:paraId="7E3C867C" w14:textId="77777777">
        <w:tc>
          <w:tcPr>
            <w:tcW w:w="1870" w:type="dxa"/>
          </w:tcPr>
          <w:p w:rsidRPr="00873E84" w:rsidR="007C3155" w:rsidP="00873E84" w:rsidRDefault="007C3155" w14:paraId="7020A27B" w14:textId="04618BA1">
            <w:pPr>
              <w:rPr>
                <w:rFonts w:ascii="Arial" w:hAnsi="Arial" w:cs="Arial"/>
                <w:sz w:val="22"/>
                <w:szCs w:val="22"/>
                <w:lang w:eastAsia="en-US"/>
              </w:rPr>
            </w:pPr>
            <w:r>
              <w:rPr>
                <w:rFonts w:ascii="Arial" w:hAnsi="Arial" w:cs="Arial"/>
                <w:sz w:val="22"/>
                <w:szCs w:val="22"/>
                <w:lang w:eastAsia="en-US"/>
              </w:rPr>
              <w:t>2</w:t>
            </w:r>
          </w:p>
        </w:tc>
        <w:tc>
          <w:tcPr>
            <w:tcW w:w="1870" w:type="dxa"/>
          </w:tcPr>
          <w:p w:rsidRPr="00873E84" w:rsidR="007C3155" w:rsidP="00873E84" w:rsidRDefault="007C3155" w14:paraId="2F0647C3" w14:textId="2F1256D5">
            <w:pPr>
              <w:rPr>
                <w:rFonts w:ascii="Arial" w:hAnsi="Arial" w:cs="Arial"/>
                <w:sz w:val="22"/>
                <w:szCs w:val="22"/>
                <w:lang w:eastAsia="en-US"/>
              </w:rPr>
            </w:pPr>
            <w:r w:rsidRPr="00873E84">
              <w:rPr>
                <w:rFonts w:ascii="Arial" w:hAnsi="Arial" w:cs="Arial"/>
                <w:sz w:val="22"/>
                <w:szCs w:val="22"/>
                <w:lang w:eastAsia="en-US"/>
              </w:rPr>
              <w:t>Candlestick Point State Recreation Area</w:t>
            </w:r>
          </w:p>
        </w:tc>
        <w:tc>
          <w:tcPr>
            <w:tcW w:w="1870" w:type="dxa"/>
          </w:tcPr>
          <w:p w:rsidRPr="00873E84" w:rsidR="007C3155" w:rsidP="00873E84" w:rsidRDefault="007C3155" w14:paraId="1EFBE014" w14:textId="02F72EED">
            <w:pPr>
              <w:rPr>
                <w:rFonts w:ascii="Arial" w:hAnsi="Arial" w:cs="Arial"/>
                <w:sz w:val="22"/>
                <w:szCs w:val="22"/>
                <w:lang w:eastAsia="en-US"/>
              </w:rPr>
            </w:pPr>
            <w:r w:rsidRPr="00873E84">
              <w:rPr>
                <w:rFonts w:ascii="Arial" w:hAnsi="Arial" w:cs="Arial"/>
                <w:sz w:val="22"/>
                <w:szCs w:val="22"/>
                <w:lang w:eastAsia="en-US"/>
              </w:rPr>
              <w:t>New</w:t>
            </w:r>
          </w:p>
        </w:tc>
        <w:tc>
          <w:tcPr>
            <w:tcW w:w="3745" w:type="dxa"/>
          </w:tcPr>
          <w:p w:rsidRPr="00873E84" w:rsidR="007C3155" w:rsidP="00873E84" w:rsidRDefault="007C3155" w14:paraId="2FDE4CFE" w14:textId="0C58948C">
            <w:pPr>
              <w:rPr>
                <w:rFonts w:ascii="Arial" w:hAnsi="Arial" w:cs="Arial"/>
                <w:sz w:val="22"/>
                <w:szCs w:val="22"/>
                <w:lang w:eastAsia="en-US"/>
              </w:rPr>
            </w:pPr>
            <w:r w:rsidRPr="00873E84">
              <w:rPr>
                <w:rFonts w:ascii="Arial" w:hAnsi="Arial" w:cs="Arial"/>
                <w:sz w:val="22"/>
                <w:szCs w:val="22"/>
                <w:lang w:eastAsia="en-US"/>
              </w:rPr>
              <w:t xml:space="preserve">Meets the criteria for a </w:t>
            </w:r>
            <w:r w:rsidR="00124437">
              <w:rPr>
                <w:rFonts w:ascii="Arial" w:hAnsi="Arial" w:cs="Arial"/>
                <w:sz w:val="22"/>
                <w:szCs w:val="22"/>
                <w:lang w:eastAsia="en-US"/>
              </w:rPr>
              <w:t>Small MS4</w:t>
            </w:r>
          </w:p>
        </w:tc>
      </w:tr>
      <w:tr w:rsidRPr="00873E84" w:rsidR="007C3155" w:rsidTr="007C3155" w14:paraId="6719996B" w14:textId="77777777">
        <w:tc>
          <w:tcPr>
            <w:tcW w:w="1870" w:type="dxa"/>
          </w:tcPr>
          <w:p w:rsidRPr="00873E84" w:rsidR="007C3155" w:rsidP="00FD4D5D" w:rsidRDefault="007C3155" w14:paraId="7300378F" w14:textId="2D364ACC">
            <w:pPr>
              <w:rPr>
                <w:rFonts w:ascii="Arial" w:hAnsi="Arial" w:cs="Arial"/>
                <w:sz w:val="22"/>
                <w:szCs w:val="22"/>
                <w:lang w:eastAsia="en-US"/>
              </w:rPr>
            </w:pPr>
            <w:r>
              <w:rPr>
                <w:rFonts w:ascii="Arial" w:hAnsi="Arial" w:cs="Arial"/>
                <w:sz w:val="22"/>
                <w:szCs w:val="22"/>
                <w:lang w:eastAsia="en-US"/>
              </w:rPr>
              <w:t>2</w:t>
            </w:r>
          </w:p>
        </w:tc>
        <w:tc>
          <w:tcPr>
            <w:tcW w:w="1870" w:type="dxa"/>
          </w:tcPr>
          <w:p w:rsidRPr="00873E84" w:rsidR="007C3155" w:rsidP="00FD4D5D" w:rsidRDefault="007C3155" w14:paraId="6A60542B" w14:textId="71CD0D91">
            <w:pPr>
              <w:rPr>
                <w:rFonts w:ascii="Arial" w:hAnsi="Arial" w:cs="Arial"/>
                <w:sz w:val="22"/>
                <w:szCs w:val="22"/>
                <w:lang w:eastAsia="en-US"/>
              </w:rPr>
            </w:pPr>
            <w:r w:rsidRPr="00873E84">
              <w:rPr>
                <w:rFonts w:ascii="Arial" w:hAnsi="Arial" w:cs="Arial"/>
                <w:sz w:val="22"/>
                <w:szCs w:val="22"/>
                <w:lang w:eastAsia="en-US"/>
              </w:rPr>
              <w:t>Presidio of San Francisco</w:t>
            </w:r>
          </w:p>
        </w:tc>
        <w:tc>
          <w:tcPr>
            <w:tcW w:w="1870" w:type="dxa"/>
          </w:tcPr>
          <w:p w:rsidRPr="00873E84" w:rsidR="007C3155" w:rsidP="00FD4D5D" w:rsidRDefault="007C3155" w14:paraId="0C89F321" w14:textId="6929EDB8">
            <w:pPr>
              <w:rPr>
                <w:rFonts w:ascii="Arial" w:hAnsi="Arial" w:cs="Arial"/>
                <w:sz w:val="22"/>
                <w:szCs w:val="22"/>
                <w:lang w:eastAsia="en-US"/>
              </w:rPr>
            </w:pPr>
            <w:r w:rsidRPr="00873E84">
              <w:rPr>
                <w:rFonts w:ascii="Arial" w:hAnsi="Arial" w:cs="Arial"/>
                <w:sz w:val="22"/>
                <w:szCs w:val="22"/>
                <w:lang w:eastAsia="en-US"/>
              </w:rPr>
              <w:t>New</w:t>
            </w:r>
          </w:p>
        </w:tc>
        <w:tc>
          <w:tcPr>
            <w:tcW w:w="3745" w:type="dxa"/>
          </w:tcPr>
          <w:p w:rsidRPr="00873E84" w:rsidR="007C3155" w:rsidP="00FD4D5D" w:rsidRDefault="007C3155" w14:paraId="0E29727B" w14:textId="775C3189">
            <w:pPr>
              <w:rPr>
                <w:rFonts w:ascii="Arial" w:hAnsi="Arial" w:cs="Arial"/>
                <w:sz w:val="22"/>
                <w:szCs w:val="22"/>
                <w:lang w:eastAsia="en-US"/>
              </w:rPr>
            </w:pPr>
            <w:r w:rsidRPr="00873E84">
              <w:rPr>
                <w:rFonts w:ascii="Arial" w:hAnsi="Arial" w:cs="Arial"/>
                <w:sz w:val="22"/>
                <w:szCs w:val="22"/>
                <w:lang w:eastAsia="en-US"/>
              </w:rPr>
              <w:t xml:space="preserve">Meets the criteria for a </w:t>
            </w:r>
            <w:r w:rsidR="00124437">
              <w:rPr>
                <w:rFonts w:ascii="Arial" w:hAnsi="Arial" w:cs="Arial"/>
                <w:sz w:val="22"/>
                <w:szCs w:val="22"/>
                <w:lang w:eastAsia="en-US"/>
              </w:rPr>
              <w:t>Small MS4</w:t>
            </w:r>
          </w:p>
        </w:tc>
      </w:tr>
      <w:tr w:rsidRPr="00873E84" w:rsidR="007C3155" w:rsidTr="007C3155" w14:paraId="15D8E397" w14:textId="77777777">
        <w:tc>
          <w:tcPr>
            <w:tcW w:w="1870" w:type="dxa"/>
          </w:tcPr>
          <w:p w:rsidRPr="00873E84" w:rsidR="007C3155" w:rsidP="00FD4D5D" w:rsidRDefault="007C3155" w14:paraId="5C1F9BAD" w14:textId="67D2940C">
            <w:pPr>
              <w:rPr>
                <w:rFonts w:ascii="Arial" w:hAnsi="Arial" w:cs="Arial"/>
                <w:sz w:val="22"/>
                <w:szCs w:val="22"/>
                <w:lang w:eastAsia="en-US"/>
              </w:rPr>
            </w:pPr>
            <w:r>
              <w:rPr>
                <w:rFonts w:ascii="Arial" w:hAnsi="Arial" w:cs="Arial"/>
                <w:sz w:val="22"/>
                <w:szCs w:val="22"/>
                <w:lang w:eastAsia="en-US"/>
              </w:rPr>
              <w:t>3</w:t>
            </w:r>
          </w:p>
        </w:tc>
        <w:tc>
          <w:tcPr>
            <w:tcW w:w="1870" w:type="dxa"/>
          </w:tcPr>
          <w:p w:rsidRPr="00873E84" w:rsidR="007C3155" w:rsidP="00FD4D5D" w:rsidRDefault="007C3155" w14:paraId="43A414B6" w14:textId="16640B0A">
            <w:pPr>
              <w:rPr>
                <w:rFonts w:ascii="Arial" w:hAnsi="Arial" w:cs="Arial"/>
                <w:sz w:val="22"/>
                <w:szCs w:val="22"/>
                <w:lang w:eastAsia="en-US"/>
              </w:rPr>
            </w:pPr>
            <w:r w:rsidRPr="00D178F0">
              <w:rPr>
                <w:rFonts w:ascii="Arial" w:hAnsi="Arial" w:cs="Arial"/>
                <w:sz w:val="22"/>
                <w:szCs w:val="22"/>
                <w:lang w:eastAsia="en-US"/>
              </w:rPr>
              <w:t>Asilomar State Beach</w:t>
            </w:r>
          </w:p>
        </w:tc>
        <w:tc>
          <w:tcPr>
            <w:tcW w:w="1870" w:type="dxa"/>
          </w:tcPr>
          <w:p w:rsidRPr="00873E84" w:rsidR="007C3155" w:rsidP="00FD4D5D" w:rsidRDefault="007C3155" w14:paraId="08BB744B" w14:textId="2D404616">
            <w:pPr>
              <w:rPr>
                <w:rFonts w:ascii="Arial" w:hAnsi="Arial" w:cs="Arial"/>
                <w:sz w:val="22"/>
                <w:szCs w:val="22"/>
                <w:lang w:eastAsia="en-US"/>
              </w:rPr>
            </w:pPr>
            <w:r>
              <w:rPr>
                <w:rFonts w:ascii="Arial" w:hAnsi="Arial" w:cs="Arial"/>
                <w:sz w:val="22"/>
                <w:szCs w:val="22"/>
                <w:lang w:eastAsia="en-US"/>
              </w:rPr>
              <w:t>New</w:t>
            </w:r>
          </w:p>
        </w:tc>
        <w:tc>
          <w:tcPr>
            <w:tcW w:w="3745" w:type="dxa"/>
          </w:tcPr>
          <w:p w:rsidRPr="00873E84" w:rsidR="007C3155" w:rsidP="00FD4D5D" w:rsidRDefault="007C3155" w14:paraId="4E831567" w14:textId="43DA8A28">
            <w:pPr>
              <w:rPr>
                <w:rFonts w:ascii="Arial" w:hAnsi="Arial" w:cs="Arial"/>
                <w:sz w:val="22"/>
                <w:szCs w:val="22"/>
                <w:lang w:eastAsia="en-US"/>
              </w:rPr>
            </w:pPr>
            <w:r w:rsidRPr="00873E84">
              <w:rPr>
                <w:rFonts w:ascii="Arial" w:hAnsi="Arial" w:cs="Arial"/>
                <w:sz w:val="22"/>
                <w:szCs w:val="22"/>
                <w:lang w:eastAsia="en-US"/>
              </w:rPr>
              <w:t xml:space="preserve">Meets the criteria for a </w:t>
            </w:r>
            <w:r w:rsidR="00124437">
              <w:rPr>
                <w:rFonts w:ascii="Arial" w:hAnsi="Arial" w:cs="Arial"/>
                <w:sz w:val="22"/>
                <w:szCs w:val="22"/>
                <w:lang w:eastAsia="en-US"/>
              </w:rPr>
              <w:t>Small MS4</w:t>
            </w:r>
          </w:p>
        </w:tc>
      </w:tr>
      <w:tr w:rsidRPr="00873E84" w:rsidR="00423C21" w:rsidTr="007C3155" w14:paraId="37C207BF" w14:textId="77777777">
        <w:tc>
          <w:tcPr>
            <w:tcW w:w="1870" w:type="dxa"/>
          </w:tcPr>
          <w:p w:rsidRPr="00423C21" w:rsidR="00423C21" w:rsidDel="007C3155" w:rsidP="00FD4D5D" w:rsidRDefault="00423C21" w14:paraId="64BA9F48" w14:textId="2219AA5C">
            <w:pPr>
              <w:rPr>
                <w:rFonts w:ascii="Arial" w:hAnsi="Arial" w:cs="Arial"/>
                <w:sz w:val="22"/>
                <w:szCs w:val="22"/>
                <w:lang w:eastAsia="en-US"/>
              </w:rPr>
            </w:pPr>
            <w:r>
              <w:rPr>
                <w:rFonts w:ascii="Arial" w:hAnsi="Arial" w:cs="Arial"/>
                <w:sz w:val="22"/>
                <w:szCs w:val="22"/>
                <w:lang w:eastAsia="en-US"/>
              </w:rPr>
              <w:t>4</w:t>
            </w:r>
          </w:p>
        </w:tc>
        <w:tc>
          <w:tcPr>
            <w:tcW w:w="1870" w:type="dxa"/>
          </w:tcPr>
          <w:p w:rsidRPr="00423C21" w:rsidR="00423C21" w:rsidP="00FD4D5D" w:rsidRDefault="00423C21" w14:paraId="667D675E" w14:textId="7F53CC6D">
            <w:pPr>
              <w:rPr>
                <w:rFonts w:ascii="Arial" w:hAnsi="Arial" w:cs="Arial"/>
                <w:sz w:val="22"/>
                <w:szCs w:val="22"/>
                <w:lang w:eastAsia="en-US"/>
              </w:rPr>
            </w:pPr>
            <w:r w:rsidRPr="00423C21">
              <w:rPr>
                <w:rFonts w:ascii="Arial" w:hAnsi="Arial" w:cs="Arial"/>
                <w:sz w:val="22"/>
                <w:szCs w:val="22"/>
                <w:lang w:eastAsia="en-US"/>
              </w:rPr>
              <w:t>Point Dume State Beach, Point Mugu State Park, and Robert H. Meyer Memorial State Beach</w:t>
            </w:r>
          </w:p>
        </w:tc>
        <w:tc>
          <w:tcPr>
            <w:tcW w:w="1870" w:type="dxa"/>
          </w:tcPr>
          <w:p w:rsidRPr="00423C21" w:rsidR="00423C21" w:rsidP="00FD4D5D" w:rsidRDefault="00423C21" w14:paraId="73F375A9" w14:textId="25E4DA22">
            <w:pPr>
              <w:rPr>
                <w:rFonts w:ascii="Arial" w:hAnsi="Arial" w:cs="Arial"/>
                <w:sz w:val="22"/>
                <w:szCs w:val="22"/>
                <w:lang w:eastAsia="en-US"/>
              </w:rPr>
            </w:pPr>
            <w:r w:rsidRPr="00423C21">
              <w:rPr>
                <w:rFonts w:ascii="Arial" w:hAnsi="Arial" w:cs="Arial"/>
                <w:sz w:val="22"/>
                <w:szCs w:val="22"/>
                <w:lang w:eastAsia="en-US"/>
              </w:rPr>
              <w:t>Removed</w:t>
            </w:r>
          </w:p>
        </w:tc>
        <w:tc>
          <w:tcPr>
            <w:tcW w:w="3745" w:type="dxa"/>
          </w:tcPr>
          <w:p w:rsidRPr="00423C21" w:rsidR="00423C21" w:rsidP="00FD4D5D" w:rsidRDefault="00423C21" w14:paraId="5DF5BF8A" w14:textId="7DFB8482">
            <w:pPr>
              <w:rPr>
                <w:rFonts w:ascii="Arial" w:hAnsi="Arial" w:cs="Arial"/>
                <w:sz w:val="22"/>
                <w:szCs w:val="22"/>
                <w:lang w:eastAsia="en-US"/>
              </w:rPr>
            </w:pPr>
            <w:r w:rsidRPr="00423C21">
              <w:rPr>
                <w:rFonts w:ascii="Arial" w:hAnsi="Arial" w:cs="Arial"/>
                <w:sz w:val="22"/>
                <w:szCs w:val="22"/>
                <w:lang w:eastAsia="en-US"/>
              </w:rPr>
              <w:t>Previously incorrectly designated. These locations do not meet the minimum definition of MS4s as they are parking lots with no stormwater infrastructure.</w:t>
            </w:r>
          </w:p>
        </w:tc>
      </w:tr>
      <w:tr w:rsidRPr="00873E84" w:rsidR="007C3155" w:rsidTr="007C3155" w14:paraId="0E6ABAF3" w14:textId="77777777">
        <w:tc>
          <w:tcPr>
            <w:tcW w:w="1870" w:type="dxa"/>
          </w:tcPr>
          <w:p w:rsidRPr="00873E84" w:rsidR="007C3155" w:rsidP="00FD4D5D" w:rsidRDefault="007C3155" w14:paraId="3C9FE329" w14:textId="13D9FC8D">
            <w:pPr>
              <w:rPr>
                <w:rFonts w:ascii="Arial" w:hAnsi="Arial" w:cs="Arial"/>
                <w:sz w:val="22"/>
                <w:szCs w:val="22"/>
                <w:lang w:eastAsia="en-US"/>
              </w:rPr>
            </w:pPr>
            <w:r>
              <w:rPr>
                <w:rFonts w:ascii="Arial" w:hAnsi="Arial" w:cs="Arial"/>
                <w:sz w:val="22"/>
                <w:szCs w:val="22"/>
                <w:lang w:eastAsia="en-US"/>
              </w:rPr>
              <w:t>9</w:t>
            </w:r>
          </w:p>
        </w:tc>
        <w:tc>
          <w:tcPr>
            <w:tcW w:w="1870" w:type="dxa"/>
          </w:tcPr>
          <w:p w:rsidRPr="00873E84" w:rsidR="007C3155" w:rsidP="00FD4D5D" w:rsidRDefault="007C3155" w14:paraId="5CDA646C" w14:textId="74AC84E1">
            <w:pPr>
              <w:rPr>
                <w:rFonts w:ascii="Arial" w:hAnsi="Arial" w:cs="Arial"/>
                <w:sz w:val="22"/>
                <w:szCs w:val="22"/>
                <w:lang w:eastAsia="en-US"/>
              </w:rPr>
            </w:pPr>
            <w:r w:rsidRPr="00481E32">
              <w:rPr>
                <w:rFonts w:ascii="Arial" w:hAnsi="Arial" w:cs="Arial"/>
                <w:sz w:val="22"/>
                <w:szCs w:val="22"/>
                <w:lang w:eastAsia="en-US"/>
              </w:rPr>
              <w:t>Old Town San Diego State Historic Park</w:t>
            </w:r>
          </w:p>
        </w:tc>
        <w:tc>
          <w:tcPr>
            <w:tcW w:w="1870" w:type="dxa"/>
          </w:tcPr>
          <w:p w:rsidRPr="00873E84" w:rsidR="007C3155" w:rsidP="00FD4D5D" w:rsidRDefault="007C3155" w14:paraId="414B7CD8" w14:textId="38DA7231">
            <w:pPr>
              <w:rPr>
                <w:rFonts w:ascii="Arial" w:hAnsi="Arial" w:cs="Arial"/>
                <w:sz w:val="22"/>
                <w:szCs w:val="22"/>
                <w:lang w:eastAsia="en-US"/>
              </w:rPr>
            </w:pPr>
            <w:r>
              <w:rPr>
                <w:rFonts w:ascii="Arial" w:hAnsi="Arial" w:cs="Arial"/>
                <w:sz w:val="22"/>
                <w:szCs w:val="22"/>
                <w:lang w:eastAsia="en-US"/>
              </w:rPr>
              <w:t>New</w:t>
            </w:r>
          </w:p>
        </w:tc>
        <w:tc>
          <w:tcPr>
            <w:tcW w:w="3745" w:type="dxa"/>
          </w:tcPr>
          <w:p w:rsidRPr="00873E84" w:rsidR="007C3155" w:rsidP="00FD4D5D" w:rsidRDefault="007C3155" w14:paraId="3284096F" w14:textId="51ACBDFC">
            <w:pPr>
              <w:rPr>
                <w:rFonts w:ascii="Arial" w:hAnsi="Arial" w:cs="Arial"/>
                <w:sz w:val="22"/>
                <w:szCs w:val="22"/>
                <w:lang w:eastAsia="en-US"/>
              </w:rPr>
            </w:pPr>
            <w:r w:rsidRPr="00873E84">
              <w:rPr>
                <w:rFonts w:ascii="Arial" w:hAnsi="Arial" w:cs="Arial"/>
                <w:sz w:val="22"/>
                <w:szCs w:val="22"/>
                <w:lang w:eastAsia="en-US"/>
              </w:rPr>
              <w:t xml:space="preserve">Meets the criteria for a </w:t>
            </w:r>
            <w:r w:rsidR="00124437">
              <w:rPr>
                <w:rFonts w:ascii="Arial" w:hAnsi="Arial" w:cs="Arial"/>
                <w:sz w:val="22"/>
                <w:szCs w:val="22"/>
                <w:lang w:eastAsia="en-US"/>
              </w:rPr>
              <w:t>Small MS4</w:t>
            </w:r>
          </w:p>
        </w:tc>
      </w:tr>
    </w:tbl>
    <w:p w:rsidRPr="00CF6532" w:rsidR="00742EAB" w:rsidP="00742EAB" w:rsidRDefault="00742EAB" w14:paraId="7338EB3B" w14:textId="77777777">
      <w:pPr>
        <w:rPr>
          <w:lang w:eastAsia="en-US"/>
        </w:rPr>
      </w:pPr>
    </w:p>
    <w:p w:rsidRPr="0099303F" w:rsidR="00CC601C" w:rsidP="001A1BAA" w:rsidRDefault="00E948FE" w14:paraId="74068CBA" w14:textId="6AD3F42C">
      <w:pPr>
        <w:pStyle w:val="Heading2"/>
      </w:pPr>
      <w:bookmarkStart w:name="_Toc226536083" w:id="15"/>
      <w:r>
        <w:t>A</w:t>
      </w:r>
      <w:r w:rsidR="003023B2">
        <w:t>6</w:t>
      </w:r>
      <w:r w:rsidRPr="0099303F" w:rsidR="00927D25">
        <w:tab/>
      </w:r>
      <w:r w:rsidRPr="00122F21" w:rsidR="00BF7B1F">
        <w:t xml:space="preserve">UPDATED </w:t>
      </w:r>
      <w:r w:rsidR="00C324C4">
        <w:t xml:space="preserve">AND REVISED </w:t>
      </w:r>
      <w:r w:rsidRPr="00122F21" w:rsidR="00293796">
        <w:t xml:space="preserve">PERMIT </w:t>
      </w:r>
      <w:r w:rsidRPr="00122F21" w:rsidR="00354221">
        <w:t>REQUIREMENT</w:t>
      </w:r>
      <w:r w:rsidRPr="00122F21" w:rsidR="00BA787D">
        <w:t>S</w:t>
      </w:r>
      <w:bookmarkEnd w:id="8"/>
      <w:bookmarkEnd w:id="9"/>
      <w:bookmarkEnd w:id="15"/>
    </w:p>
    <w:p w:rsidRPr="00B817D3" w:rsidR="00E729E5" w:rsidP="000631DA" w:rsidRDefault="00456D70" w14:paraId="5EA50BA3" w14:textId="772D3DE1">
      <w:pPr>
        <w:pStyle w:val="NoSpacing"/>
        <w:shd w:val="clear" w:color="auto" w:fill="FFFFFF" w:themeFill="background1"/>
        <w:tabs>
          <w:tab w:val="left" w:pos="1440"/>
        </w:tabs>
        <w:snapToGrid w:val="0"/>
        <w:spacing w:before="120" w:line="259" w:lineRule="auto"/>
        <w:ind w:left="720"/>
        <w:rPr>
          <w:rFonts w:eastAsiaTheme="minorHAnsi"/>
        </w:rPr>
      </w:pPr>
      <w:r w:rsidRPr="00B817D3">
        <w:rPr>
          <w:rFonts w:eastAsiaTheme="minorHAnsi"/>
        </w:rPr>
        <w:t xml:space="preserve">The following </w:t>
      </w:r>
      <w:r w:rsidRPr="00B817D3" w:rsidR="007F5446">
        <w:rPr>
          <w:rFonts w:eastAsiaTheme="minorHAnsi"/>
        </w:rPr>
        <w:t xml:space="preserve">provides a summary of the major </w:t>
      </w:r>
      <w:r w:rsidRPr="00B817D3" w:rsidR="00F242D8">
        <w:rPr>
          <w:rFonts w:eastAsiaTheme="minorHAnsi"/>
        </w:rPr>
        <w:t xml:space="preserve">updates </w:t>
      </w:r>
      <w:r w:rsidRPr="00B817D3" w:rsidR="00BD5D41">
        <w:rPr>
          <w:rFonts w:eastAsiaTheme="minorHAnsi"/>
        </w:rPr>
        <w:t xml:space="preserve">incorporated into this </w:t>
      </w:r>
      <w:r w:rsidRPr="00B817D3" w:rsidR="005F7C9E">
        <w:rPr>
          <w:rFonts w:eastAsiaTheme="minorHAnsi"/>
        </w:rPr>
        <w:t xml:space="preserve">Order </w:t>
      </w:r>
      <w:r w:rsidRPr="00B817D3" w:rsidR="00FE6B30">
        <w:rPr>
          <w:rFonts w:eastAsiaTheme="minorHAnsi"/>
        </w:rPr>
        <w:t xml:space="preserve">as compared </w:t>
      </w:r>
      <w:r w:rsidRPr="00B817D3" w:rsidR="00BD5D41">
        <w:rPr>
          <w:rFonts w:eastAsiaTheme="minorHAnsi"/>
        </w:rPr>
        <w:t xml:space="preserve">to </w:t>
      </w:r>
      <w:r w:rsidRPr="00B817D3" w:rsidR="00196E9C">
        <w:rPr>
          <w:rFonts w:eastAsiaTheme="minorHAnsi"/>
        </w:rPr>
        <w:t>the previous</w:t>
      </w:r>
      <w:r w:rsidRPr="00B817D3" w:rsidR="009F1E16">
        <w:rPr>
          <w:rFonts w:eastAsiaTheme="minorHAnsi"/>
        </w:rPr>
        <w:t xml:space="preserve"> statewide </w:t>
      </w:r>
      <w:r w:rsidRPr="00B817D3" w:rsidR="00765D84">
        <w:rPr>
          <w:rFonts w:eastAsiaTheme="minorHAnsi"/>
        </w:rPr>
        <w:t>National Pollutant Discharge Elimination System (NPDES)</w:t>
      </w:r>
      <w:r w:rsidRPr="00B817D3" w:rsidR="009F1E16">
        <w:rPr>
          <w:rFonts w:eastAsiaTheme="minorHAnsi"/>
        </w:rPr>
        <w:t xml:space="preserve"> </w:t>
      </w:r>
      <w:r w:rsidRPr="00B817D3" w:rsidR="00710328">
        <w:rPr>
          <w:rFonts w:eastAsiaTheme="minorHAnsi"/>
        </w:rPr>
        <w:t>M</w:t>
      </w:r>
      <w:r w:rsidRPr="00B817D3" w:rsidR="000B57CC">
        <w:rPr>
          <w:rFonts w:eastAsiaTheme="minorHAnsi"/>
        </w:rPr>
        <w:t xml:space="preserve">unicipal </w:t>
      </w:r>
      <w:r w:rsidRPr="00B817D3" w:rsidR="00710328">
        <w:rPr>
          <w:rFonts w:eastAsiaTheme="minorHAnsi"/>
        </w:rPr>
        <w:t>S</w:t>
      </w:r>
      <w:r w:rsidRPr="00B817D3" w:rsidR="000B57CC">
        <w:rPr>
          <w:rFonts w:eastAsiaTheme="minorHAnsi"/>
        </w:rPr>
        <w:t xml:space="preserve">eparate </w:t>
      </w:r>
      <w:r w:rsidRPr="00B817D3" w:rsidR="00710328">
        <w:rPr>
          <w:rFonts w:eastAsiaTheme="minorHAnsi"/>
        </w:rPr>
        <w:t>S</w:t>
      </w:r>
      <w:r w:rsidRPr="00B817D3" w:rsidR="000B57CC">
        <w:rPr>
          <w:rFonts w:eastAsiaTheme="minorHAnsi"/>
        </w:rPr>
        <w:t xml:space="preserve">torm </w:t>
      </w:r>
      <w:r w:rsidRPr="00B817D3" w:rsidR="00710328">
        <w:rPr>
          <w:rFonts w:eastAsiaTheme="minorHAnsi"/>
        </w:rPr>
        <w:t>S</w:t>
      </w:r>
      <w:r w:rsidRPr="00B817D3" w:rsidR="000B57CC">
        <w:rPr>
          <w:rFonts w:eastAsiaTheme="minorHAnsi"/>
        </w:rPr>
        <w:t xml:space="preserve">ewer </w:t>
      </w:r>
      <w:r w:rsidRPr="00B817D3" w:rsidR="00710328">
        <w:rPr>
          <w:rFonts w:eastAsiaTheme="minorHAnsi"/>
        </w:rPr>
        <w:t>S</w:t>
      </w:r>
      <w:r w:rsidRPr="00B817D3" w:rsidR="000B57CC">
        <w:rPr>
          <w:rFonts w:eastAsiaTheme="minorHAnsi"/>
        </w:rPr>
        <w:t xml:space="preserve">ystem </w:t>
      </w:r>
      <w:r w:rsidRPr="00B817D3" w:rsidR="00710328">
        <w:rPr>
          <w:rFonts w:eastAsiaTheme="minorHAnsi"/>
        </w:rPr>
        <w:t>P</w:t>
      </w:r>
      <w:r w:rsidRPr="00B817D3" w:rsidR="00A0558D">
        <w:rPr>
          <w:rFonts w:eastAsiaTheme="minorHAnsi"/>
        </w:rPr>
        <w:t xml:space="preserve">ermit for the </w:t>
      </w:r>
      <w:r w:rsidR="008767A4">
        <w:rPr>
          <w:rFonts w:eastAsiaTheme="minorHAnsi"/>
        </w:rPr>
        <w:t>Small MS4</w:t>
      </w:r>
      <w:r w:rsidR="00175CC6">
        <w:rPr>
          <w:rFonts w:eastAsiaTheme="minorHAnsi"/>
        </w:rPr>
        <w:t>s (Order WQ 2013</w:t>
      </w:r>
      <w:r w:rsidR="00B271A9">
        <w:rPr>
          <w:rFonts w:eastAsiaTheme="minorHAnsi"/>
        </w:rPr>
        <w:t>-</w:t>
      </w:r>
      <w:r w:rsidR="00F2749B">
        <w:rPr>
          <w:rFonts w:eastAsiaTheme="minorHAnsi"/>
        </w:rPr>
        <w:t>0001-DWQ</w:t>
      </w:r>
      <w:r w:rsidR="00FE7D77">
        <w:rPr>
          <w:rFonts w:eastAsiaTheme="minorHAnsi"/>
        </w:rPr>
        <w:t>)</w:t>
      </w:r>
      <w:r w:rsidRPr="00B817D3" w:rsidR="007C429E">
        <w:rPr>
          <w:rFonts w:eastAsiaTheme="minorHAnsi"/>
        </w:rPr>
        <w:t>:</w:t>
      </w:r>
    </w:p>
    <w:p w:rsidRPr="006308C7" w:rsidR="00F02361" w:rsidP="007140E5" w:rsidRDefault="006D2797" w14:paraId="68ED4CA7" w14:textId="67CD6EF8">
      <w:pPr>
        <w:pStyle w:val="ListParagraph"/>
        <w:numPr>
          <w:ilvl w:val="0"/>
          <w:numId w:val="20"/>
        </w:numPr>
        <w:spacing w:before="240" w:line="247" w:lineRule="auto"/>
        <w:ind w:left="994" w:hanging="274"/>
        <w:contextualSpacing w:val="0"/>
        <w:rPr>
          <w:rFonts w:cs="Arial"/>
        </w:rPr>
      </w:pPr>
      <w:r w:rsidRPr="006308C7">
        <w:rPr>
          <w:rFonts w:cs="Arial"/>
        </w:rPr>
        <w:t>Trash Provisions</w:t>
      </w:r>
      <w:r w:rsidRPr="000D2065" w:rsidR="00072AF4">
        <w:rPr>
          <w:rFonts w:cs="Arial"/>
          <w:vertAlign w:val="superscript"/>
        </w:rPr>
        <w:footnoteReference w:id="4"/>
      </w:r>
      <w:r w:rsidRPr="006308C7" w:rsidR="00C815C2">
        <w:rPr>
          <w:rFonts w:cs="Arial"/>
        </w:rPr>
        <w:t xml:space="preserve"> Requirements</w:t>
      </w:r>
    </w:p>
    <w:p w:rsidR="00D41553" w:rsidP="00EF5BCB" w:rsidRDefault="00F5164D" w14:paraId="2A23FF44" w14:textId="5307504D">
      <w:pPr>
        <w:pStyle w:val="ListParagraph"/>
        <w:spacing w:line="247" w:lineRule="auto"/>
        <w:ind w:left="1354" w:hanging="364"/>
        <w:contextualSpacing w:val="0"/>
        <w:rPr>
          <w:rFonts w:cs="Arial"/>
          <w:szCs w:val="24"/>
        </w:rPr>
      </w:pPr>
      <w:r>
        <w:rPr>
          <w:rFonts w:cs="Arial"/>
          <w:szCs w:val="24"/>
        </w:rPr>
        <w:t>Implements the Trash Provisions</w:t>
      </w:r>
      <w:r w:rsidR="00D41553">
        <w:rPr>
          <w:rFonts w:cs="Arial"/>
          <w:szCs w:val="24"/>
        </w:rPr>
        <w:t>, including</w:t>
      </w:r>
    </w:p>
    <w:p w:rsidR="00D50EF7" w:rsidP="00E8254E" w:rsidRDefault="00D41553" w14:paraId="2F6C6640" w14:textId="77777777">
      <w:pPr>
        <w:pStyle w:val="ListParagraph"/>
        <w:numPr>
          <w:ilvl w:val="0"/>
          <w:numId w:val="23"/>
        </w:numPr>
        <w:spacing w:line="247" w:lineRule="auto"/>
        <w:ind w:left="1354"/>
        <w:contextualSpacing w:val="0"/>
        <w:rPr>
          <w:rFonts w:cs="Arial"/>
          <w:szCs w:val="24"/>
        </w:rPr>
      </w:pPr>
      <w:r>
        <w:rPr>
          <w:rFonts w:cs="Arial"/>
          <w:szCs w:val="24"/>
        </w:rPr>
        <w:t>D</w:t>
      </w:r>
      <w:r w:rsidR="006C3FF1">
        <w:rPr>
          <w:rFonts w:cs="Arial"/>
          <w:szCs w:val="24"/>
        </w:rPr>
        <w:t>efinitions</w:t>
      </w:r>
      <w:r w:rsidR="00D50EF7">
        <w:rPr>
          <w:rFonts w:cs="Arial"/>
          <w:szCs w:val="24"/>
        </w:rPr>
        <w:t>,</w:t>
      </w:r>
    </w:p>
    <w:p w:rsidR="00F5164D" w:rsidP="00E8254E" w:rsidRDefault="00D50EF7" w14:paraId="4EBAB23E" w14:textId="4794EFC5">
      <w:pPr>
        <w:pStyle w:val="ListParagraph"/>
        <w:numPr>
          <w:ilvl w:val="0"/>
          <w:numId w:val="23"/>
        </w:numPr>
        <w:spacing w:line="247" w:lineRule="auto"/>
        <w:ind w:left="1354"/>
        <w:contextualSpacing w:val="0"/>
        <w:rPr>
          <w:rFonts w:cs="Arial"/>
          <w:szCs w:val="24"/>
        </w:rPr>
      </w:pPr>
      <w:r>
        <w:rPr>
          <w:rFonts w:cs="Arial"/>
          <w:szCs w:val="24"/>
        </w:rPr>
        <w:t>M</w:t>
      </w:r>
      <w:r w:rsidR="006C3FF1">
        <w:rPr>
          <w:rFonts w:cs="Arial"/>
          <w:szCs w:val="24"/>
        </w:rPr>
        <w:t>ethods for compliance</w:t>
      </w:r>
      <w:r w:rsidR="00B11B5B">
        <w:rPr>
          <w:rFonts w:cs="Arial"/>
          <w:szCs w:val="24"/>
        </w:rPr>
        <w:t>,</w:t>
      </w:r>
    </w:p>
    <w:p w:rsidR="005D1D95" w:rsidP="00E8254E" w:rsidRDefault="00D50EF7" w14:paraId="52FC9FF8" w14:textId="2BD63ADE">
      <w:pPr>
        <w:pStyle w:val="ListParagraph"/>
        <w:numPr>
          <w:ilvl w:val="0"/>
          <w:numId w:val="23"/>
        </w:numPr>
        <w:spacing w:line="247" w:lineRule="auto"/>
        <w:ind w:left="1354"/>
        <w:contextualSpacing w:val="0"/>
        <w:rPr>
          <w:rFonts w:cs="Arial"/>
          <w:szCs w:val="24"/>
        </w:rPr>
      </w:pPr>
      <w:r>
        <w:rPr>
          <w:rFonts w:cs="Arial"/>
          <w:szCs w:val="24"/>
        </w:rPr>
        <w:t>T</w:t>
      </w:r>
      <w:r w:rsidR="00F46B8A">
        <w:rPr>
          <w:rFonts w:cs="Arial"/>
          <w:szCs w:val="24"/>
        </w:rPr>
        <w:t>rash water quality objecti</w:t>
      </w:r>
      <w:r w:rsidR="00A06B5F">
        <w:rPr>
          <w:rFonts w:cs="Arial"/>
          <w:szCs w:val="24"/>
        </w:rPr>
        <w:t>v</w:t>
      </w:r>
      <w:r w:rsidR="00F46B8A">
        <w:rPr>
          <w:rFonts w:cs="Arial"/>
          <w:szCs w:val="24"/>
        </w:rPr>
        <w:t>es</w:t>
      </w:r>
      <w:r w:rsidR="000A501C">
        <w:rPr>
          <w:rFonts w:cs="Arial"/>
          <w:szCs w:val="24"/>
        </w:rPr>
        <w:t xml:space="preserve"> and</w:t>
      </w:r>
      <w:r w:rsidR="00A06B5F">
        <w:rPr>
          <w:rFonts w:cs="Arial"/>
          <w:szCs w:val="24"/>
        </w:rPr>
        <w:t xml:space="preserve"> prohibition of discharge</w:t>
      </w:r>
      <w:r w:rsidR="00B11B5B">
        <w:rPr>
          <w:rFonts w:cs="Arial"/>
          <w:szCs w:val="24"/>
        </w:rPr>
        <w:t>,</w:t>
      </w:r>
    </w:p>
    <w:p w:rsidR="003831E1" w:rsidP="00E8254E" w:rsidRDefault="00D50EF7" w14:paraId="66200E75" w14:textId="6C03E5F2">
      <w:pPr>
        <w:pStyle w:val="ListParagraph"/>
        <w:numPr>
          <w:ilvl w:val="0"/>
          <w:numId w:val="23"/>
        </w:numPr>
        <w:spacing w:line="247" w:lineRule="auto"/>
        <w:ind w:left="1354"/>
        <w:contextualSpacing w:val="0"/>
        <w:rPr>
          <w:rFonts w:cs="Arial"/>
          <w:szCs w:val="24"/>
        </w:rPr>
      </w:pPr>
      <w:r>
        <w:rPr>
          <w:rFonts w:cs="Arial"/>
          <w:szCs w:val="24"/>
        </w:rPr>
        <w:t>C</w:t>
      </w:r>
      <w:r w:rsidR="003831E1">
        <w:rPr>
          <w:rFonts w:cs="Arial"/>
          <w:szCs w:val="24"/>
        </w:rPr>
        <w:t>ompliance tracks</w:t>
      </w:r>
      <w:r w:rsidR="00B11B5B">
        <w:rPr>
          <w:rFonts w:cs="Arial"/>
          <w:szCs w:val="24"/>
        </w:rPr>
        <w:t>,</w:t>
      </w:r>
    </w:p>
    <w:p w:rsidR="002C0402" w:rsidP="00E8254E" w:rsidRDefault="00D50EF7" w14:paraId="28563679" w14:textId="41D7493D">
      <w:pPr>
        <w:pStyle w:val="ListParagraph"/>
        <w:numPr>
          <w:ilvl w:val="0"/>
          <w:numId w:val="23"/>
        </w:numPr>
        <w:spacing w:line="247" w:lineRule="auto"/>
        <w:ind w:left="1354"/>
        <w:contextualSpacing w:val="0"/>
        <w:rPr>
          <w:rFonts w:cs="Arial"/>
          <w:szCs w:val="24"/>
        </w:rPr>
      </w:pPr>
      <w:r>
        <w:rPr>
          <w:rFonts w:cs="Arial"/>
          <w:szCs w:val="24"/>
        </w:rPr>
        <w:t>P</w:t>
      </w:r>
      <w:r w:rsidR="003D0233">
        <w:rPr>
          <w:rFonts w:cs="Arial"/>
          <w:szCs w:val="24"/>
        </w:rPr>
        <w:t xml:space="preserve">lans, </w:t>
      </w:r>
      <w:r w:rsidR="004C7227">
        <w:rPr>
          <w:rFonts w:cs="Arial"/>
          <w:szCs w:val="24"/>
        </w:rPr>
        <w:t xml:space="preserve">maps, </w:t>
      </w:r>
      <w:r w:rsidR="002C0402">
        <w:rPr>
          <w:rFonts w:cs="Arial"/>
          <w:szCs w:val="24"/>
        </w:rPr>
        <w:t xml:space="preserve">and </w:t>
      </w:r>
      <w:r w:rsidR="003D0233">
        <w:rPr>
          <w:rFonts w:cs="Arial"/>
          <w:szCs w:val="24"/>
        </w:rPr>
        <w:t>reporting</w:t>
      </w:r>
      <w:r w:rsidR="00B11B5B">
        <w:rPr>
          <w:rFonts w:cs="Arial"/>
          <w:szCs w:val="24"/>
        </w:rPr>
        <w:t>,</w:t>
      </w:r>
    </w:p>
    <w:p w:rsidR="00DC2CA7" w:rsidP="00E8254E" w:rsidRDefault="00260094" w14:paraId="63EA50F9" w14:textId="1CDB3802">
      <w:pPr>
        <w:pStyle w:val="ListParagraph"/>
        <w:numPr>
          <w:ilvl w:val="0"/>
          <w:numId w:val="23"/>
        </w:numPr>
        <w:spacing w:line="247" w:lineRule="auto"/>
        <w:ind w:left="1354"/>
        <w:contextualSpacing w:val="0"/>
        <w:rPr>
          <w:rFonts w:cs="Arial"/>
          <w:szCs w:val="24"/>
        </w:rPr>
      </w:pPr>
      <w:r>
        <w:rPr>
          <w:rFonts w:cs="Arial"/>
          <w:szCs w:val="24"/>
        </w:rPr>
        <w:t>M</w:t>
      </w:r>
      <w:r w:rsidR="002C0402">
        <w:rPr>
          <w:rFonts w:cs="Arial"/>
          <w:szCs w:val="24"/>
        </w:rPr>
        <w:t>onitoring</w:t>
      </w:r>
      <w:r w:rsidR="00BD1DB5">
        <w:rPr>
          <w:rFonts w:cs="Arial"/>
          <w:szCs w:val="24"/>
        </w:rPr>
        <w:t>,</w:t>
      </w:r>
      <w:r w:rsidR="002C0402">
        <w:rPr>
          <w:rFonts w:cs="Arial"/>
          <w:szCs w:val="24"/>
        </w:rPr>
        <w:t xml:space="preserve"> </w:t>
      </w:r>
      <w:r w:rsidR="00C112F6">
        <w:rPr>
          <w:rFonts w:cs="Arial"/>
          <w:szCs w:val="24"/>
        </w:rPr>
        <w:t>inspection</w:t>
      </w:r>
      <w:r w:rsidR="00BD1DB5">
        <w:rPr>
          <w:rFonts w:cs="Arial"/>
          <w:szCs w:val="24"/>
        </w:rPr>
        <w:t>s,</w:t>
      </w:r>
      <w:r w:rsidR="00C112F6">
        <w:rPr>
          <w:rFonts w:cs="Arial"/>
          <w:szCs w:val="24"/>
        </w:rPr>
        <w:t xml:space="preserve"> and </w:t>
      </w:r>
      <w:r w:rsidR="003831E1">
        <w:rPr>
          <w:rFonts w:cs="Arial"/>
          <w:szCs w:val="24"/>
        </w:rPr>
        <w:t>maintenance</w:t>
      </w:r>
      <w:r w:rsidR="00B11B5B">
        <w:rPr>
          <w:rFonts w:cs="Arial"/>
          <w:szCs w:val="24"/>
        </w:rPr>
        <w:t>,</w:t>
      </w:r>
    </w:p>
    <w:p w:rsidR="00C112F6" w:rsidP="00E8254E" w:rsidRDefault="00B11B5B" w14:paraId="292BEA83" w14:textId="16655BAE">
      <w:pPr>
        <w:pStyle w:val="ListParagraph"/>
        <w:numPr>
          <w:ilvl w:val="0"/>
          <w:numId w:val="23"/>
        </w:numPr>
        <w:spacing w:line="247" w:lineRule="auto"/>
        <w:ind w:left="1354"/>
        <w:contextualSpacing w:val="0"/>
        <w:rPr>
          <w:rFonts w:cs="Arial"/>
          <w:szCs w:val="24"/>
        </w:rPr>
      </w:pPr>
      <w:r>
        <w:rPr>
          <w:rFonts w:cs="Arial"/>
          <w:szCs w:val="24"/>
        </w:rPr>
        <w:t>M</w:t>
      </w:r>
      <w:r w:rsidRPr="00B92632" w:rsidR="00072AF4">
        <w:rPr>
          <w:rFonts w:cs="Arial"/>
          <w:szCs w:val="24"/>
        </w:rPr>
        <w:t xml:space="preserve">ilestones to meet the </w:t>
      </w:r>
      <w:r w:rsidR="00C112F6">
        <w:rPr>
          <w:rFonts w:cs="Arial"/>
          <w:szCs w:val="24"/>
        </w:rPr>
        <w:t xml:space="preserve">final </w:t>
      </w:r>
      <w:r w:rsidRPr="00B92632" w:rsidR="00072AF4">
        <w:rPr>
          <w:rFonts w:cs="Arial"/>
          <w:szCs w:val="24"/>
        </w:rPr>
        <w:t>December 2, 2030, deadline for all existing regulated permittees.</w:t>
      </w:r>
      <w:r w:rsidRPr="00B92632" w:rsidR="00B92632">
        <w:rPr>
          <w:rFonts w:cs="Arial"/>
          <w:szCs w:val="24"/>
        </w:rPr>
        <w:t xml:space="preserve"> </w:t>
      </w:r>
    </w:p>
    <w:p w:rsidRPr="00B92632" w:rsidR="00072AF4" w:rsidP="00E8254E" w:rsidRDefault="00260094" w14:paraId="72393340" w14:textId="65FF0906">
      <w:pPr>
        <w:pStyle w:val="ListParagraph"/>
        <w:numPr>
          <w:ilvl w:val="0"/>
          <w:numId w:val="23"/>
        </w:numPr>
        <w:spacing w:line="247" w:lineRule="auto"/>
        <w:ind w:left="1354"/>
        <w:contextualSpacing w:val="0"/>
        <w:rPr>
          <w:rFonts w:cs="Arial"/>
          <w:szCs w:val="24"/>
        </w:rPr>
      </w:pPr>
      <w:r>
        <w:rPr>
          <w:rFonts w:cs="Arial"/>
          <w:szCs w:val="24"/>
        </w:rPr>
        <w:t>M</w:t>
      </w:r>
      <w:r w:rsidRPr="00B92632" w:rsidR="00072AF4">
        <w:rPr>
          <w:rFonts w:cs="Arial"/>
          <w:szCs w:val="24"/>
        </w:rPr>
        <w:t>ilestones to implement the Trash Provisions over 10 years from the effective date of designation for new regulated permittees.</w:t>
      </w:r>
    </w:p>
    <w:p w:rsidRPr="00B35EEC" w:rsidR="00B35EEC" w:rsidP="007140E5" w:rsidRDefault="00B35EEC" w14:paraId="3C6ADDC7" w14:textId="77777777">
      <w:pPr>
        <w:pStyle w:val="ListParagraph"/>
        <w:numPr>
          <w:ilvl w:val="0"/>
          <w:numId w:val="20"/>
        </w:numPr>
        <w:spacing w:before="240" w:line="247" w:lineRule="auto"/>
        <w:ind w:left="994" w:hanging="274"/>
        <w:contextualSpacing w:val="0"/>
        <w:rPr>
          <w:rFonts w:cs="Arial"/>
        </w:rPr>
      </w:pPr>
      <w:r w:rsidRPr="00B35EEC">
        <w:rPr>
          <w:rFonts w:cs="Arial"/>
        </w:rPr>
        <w:t>Cost Reporting</w:t>
      </w:r>
    </w:p>
    <w:p w:rsidR="00C8139F" w:rsidP="00E8254E" w:rsidRDefault="00C8139F" w14:paraId="2A142B88" w14:textId="483FEDE9">
      <w:pPr>
        <w:pStyle w:val="ListParagraph"/>
        <w:numPr>
          <w:ilvl w:val="0"/>
          <w:numId w:val="24"/>
        </w:numPr>
        <w:spacing w:line="247" w:lineRule="auto"/>
        <w:ind w:left="1354"/>
        <w:contextualSpacing w:val="0"/>
        <w:rPr>
          <w:rFonts w:cs="Arial"/>
          <w:szCs w:val="24"/>
        </w:rPr>
      </w:pPr>
      <w:r w:rsidRPr="5567B6E7">
        <w:rPr>
          <w:rFonts w:cs="Arial"/>
          <w:szCs w:val="24"/>
        </w:rPr>
        <w:t>Adds Cost Reporting Requirements for Traditional permittees, per the Water Quality Control Policy for Standardized Cost Reporting in Municipal Stormwater Permits</w:t>
      </w:r>
      <w:r>
        <w:rPr>
          <w:rFonts w:cs="Arial"/>
          <w:szCs w:val="24"/>
        </w:rPr>
        <w:t xml:space="preserve"> (</w:t>
      </w:r>
      <w:r w:rsidR="005112FA">
        <w:rPr>
          <w:rFonts w:cs="Arial"/>
          <w:szCs w:val="24"/>
        </w:rPr>
        <w:t>C</w:t>
      </w:r>
      <w:r>
        <w:rPr>
          <w:rFonts w:cs="Arial"/>
          <w:szCs w:val="24"/>
        </w:rPr>
        <w:t xml:space="preserve">ost </w:t>
      </w:r>
      <w:r w:rsidR="005112FA">
        <w:rPr>
          <w:rFonts w:cs="Arial"/>
          <w:szCs w:val="24"/>
        </w:rPr>
        <w:t>P</w:t>
      </w:r>
      <w:r>
        <w:rPr>
          <w:rFonts w:cs="Arial"/>
          <w:szCs w:val="24"/>
        </w:rPr>
        <w:t>olicy).</w:t>
      </w:r>
    </w:p>
    <w:p w:rsidRPr="006308C7" w:rsidR="00E879AF" w:rsidP="007140E5" w:rsidRDefault="00834079" w14:paraId="1CDABF7A" w14:textId="4D50675E">
      <w:pPr>
        <w:pStyle w:val="ListParagraph"/>
        <w:numPr>
          <w:ilvl w:val="0"/>
          <w:numId w:val="20"/>
        </w:numPr>
        <w:spacing w:before="240" w:line="247" w:lineRule="auto"/>
        <w:ind w:left="994" w:hanging="274"/>
        <w:contextualSpacing w:val="0"/>
        <w:rPr>
          <w:rFonts w:cs="Arial"/>
        </w:rPr>
      </w:pPr>
      <w:r w:rsidRPr="006308C7">
        <w:rPr>
          <w:rFonts w:cs="Arial"/>
        </w:rPr>
        <w:t>Post-Construction Requirements</w:t>
      </w:r>
    </w:p>
    <w:p w:rsidRPr="003A2D09" w:rsidR="00821E41" w:rsidP="00E8254E" w:rsidRDefault="000E5343" w14:paraId="109EE056" w14:textId="24ADCC72">
      <w:pPr>
        <w:pStyle w:val="ListParagraph"/>
        <w:numPr>
          <w:ilvl w:val="0"/>
          <w:numId w:val="25"/>
        </w:numPr>
        <w:spacing w:line="247" w:lineRule="auto"/>
        <w:ind w:left="1354"/>
        <w:contextualSpacing w:val="0"/>
        <w:rPr>
          <w:rFonts w:cs="Arial"/>
          <w:szCs w:val="24"/>
        </w:rPr>
      </w:pPr>
      <w:r>
        <w:rPr>
          <w:rFonts w:cs="Arial"/>
          <w:szCs w:val="24"/>
        </w:rPr>
        <w:t>Minor changes to</w:t>
      </w:r>
      <w:r w:rsidR="00B6162B">
        <w:rPr>
          <w:rFonts w:cs="Arial"/>
          <w:szCs w:val="24"/>
        </w:rPr>
        <w:t xml:space="preserve"> existing</w:t>
      </w:r>
      <w:r w:rsidRPr="15B06B29" w:rsidR="00821E41">
        <w:rPr>
          <w:rFonts w:cs="Arial"/>
          <w:szCs w:val="24"/>
        </w:rPr>
        <w:t xml:space="preserve"> low impact development standards.</w:t>
      </w:r>
    </w:p>
    <w:p w:rsidR="00821E41" w:rsidP="00E8254E" w:rsidRDefault="00821E41" w14:paraId="3A10F751" w14:textId="77777777">
      <w:pPr>
        <w:pStyle w:val="ListParagraph"/>
        <w:numPr>
          <w:ilvl w:val="0"/>
          <w:numId w:val="25"/>
        </w:numPr>
        <w:spacing w:line="247" w:lineRule="auto"/>
        <w:ind w:left="1354"/>
        <w:contextualSpacing w:val="0"/>
        <w:rPr>
          <w:rFonts w:cs="Arial"/>
          <w:szCs w:val="24"/>
        </w:rPr>
      </w:pPr>
      <w:r w:rsidRPr="15B06B29">
        <w:rPr>
          <w:rFonts w:cs="Arial"/>
          <w:szCs w:val="24"/>
        </w:rPr>
        <w:t>Clarifies and reduces exclusions.</w:t>
      </w:r>
    </w:p>
    <w:p w:rsidR="00783FF5" w:rsidP="00E8254E" w:rsidRDefault="000B0AB0" w14:paraId="2BA1132A" w14:textId="588F86BC">
      <w:pPr>
        <w:pStyle w:val="ListParagraph"/>
        <w:numPr>
          <w:ilvl w:val="0"/>
          <w:numId w:val="90"/>
        </w:numPr>
        <w:spacing w:line="247" w:lineRule="auto"/>
        <w:rPr>
          <w:rFonts w:cs="Arial"/>
        </w:rPr>
      </w:pPr>
      <w:r>
        <w:rPr>
          <w:rFonts w:cs="Arial"/>
        </w:rPr>
        <w:t>Removes exclusion for single family homes over 5,000 square feet.</w:t>
      </w:r>
    </w:p>
    <w:p w:rsidRPr="000B0AB0" w:rsidR="000B0AB0" w:rsidP="00E8254E" w:rsidRDefault="000B0AB0" w14:paraId="0A0DE249" w14:textId="4C8F28C9">
      <w:pPr>
        <w:pStyle w:val="ListParagraph"/>
        <w:numPr>
          <w:ilvl w:val="0"/>
          <w:numId w:val="90"/>
        </w:numPr>
        <w:spacing w:line="247" w:lineRule="auto"/>
        <w:rPr>
          <w:rFonts w:cs="Arial"/>
        </w:rPr>
      </w:pPr>
      <w:r>
        <w:rPr>
          <w:rFonts w:cs="Arial"/>
        </w:rPr>
        <w:t xml:space="preserve">Clarifies that full depth reclamation </w:t>
      </w:r>
      <w:r w:rsidR="0091464F">
        <w:rPr>
          <w:rFonts w:cs="Arial"/>
        </w:rPr>
        <w:t xml:space="preserve">that meets certain guidelines may be </w:t>
      </w:r>
      <w:r w:rsidR="00AA0F3D">
        <w:rPr>
          <w:rFonts w:cs="Arial"/>
        </w:rPr>
        <w:t>an excluded road maintenance activity.</w:t>
      </w:r>
    </w:p>
    <w:p w:rsidR="00995CC5" w:rsidP="00E8254E" w:rsidRDefault="00995CC5" w14:paraId="720F38C6" w14:textId="1A1E9CD0">
      <w:pPr>
        <w:pStyle w:val="ListParagraph"/>
        <w:numPr>
          <w:ilvl w:val="0"/>
          <w:numId w:val="25"/>
        </w:numPr>
        <w:spacing w:before="240" w:line="247" w:lineRule="auto"/>
        <w:ind w:left="1354"/>
        <w:contextualSpacing w:val="0"/>
        <w:rPr>
          <w:rFonts w:cs="Arial"/>
          <w:szCs w:val="24"/>
        </w:rPr>
      </w:pPr>
      <w:r>
        <w:rPr>
          <w:rFonts w:cs="Arial"/>
          <w:szCs w:val="24"/>
        </w:rPr>
        <w:t>Removes</w:t>
      </w:r>
      <w:r w:rsidR="00F37F1D">
        <w:rPr>
          <w:rFonts w:cs="Arial"/>
          <w:szCs w:val="24"/>
        </w:rPr>
        <w:t xml:space="preserve"> Soil Quality Improvement as a Site Design Measure. Inspection staff at Regional Boards found this measure difficult to verify</w:t>
      </w:r>
      <w:r w:rsidR="00783FF5">
        <w:rPr>
          <w:rFonts w:cs="Arial"/>
          <w:szCs w:val="24"/>
        </w:rPr>
        <w:t xml:space="preserve"> that it was both installed properly </w:t>
      </w:r>
      <w:r w:rsidR="00F34C63">
        <w:rPr>
          <w:rFonts w:cs="Arial"/>
          <w:szCs w:val="24"/>
        </w:rPr>
        <w:t>and</w:t>
      </w:r>
      <w:r w:rsidR="00783FF5">
        <w:rPr>
          <w:rFonts w:cs="Arial"/>
          <w:szCs w:val="24"/>
        </w:rPr>
        <w:t xml:space="preserve"> maintained over time.</w:t>
      </w:r>
    </w:p>
    <w:p w:rsidRPr="003A2D09" w:rsidR="00682E7B" w:rsidP="00E8254E" w:rsidRDefault="00682E7B" w14:paraId="0E0C84F1" w14:textId="046FC3EE">
      <w:pPr>
        <w:pStyle w:val="ListParagraph"/>
        <w:numPr>
          <w:ilvl w:val="0"/>
          <w:numId w:val="25"/>
        </w:numPr>
        <w:spacing w:line="247" w:lineRule="auto"/>
        <w:ind w:left="1354"/>
        <w:contextualSpacing w:val="0"/>
        <w:rPr>
          <w:rFonts w:cs="Arial"/>
          <w:szCs w:val="24"/>
        </w:rPr>
      </w:pPr>
      <w:r>
        <w:rPr>
          <w:rFonts w:cs="Arial"/>
          <w:szCs w:val="24"/>
        </w:rPr>
        <w:t>Applies 50 percent redevelopment rule to alteration of existing impervious development in addition to</w:t>
      </w:r>
      <w:r w:rsidR="008B5287">
        <w:rPr>
          <w:rFonts w:cs="Arial"/>
          <w:szCs w:val="24"/>
        </w:rPr>
        <w:t xml:space="preserve"> existing</w:t>
      </w:r>
      <w:r>
        <w:rPr>
          <w:rFonts w:cs="Arial"/>
          <w:szCs w:val="24"/>
        </w:rPr>
        <w:t xml:space="preserve"> </w:t>
      </w:r>
      <w:r w:rsidR="009E32AB">
        <w:rPr>
          <w:rFonts w:cs="Arial"/>
          <w:szCs w:val="24"/>
        </w:rPr>
        <w:t>50 percent increase of impervious development area.</w:t>
      </w:r>
      <w:r w:rsidR="0087298F">
        <w:rPr>
          <w:rFonts w:cs="Arial"/>
          <w:szCs w:val="24"/>
        </w:rPr>
        <w:t xml:space="preserve"> For example, </w:t>
      </w:r>
      <w:r w:rsidR="00AB5327">
        <w:rPr>
          <w:rFonts w:cs="Arial"/>
          <w:szCs w:val="24"/>
        </w:rPr>
        <w:t xml:space="preserve">under the alteration clause, </w:t>
      </w:r>
      <w:r w:rsidR="0087298F">
        <w:rPr>
          <w:rFonts w:cs="Arial"/>
          <w:szCs w:val="24"/>
        </w:rPr>
        <w:t>if 7,000 ft</w:t>
      </w:r>
      <w:r w:rsidRPr="00262347" w:rsidR="0087298F">
        <w:rPr>
          <w:rFonts w:cs="Arial"/>
          <w:szCs w:val="24"/>
          <w:vertAlign w:val="superscript"/>
        </w:rPr>
        <w:t>2</w:t>
      </w:r>
      <w:r w:rsidR="0087298F">
        <w:rPr>
          <w:rFonts w:cs="Arial"/>
          <w:szCs w:val="24"/>
        </w:rPr>
        <w:t xml:space="preserve"> of an existing 12,000 ft</w:t>
      </w:r>
      <w:r w:rsidRPr="00262347" w:rsidR="0087298F">
        <w:rPr>
          <w:rFonts w:cs="Arial"/>
          <w:szCs w:val="24"/>
          <w:vertAlign w:val="superscript"/>
        </w:rPr>
        <w:t>2</w:t>
      </w:r>
      <w:r w:rsidR="0087298F">
        <w:rPr>
          <w:rFonts w:cs="Arial"/>
          <w:szCs w:val="24"/>
        </w:rPr>
        <w:t xml:space="preserve"> parking lot is being removed and replaced with a building</w:t>
      </w:r>
      <w:r w:rsidR="00E87BD8">
        <w:rPr>
          <w:rFonts w:cs="Arial"/>
          <w:szCs w:val="24"/>
        </w:rPr>
        <w:t xml:space="preserve"> (greater than 50% being altered)</w:t>
      </w:r>
      <w:r w:rsidR="0087298F">
        <w:rPr>
          <w:rFonts w:cs="Arial"/>
          <w:szCs w:val="24"/>
        </w:rPr>
        <w:t>, stormwater control measures are required to treat the runoff from the entire 12,000 ft</w:t>
      </w:r>
      <w:r w:rsidRPr="00262347" w:rsidR="0087298F">
        <w:rPr>
          <w:rFonts w:cs="Arial"/>
          <w:szCs w:val="24"/>
          <w:vertAlign w:val="superscript"/>
        </w:rPr>
        <w:t>2</w:t>
      </w:r>
      <w:r w:rsidR="00E87BD8">
        <w:rPr>
          <w:rFonts w:cs="Arial"/>
          <w:szCs w:val="24"/>
        </w:rPr>
        <w:t>.</w:t>
      </w:r>
      <w:r w:rsidR="00AB5327">
        <w:rPr>
          <w:rFonts w:cs="Arial"/>
          <w:szCs w:val="24"/>
        </w:rPr>
        <w:t xml:space="preserve"> Under the increase clause, if </w:t>
      </w:r>
      <w:r w:rsidR="003537AB">
        <w:rPr>
          <w:rFonts w:cs="Arial"/>
          <w:szCs w:val="24"/>
        </w:rPr>
        <w:t xml:space="preserve">a </w:t>
      </w:r>
      <w:r w:rsidR="00473131">
        <w:rPr>
          <w:rFonts w:cs="Arial"/>
          <w:szCs w:val="24"/>
        </w:rPr>
        <w:t>7,000 ft</w:t>
      </w:r>
      <w:r w:rsidRPr="00262347" w:rsidR="00473131">
        <w:rPr>
          <w:rFonts w:cs="Arial"/>
          <w:szCs w:val="24"/>
          <w:vertAlign w:val="superscript"/>
        </w:rPr>
        <w:t>2</w:t>
      </w:r>
      <w:r w:rsidR="00473131">
        <w:rPr>
          <w:rFonts w:cs="Arial"/>
          <w:szCs w:val="24"/>
          <w:vertAlign w:val="superscript"/>
        </w:rPr>
        <w:t xml:space="preserve"> </w:t>
      </w:r>
      <w:r w:rsidR="003537AB">
        <w:rPr>
          <w:rFonts w:cs="Arial"/>
          <w:szCs w:val="24"/>
        </w:rPr>
        <w:t xml:space="preserve"> building</w:t>
      </w:r>
      <w:r w:rsidR="007F3E46">
        <w:rPr>
          <w:rFonts w:cs="Arial"/>
          <w:szCs w:val="24"/>
        </w:rPr>
        <w:t xml:space="preserve"> is </w:t>
      </w:r>
      <w:r w:rsidR="003537AB">
        <w:rPr>
          <w:rFonts w:cs="Arial"/>
          <w:szCs w:val="24"/>
        </w:rPr>
        <w:t>added</w:t>
      </w:r>
      <w:r w:rsidR="007F3E46">
        <w:rPr>
          <w:rFonts w:cs="Arial"/>
          <w:szCs w:val="24"/>
        </w:rPr>
        <w:t xml:space="preserve"> to an unaltered 12,000 ft</w:t>
      </w:r>
      <w:r w:rsidRPr="00262347" w:rsidR="007F3E46">
        <w:rPr>
          <w:rFonts w:cs="Arial"/>
          <w:szCs w:val="24"/>
          <w:vertAlign w:val="superscript"/>
        </w:rPr>
        <w:t>2</w:t>
      </w:r>
      <w:r w:rsidR="007F3E46">
        <w:rPr>
          <w:rFonts w:cs="Arial"/>
          <w:szCs w:val="24"/>
          <w:vertAlign w:val="superscript"/>
        </w:rPr>
        <w:t xml:space="preserve"> </w:t>
      </w:r>
      <w:r w:rsidR="007F3E46">
        <w:rPr>
          <w:rFonts w:cs="Arial"/>
          <w:szCs w:val="24"/>
        </w:rPr>
        <w:t>parking lot</w:t>
      </w:r>
      <w:r w:rsidR="00AB2D58">
        <w:rPr>
          <w:rFonts w:cs="Arial"/>
          <w:szCs w:val="24"/>
        </w:rPr>
        <w:t xml:space="preserve"> within the project boundaries</w:t>
      </w:r>
      <w:r w:rsidR="007F3E46">
        <w:rPr>
          <w:rFonts w:cs="Arial"/>
          <w:szCs w:val="24"/>
        </w:rPr>
        <w:t xml:space="preserve"> (</w:t>
      </w:r>
      <w:r w:rsidR="0073160F">
        <w:rPr>
          <w:rFonts w:cs="Arial"/>
          <w:szCs w:val="24"/>
        </w:rPr>
        <w:t xml:space="preserve">greater than 50% increase), </w:t>
      </w:r>
      <w:r w:rsidR="00AB2D58">
        <w:rPr>
          <w:rFonts w:cs="Arial"/>
          <w:szCs w:val="24"/>
        </w:rPr>
        <w:t>then stormwater control measures are required to treat runoff from the entire 19,000 ft</w:t>
      </w:r>
      <w:r w:rsidRPr="00262347" w:rsidR="00AB2D58">
        <w:rPr>
          <w:rFonts w:cs="Arial"/>
          <w:szCs w:val="24"/>
          <w:vertAlign w:val="superscript"/>
        </w:rPr>
        <w:t>2</w:t>
      </w:r>
      <w:r w:rsidR="00AB2D58">
        <w:rPr>
          <w:rFonts w:cs="Arial"/>
          <w:szCs w:val="24"/>
        </w:rPr>
        <w:t>.</w:t>
      </w:r>
    </w:p>
    <w:p w:rsidR="00821E41" w:rsidP="00E8254E" w:rsidRDefault="00821E41" w14:paraId="37ECC17B" w14:textId="77777777">
      <w:pPr>
        <w:pStyle w:val="ListParagraph"/>
        <w:numPr>
          <w:ilvl w:val="0"/>
          <w:numId w:val="25"/>
        </w:numPr>
        <w:spacing w:line="247" w:lineRule="auto"/>
        <w:ind w:left="1354"/>
        <w:contextualSpacing w:val="0"/>
        <w:rPr>
          <w:rFonts w:cs="Arial"/>
          <w:szCs w:val="24"/>
        </w:rPr>
      </w:pPr>
      <w:r w:rsidRPr="15B06B29">
        <w:rPr>
          <w:rFonts w:cs="Arial"/>
          <w:szCs w:val="24"/>
        </w:rPr>
        <w:t>Adds new allowances for offsite compliance, providing flexibility for permittees.</w:t>
      </w:r>
    </w:p>
    <w:p w:rsidRPr="003A2D09" w:rsidR="00A445DB" w:rsidP="00E8254E" w:rsidRDefault="00A445DB" w14:paraId="7B890DAE" w14:textId="6622705A">
      <w:pPr>
        <w:pStyle w:val="ListParagraph"/>
        <w:numPr>
          <w:ilvl w:val="0"/>
          <w:numId w:val="25"/>
        </w:numPr>
        <w:spacing w:line="247" w:lineRule="auto"/>
        <w:ind w:left="1354"/>
        <w:contextualSpacing w:val="0"/>
        <w:rPr>
          <w:rFonts w:cs="Arial"/>
          <w:szCs w:val="24"/>
        </w:rPr>
      </w:pPr>
      <w:r>
        <w:rPr>
          <w:rFonts w:cs="Arial"/>
          <w:szCs w:val="24"/>
        </w:rPr>
        <w:t xml:space="preserve">Adds option for permittee-led inspections to </w:t>
      </w:r>
      <w:r w:rsidR="00597923">
        <w:rPr>
          <w:rFonts w:cs="Arial"/>
          <w:szCs w:val="24"/>
        </w:rPr>
        <w:t xml:space="preserve">verify the condition of post-construction BMPs in addition to the existing self-certification method. </w:t>
      </w:r>
      <w:r w:rsidR="00855E05">
        <w:rPr>
          <w:rFonts w:cs="Arial"/>
          <w:szCs w:val="24"/>
        </w:rPr>
        <w:t xml:space="preserve">Self-certification method requires inspections of half </w:t>
      </w:r>
      <w:r w:rsidR="002F11DC">
        <w:rPr>
          <w:rFonts w:cs="Arial"/>
          <w:szCs w:val="24"/>
        </w:rPr>
        <w:t>of all post-construction BMPs per five years.</w:t>
      </w:r>
      <w:r w:rsidR="00F91A4A">
        <w:rPr>
          <w:rFonts w:cs="Arial"/>
          <w:szCs w:val="24"/>
        </w:rPr>
        <w:t xml:space="preserve"> </w:t>
      </w:r>
    </w:p>
    <w:p w:rsidRPr="006308C7" w:rsidR="00403263" w:rsidP="007140E5" w:rsidRDefault="00403263" w14:paraId="21E55467" w14:textId="77777777">
      <w:pPr>
        <w:pStyle w:val="ListParagraph"/>
        <w:numPr>
          <w:ilvl w:val="0"/>
          <w:numId w:val="20"/>
        </w:numPr>
        <w:spacing w:before="240" w:line="247" w:lineRule="auto"/>
        <w:ind w:left="994" w:hanging="274"/>
        <w:contextualSpacing w:val="0"/>
        <w:rPr>
          <w:rFonts w:cs="Arial"/>
        </w:rPr>
      </w:pPr>
      <w:r w:rsidRPr="006308C7">
        <w:rPr>
          <w:rFonts w:cs="Arial"/>
        </w:rPr>
        <w:t>Asset Management</w:t>
      </w:r>
    </w:p>
    <w:p w:rsidRPr="003A2D09" w:rsidR="00403263" w:rsidP="00E8254E" w:rsidRDefault="00403263" w14:paraId="3DA84146" w14:textId="5796CF19">
      <w:pPr>
        <w:pStyle w:val="ListParagraph"/>
        <w:numPr>
          <w:ilvl w:val="0"/>
          <w:numId w:val="26"/>
        </w:numPr>
        <w:spacing w:line="247" w:lineRule="auto"/>
        <w:ind w:left="1354"/>
        <w:contextualSpacing w:val="0"/>
        <w:rPr>
          <w:rFonts w:cs="Arial"/>
          <w:szCs w:val="24"/>
        </w:rPr>
      </w:pPr>
      <w:r w:rsidRPr="265E8C6E">
        <w:rPr>
          <w:rFonts w:cs="Arial"/>
          <w:szCs w:val="24"/>
        </w:rPr>
        <w:t xml:space="preserve">Adds </w:t>
      </w:r>
      <w:r w:rsidR="00857391">
        <w:rPr>
          <w:rFonts w:cs="Arial"/>
          <w:szCs w:val="24"/>
        </w:rPr>
        <w:t xml:space="preserve">condition assessments and </w:t>
      </w:r>
      <w:r w:rsidRPr="265E8C6E">
        <w:rPr>
          <w:rFonts w:cs="Arial"/>
          <w:szCs w:val="24"/>
        </w:rPr>
        <w:t>longer</w:t>
      </w:r>
      <w:r w:rsidR="00DD66AC">
        <w:rPr>
          <w:rFonts w:cs="Arial"/>
          <w:szCs w:val="24"/>
        </w:rPr>
        <w:t>-</w:t>
      </w:r>
      <w:r w:rsidRPr="265E8C6E">
        <w:rPr>
          <w:rFonts w:cs="Arial"/>
          <w:szCs w:val="24"/>
        </w:rPr>
        <w:t>term maintenance planning</w:t>
      </w:r>
      <w:r>
        <w:rPr>
          <w:rFonts w:cs="Arial"/>
          <w:szCs w:val="24"/>
        </w:rPr>
        <w:t xml:space="preserve"> requirements</w:t>
      </w:r>
      <w:r w:rsidR="001551D1">
        <w:rPr>
          <w:rFonts w:cs="Arial"/>
          <w:szCs w:val="24"/>
        </w:rPr>
        <w:t xml:space="preserve"> for asset categories that permittees have already been tracking </w:t>
      </w:r>
      <w:r w:rsidR="0055758D">
        <w:rPr>
          <w:rFonts w:cs="Arial"/>
          <w:szCs w:val="24"/>
        </w:rPr>
        <w:t xml:space="preserve">through the previous permit </w:t>
      </w:r>
      <w:r w:rsidR="001551D1">
        <w:rPr>
          <w:rFonts w:cs="Arial"/>
          <w:szCs w:val="24"/>
        </w:rPr>
        <w:t>(outfalls, catch basins, post-construction BMPs</w:t>
      </w:r>
      <w:r w:rsidR="001575DF">
        <w:rPr>
          <w:rFonts w:cs="Arial"/>
          <w:szCs w:val="24"/>
        </w:rPr>
        <w:t>, structural controls required by ASBS or TMDL requirements)</w:t>
      </w:r>
      <w:r w:rsidRPr="265E8C6E">
        <w:rPr>
          <w:rFonts w:cs="Arial"/>
          <w:szCs w:val="24"/>
        </w:rPr>
        <w:t>.</w:t>
      </w:r>
    </w:p>
    <w:p w:rsidR="00622CEE" w:rsidP="007140E5" w:rsidRDefault="00622CEE" w14:paraId="7839E844" w14:textId="1E2FAC81">
      <w:pPr>
        <w:pStyle w:val="ListParagraph"/>
        <w:numPr>
          <w:ilvl w:val="0"/>
          <w:numId w:val="20"/>
        </w:numPr>
        <w:spacing w:before="240" w:line="247" w:lineRule="auto"/>
        <w:ind w:left="994" w:hanging="274"/>
        <w:contextualSpacing w:val="0"/>
        <w:rPr>
          <w:rFonts w:cs="Arial"/>
        </w:rPr>
      </w:pPr>
      <w:r>
        <w:rPr>
          <w:rFonts w:cs="Arial"/>
        </w:rPr>
        <w:t>Public Education and Outreach</w:t>
      </w:r>
    </w:p>
    <w:p w:rsidR="00622CEE" w:rsidP="00622CEE" w:rsidRDefault="00622CEE" w14:paraId="73C0A7F6" w14:textId="1A17C648">
      <w:pPr>
        <w:pStyle w:val="ListParagraph"/>
        <w:numPr>
          <w:ilvl w:val="1"/>
          <w:numId w:val="20"/>
        </w:numPr>
        <w:tabs>
          <w:tab w:val="left" w:pos="1350"/>
        </w:tabs>
        <w:spacing w:line="247" w:lineRule="auto"/>
        <w:ind w:left="1354" w:hanging="274"/>
        <w:contextualSpacing w:val="0"/>
        <w:rPr>
          <w:rFonts w:cs="Arial"/>
        </w:rPr>
      </w:pPr>
      <w:r>
        <w:rPr>
          <w:rFonts w:cs="Arial"/>
        </w:rPr>
        <w:t xml:space="preserve">Removes </w:t>
      </w:r>
      <w:r w:rsidR="0023587B">
        <w:rPr>
          <w:rFonts w:cs="Arial"/>
        </w:rPr>
        <w:t xml:space="preserve">the option for the Regional Board to impose </w:t>
      </w:r>
      <w:r w:rsidRPr="00622CEE">
        <w:rPr>
          <w:rFonts w:cs="Arial"/>
          <w:szCs w:val="24"/>
        </w:rPr>
        <w:t>community</w:t>
      </w:r>
      <w:r>
        <w:rPr>
          <w:rFonts w:cs="Arial"/>
        </w:rPr>
        <w:t xml:space="preserve"> based social marketing </w:t>
      </w:r>
      <w:r w:rsidR="0023587B">
        <w:rPr>
          <w:rFonts w:cs="Arial"/>
        </w:rPr>
        <w:t>requirements</w:t>
      </w:r>
      <w:r>
        <w:rPr>
          <w:rFonts w:cs="Arial"/>
        </w:rPr>
        <w:t>.</w:t>
      </w:r>
      <w:r w:rsidR="00D72EF7">
        <w:rPr>
          <w:rFonts w:cs="Arial"/>
        </w:rPr>
        <w:t xml:space="preserve"> </w:t>
      </w:r>
      <w:r w:rsidR="00DC7D3F">
        <w:rPr>
          <w:rFonts w:cs="Arial"/>
        </w:rPr>
        <w:t xml:space="preserve">Community based social marketing wasn’t broadly used under the previous permit, and it </w:t>
      </w:r>
      <w:r w:rsidR="00AE04A8">
        <w:rPr>
          <w:rFonts w:cs="Arial"/>
        </w:rPr>
        <w:t xml:space="preserve">was unclear if there was enough additional benefit to justify the added complexity of the program. Permittees may still conduct this style of public outreach </w:t>
      </w:r>
      <w:r w:rsidR="00024383">
        <w:rPr>
          <w:rFonts w:cs="Arial"/>
        </w:rPr>
        <w:t>as part of the Public Education strategy</w:t>
      </w:r>
      <w:r w:rsidR="00AE04A8">
        <w:rPr>
          <w:rFonts w:cs="Arial"/>
        </w:rPr>
        <w:t>.</w:t>
      </w:r>
    </w:p>
    <w:p w:rsidRPr="006308C7" w:rsidR="00A10683" w:rsidP="007140E5" w:rsidRDefault="00C75C09" w14:paraId="288EF4C1" w14:textId="52649877">
      <w:pPr>
        <w:pStyle w:val="ListParagraph"/>
        <w:numPr>
          <w:ilvl w:val="0"/>
          <w:numId w:val="20"/>
        </w:numPr>
        <w:spacing w:before="240" w:line="247" w:lineRule="auto"/>
        <w:ind w:left="994" w:hanging="274"/>
        <w:contextualSpacing w:val="0"/>
        <w:rPr>
          <w:rFonts w:cs="Arial"/>
        </w:rPr>
      </w:pPr>
      <w:r>
        <w:rPr>
          <w:rFonts w:cs="Arial"/>
        </w:rPr>
        <w:t xml:space="preserve">Illicit Discharge </w:t>
      </w:r>
      <w:r w:rsidR="00A03A1E">
        <w:rPr>
          <w:rFonts w:cs="Arial"/>
        </w:rPr>
        <w:t xml:space="preserve">Priority Area </w:t>
      </w:r>
      <w:r>
        <w:rPr>
          <w:rFonts w:cs="Arial"/>
        </w:rPr>
        <w:t>Inspections</w:t>
      </w:r>
    </w:p>
    <w:p w:rsidR="00D57416" w:rsidP="007140E5" w:rsidRDefault="008B2EDE" w14:paraId="605CD7DC" w14:textId="77777777">
      <w:pPr>
        <w:pStyle w:val="ListParagraph"/>
        <w:numPr>
          <w:ilvl w:val="1"/>
          <w:numId w:val="20"/>
        </w:numPr>
        <w:tabs>
          <w:tab w:val="left" w:pos="1350"/>
        </w:tabs>
        <w:spacing w:line="247" w:lineRule="auto"/>
        <w:ind w:left="1354" w:hanging="274"/>
        <w:contextualSpacing w:val="0"/>
        <w:rPr>
          <w:rFonts w:cs="Arial"/>
          <w:szCs w:val="24"/>
        </w:rPr>
      </w:pPr>
      <w:r w:rsidRPr="003A2D09">
        <w:rPr>
          <w:rFonts w:cs="Arial"/>
          <w:szCs w:val="24"/>
        </w:rPr>
        <w:t>Increase</w:t>
      </w:r>
      <w:r>
        <w:rPr>
          <w:rFonts w:cs="Arial"/>
          <w:szCs w:val="24"/>
        </w:rPr>
        <w:t>s</w:t>
      </w:r>
      <w:r w:rsidRPr="003A2D09">
        <w:rPr>
          <w:rFonts w:cs="Arial"/>
          <w:szCs w:val="24"/>
        </w:rPr>
        <w:t xml:space="preserve"> inspection frequency for </w:t>
      </w:r>
      <w:r w:rsidR="00D57416">
        <w:rPr>
          <w:rFonts w:cs="Arial"/>
          <w:szCs w:val="24"/>
        </w:rPr>
        <w:t>areas at higher risk for pollution from illicit discharges</w:t>
      </w:r>
    </w:p>
    <w:p w:rsidR="00D57416" w:rsidP="007140E5" w:rsidRDefault="007513AF" w14:paraId="685759C3" w14:textId="4F93C88C">
      <w:pPr>
        <w:pStyle w:val="ListParagraph"/>
        <w:numPr>
          <w:ilvl w:val="1"/>
          <w:numId w:val="20"/>
        </w:numPr>
        <w:tabs>
          <w:tab w:val="left" w:pos="1350"/>
        </w:tabs>
        <w:spacing w:line="247" w:lineRule="auto"/>
        <w:ind w:left="1354" w:hanging="274"/>
        <w:contextualSpacing w:val="0"/>
        <w:rPr>
          <w:rFonts w:cs="Arial"/>
          <w:szCs w:val="24"/>
        </w:rPr>
      </w:pPr>
      <w:r>
        <w:rPr>
          <w:rFonts w:cs="Arial"/>
          <w:szCs w:val="24"/>
        </w:rPr>
        <w:t>Removes requirement to maintain an inventory of individual facilities and focuses on</w:t>
      </w:r>
      <w:r w:rsidR="00E570FC">
        <w:rPr>
          <w:rFonts w:cs="Arial"/>
          <w:szCs w:val="24"/>
        </w:rPr>
        <w:t xml:space="preserve"> proactive </w:t>
      </w:r>
      <w:r w:rsidR="00E048E2">
        <w:rPr>
          <w:rFonts w:cs="Arial"/>
          <w:szCs w:val="24"/>
        </w:rPr>
        <w:t>high</w:t>
      </w:r>
      <w:r w:rsidR="00071B8B">
        <w:rPr>
          <w:rFonts w:cs="Arial"/>
          <w:szCs w:val="24"/>
        </w:rPr>
        <w:t>-</w:t>
      </w:r>
      <w:r w:rsidR="00E048E2">
        <w:rPr>
          <w:rFonts w:cs="Arial"/>
          <w:szCs w:val="24"/>
        </w:rPr>
        <w:t>level inspections of larger areas instead of individual sites or outfalls.</w:t>
      </w:r>
    </w:p>
    <w:p w:rsidRPr="006F148A" w:rsidR="000134FF" w:rsidP="000134FF" w:rsidRDefault="000134FF" w14:paraId="20C37201" w14:textId="195A8BA9">
      <w:pPr>
        <w:pStyle w:val="ListParagraph"/>
        <w:numPr>
          <w:ilvl w:val="0"/>
          <w:numId w:val="20"/>
        </w:numPr>
        <w:spacing w:before="240" w:line="247" w:lineRule="auto"/>
        <w:ind w:left="994" w:hanging="274"/>
        <w:contextualSpacing w:val="0"/>
        <w:rPr>
          <w:rFonts w:cs="Arial"/>
          <w:szCs w:val="24"/>
        </w:rPr>
      </w:pPr>
      <w:r>
        <w:rPr>
          <w:rFonts w:cs="Arial"/>
          <w:szCs w:val="24"/>
        </w:rPr>
        <w:t xml:space="preserve">Pet </w:t>
      </w:r>
      <w:r w:rsidRPr="000134FF">
        <w:rPr>
          <w:rFonts w:cs="Arial"/>
        </w:rPr>
        <w:t>Waste</w:t>
      </w:r>
      <w:r w:rsidR="006F148A">
        <w:rPr>
          <w:rFonts w:cs="Arial"/>
        </w:rPr>
        <w:t xml:space="preserve"> Pollution Prevention and Control</w:t>
      </w:r>
    </w:p>
    <w:p w:rsidRPr="00F363CF" w:rsidR="00F363CF" w:rsidP="00705EC0" w:rsidRDefault="006F148A" w14:paraId="39292DAD" w14:textId="5F944C2F">
      <w:pPr>
        <w:pStyle w:val="ListParagraph"/>
        <w:numPr>
          <w:ilvl w:val="1"/>
          <w:numId w:val="20"/>
        </w:numPr>
        <w:tabs>
          <w:tab w:val="left" w:pos="1350"/>
        </w:tabs>
        <w:spacing w:line="247" w:lineRule="auto"/>
        <w:ind w:left="1354" w:hanging="274"/>
        <w:contextualSpacing w:val="0"/>
        <w:rPr>
          <w:rFonts w:cs="Arial"/>
          <w:szCs w:val="24"/>
        </w:rPr>
      </w:pPr>
      <w:r>
        <w:rPr>
          <w:rFonts w:cs="Arial"/>
        </w:rPr>
        <w:t xml:space="preserve">Requires permittees to maintain an inventory of sites in their jurisdiction that </w:t>
      </w:r>
      <w:r w:rsidRPr="00705EC0">
        <w:rPr>
          <w:rFonts w:cs="Arial"/>
          <w:szCs w:val="24"/>
        </w:rPr>
        <w:t>have</w:t>
      </w:r>
      <w:r>
        <w:rPr>
          <w:rFonts w:cs="Arial"/>
        </w:rPr>
        <w:t xml:space="preserve"> </w:t>
      </w:r>
      <w:r w:rsidR="00705EC0">
        <w:rPr>
          <w:rFonts w:cs="Arial"/>
        </w:rPr>
        <w:t>potential pet waste disposal issues (dog parks, trails, etc</w:t>
      </w:r>
      <w:r w:rsidR="008F461B">
        <w:rPr>
          <w:rFonts w:cs="Arial"/>
        </w:rPr>
        <w:t>.</w:t>
      </w:r>
      <w:r w:rsidR="00705EC0">
        <w:rPr>
          <w:rFonts w:cs="Arial"/>
        </w:rPr>
        <w:t xml:space="preserve">). </w:t>
      </w:r>
    </w:p>
    <w:p w:rsidRPr="00F363CF" w:rsidR="006F148A" w:rsidP="00705EC0" w:rsidRDefault="00705EC0" w14:paraId="16ABFEBE" w14:textId="76D7356A">
      <w:pPr>
        <w:pStyle w:val="ListParagraph"/>
        <w:numPr>
          <w:ilvl w:val="1"/>
          <w:numId w:val="20"/>
        </w:numPr>
        <w:tabs>
          <w:tab w:val="left" w:pos="1350"/>
        </w:tabs>
        <w:spacing w:line="247" w:lineRule="auto"/>
        <w:ind w:left="1354" w:hanging="274"/>
        <w:contextualSpacing w:val="0"/>
        <w:rPr>
          <w:rFonts w:cs="Arial"/>
          <w:szCs w:val="24"/>
        </w:rPr>
      </w:pPr>
      <w:r>
        <w:rPr>
          <w:rFonts w:cs="Arial"/>
        </w:rPr>
        <w:t xml:space="preserve">Permittees must conduct at least one site visit to determine which sites </w:t>
      </w:r>
      <w:r w:rsidR="00F363CF">
        <w:rPr>
          <w:rFonts w:cs="Arial"/>
        </w:rPr>
        <w:t>may need additional BMPs.</w:t>
      </w:r>
    </w:p>
    <w:p w:rsidR="00F363CF" w:rsidP="00705EC0" w:rsidRDefault="00F363CF" w14:paraId="13DDF83C" w14:textId="2CE27B56">
      <w:pPr>
        <w:pStyle w:val="ListParagraph"/>
        <w:numPr>
          <w:ilvl w:val="1"/>
          <w:numId w:val="20"/>
        </w:numPr>
        <w:tabs>
          <w:tab w:val="left" w:pos="1350"/>
        </w:tabs>
        <w:spacing w:line="247" w:lineRule="auto"/>
        <w:ind w:left="1354" w:hanging="274"/>
        <w:contextualSpacing w:val="0"/>
        <w:rPr>
          <w:rFonts w:cs="Arial"/>
          <w:szCs w:val="24"/>
        </w:rPr>
      </w:pPr>
      <w:r>
        <w:rPr>
          <w:rFonts w:cs="Arial"/>
        </w:rPr>
        <w:t>Requires permittees to add pet waste disposal topics to their public education and outreach.</w:t>
      </w:r>
    </w:p>
    <w:p w:rsidR="00C72021" w:rsidP="00D57416" w:rsidRDefault="00C72021" w14:paraId="0A38C315" w14:textId="281EA022">
      <w:pPr>
        <w:pStyle w:val="ListParagraph"/>
        <w:numPr>
          <w:ilvl w:val="0"/>
          <w:numId w:val="20"/>
        </w:numPr>
        <w:spacing w:before="240" w:line="247" w:lineRule="auto"/>
        <w:ind w:left="994" w:hanging="274"/>
        <w:contextualSpacing w:val="0"/>
        <w:rPr>
          <w:rFonts w:cs="Arial"/>
        </w:rPr>
      </w:pPr>
      <w:r>
        <w:rPr>
          <w:rFonts w:cs="Arial"/>
        </w:rPr>
        <w:t>Traditional Construction Program</w:t>
      </w:r>
    </w:p>
    <w:p w:rsidRPr="00C72021" w:rsidR="00C72021" w:rsidP="00622CEE" w:rsidRDefault="00622CEE" w14:paraId="127F13C7" w14:textId="4B076BC5">
      <w:pPr>
        <w:pStyle w:val="ListParagraph"/>
        <w:numPr>
          <w:ilvl w:val="1"/>
          <w:numId w:val="20"/>
        </w:numPr>
        <w:tabs>
          <w:tab w:val="left" w:pos="1350"/>
        </w:tabs>
        <w:spacing w:line="247" w:lineRule="auto"/>
        <w:ind w:left="1354" w:hanging="274"/>
        <w:contextualSpacing w:val="0"/>
        <w:rPr>
          <w:rFonts w:cs="Arial"/>
        </w:rPr>
      </w:pPr>
      <w:r>
        <w:rPr>
          <w:rFonts w:cs="Arial"/>
        </w:rPr>
        <w:t xml:space="preserve">Changes </w:t>
      </w:r>
      <w:r w:rsidRPr="00622CEE">
        <w:rPr>
          <w:rFonts w:cs="Arial"/>
          <w:szCs w:val="24"/>
        </w:rPr>
        <w:t>inspection</w:t>
      </w:r>
      <w:r>
        <w:rPr>
          <w:rFonts w:cs="Arial"/>
        </w:rPr>
        <w:t xml:space="preserve"> frequency</w:t>
      </w:r>
      <w:r w:rsidR="00E74A32">
        <w:rPr>
          <w:rFonts w:cs="Arial"/>
        </w:rPr>
        <w:t xml:space="preserve"> and sets minimum annual inspection for non-priority sites and </w:t>
      </w:r>
      <w:r w:rsidR="00E41E44">
        <w:rPr>
          <w:rFonts w:cs="Arial"/>
        </w:rPr>
        <w:t xml:space="preserve">a </w:t>
      </w:r>
      <w:r w:rsidR="00E74A32">
        <w:rPr>
          <w:rFonts w:cs="Arial"/>
        </w:rPr>
        <w:t>minimum</w:t>
      </w:r>
      <w:r w:rsidR="00E41E44">
        <w:rPr>
          <w:rFonts w:cs="Arial"/>
        </w:rPr>
        <w:t xml:space="preserve"> of</w:t>
      </w:r>
      <w:r w:rsidR="00E74A32">
        <w:rPr>
          <w:rFonts w:cs="Arial"/>
        </w:rPr>
        <w:t xml:space="preserve"> </w:t>
      </w:r>
      <w:r w:rsidR="00E41E44">
        <w:rPr>
          <w:rFonts w:cs="Arial"/>
        </w:rPr>
        <w:t>two annual inspections for priority sites (one before and one during the rainy season).</w:t>
      </w:r>
    </w:p>
    <w:p w:rsidRPr="00D57416" w:rsidR="008B2EDE" w:rsidP="00D57416" w:rsidRDefault="008B2EDE" w14:paraId="2616A352" w14:textId="3A207517">
      <w:pPr>
        <w:pStyle w:val="ListParagraph"/>
        <w:numPr>
          <w:ilvl w:val="0"/>
          <w:numId w:val="20"/>
        </w:numPr>
        <w:spacing w:before="240" w:line="247" w:lineRule="auto"/>
        <w:ind w:left="994" w:hanging="274"/>
        <w:contextualSpacing w:val="0"/>
        <w:rPr>
          <w:rFonts w:cs="Arial"/>
        </w:rPr>
      </w:pPr>
      <w:r w:rsidRPr="71F82D73">
        <w:rPr>
          <w:rFonts w:cs="Arial"/>
          <w:szCs w:val="24"/>
        </w:rPr>
        <w:t>.</w:t>
      </w:r>
      <w:r w:rsidRPr="00D57416" w:rsidR="00D57416">
        <w:rPr>
          <w:rFonts w:cs="Arial"/>
        </w:rPr>
        <w:t xml:space="preserve"> </w:t>
      </w:r>
      <w:r w:rsidR="00D57416">
        <w:rPr>
          <w:rFonts w:cs="Arial"/>
        </w:rPr>
        <w:t>Non-Traditional Construction Program</w:t>
      </w:r>
    </w:p>
    <w:p w:rsidR="008B2EDE" w:rsidP="007140E5" w:rsidRDefault="008B2EDE" w14:paraId="4D844D71" w14:textId="1E221479">
      <w:pPr>
        <w:pStyle w:val="ListParagraph"/>
        <w:numPr>
          <w:ilvl w:val="1"/>
          <w:numId w:val="20"/>
        </w:numPr>
        <w:tabs>
          <w:tab w:val="left" w:pos="1350"/>
        </w:tabs>
        <w:spacing w:line="247" w:lineRule="auto"/>
        <w:ind w:left="1354" w:hanging="274"/>
        <w:contextualSpacing w:val="0"/>
        <w:rPr>
          <w:rFonts w:cs="Arial"/>
          <w:szCs w:val="24"/>
        </w:rPr>
      </w:pPr>
      <w:r w:rsidRPr="15B06B29">
        <w:rPr>
          <w:rFonts w:cs="Arial"/>
          <w:szCs w:val="24"/>
        </w:rPr>
        <w:t>Requires Non-Traditional</w:t>
      </w:r>
      <w:r w:rsidR="000E1B01">
        <w:rPr>
          <w:rFonts w:cs="Arial"/>
          <w:szCs w:val="24"/>
        </w:rPr>
        <w:t xml:space="preserve"> Permittees </w:t>
      </w:r>
      <w:r w:rsidRPr="15B06B29">
        <w:rPr>
          <w:rFonts w:cs="Arial"/>
          <w:szCs w:val="24"/>
        </w:rPr>
        <w:t xml:space="preserve">to </w:t>
      </w:r>
      <w:r w:rsidR="00D83CE2">
        <w:rPr>
          <w:rFonts w:cs="Arial"/>
          <w:szCs w:val="24"/>
        </w:rPr>
        <w:t>create policies</w:t>
      </w:r>
      <w:r w:rsidR="00DD5BD7">
        <w:rPr>
          <w:rFonts w:cs="Arial"/>
          <w:szCs w:val="24"/>
        </w:rPr>
        <w:t xml:space="preserve"> and procedures for</w:t>
      </w:r>
      <w:r w:rsidRPr="15B06B29">
        <w:rPr>
          <w:rFonts w:cs="Arial"/>
          <w:szCs w:val="24"/>
        </w:rPr>
        <w:t xml:space="preserve"> </w:t>
      </w:r>
      <w:r w:rsidR="00DD5BD7">
        <w:rPr>
          <w:rFonts w:cs="Arial"/>
          <w:szCs w:val="24"/>
        </w:rPr>
        <w:t>erosion and sediment</w:t>
      </w:r>
      <w:r w:rsidRPr="15B06B29">
        <w:rPr>
          <w:rFonts w:cs="Arial"/>
          <w:szCs w:val="24"/>
        </w:rPr>
        <w:t xml:space="preserve"> controls for small construction projects of less than 1 acre</w:t>
      </w:r>
      <w:r w:rsidR="00DD5BD7">
        <w:rPr>
          <w:rFonts w:cs="Arial"/>
          <w:szCs w:val="24"/>
        </w:rPr>
        <w:t xml:space="preserve"> (projects no</w:t>
      </w:r>
      <w:r w:rsidR="00580C7C">
        <w:rPr>
          <w:rFonts w:cs="Arial"/>
          <w:szCs w:val="24"/>
        </w:rPr>
        <w:t>t</w:t>
      </w:r>
      <w:r w:rsidR="00DD5BD7">
        <w:rPr>
          <w:rFonts w:cs="Arial"/>
          <w:szCs w:val="24"/>
        </w:rPr>
        <w:t xml:space="preserve"> subject to the </w:t>
      </w:r>
      <w:r w:rsidR="007A3B1B">
        <w:rPr>
          <w:rFonts w:cs="Arial"/>
          <w:szCs w:val="24"/>
        </w:rPr>
        <w:t xml:space="preserve">Statewide Stormwater </w:t>
      </w:r>
      <w:r w:rsidR="00DD5BD7">
        <w:rPr>
          <w:rFonts w:cs="Arial"/>
          <w:szCs w:val="24"/>
        </w:rPr>
        <w:t>C</w:t>
      </w:r>
      <w:r w:rsidR="007A3B1B">
        <w:rPr>
          <w:rFonts w:cs="Arial"/>
          <w:szCs w:val="24"/>
        </w:rPr>
        <w:t xml:space="preserve">onstruction </w:t>
      </w:r>
      <w:r w:rsidR="00DD5BD7">
        <w:rPr>
          <w:rFonts w:cs="Arial"/>
          <w:szCs w:val="24"/>
        </w:rPr>
        <w:t>G</w:t>
      </w:r>
      <w:r w:rsidR="007A3B1B">
        <w:rPr>
          <w:rFonts w:cs="Arial"/>
          <w:szCs w:val="24"/>
        </w:rPr>
        <w:t xml:space="preserve">eneral </w:t>
      </w:r>
      <w:r w:rsidR="00DD5BD7">
        <w:rPr>
          <w:rFonts w:cs="Arial"/>
          <w:szCs w:val="24"/>
        </w:rPr>
        <w:t>P</w:t>
      </w:r>
      <w:r w:rsidR="007A3B1B">
        <w:rPr>
          <w:rFonts w:cs="Arial"/>
          <w:szCs w:val="24"/>
        </w:rPr>
        <w:t>ermit</w:t>
      </w:r>
      <w:r w:rsidR="00DD5BD7">
        <w:rPr>
          <w:rFonts w:cs="Arial"/>
          <w:szCs w:val="24"/>
        </w:rPr>
        <w:t>)</w:t>
      </w:r>
      <w:r w:rsidRPr="15B06B29">
        <w:rPr>
          <w:rFonts w:cs="Arial"/>
          <w:szCs w:val="24"/>
        </w:rPr>
        <w:t>.</w:t>
      </w:r>
    </w:p>
    <w:p w:rsidRPr="009C7722" w:rsidR="00027A41" w:rsidP="009C7722" w:rsidRDefault="009C7722" w14:paraId="2B8D4932" w14:textId="4EDFAFAA">
      <w:pPr>
        <w:pStyle w:val="ListParagraph"/>
        <w:numPr>
          <w:ilvl w:val="0"/>
          <w:numId w:val="20"/>
        </w:numPr>
        <w:spacing w:before="240" w:line="247" w:lineRule="auto"/>
        <w:ind w:left="994" w:hanging="274"/>
        <w:contextualSpacing w:val="0"/>
        <w:rPr>
          <w:rFonts w:cs="Arial"/>
          <w:szCs w:val="24"/>
        </w:rPr>
      </w:pPr>
      <w:r w:rsidRPr="009C7722">
        <w:rPr>
          <w:rFonts w:cs="Arial"/>
        </w:rPr>
        <w:t>Snow Removal and Traction Application Operations Pollution Prevention and Control</w:t>
      </w:r>
    </w:p>
    <w:p w:rsidR="009C7722" w:rsidP="009C7722" w:rsidRDefault="009C7722" w14:paraId="51693E37" w14:textId="4BC75BFA">
      <w:pPr>
        <w:pStyle w:val="ListParagraph"/>
        <w:numPr>
          <w:ilvl w:val="1"/>
          <w:numId w:val="20"/>
        </w:numPr>
        <w:tabs>
          <w:tab w:val="left" w:pos="1350"/>
        </w:tabs>
        <w:spacing w:line="247" w:lineRule="auto"/>
        <w:ind w:left="1354" w:hanging="274"/>
        <w:contextualSpacing w:val="0"/>
        <w:rPr>
          <w:rFonts w:cs="Arial"/>
          <w:szCs w:val="24"/>
        </w:rPr>
      </w:pPr>
      <w:r w:rsidRPr="15B06B29">
        <w:rPr>
          <w:rFonts w:cs="Arial"/>
          <w:szCs w:val="24"/>
        </w:rPr>
        <w:t xml:space="preserve">Requires </w:t>
      </w:r>
      <w:r w:rsidR="00DB6092">
        <w:rPr>
          <w:rFonts w:cs="Arial"/>
          <w:szCs w:val="24"/>
        </w:rPr>
        <w:t xml:space="preserve">permittees that conduct snow removal operations to </w:t>
      </w:r>
      <w:r w:rsidR="009D3435">
        <w:rPr>
          <w:rFonts w:cs="Arial"/>
          <w:szCs w:val="24"/>
        </w:rPr>
        <w:t xml:space="preserve">implement BMPs to ensure that snow </w:t>
      </w:r>
      <w:r w:rsidR="00665E4E">
        <w:rPr>
          <w:rFonts w:cs="Arial"/>
          <w:szCs w:val="24"/>
        </w:rPr>
        <w:t xml:space="preserve">removal, snow storage, street sweeping, and traction application </w:t>
      </w:r>
      <w:r w:rsidR="00C72021">
        <w:rPr>
          <w:rFonts w:cs="Arial"/>
          <w:szCs w:val="24"/>
        </w:rPr>
        <w:t>don’t contribute pollution to water bodies.</w:t>
      </w:r>
    </w:p>
    <w:p w:rsidRPr="009C7722" w:rsidR="00D924AF" w:rsidP="009C7722" w:rsidRDefault="008C2B8E" w14:paraId="5781AEE7" w14:textId="73819439">
      <w:pPr>
        <w:pStyle w:val="ListParagraph"/>
        <w:numPr>
          <w:ilvl w:val="1"/>
          <w:numId w:val="20"/>
        </w:numPr>
        <w:tabs>
          <w:tab w:val="left" w:pos="1350"/>
        </w:tabs>
        <w:spacing w:line="247" w:lineRule="auto"/>
        <w:ind w:left="1354" w:hanging="274"/>
        <w:contextualSpacing w:val="0"/>
        <w:rPr>
          <w:rFonts w:cs="Arial"/>
          <w:szCs w:val="24"/>
        </w:rPr>
      </w:pPr>
      <w:r>
        <w:rPr>
          <w:rFonts w:cs="Arial"/>
          <w:szCs w:val="24"/>
        </w:rPr>
        <w:t>Adds r</w:t>
      </w:r>
      <w:r w:rsidR="00D924AF">
        <w:rPr>
          <w:rFonts w:cs="Arial"/>
          <w:szCs w:val="24"/>
        </w:rPr>
        <w:t xml:space="preserve">equirements based on </w:t>
      </w:r>
      <w:r w:rsidR="00AE7753">
        <w:rPr>
          <w:rFonts w:cs="Arial"/>
          <w:szCs w:val="24"/>
        </w:rPr>
        <w:t>Tahoe Regional Planning Agency</w:t>
      </w:r>
      <w:r w:rsidR="004F4BA5">
        <w:rPr>
          <w:rFonts w:cs="Arial"/>
          <w:szCs w:val="24"/>
        </w:rPr>
        <w:t xml:space="preserve"> BMP Handbook</w:t>
      </w:r>
      <w:r w:rsidR="00CC03E9">
        <w:rPr>
          <w:rStyle w:val="FootnoteReference"/>
          <w:rFonts w:cs="Arial"/>
          <w:szCs w:val="24"/>
        </w:rPr>
        <w:footnoteReference w:id="5"/>
      </w:r>
      <w:r w:rsidR="004F4BA5">
        <w:rPr>
          <w:rFonts w:cs="Arial"/>
          <w:szCs w:val="24"/>
        </w:rPr>
        <w:t xml:space="preserve"> </w:t>
      </w:r>
      <w:r w:rsidR="00AE7753">
        <w:rPr>
          <w:rFonts w:cs="Arial"/>
          <w:szCs w:val="24"/>
        </w:rPr>
        <w:t xml:space="preserve">with some street sweeping requirements from the Caltrans </w:t>
      </w:r>
      <w:r w:rsidR="00E1328B">
        <w:rPr>
          <w:rFonts w:cs="Arial"/>
          <w:szCs w:val="24"/>
        </w:rPr>
        <w:t>Construction Site BMP Manual</w:t>
      </w:r>
      <w:r w:rsidR="00E1328B">
        <w:rPr>
          <w:rStyle w:val="FootnoteReference"/>
          <w:rFonts w:cs="Arial"/>
          <w:szCs w:val="24"/>
        </w:rPr>
        <w:footnoteReference w:id="6"/>
      </w:r>
      <w:r w:rsidR="00E1328B">
        <w:rPr>
          <w:rFonts w:cs="Arial"/>
          <w:szCs w:val="24"/>
        </w:rPr>
        <w:t>.</w:t>
      </w:r>
      <w:r w:rsidR="004F4BA5">
        <w:rPr>
          <w:rFonts w:cs="Arial"/>
          <w:szCs w:val="24"/>
        </w:rPr>
        <w:t xml:space="preserve"> </w:t>
      </w:r>
    </w:p>
    <w:p w:rsidRPr="00013FE6" w:rsidR="00013FE6" w:rsidP="007140E5" w:rsidRDefault="00013FE6" w14:paraId="7A33C924" w14:textId="7149BF9B">
      <w:pPr>
        <w:pStyle w:val="ListParagraph"/>
        <w:numPr>
          <w:ilvl w:val="0"/>
          <w:numId w:val="20"/>
        </w:numPr>
        <w:spacing w:before="240" w:line="247" w:lineRule="auto"/>
        <w:ind w:left="994" w:hanging="274"/>
        <w:contextualSpacing w:val="0"/>
        <w:rPr>
          <w:rFonts w:cs="Arial"/>
        </w:rPr>
      </w:pPr>
      <w:r w:rsidRPr="00013FE6">
        <w:rPr>
          <w:rFonts w:cs="Arial"/>
        </w:rPr>
        <w:t>Monitoring – Receiving Water and Special Studies</w:t>
      </w:r>
    </w:p>
    <w:p w:rsidRPr="00013FE6" w:rsidR="00013FE6" w:rsidP="00013FE6" w:rsidRDefault="00CC1448" w14:paraId="487B2191" w14:textId="3446FBB9">
      <w:pPr>
        <w:pStyle w:val="ListParagraph"/>
        <w:numPr>
          <w:ilvl w:val="1"/>
          <w:numId w:val="20"/>
        </w:numPr>
        <w:tabs>
          <w:tab w:val="left" w:pos="1350"/>
        </w:tabs>
        <w:spacing w:line="247" w:lineRule="auto"/>
        <w:ind w:left="1354" w:hanging="274"/>
        <w:contextualSpacing w:val="0"/>
      </w:pPr>
      <w:r>
        <w:t xml:space="preserve">Removes </w:t>
      </w:r>
      <w:r w:rsidR="00E52819">
        <w:t xml:space="preserve">general </w:t>
      </w:r>
      <w:r>
        <w:t xml:space="preserve">receiving water and special studies monitoring. </w:t>
      </w:r>
      <w:r w:rsidRPr="00013FE6" w:rsidR="00013FE6">
        <w:t>This applied to a small number of permittees and was not found to be providing conclusive, actionable information. Removal of these monitoring requirements will allow those permittees to focus on other aspects of their program.</w:t>
      </w:r>
    </w:p>
    <w:p w:rsidRPr="006308C7" w:rsidR="00300A25" w:rsidP="007140E5" w:rsidRDefault="002801E2" w14:paraId="6C7ADF7D" w14:textId="5DED787A">
      <w:pPr>
        <w:pStyle w:val="ListParagraph"/>
        <w:numPr>
          <w:ilvl w:val="0"/>
          <w:numId w:val="20"/>
        </w:numPr>
        <w:spacing w:before="240" w:line="247" w:lineRule="auto"/>
        <w:ind w:left="994" w:hanging="274"/>
        <w:contextualSpacing w:val="0"/>
        <w:rPr>
          <w:rFonts w:cs="Arial"/>
        </w:rPr>
      </w:pPr>
      <w:r w:rsidRPr="006308C7">
        <w:rPr>
          <w:rFonts w:cs="Arial"/>
        </w:rPr>
        <w:t>Compliance</w:t>
      </w:r>
      <w:r w:rsidR="00584EE9">
        <w:rPr>
          <w:rFonts w:cs="Arial"/>
        </w:rPr>
        <w:t xml:space="preserve"> Options</w:t>
      </w:r>
      <w:r w:rsidRPr="006308C7">
        <w:rPr>
          <w:rFonts w:cs="Arial"/>
        </w:rPr>
        <w:t xml:space="preserve"> </w:t>
      </w:r>
      <w:r w:rsidRPr="006308C7" w:rsidR="00D95ACF">
        <w:rPr>
          <w:rFonts w:cs="Arial"/>
        </w:rPr>
        <w:t xml:space="preserve">– </w:t>
      </w:r>
      <w:r w:rsidRPr="006308C7" w:rsidR="0054256A">
        <w:rPr>
          <w:rFonts w:cs="Arial"/>
        </w:rPr>
        <w:t>Stormwater Capture</w:t>
      </w:r>
    </w:p>
    <w:p w:rsidRPr="00E97204" w:rsidR="00EA3E44" w:rsidP="00E8254E" w:rsidRDefault="00FC6388" w14:paraId="5D97AB0F" w14:textId="4D204817">
      <w:pPr>
        <w:pStyle w:val="ListParagraph"/>
        <w:numPr>
          <w:ilvl w:val="1"/>
          <w:numId w:val="27"/>
        </w:numPr>
        <w:tabs>
          <w:tab w:val="left" w:pos="720"/>
        </w:tabs>
        <w:spacing w:line="247" w:lineRule="auto"/>
        <w:contextualSpacing w:val="0"/>
        <w:rPr>
          <w:rFonts w:cs="Arial"/>
          <w:szCs w:val="24"/>
        </w:rPr>
      </w:pPr>
      <w:r>
        <w:rPr>
          <w:rFonts w:cs="Arial"/>
          <w:szCs w:val="24"/>
        </w:rPr>
        <w:t>Adds i</w:t>
      </w:r>
      <w:r w:rsidRPr="035C2EFC" w:rsidR="00EA3E44">
        <w:rPr>
          <w:rFonts w:cs="Arial"/>
          <w:szCs w:val="24"/>
        </w:rPr>
        <w:t>ncentiv</w:t>
      </w:r>
      <w:r w:rsidR="00B8335E">
        <w:rPr>
          <w:rFonts w:cs="Arial"/>
          <w:szCs w:val="24"/>
        </w:rPr>
        <w:t xml:space="preserve">es for </w:t>
      </w:r>
      <w:r w:rsidRPr="035C2EFC" w:rsidR="00EA3E44">
        <w:rPr>
          <w:rFonts w:cs="Arial"/>
          <w:szCs w:val="24"/>
        </w:rPr>
        <w:t>stormwater capture and use projects.</w:t>
      </w:r>
    </w:p>
    <w:p w:rsidR="00EA3E44" w:rsidP="00E8254E" w:rsidRDefault="00EA3E44" w14:paraId="1E8A597C" w14:textId="77777777">
      <w:pPr>
        <w:pStyle w:val="ListParagraph"/>
        <w:numPr>
          <w:ilvl w:val="1"/>
          <w:numId w:val="27"/>
        </w:numPr>
        <w:tabs>
          <w:tab w:val="left" w:pos="720"/>
        </w:tabs>
        <w:spacing w:line="247" w:lineRule="auto"/>
        <w:contextualSpacing w:val="0"/>
        <w:rPr>
          <w:rFonts w:cs="Arial"/>
          <w:szCs w:val="24"/>
        </w:rPr>
      </w:pPr>
      <w:r w:rsidRPr="009C59F1">
        <w:rPr>
          <w:rFonts w:cs="Arial"/>
          <w:szCs w:val="24"/>
        </w:rPr>
        <w:t xml:space="preserve">Provides new </w:t>
      </w:r>
      <w:r>
        <w:rPr>
          <w:rFonts w:cs="Arial"/>
          <w:szCs w:val="24"/>
        </w:rPr>
        <w:t xml:space="preserve">on-site and offsite </w:t>
      </w:r>
      <w:r w:rsidRPr="009C59F1">
        <w:rPr>
          <w:rFonts w:cs="Arial"/>
          <w:szCs w:val="24"/>
        </w:rPr>
        <w:t xml:space="preserve">options </w:t>
      </w:r>
      <w:r>
        <w:rPr>
          <w:rFonts w:cs="Arial"/>
          <w:szCs w:val="24"/>
        </w:rPr>
        <w:t>to promote individual or group projects.</w:t>
      </w:r>
    </w:p>
    <w:p w:rsidRPr="00C3026A" w:rsidR="00EA3E44" w:rsidP="00E8254E" w:rsidRDefault="00EA3E44" w14:paraId="3C97A744" w14:textId="77777777">
      <w:pPr>
        <w:pStyle w:val="ListParagraph"/>
        <w:numPr>
          <w:ilvl w:val="1"/>
          <w:numId w:val="27"/>
        </w:numPr>
        <w:tabs>
          <w:tab w:val="left" w:pos="720"/>
        </w:tabs>
        <w:spacing w:line="247" w:lineRule="auto"/>
        <w:contextualSpacing w:val="0"/>
        <w:rPr>
          <w:rFonts w:cs="Arial"/>
          <w:szCs w:val="24"/>
        </w:rPr>
      </w:pPr>
      <w:r w:rsidRPr="00C3026A">
        <w:rPr>
          <w:rFonts w:cs="Arial"/>
          <w:szCs w:val="24"/>
        </w:rPr>
        <w:t xml:space="preserve">Off-site option allows for collaboration on larger projects from the local to regional scale. </w:t>
      </w:r>
    </w:p>
    <w:p w:rsidR="00EA3E44" w:rsidP="00E8254E" w:rsidRDefault="00EA3E44" w14:paraId="20F89E8B" w14:textId="77777777">
      <w:pPr>
        <w:pStyle w:val="ListParagraph"/>
        <w:numPr>
          <w:ilvl w:val="1"/>
          <w:numId w:val="27"/>
        </w:numPr>
        <w:tabs>
          <w:tab w:val="left" w:pos="720"/>
        </w:tabs>
        <w:spacing w:line="247" w:lineRule="auto"/>
        <w:contextualSpacing w:val="0"/>
        <w:rPr>
          <w:rFonts w:cs="Arial"/>
          <w:szCs w:val="24"/>
        </w:rPr>
      </w:pPr>
      <w:r w:rsidRPr="009C59F1">
        <w:rPr>
          <w:rFonts w:cs="Arial"/>
          <w:szCs w:val="24"/>
        </w:rPr>
        <w:t>Permittees participating in one of the proposed compliance options will be deemed in compliance with multiple permit requirements, including those related to TMDL implementation (as applicable).</w:t>
      </w:r>
    </w:p>
    <w:p w:rsidR="00D81310" w:rsidP="001A1BAA" w:rsidRDefault="000F6B50" w14:paraId="06CF41FD" w14:textId="25E4FAFD">
      <w:pPr>
        <w:pStyle w:val="Heading2"/>
      </w:pPr>
      <w:bookmarkStart w:name="_Toc14431633" w:id="16"/>
      <w:bookmarkStart w:name="_Toc14431698" w:id="17"/>
      <w:bookmarkStart w:name="_Toc51173170" w:id="18"/>
      <w:bookmarkStart w:name="_Toc74912532" w:id="19"/>
      <w:bookmarkStart w:name="_Toc226536084" w:id="20"/>
      <w:bookmarkEnd w:id="16"/>
      <w:bookmarkEnd w:id="17"/>
      <w:r>
        <w:t>A</w:t>
      </w:r>
      <w:r w:rsidR="00121E14">
        <w:t>7</w:t>
      </w:r>
      <w:r w:rsidRPr="0099303F" w:rsidR="00AB4EBD">
        <w:tab/>
      </w:r>
      <w:r w:rsidR="002258BE">
        <w:t>LEGAL AUTHORI</w:t>
      </w:r>
      <w:r w:rsidR="00C55180">
        <w:t>TIES</w:t>
      </w:r>
      <w:r w:rsidR="00BE6A4B">
        <w:t xml:space="preserve">, </w:t>
      </w:r>
      <w:r w:rsidRPr="0099303F" w:rsidR="00640D61">
        <w:t>A</w:t>
      </w:r>
      <w:r w:rsidRPr="0099303F" w:rsidR="0047302B">
        <w:t xml:space="preserve">PPLICABLE PLANS, POLICIES, </w:t>
      </w:r>
      <w:r w:rsidRPr="0099303F" w:rsidR="00FB72BE">
        <w:t>REGULATIONS</w:t>
      </w:r>
      <w:bookmarkEnd w:id="18"/>
      <w:bookmarkEnd w:id="19"/>
      <w:bookmarkEnd w:id="20"/>
    </w:p>
    <w:p w:rsidRPr="00EA4FF3" w:rsidR="00D81310" w:rsidP="002215C6" w:rsidRDefault="000F6B50" w14:paraId="26636D72" w14:textId="70A03893">
      <w:pPr>
        <w:pStyle w:val="Heading3"/>
      </w:pPr>
      <w:bookmarkStart w:name="_Toc51173171" w:id="21"/>
      <w:bookmarkStart w:name="_Toc74912533" w:id="22"/>
      <w:r>
        <w:t>A</w:t>
      </w:r>
      <w:r w:rsidR="00121E14">
        <w:t>7</w:t>
      </w:r>
      <w:r w:rsidRPr="00551260" w:rsidR="00062A5F">
        <w:t>.1</w:t>
      </w:r>
      <w:r w:rsidRPr="00551260" w:rsidR="00AB4EBD">
        <w:tab/>
      </w:r>
      <w:r w:rsidRPr="00551260" w:rsidR="00D81310">
        <w:t>Legal Authorities</w:t>
      </w:r>
      <w:bookmarkEnd w:id="21"/>
      <w:bookmarkEnd w:id="22"/>
    </w:p>
    <w:p w:rsidRPr="0099303F" w:rsidR="00D81310" w:rsidP="0083331F" w:rsidRDefault="00566798" w14:paraId="008E9B5B" w14:textId="336AD623">
      <w:pPr>
        <w:snapToGrid w:val="0"/>
        <w:ind w:left="720"/>
        <w:rPr>
          <w:rFonts w:cs="Arial"/>
        </w:rPr>
      </w:pPr>
      <w:r w:rsidRPr="0099303F">
        <w:rPr>
          <w:rFonts w:cs="Arial"/>
        </w:rPr>
        <w:t xml:space="preserve">This Order serves as </w:t>
      </w:r>
      <w:r w:rsidRPr="0099303F" w:rsidR="00A1436E">
        <w:rPr>
          <w:rFonts w:cs="Arial"/>
        </w:rPr>
        <w:t>w</w:t>
      </w:r>
      <w:r w:rsidRPr="0099303F" w:rsidR="00E535CC">
        <w:rPr>
          <w:rFonts w:cs="Arial"/>
        </w:rPr>
        <w:t xml:space="preserve">aste </w:t>
      </w:r>
      <w:r w:rsidRPr="0099303F" w:rsidR="00A1436E">
        <w:rPr>
          <w:rFonts w:cs="Arial"/>
        </w:rPr>
        <w:t>d</w:t>
      </w:r>
      <w:r w:rsidRPr="0099303F" w:rsidR="00E535CC">
        <w:rPr>
          <w:rFonts w:cs="Arial"/>
        </w:rPr>
        <w:t xml:space="preserve">ischarge </w:t>
      </w:r>
      <w:r w:rsidRPr="0099303F" w:rsidR="00A1436E">
        <w:rPr>
          <w:rFonts w:cs="Arial"/>
        </w:rPr>
        <w:t>r</w:t>
      </w:r>
      <w:r w:rsidRPr="0099303F" w:rsidR="00E535CC">
        <w:rPr>
          <w:rFonts w:cs="Arial"/>
        </w:rPr>
        <w:t>equirement</w:t>
      </w:r>
      <w:r w:rsidRPr="0099303F">
        <w:rPr>
          <w:rFonts w:cs="Arial"/>
        </w:rPr>
        <w:t xml:space="preserve">s pursuant to California Water Code </w:t>
      </w:r>
      <w:r w:rsidRPr="00A93481">
        <w:rPr>
          <w:rFonts w:cs="Arial"/>
        </w:rPr>
        <w:t>division 7</w:t>
      </w:r>
      <w:r w:rsidRPr="00887F16" w:rsidR="006002B1">
        <w:rPr>
          <w:rFonts w:cs="Arial"/>
        </w:rPr>
        <w:t xml:space="preserve">, chapter 4, </w:t>
      </w:r>
      <w:r w:rsidRPr="00887F16">
        <w:rPr>
          <w:rFonts w:cs="Arial"/>
        </w:rPr>
        <w:t>(</w:t>
      </w:r>
      <w:r w:rsidRPr="0099303F">
        <w:rPr>
          <w:rFonts w:cs="Arial"/>
        </w:rPr>
        <w:t xml:space="preserve">commencing with </w:t>
      </w:r>
      <w:r w:rsidR="00E67F9F">
        <w:rPr>
          <w:rFonts w:cs="Arial"/>
        </w:rPr>
        <w:t>§</w:t>
      </w:r>
      <w:r w:rsidRPr="0099303F">
        <w:rPr>
          <w:rFonts w:cs="Arial"/>
        </w:rPr>
        <w:t>13260)</w:t>
      </w:r>
      <w:r w:rsidRPr="0099303F" w:rsidR="00ED2041">
        <w:rPr>
          <w:rFonts w:cs="Arial"/>
        </w:rPr>
        <w:t xml:space="preserve"> for discharges to waters of the State</w:t>
      </w:r>
      <w:r w:rsidRPr="0099303F">
        <w:rPr>
          <w:rFonts w:cs="Arial"/>
        </w:rPr>
        <w:t>. This Order is also issued pursuant to Clean</w:t>
      </w:r>
      <w:r w:rsidR="000405A6">
        <w:rPr>
          <w:rFonts w:cs="Arial"/>
        </w:rPr>
        <w:t xml:space="preserve"> </w:t>
      </w:r>
      <w:r w:rsidRPr="0099303F">
        <w:rPr>
          <w:rFonts w:cs="Arial"/>
        </w:rPr>
        <w:t>Water</w:t>
      </w:r>
      <w:r w:rsidR="000405A6">
        <w:rPr>
          <w:rFonts w:cs="Arial"/>
        </w:rPr>
        <w:t xml:space="preserve"> </w:t>
      </w:r>
      <w:r w:rsidRPr="0099303F">
        <w:rPr>
          <w:rFonts w:cs="Arial"/>
        </w:rPr>
        <w:t>Act</w:t>
      </w:r>
      <w:r w:rsidR="000405A6">
        <w:rPr>
          <w:rFonts w:cs="Arial"/>
        </w:rPr>
        <w:t xml:space="preserve"> </w:t>
      </w:r>
      <w:r w:rsidR="00E67F9F">
        <w:rPr>
          <w:rFonts w:cs="Arial"/>
        </w:rPr>
        <w:t>§</w:t>
      </w:r>
      <w:r w:rsidRPr="0099303F">
        <w:rPr>
          <w:rFonts w:cs="Arial"/>
        </w:rPr>
        <w:t xml:space="preserve">402 and implementing regulations adopted by </w:t>
      </w:r>
      <w:r w:rsidR="00766ACF">
        <w:rPr>
          <w:rFonts w:cs="Arial"/>
        </w:rPr>
        <w:t>USEPA</w:t>
      </w:r>
      <w:r w:rsidR="00C56C92">
        <w:rPr>
          <w:rFonts w:cs="Arial"/>
        </w:rPr>
        <w:t xml:space="preserve"> </w:t>
      </w:r>
      <w:r w:rsidRPr="0099303F">
        <w:rPr>
          <w:rFonts w:cs="Arial"/>
        </w:rPr>
        <w:t xml:space="preserve">and </w:t>
      </w:r>
      <w:r w:rsidR="00EA07FD">
        <w:rPr>
          <w:rFonts w:cs="Arial"/>
        </w:rPr>
        <w:t>California Water Code</w:t>
      </w:r>
      <w:r w:rsidR="00531FBC">
        <w:rPr>
          <w:rStyle w:val="FootnoteReference"/>
          <w:rFonts w:cs="Arial"/>
        </w:rPr>
        <w:footnoteReference w:id="7"/>
      </w:r>
      <w:r w:rsidR="00887F16">
        <w:rPr>
          <w:rFonts w:cs="Arial"/>
        </w:rPr>
        <w:t xml:space="preserve"> </w:t>
      </w:r>
      <w:r w:rsidRPr="00C9529C">
        <w:rPr>
          <w:rFonts w:cs="Arial"/>
        </w:rPr>
        <w:t xml:space="preserve">division </w:t>
      </w:r>
      <w:r w:rsidRPr="0099303F">
        <w:rPr>
          <w:rFonts w:cs="Arial"/>
        </w:rPr>
        <w:t>7</w:t>
      </w:r>
      <w:r w:rsidR="006002B1">
        <w:rPr>
          <w:rFonts w:cs="Arial"/>
        </w:rPr>
        <w:t xml:space="preserve">, </w:t>
      </w:r>
      <w:r w:rsidRPr="00887F16" w:rsidR="006002B1">
        <w:rPr>
          <w:rFonts w:cs="Arial"/>
        </w:rPr>
        <w:t>chapter 5.5,</w:t>
      </w:r>
      <w:r w:rsidRPr="0099303F">
        <w:rPr>
          <w:rFonts w:cs="Arial"/>
        </w:rPr>
        <w:t xml:space="preserve"> (commencing with </w:t>
      </w:r>
      <w:r w:rsidR="00E67F9F">
        <w:rPr>
          <w:rFonts w:cs="Arial"/>
        </w:rPr>
        <w:t>§</w:t>
      </w:r>
      <w:r w:rsidRPr="0099303F">
        <w:rPr>
          <w:rFonts w:cs="Arial"/>
        </w:rPr>
        <w:t>13370)</w:t>
      </w:r>
      <w:r w:rsidRPr="0099303F" w:rsidR="001C3050">
        <w:rPr>
          <w:rFonts w:cs="Arial"/>
        </w:rPr>
        <w:t xml:space="preserve"> for discharges to the waters of United States</w:t>
      </w:r>
      <w:r w:rsidRPr="0099303F">
        <w:rPr>
          <w:rFonts w:cs="Arial"/>
        </w:rPr>
        <w:t xml:space="preserve">. </w:t>
      </w:r>
      <w:r w:rsidRPr="0099303F" w:rsidR="00A1436E">
        <w:rPr>
          <w:rFonts w:cs="Arial"/>
        </w:rPr>
        <w:t>Therefore,</w:t>
      </w:r>
      <w:r w:rsidRPr="0099303F" w:rsidR="00996FDC">
        <w:rPr>
          <w:rFonts w:cs="Arial"/>
        </w:rPr>
        <w:t xml:space="preserve"> th</w:t>
      </w:r>
      <w:r w:rsidRPr="0099303F" w:rsidR="006B2DDF">
        <w:rPr>
          <w:rFonts w:cs="Arial"/>
        </w:rPr>
        <w:t xml:space="preserve">is Order </w:t>
      </w:r>
      <w:r w:rsidRPr="0099303F">
        <w:rPr>
          <w:rFonts w:cs="Arial"/>
        </w:rPr>
        <w:t>serve</w:t>
      </w:r>
      <w:r w:rsidRPr="0099303F" w:rsidR="006E442B">
        <w:rPr>
          <w:rFonts w:cs="Arial"/>
        </w:rPr>
        <w:t>s</w:t>
      </w:r>
      <w:r w:rsidRPr="0099303F">
        <w:rPr>
          <w:rFonts w:cs="Arial"/>
        </w:rPr>
        <w:t xml:space="preserve"> as an NPDES permit</w:t>
      </w:r>
      <w:r w:rsidRPr="0099303F" w:rsidR="006E442B">
        <w:rPr>
          <w:rFonts w:cs="Arial"/>
        </w:rPr>
        <w:t xml:space="preserve"> and </w:t>
      </w:r>
      <w:r w:rsidR="002C5F35">
        <w:rPr>
          <w:rFonts w:cs="Arial"/>
        </w:rPr>
        <w:t xml:space="preserve">as </w:t>
      </w:r>
      <w:r w:rsidRPr="0099303F" w:rsidR="00A1436E">
        <w:rPr>
          <w:rFonts w:cs="Arial"/>
        </w:rPr>
        <w:t>w</w:t>
      </w:r>
      <w:r w:rsidRPr="0099303F" w:rsidR="006E442B">
        <w:rPr>
          <w:rFonts w:cs="Arial"/>
        </w:rPr>
        <w:t xml:space="preserve">aste </w:t>
      </w:r>
      <w:r w:rsidRPr="0099303F" w:rsidR="00A1436E">
        <w:rPr>
          <w:rFonts w:cs="Arial"/>
        </w:rPr>
        <w:t>d</w:t>
      </w:r>
      <w:r w:rsidRPr="0099303F" w:rsidR="006E442B">
        <w:rPr>
          <w:rFonts w:cs="Arial"/>
        </w:rPr>
        <w:t xml:space="preserve">ischarge </w:t>
      </w:r>
      <w:r w:rsidRPr="0099303F" w:rsidR="00A1436E">
        <w:rPr>
          <w:rFonts w:cs="Arial"/>
        </w:rPr>
        <w:t>r</w:t>
      </w:r>
      <w:r w:rsidRPr="0099303F" w:rsidR="006E442B">
        <w:rPr>
          <w:rFonts w:cs="Arial"/>
        </w:rPr>
        <w:t>equirements</w:t>
      </w:r>
      <w:r w:rsidRPr="0099303F">
        <w:rPr>
          <w:rFonts w:cs="Arial"/>
        </w:rPr>
        <w:t xml:space="preserve"> for point source discharges to waters </w:t>
      </w:r>
      <w:r w:rsidRPr="0099303F" w:rsidR="00A943E4">
        <w:rPr>
          <w:rFonts w:cs="Arial"/>
        </w:rPr>
        <w:t xml:space="preserve">of </w:t>
      </w:r>
      <w:r w:rsidRPr="0099303F" w:rsidR="006B2DDF">
        <w:rPr>
          <w:rFonts w:cs="Arial"/>
        </w:rPr>
        <w:t xml:space="preserve">the </w:t>
      </w:r>
      <w:r w:rsidRPr="0099303F" w:rsidR="00A9423F">
        <w:rPr>
          <w:rFonts w:cs="Arial"/>
        </w:rPr>
        <w:t>State and water</w:t>
      </w:r>
      <w:r w:rsidRPr="0099303F" w:rsidR="00A943E4">
        <w:rPr>
          <w:rFonts w:cs="Arial"/>
        </w:rPr>
        <w:t>s</w:t>
      </w:r>
      <w:r w:rsidRPr="0099303F" w:rsidR="00A9423F">
        <w:rPr>
          <w:rFonts w:cs="Arial"/>
        </w:rPr>
        <w:t xml:space="preserve"> of </w:t>
      </w:r>
      <w:r w:rsidRPr="0099303F" w:rsidR="006B2DDF">
        <w:rPr>
          <w:rFonts w:cs="Arial"/>
        </w:rPr>
        <w:t>United States</w:t>
      </w:r>
      <w:r w:rsidRPr="0099303F">
        <w:rPr>
          <w:rFonts w:cs="Arial"/>
        </w:rPr>
        <w:t>.</w:t>
      </w:r>
    </w:p>
    <w:p w:rsidRPr="00551260" w:rsidR="00D81310" w:rsidP="002215C6" w:rsidRDefault="000F6B50" w14:paraId="16CB15CC" w14:textId="45ED1015">
      <w:pPr>
        <w:pStyle w:val="Heading3"/>
        <w:rPr>
          <w:i/>
          <w:iCs/>
        </w:rPr>
      </w:pPr>
      <w:bookmarkStart w:name="_Toc51173172" w:id="23"/>
      <w:bookmarkStart w:name="_Toc74912534" w:id="24"/>
      <w:r>
        <w:t>A</w:t>
      </w:r>
      <w:r w:rsidR="00121E14">
        <w:t>7</w:t>
      </w:r>
      <w:r w:rsidRPr="00551260" w:rsidR="00062A5F">
        <w:t>.2</w:t>
      </w:r>
      <w:r w:rsidRPr="00551260" w:rsidR="007B3370">
        <w:tab/>
      </w:r>
      <w:r w:rsidRPr="00551260" w:rsidR="00D81310">
        <w:t>California Environmental Quality Act</w:t>
      </w:r>
      <w:bookmarkEnd w:id="23"/>
      <w:bookmarkEnd w:id="24"/>
    </w:p>
    <w:p w:rsidRPr="0099303F" w:rsidR="00D81310" w:rsidP="0083331F" w:rsidRDefault="00A3004A" w14:paraId="543E1BE5" w14:textId="508F2D33">
      <w:pPr>
        <w:snapToGrid w:val="0"/>
        <w:ind w:left="720"/>
        <w:rPr>
          <w:rFonts w:cs="Arial"/>
        </w:rPr>
      </w:pPr>
      <w:r>
        <w:t>This action to adopt an NPDES permit is exempt from the provisions of</w:t>
      </w:r>
      <w:r w:rsidR="00646FF2">
        <w:t xml:space="preserve"> California Environmental Quality Act</w:t>
      </w:r>
      <w:r>
        <w:t xml:space="preserve"> </w:t>
      </w:r>
      <w:r w:rsidR="004050E3">
        <w:t>(</w:t>
      </w:r>
      <w:r>
        <w:t>CEQA</w:t>
      </w:r>
      <w:r w:rsidR="004050E3">
        <w:t>)</w:t>
      </w:r>
      <w:r w:rsidR="004A47DF">
        <w:t xml:space="preserve"> </w:t>
      </w:r>
      <w:r>
        <w:t xml:space="preserve">Public Resources Code </w:t>
      </w:r>
      <w:r w:rsidR="00E67F9F">
        <w:t>§</w:t>
      </w:r>
      <w:r>
        <w:t>21100, et seq. in accordance with</w:t>
      </w:r>
      <w:r w:rsidR="00C27DC0">
        <w:t xml:space="preserve"> California Water Code</w:t>
      </w:r>
      <w:r>
        <w:t xml:space="preserve"> </w:t>
      </w:r>
      <w:r w:rsidR="00E67F9F">
        <w:t>§</w:t>
      </w:r>
      <w:r>
        <w:t>13389</w:t>
      </w:r>
      <w:r w:rsidR="00C27DC0">
        <w:t>.</w:t>
      </w:r>
    </w:p>
    <w:p w:rsidR="00D81310" w:rsidP="002215C6" w:rsidRDefault="000F6B50" w14:paraId="1674DB9F" w14:textId="02DDCAC8">
      <w:pPr>
        <w:pStyle w:val="Heading3"/>
      </w:pPr>
      <w:bookmarkStart w:name="_Toc51173173" w:id="25"/>
      <w:bookmarkStart w:name="_Toc74912535" w:id="26"/>
      <w:r>
        <w:t>A</w:t>
      </w:r>
      <w:r w:rsidR="00121E14">
        <w:t>7</w:t>
      </w:r>
      <w:r w:rsidRPr="00551260" w:rsidR="00062A5F">
        <w:t>.3</w:t>
      </w:r>
      <w:r w:rsidRPr="00551260" w:rsidR="00D50F97">
        <w:tab/>
      </w:r>
      <w:r w:rsidR="00CA118E">
        <w:t xml:space="preserve">Federal and State </w:t>
      </w:r>
      <w:r w:rsidRPr="00551260" w:rsidR="00D81310">
        <w:t>Regulations, Policies</w:t>
      </w:r>
      <w:r w:rsidR="000377BB">
        <w:t>,</w:t>
      </w:r>
      <w:r w:rsidRPr="00551260" w:rsidR="00D81310">
        <w:t xml:space="preserve"> and Plans</w:t>
      </w:r>
      <w:bookmarkEnd w:id="25"/>
      <w:bookmarkEnd w:id="26"/>
    </w:p>
    <w:p w:rsidRPr="00B86A45" w:rsidR="0096354C" w:rsidP="003522DA" w:rsidRDefault="000F6B50" w14:paraId="50F68FCC" w14:textId="6DB328F2">
      <w:pPr>
        <w:pStyle w:val="Heading4"/>
        <w:tabs>
          <w:tab w:val="clear" w:pos="720"/>
          <w:tab w:val="left" w:pos="1080"/>
        </w:tabs>
        <w:ind w:left="1080" w:hanging="1080"/>
        <w:rPr>
          <w:b/>
          <w:bCs/>
          <w:i/>
          <w:iCs w:val="0"/>
        </w:rPr>
      </w:pPr>
      <w:bookmarkStart w:name="_Toc51173174" w:id="27"/>
      <w:r w:rsidRPr="00B86A45">
        <w:rPr>
          <w:b/>
          <w:bCs/>
          <w:i/>
          <w:iCs w:val="0"/>
        </w:rPr>
        <w:t>A</w:t>
      </w:r>
      <w:r w:rsidRPr="00B86A45" w:rsidR="00132FB1">
        <w:rPr>
          <w:b/>
          <w:bCs/>
          <w:i/>
          <w:iCs w:val="0"/>
        </w:rPr>
        <w:t>7</w:t>
      </w:r>
      <w:r w:rsidRPr="00B86A45" w:rsidR="00062A5F">
        <w:rPr>
          <w:b/>
          <w:bCs/>
          <w:i/>
          <w:iCs w:val="0"/>
        </w:rPr>
        <w:t>.3.1</w:t>
      </w:r>
      <w:r w:rsidRPr="00B86A45" w:rsidR="00465559">
        <w:rPr>
          <w:b/>
          <w:bCs/>
          <w:i/>
          <w:iCs w:val="0"/>
        </w:rPr>
        <w:tab/>
      </w:r>
      <w:r w:rsidRPr="00B86A45" w:rsidR="0096354C">
        <w:rPr>
          <w:b/>
          <w:bCs/>
          <w:i/>
          <w:iCs w:val="0"/>
        </w:rPr>
        <w:t>Antidegradation Policy</w:t>
      </w:r>
      <w:bookmarkEnd w:id="27"/>
    </w:p>
    <w:p w:rsidRPr="0099303F" w:rsidR="0096354C" w:rsidP="0083331F" w:rsidRDefault="009E2377" w14:paraId="10EBEE2B" w14:textId="38CD3C94">
      <w:pPr>
        <w:snapToGrid w:val="0"/>
        <w:ind w:left="1080"/>
        <w:rPr>
          <w:rFonts w:cs="Arial"/>
        </w:rPr>
      </w:pPr>
      <w:r w:rsidRPr="0099303F">
        <w:rPr>
          <w:rFonts w:cs="Arial"/>
        </w:rPr>
        <w:t>Federal regulation</w:t>
      </w:r>
      <w:r w:rsidR="007122AE">
        <w:rPr>
          <w:rFonts w:cs="Arial"/>
        </w:rPr>
        <w:t xml:space="preserve"> </w:t>
      </w:r>
      <w:r w:rsidRPr="0099303F">
        <w:rPr>
          <w:rFonts w:cs="Arial"/>
        </w:rPr>
        <w:t>40</w:t>
      </w:r>
      <w:r w:rsidR="000405A6">
        <w:rPr>
          <w:rFonts w:cs="Arial"/>
        </w:rPr>
        <w:t xml:space="preserve"> </w:t>
      </w:r>
      <w:r w:rsidRPr="0099303F" w:rsidDel="00C644B0" w:rsidR="00ED2736">
        <w:rPr>
          <w:rFonts w:cs="Arial"/>
        </w:rPr>
        <w:t>C.F.R.</w:t>
      </w:r>
      <w:r w:rsidR="000405A6">
        <w:rPr>
          <w:rFonts w:cs="Arial"/>
        </w:rPr>
        <w:t xml:space="preserve"> </w:t>
      </w:r>
      <w:r w:rsidR="00E67F9F">
        <w:rPr>
          <w:rFonts w:cs="Arial"/>
        </w:rPr>
        <w:t>§</w:t>
      </w:r>
      <w:r w:rsidRPr="0099303F">
        <w:rPr>
          <w:rFonts w:cs="Arial"/>
        </w:rPr>
        <w:t>131.12 require</w:t>
      </w:r>
      <w:r w:rsidR="00DD11A3">
        <w:rPr>
          <w:rFonts w:cs="Arial"/>
        </w:rPr>
        <w:t>s</w:t>
      </w:r>
      <w:r w:rsidRPr="0099303F">
        <w:rPr>
          <w:rFonts w:cs="Arial"/>
        </w:rPr>
        <w:t xml:space="preserve"> water quality standards </w:t>
      </w:r>
      <w:r w:rsidRPr="0099303F" w:rsidR="00DB0EEE">
        <w:rPr>
          <w:rFonts w:cs="Arial"/>
        </w:rPr>
        <w:t xml:space="preserve">to </w:t>
      </w:r>
      <w:r w:rsidRPr="0099303F">
        <w:rPr>
          <w:rFonts w:cs="Arial"/>
        </w:rPr>
        <w:t>include an antidegradation policy consistent with the federal policy. The State Water Board established California’s antidegradation policy through State</w:t>
      </w:r>
      <w:r w:rsidR="000405A6">
        <w:rPr>
          <w:rFonts w:cs="Arial"/>
        </w:rPr>
        <w:t xml:space="preserve"> </w:t>
      </w:r>
      <w:r w:rsidRPr="0099303F">
        <w:rPr>
          <w:rFonts w:cs="Arial"/>
        </w:rPr>
        <w:t>Water</w:t>
      </w:r>
      <w:r w:rsidR="000405A6">
        <w:rPr>
          <w:rFonts w:cs="Arial"/>
        </w:rPr>
        <w:t xml:space="preserve"> </w:t>
      </w:r>
      <w:r w:rsidRPr="0099303F">
        <w:rPr>
          <w:rFonts w:cs="Arial"/>
        </w:rPr>
        <w:t>Board</w:t>
      </w:r>
      <w:r w:rsidR="000405A6">
        <w:rPr>
          <w:rFonts w:cs="Arial"/>
        </w:rPr>
        <w:t xml:space="preserve"> </w:t>
      </w:r>
      <w:hyperlink w:history="1" r:id="rId16">
        <w:r w:rsidRPr="00F022C7">
          <w:rPr>
            <w:rStyle w:val="Hyperlink"/>
            <w:rFonts w:cs="Arial"/>
          </w:rPr>
          <w:t>Resolution</w:t>
        </w:r>
        <w:r w:rsidRPr="00F022C7" w:rsidR="000405A6">
          <w:rPr>
            <w:rStyle w:val="Hyperlink"/>
            <w:rFonts w:cs="Arial"/>
          </w:rPr>
          <w:t xml:space="preserve"> </w:t>
        </w:r>
        <w:r w:rsidRPr="00F022C7">
          <w:rPr>
            <w:rStyle w:val="Hyperlink"/>
            <w:rFonts w:cs="Arial"/>
          </w:rPr>
          <w:t>68</w:t>
        </w:r>
        <w:r w:rsidRPr="00F022C7" w:rsidR="00E82AC8">
          <w:rPr>
            <w:rStyle w:val="Hyperlink"/>
            <w:rFonts w:cs="Arial"/>
          </w:rPr>
          <w:noBreakHyphen/>
        </w:r>
        <w:r w:rsidRPr="00F022C7">
          <w:rPr>
            <w:rStyle w:val="Hyperlink"/>
            <w:rFonts w:cs="Arial"/>
          </w:rPr>
          <w:t>16</w:t>
        </w:r>
      </w:hyperlink>
      <w:r w:rsidRPr="0099303F">
        <w:rPr>
          <w:rFonts w:cs="Arial"/>
        </w:rPr>
        <w:t xml:space="preserve">, </w:t>
      </w:r>
      <w:r w:rsidRPr="042068D7">
        <w:rPr>
          <w:rFonts w:cs="Arial"/>
        </w:rPr>
        <w:t>Statement of Policy with Respect to Maintaining High Quality of Waters in California</w:t>
      </w:r>
      <w:r w:rsidRPr="0099303F">
        <w:rPr>
          <w:rFonts w:cs="Arial"/>
        </w:rPr>
        <w:t>,</w:t>
      </w:r>
      <w:r w:rsidRPr="0099303F" w:rsidR="00235A04">
        <w:rPr>
          <w:rFonts w:cs="Arial"/>
        </w:rPr>
        <w:t xml:space="preserve"> </w:t>
      </w:r>
      <w:r w:rsidRPr="0099303F">
        <w:rPr>
          <w:rFonts w:cs="Arial"/>
        </w:rPr>
        <w:t>which incorporate</w:t>
      </w:r>
      <w:r w:rsidRPr="0099303F" w:rsidR="00FC083F">
        <w:rPr>
          <w:rFonts w:cs="Arial"/>
        </w:rPr>
        <w:t>s</w:t>
      </w:r>
      <w:r w:rsidRPr="0099303F">
        <w:rPr>
          <w:rFonts w:cs="Arial"/>
        </w:rPr>
        <w:t xml:space="preserve"> the federal antidegradation policy where the federal policy applies under federal law. Resolution</w:t>
      </w:r>
      <w:r w:rsidR="000405A6">
        <w:rPr>
          <w:rFonts w:cs="Arial"/>
        </w:rPr>
        <w:t xml:space="preserve"> </w:t>
      </w:r>
      <w:r w:rsidRPr="0099303F">
        <w:rPr>
          <w:rFonts w:cs="Arial"/>
        </w:rPr>
        <w:t>68</w:t>
      </w:r>
      <w:r w:rsidR="00F94C0F">
        <w:rPr>
          <w:rFonts w:cs="Arial"/>
        </w:rPr>
        <w:t>-</w:t>
      </w:r>
      <w:r w:rsidRPr="0099303F">
        <w:rPr>
          <w:rFonts w:cs="Arial"/>
        </w:rPr>
        <w:t xml:space="preserve">16 requires that existing water quality be maintained unless degradation is justified based on specific findings. The </w:t>
      </w:r>
      <w:r w:rsidRPr="0099303F" w:rsidR="00451D40">
        <w:rPr>
          <w:rFonts w:cs="Arial"/>
        </w:rPr>
        <w:t>Water Quality Control</w:t>
      </w:r>
      <w:r w:rsidRPr="0099303F">
        <w:rPr>
          <w:rFonts w:cs="Arial"/>
        </w:rPr>
        <w:t xml:space="preserve"> Plan</w:t>
      </w:r>
      <w:r w:rsidRPr="0099303F" w:rsidR="00407F6F">
        <w:rPr>
          <w:rFonts w:cs="Arial"/>
        </w:rPr>
        <w:t>s</w:t>
      </w:r>
      <w:r w:rsidRPr="0099303F">
        <w:rPr>
          <w:rFonts w:cs="Arial"/>
        </w:rPr>
        <w:t xml:space="preserve"> implement, and incorporate by reference, both the State and federal antidegradation policies. Permitted discharges </w:t>
      </w:r>
      <w:r w:rsidRPr="0099303F" w:rsidR="0083186F">
        <w:rPr>
          <w:rFonts w:cs="Arial"/>
        </w:rPr>
        <w:t>shall</w:t>
      </w:r>
      <w:r w:rsidRPr="0099303F">
        <w:rPr>
          <w:rFonts w:cs="Arial"/>
        </w:rPr>
        <w:t xml:space="preserve"> be consistent with the antidegradation provisions of 40</w:t>
      </w:r>
      <w:r w:rsidR="00B7271E">
        <w:rPr>
          <w:rFonts w:cs="Arial"/>
        </w:rPr>
        <w:t xml:space="preserve"> </w:t>
      </w:r>
      <w:r w:rsidRPr="0099303F" w:rsidDel="00C644B0" w:rsidR="007B232F">
        <w:rPr>
          <w:rFonts w:cs="Arial"/>
        </w:rPr>
        <w:t>C.F.R.</w:t>
      </w:r>
      <w:r w:rsidR="000405A6">
        <w:rPr>
          <w:rFonts w:cs="Arial"/>
        </w:rPr>
        <w:t xml:space="preserve"> </w:t>
      </w:r>
      <w:r w:rsidR="00E67F9F">
        <w:rPr>
          <w:rFonts w:cs="Arial"/>
        </w:rPr>
        <w:t>§</w:t>
      </w:r>
      <w:r w:rsidRPr="0099303F">
        <w:rPr>
          <w:rFonts w:cs="Arial"/>
        </w:rPr>
        <w:t>131.12 and State</w:t>
      </w:r>
      <w:r w:rsidR="000405A6">
        <w:rPr>
          <w:rFonts w:cs="Arial"/>
        </w:rPr>
        <w:t xml:space="preserve"> </w:t>
      </w:r>
      <w:r w:rsidRPr="0099303F">
        <w:rPr>
          <w:rFonts w:cs="Arial"/>
        </w:rPr>
        <w:t>Water</w:t>
      </w:r>
      <w:r w:rsidR="000405A6">
        <w:rPr>
          <w:rFonts w:cs="Arial"/>
        </w:rPr>
        <w:t xml:space="preserve"> </w:t>
      </w:r>
      <w:r w:rsidRPr="0099303F">
        <w:rPr>
          <w:rFonts w:cs="Arial"/>
        </w:rPr>
        <w:t>Board</w:t>
      </w:r>
      <w:r w:rsidR="000405A6">
        <w:rPr>
          <w:rFonts w:cs="Arial"/>
        </w:rPr>
        <w:t xml:space="preserve"> </w:t>
      </w:r>
      <w:r w:rsidRPr="0099303F">
        <w:rPr>
          <w:rFonts w:cs="Arial"/>
        </w:rPr>
        <w:t>Resolution</w:t>
      </w:r>
      <w:r w:rsidR="000405A6">
        <w:rPr>
          <w:rFonts w:cs="Arial"/>
        </w:rPr>
        <w:t xml:space="preserve"> </w:t>
      </w:r>
      <w:r w:rsidRPr="0099303F">
        <w:rPr>
          <w:rFonts w:cs="Arial"/>
        </w:rPr>
        <w:t>68</w:t>
      </w:r>
      <w:r w:rsidR="00313A22">
        <w:rPr>
          <w:rFonts w:cs="Arial"/>
        </w:rPr>
        <w:t>-</w:t>
      </w:r>
      <w:r w:rsidRPr="0099303F">
        <w:rPr>
          <w:rFonts w:cs="Arial"/>
        </w:rPr>
        <w:t>16.</w:t>
      </w:r>
    </w:p>
    <w:p w:rsidRPr="00887F16" w:rsidR="042068D7" w:rsidP="0083331F" w:rsidRDefault="042068D7" w14:paraId="3A9EDA9B" w14:textId="0088B89F">
      <w:pPr>
        <w:ind w:left="1080"/>
        <w:rPr>
          <w:rFonts w:eastAsia="Arial" w:cs="Arial"/>
          <w:color w:val="000000" w:themeColor="text1"/>
        </w:rPr>
      </w:pPr>
      <w:r w:rsidRPr="00887F16">
        <w:rPr>
          <w:rFonts w:cs="Arial"/>
        </w:rPr>
        <w:t>This</w:t>
      </w:r>
      <w:r w:rsidRPr="00887F16">
        <w:rPr>
          <w:rFonts w:eastAsia="Arial" w:cs="Arial"/>
          <w:color w:val="000000" w:themeColor="text1"/>
        </w:rPr>
        <w:t xml:space="preserve"> Order is consistent with the above-stated antidegradation policies and provisions. The State Water Board expects that the controls in this Order would not permit degradation in high quality waters, but to the extent that degradation does occur, this Order would comply with antidegradation requirements for discharges to any high quality waters. This Order continues the previous level of water quality protection for waters of the United States and any affected non-federal waters of the state as the previous Order, and further protects water quality in the following ways:</w:t>
      </w:r>
    </w:p>
    <w:p w:rsidRPr="00B86A45" w:rsidR="0096354C" w:rsidP="00B86A45" w:rsidRDefault="000F6B50" w14:paraId="2919DC24" w14:textId="0D36AADA">
      <w:pPr>
        <w:pStyle w:val="Heading4"/>
        <w:tabs>
          <w:tab w:val="clear" w:pos="720"/>
          <w:tab w:val="left" w:pos="1080"/>
        </w:tabs>
        <w:rPr>
          <w:b/>
          <w:bCs/>
          <w:i/>
          <w:iCs w:val="0"/>
        </w:rPr>
      </w:pPr>
      <w:bookmarkStart w:name="_Toc51173175" w:id="28"/>
      <w:r w:rsidRPr="00B86A45">
        <w:rPr>
          <w:b/>
          <w:bCs/>
          <w:i/>
          <w:iCs w:val="0"/>
        </w:rPr>
        <w:t>A</w:t>
      </w:r>
      <w:r w:rsidRPr="00B86A45" w:rsidR="00132FB1">
        <w:rPr>
          <w:b/>
          <w:bCs/>
          <w:i/>
          <w:iCs w:val="0"/>
        </w:rPr>
        <w:t>7</w:t>
      </w:r>
      <w:r w:rsidRPr="00B86A45" w:rsidR="00011474">
        <w:rPr>
          <w:b/>
          <w:bCs/>
          <w:i/>
          <w:iCs w:val="0"/>
        </w:rPr>
        <w:t>.3.2</w:t>
      </w:r>
      <w:r w:rsidRPr="00B86A45" w:rsidR="00465559">
        <w:rPr>
          <w:b/>
          <w:bCs/>
          <w:i/>
          <w:iCs w:val="0"/>
        </w:rPr>
        <w:tab/>
      </w:r>
      <w:r w:rsidRPr="00B86A45" w:rsidR="0096354C">
        <w:rPr>
          <w:b/>
          <w:bCs/>
          <w:i/>
          <w:iCs w:val="0"/>
        </w:rPr>
        <w:t>Anti-Backsliding Requirements</w:t>
      </w:r>
      <w:bookmarkEnd w:id="28"/>
    </w:p>
    <w:p w:rsidRPr="0099303F" w:rsidR="00F261A2" w:rsidP="0083331F" w:rsidRDefault="00BC0291" w14:paraId="76561548" w14:textId="0E9F4A00">
      <w:pPr>
        <w:snapToGrid w:val="0"/>
        <w:ind w:left="1080"/>
        <w:rPr>
          <w:rFonts w:cs="Arial"/>
        </w:rPr>
      </w:pPr>
      <w:r w:rsidRPr="004E6ED1">
        <w:rPr>
          <w:rFonts w:cs="Arial"/>
        </w:rPr>
        <w:t>R</w:t>
      </w:r>
      <w:r w:rsidRPr="004E6ED1" w:rsidR="00EF3EA1">
        <w:rPr>
          <w:rFonts w:cs="Arial"/>
        </w:rPr>
        <w:t>egulations</w:t>
      </w:r>
      <w:r w:rsidRPr="0099303F" w:rsidR="00EF3EA1">
        <w:rPr>
          <w:rFonts w:cs="Arial"/>
        </w:rPr>
        <w:t xml:space="preserve"> at 40</w:t>
      </w:r>
      <w:r w:rsidR="000405A6">
        <w:rPr>
          <w:rFonts w:cs="Arial"/>
        </w:rPr>
        <w:t xml:space="preserve"> </w:t>
      </w:r>
      <w:r w:rsidRPr="0099303F" w:rsidDel="00C644B0" w:rsidR="00EF3EA1">
        <w:rPr>
          <w:rFonts w:cs="Arial"/>
        </w:rPr>
        <w:t>C</w:t>
      </w:r>
      <w:r w:rsidRPr="0099303F" w:rsidDel="00C644B0" w:rsidR="00CC472C">
        <w:rPr>
          <w:rFonts w:cs="Arial"/>
        </w:rPr>
        <w:t>.</w:t>
      </w:r>
      <w:r w:rsidRPr="0099303F" w:rsidDel="00C644B0" w:rsidR="00EF3EA1">
        <w:rPr>
          <w:rFonts w:cs="Arial"/>
        </w:rPr>
        <w:t>F</w:t>
      </w:r>
      <w:r w:rsidRPr="0099303F" w:rsidDel="00C644B0" w:rsidR="00CC472C">
        <w:rPr>
          <w:rFonts w:cs="Arial"/>
        </w:rPr>
        <w:t>.</w:t>
      </w:r>
      <w:r w:rsidRPr="0099303F" w:rsidDel="00C644B0" w:rsidR="00EF3EA1">
        <w:rPr>
          <w:rFonts w:cs="Arial"/>
        </w:rPr>
        <w:t>R</w:t>
      </w:r>
      <w:r w:rsidRPr="0099303F" w:rsidDel="00C644B0" w:rsidR="00CC472C">
        <w:rPr>
          <w:rFonts w:cs="Arial"/>
        </w:rPr>
        <w:t>.</w:t>
      </w:r>
      <w:r w:rsidR="000405A6">
        <w:rPr>
          <w:rFonts w:cs="Arial"/>
        </w:rPr>
        <w:t xml:space="preserve"> </w:t>
      </w:r>
      <w:r w:rsidR="00E67F9F">
        <w:rPr>
          <w:rFonts w:cs="Arial"/>
        </w:rPr>
        <w:t>§</w:t>
      </w:r>
      <w:r w:rsidRPr="0099303F" w:rsidR="00EF3EA1">
        <w:rPr>
          <w:rFonts w:cs="Arial"/>
        </w:rPr>
        <w:t>122.44(l) prohibit backsliding in NPDES permits.</w:t>
      </w:r>
      <w:r w:rsidRPr="0099303F" w:rsidR="00FB72BE">
        <w:rPr>
          <w:rFonts w:cs="Arial"/>
        </w:rPr>
        <w:t xml:space="preserve"> </w:t>
      </w:r>
      <w:r w:rsidR="00CD27B9">
        <w:rPr>
          <w:rFonts w:cs="Arial"/>
        </w:rPr>
        <w:t>T</w:t>
      </w:r>
      <w:r w:rsidRPr="004E6ED1" w:rsidR="00CD27B9">
        <w:rPr>
          <w:rFonts w:cs="Arial"/>
        </w:rPr>
        <w:t xml:space="preserve">he regulations restrict the relaxation of final effluent limitations and the relaxation of standards or conditions contained in existing permits. </w:t>
      </w:r>
      <w:r w:rsidRPr="0099303F" w:rsidR="00EF3EA1">
        <w:rPr>
          <w:rFonts w:cs="Arial"/>
        </w:rPr>
        <w:t xml:space="preserve">These anti-backsliding provisions require effluent limitations in a reissued permit to be </w:t>
      </w:r>
      <w:r w:rsidR="0098243B">
        <w:rPr>
          <w:rFonts w:cs="Arial"/>
        </w:rPr>
        <w:t xml:space="preserve">at least </w:t>
      </w:r>
      <w:r w:rsidRPr="0099303F" w:rsidR="00EF3EA1">
        <w:rPr>
          <w:rFonts w:cs="Arial"/>
        </w:rPr>
        <w:t xml:space="preserve">as stringent as those in the </w:t>
      </w:r>
      <w:r w:rsidR="00C874DB">
        <w:rPr>
          <w:rFonts w:cs="Arial"/>
        </w:rPr>
        <w:t>previous permit</w:t>
      </w:r>
      <w:r w:rsidRPr="0099303F" w:rsidR="00EF3EA1">
        <w:rPr>
          <w:rFonts w:cs="Arial"/>
        </w:rPr>
        <w:t xml:space="preserve">, with some exceptions </w:t>
      </w:r>
      <w:r w:rsidRPr="0099303F" w:rsidR="00C72112">
        <w:rPr>
          <w:rFonts w:cs="Arial"/>
        </w:rPr>
        <w:t>that</w:t>
      </w:r>
      <w:r w:rsidRPr="0099303F" w:rsidR="00EF3EA1">
        <w:rPr>
          <w:rFonts w:cs="Arial"/>
        </w:rPr>
        <w:t xml:space="preserve"> limitations may be relaxed</w:t>
      </w:r>
      <w:r w:rsidRPr="0099303F" w:rsidR="00C72112">
        <w:rPr>
          <w:rFonts w:cs="Arial"/>
        </w:rPr>
        <w:t xml:space="preserve"> based on new information made available since the adoption of the </w:t>
      </w:r>
      <w:r w:rsidR="00C874DB">
        <w:rPr>
          <w:rFonts w:cs="Arial"/>
        </w:rPr>
        <w:t>previous permit</w:t>
      </w:r>
      <w:r w:rsidRPr="0099303F" w:rsidR="00EF3EA1">
        <w:rPr>
          <w:rFonts w:cs="Arial"/>
        </w:rPr>
        <w:t>.</w:t>
      </w:r>
      <w:r w:rsidRPr="0099303F" w:rsidR="00FB72BE">
        <w:rPr>
          <w:rFonts w:cs="Arial"/>
        </w:rPr>
        <w:t xml:space="preserve"> </w:t>
      </w:r>
      <w:r w:rsidRPr="0099303F" w:rsidR="00EF3EA1">
        <w:rPr>
          <w:rFonts w:cs="Arial"/>
        </w:rPr>
        <w:t xml:space="preserve">All effluent limitations </w:t>
      </w:r>
      <w:r w:rsidR="00066BE5">
        <w:rPr>
          <w:rFonts w:cs="Arial"/>
        </w:rPr>
        <w:t xml:space="preserve">and </w:t>
      </w:r>
      <w:r w:rsidR="00B83EFD">
        <w:rPr>
          <w:rFonts w:cs="Arial"/>
        </w:rPr>
        <w:t>other requirements</w:t>
      </w:r>
      <w:r w:rsidRPr="0099303F" w:rsidR="00EF3EA1">
        <w:rPr>
          <w:rFonts w:cs="Arial"/>
        </w:rPr>
        <w:t xml:space="preserve"> in this Order are at least as stringent as the </w:t>
      </w:r>
      <w:r w:rsidR="00B83EFD">
        <w:rPr>
          <w:rFonts w:cs="Arial"/>
        </w:rPr>
        <w:t>requirements</w:t>
      </w:r>
      <w:r w:rsidRPr="0099303F" w:rsidR="00EF3EA1">
        <w:rPr>
          <w:rFonts w:cs="Arial"/>
        </w:rPr>
        <w:t xml:space="preserve"> in the </w:t>
      </w:r>
      <w:r w:rsidR="00C874DB">
        <w:rPr>
          <w:rFonts w:cs="Arial"/>
        </w:rPr>
        <w:t>previous permit</w:t>
      </w:r>
      <w:r w:rsidRPr="0099303F" w:rsidR="00624C38">
        <w:rPr>
          <w:rFonts w:cs="Arial"/>
        </w:rPr>
        <w:t>.</w:t>
      </w:r>
    </w:p>
    <w:p w:rsidRPr="00B86A45" w:rsidR="0067192C" w:rsidP="00B86A45" w:rsidRDefault="000F6B50" w14:paraId="419407FB" w14:textId="0151042B">
      <w:pPr>
        <w:pStyle w:val="Heading4"/>
        <w:tabs>
          <w:tab w:val="clear" w:pos="720"/>
          <w:tab w:val="left" w:pos="1080"/>
        </w:tabs>
        <w:rPr>
          <w:b/>
          <w:bCs/>
          <w:i/>
          <w:iCs w:val="0"/>
        </w:rPr>
      </w:pPr>
      <w:bookmarkStart w:name="_Toc51173176" w:id="29"/>
      <w:r w:rsidRPr="00B86A45">
        <w:rPr>
          <w:b/>
          <w:bCs/>
          <w:i/>
          <w:iCs w:val="0"/>
        </w:rPr>
        <w:t>A</w:t>
      </w:r>
      <w:r w:rsidRPr="00B86A45" w:rsidR="00132FB1">
        <w:rPr>
          <w:b/>
          <w:bCs/>
          <w:i/>
          <w:iCs w:val="0"/>
        </w:rPr>
        <w:t>7</w:t>
      </w:r>
      <w:r w:rsidRPr="00B86A45" w:rsidR="00011474">
        <w:rPr>
          <w:b/>
          <w:bCs/>
          <w:i/>
          <w:iCs w:val="0"/>
        </w:rPr>
        <w:t>.3.3</w:t>
      </w:r>
      <w:r w:rsidRPr="00B86A45" w:rsidR="00465559">
        <w:rPr>
          <w:b/>
          <w:bCs/>
          <w:i/>
          <w:iCs w:val="0"/>
        </w:rPr>
        <w:tab/>
      </w:r>
      <w:r w:rsidRPr="00B86A45" w:rsidR="0067192C">
        <w:rPr>
          <w:b/>
          <w:bCs/>
          <w:i/>
          <w:iCs w:val="0"/>
        </w:rPr>
        <w:t>Endangered Species Act Requirements</w:t>
      </w:r>
      <w:bookmarkEnd w:id="29"/>
    </w:p>
    <w:p w:rsidRPr="0099303F" w:rsidR="0067192C" w:rsidP="004E6ED1" w:rsidRDefault="0067192C" w14:paraId="2FD0832A" w14:textId="2BFC91DA">
      <w:pPr>
        <w:snapToGrid w:val="0"/>
        <w:ind w:left="1080"/>
        <w:rPr>
          <w:rFonts w:cs="Arial"/>
        </w:rPr>
      </w:pPr>
      <w:r w:rsidRPr="0099303F">
        <w:rPr>
          <w:rFonts w:cs="Arial"/>
        </w:rPr>
        <w:t>This Order does not authorize any act that results in the taking of a threatened or endangered species or any act that is now prohibited, or becomes prohibited in the future, under either the California Endangered Species Act</w:t>
      </w:r>
      <w:r w:rsidRPr="0099303F" w:rsidR="008A1A28">
        <w:rPr>
          <w:rFonts w:cs="Arial"/>
        </w:rPr>
        <w:t>s</w:t>
      </w:r>
      <w:r w:rsidRPr="0099303F">
        <w:rPr>
          <w:rFonts w:cs="Arial"/>
        </w:rPr>
        <w:t xml:space="preserve"> (Fish and Game Code, </w:t>
      </w:r>
      <w:r w:rsidR="00B64B43">
        <w:rPr>
          <w:rFonts w:cs="Arial"/>
        </w:rPr>
        <w:t>§§</w:t>
      </w:r>
      <w:r w:rsidRPr="0099303F">
        <w:rPr>
          <w:rFonts w:cs="Arial"/>
        </w:rPr>
        <w:t>2050</w:t>
      </w:r>
      <w:r w:rsidRPr="0099303F" w:rsidR="00FA224F">
        <w:rPr>
          <w:rFonts w:cs="Arial"/>
        </w:rPr>
        <w:t>-</w:t>
      </w:r>
      <w:r w:rsidRPr="0099303F">
        <w:rPr>
          <w:rFonts w:cs="Arial"/>
        </w:rPr>
        <w:t>2097) or the Federal Endangered Species Act (</w:t>
      </w:r>
      <w:bookmarkStart w:name="_Hlk34204896" w:id="30"/>
      <w:r w:rsidRPr="0099303F">
        <w:rPr>
          <w:rFonts w:cs="Arial"/>
        </w:rPr>
        <w:t>16 U</w:t>
      </w:r>
      <w:r w:rsidRPr="0099303F" w:rsidR="0031508E">
        <w:rPr>
          <w:rFonts w:cs="Arial"/>
        </w:rPr>
        <w:t xml:space="preserve">nited </w:t>
      </w:r>
      <w:r w:rsidRPr="0099303F">
        <w:rPr>
          <w:rFonts w:cs="Arial"/>
        </w:rPr>
        <w:t>S</w:t>
      </w:r>
      <w:r w:rsidRPr="0099303F" w:rsidR="0031508E">
        <w:rPr>
          <w:rFonts w:cs="Arial"/>
        </w:rPr>
        <w:t>tate</w:t>
      </w:r>
      <w:r w:rsidRPr="0099303F" w:rsidR="005A0127">
        <w:rPr>
          <w:rFonts w:cs="Arial"/>
        </w:rPr>
        <w:t>s</w:t>
      </w:r>
      <w:r w:rsidRPr="0099303F" w:rsidR="0031508E">
        <w:rPr>
          <w:rFonts w:cs="Arial"/>
        </w:rPr>
        <w:t xml:space="preserve"> </w:t>
      </w:r>
      <w:r w:rsidRPr="0099303F">
        <w:rPr>
          <w:rFonts w:cs="Arial"/>
        </w:rPr>
        <w:t>C</w:t>
      </w:r>
      <w:r w:rsidRPr="0099303F" w:rsidR="0031508E">
        <w:rPr>
          <w:rFonts w:cs="Arial"/>
        </w:rPr>
        <w:t>ode</w:t>
      </w:r>
      <w:r w:rsidRPr="0099303F">
        <w:rPr>
          <w:rFonts w:cs="Arial"/>
        </w:rPr>
        <w:t xml:space="preserve"> </w:t>
      </w:r>
      <w:r w:rsidR="00B27F61">
        <w:rPr>
          <w:rFonts w:cs="Arial"/>
        </w:rPr>
        <w:t>§§</w:t>
      </w:r>
      <w:r w:rsidRPr="0099303F">
        <w:rPr>
          <w:rFonts w:cs="Arial"/>
        </w:rPr>
        <w:t>1531</w:t>
      </w:r>
      <w:r w:rsidRPr="0099303F" w:rsidR="00FA224F">
        <w:rPr>
          <w:rFonts w:cs="Arial"/>
        </w:rPr>
        <w:t>-</w:t>
      </w:r>
      <w:r w:rsidRPr="0099303F">
        <w:rPr>
          <w:rFonts w:cs="Arial"/>
        </w:rPr>
        <w:t>1544</w:t>
      </w:r>
      <w:bookmarkEnd w:id="30"/>
      <w:r w:rsidRPr="0099303F">
        <w:rPr>
          <w:rFonts w:cs="Arial"/>
        </w:rPr>
        <w:t>). This Order requires compliance with effluent limit</w:t>
      </w:r>
      <w:r w:rsidRPr="0099303F" w:rsidR="00893959">
        <w:rPr>
          <w:rFonts w:cs="Arial"/>
        </w:rPr>
        <w:t>ation</w:t>
      </w:r>
      <w:r w:rsidRPr="0099303F">
        <w:rPr>
          <w:rFonts w:cs="Arial"/>
        </w:rPr>
        <w:t>s, receiving water limit</w:t>
      </w:r>
      <w:r w:rsidRPr="0099303F" w:rsidR="00893959">
        <w:rPr>
          <w:rFonts w:cs="Arial"/>
        </w:rPr>
        <w:t>ation</w:t>
      </w:r>
      <w:r w:rsidRPr="0099303F">
        <w:rPr>
          <w:rFonts w:cs="Arial"/>
        </w:rPr>
        <w:t xml:space="preserve">s, and </w:t>
      </w:r>
      <w:r w:rsidRPr="0099303F">
        <w:rPr>
          <w:rFonts w:cs="Arial"/>
        </w:rPr>
        <w:t xml:space="preserve">other requirements to protect the beneficial uses of waters of the </w:t>
      </w:r>
      <w:r w:rsidRPr="0099303F" w:rsidR="00FE5CB1">
        <w:rPr>
          <w:rFonts w:cs="Arial"/>
        </w:rPr>
        <w:t>United S</w:t>
      </w:r>
      <w:r w:rsidRPr="0099303F">
        <w:rPr>
          <w:rFonts w:cs="Arial"/>
        </w:rPr>
        <w:t>tate</w:t>
      </w:r>
      <w:r w:rsidRPr="0099303F" w:rsidR="00FE5CB1">
        <w:rPr>
          <w:rFonts w:cs="Arial"/>
        </w:rPr>
        <w:t>s</w:t>
      </w:r>
      <w:r w:rsidRPr="0099303F">
        <w:rPr>
          <w:rFonts w:cs="Arial"/>
        </w:rPr>
        <w:t xml:space="preserve">. The </w:t>
      </w:r>
      <w:r w:rsidR="00751C8E">
        <w:rPr>
          <w:rFonts w:cs="Arial"/>
        </w:rPr>
        <w:t>Permittee</w:t>
      </w:r>
      <w:r w:rsidRPr="0099303F">
        <w:rPr>
          <w:rFonts w:cs="Arial"/>
        </w:rPr>
        <w:t xml:space="preserve"> is responsible for </w:t>
      </w:r>
      <w:r w:rsidRPr="0099303F" w:rsidR="00754E52">
        <w:rPr>
          <w:rFonts w:cs="Arial"/>
        </w:rPr>
        <w:t>complying with</w:t>
      </w:r>
      <w:r w:rsidRPr="0099303F">
        <w:rPr>
          <w:rFonts w:cs="Arial"/>
        </w:rPr>
        <w:t xml:space="preserve"> all requirements of the applicable Endangered Species Act.</w:t>
      </w:r>
    </w:p>
    <w:p w:rsidRPr="00574725" w:rsidR="00D81310" w:rsidP="00B86A45" w:rsidRDefault="000F6B50" w14:paraId="65590B8E" w14:textId="1D4B2AEE">
      <w:pPr>
        <w:pStyle w:val="Heading4"/>
        <w:tabs>
          <w:tab w:val="clear" w:pos="720"/>
          <w:tab w:val="left" w:pos="1080"/>
        </w:tabs>
        <w:rPr>
          <w:b/>
          <w:bCs/>
          <w:i/>
          <w:iCs w:val="0"/>
        </w:rPr>
      </w:pPr>
      <w:bookmarkStart w:name="_Toc51173177" w:id="31"/>
      <w:r w:rsidRPr="00574725">
        <w:rPr>
          <w:b/>
          <w:bCs/>
          <w:i/>
          <w:iCs w:val="0"/>
        </w:rPr>
        <w:t>A</w:t>
      </w:r>
      <w:r w:rsidRPr="00574725" w:rsidR="00132FB1">
        <w:rPr>
          <w:b/>
          <w:bCs/>
          <w:i/>
          <w:iCs w:val="0"/>
        </w:rPr>
        <w:t>7</w:t>
      </w:r>
      <w:r w:rsidRPr="00574725" w:rsidR="00011474">
        <w:rPr>
          <w:b/>
          <w:bCs/>
          <w:i/>
          <w:iCs w:val="0"/>
        </w:rPr>
        <w:t>.3.4</w:t>
      </w:r>
      <w:r w:rsidRPr="00574725" w:rsidR="00465559">
        <w:rPr>
          <w:b/>
          <w:bCs/>
          <w:i/>
          <w:iCs w:val="0"/>
        </w:rPr>
        <w:tab/>
      </w:r>
      <w:r w:rsidRPr="00574725" w:rsidR="006554ED">
        <w:rPr>
          <w:b/>
          <w:bCs/>
          <w:i/>
          <w:iCs w:val="0"/>
        </w:rPr>
        <w:t xml:space="preserve">Regional Water Boards’ </w:t>
      </w:r>
      <w:r w:rsidRPr="00574725" w:rsidR="00D81310">
        <w:rPr>
          <w:b/>
          <w:bCs/>
          <w:i/>
          <w:iCs w:val="0"/>
        </w:rPr>
        <w:t>Water Quality Control Plan</w:t>
      </w:r>
      <w:bookmarkEnd w:id="31"/>
      <w:r w:rsidRPr="00574725" w:rsidR="00716402">
        <w:rPr>
          <w:b/>
          <w:bCs/>
          <w:i/>
          <w:iCs w:val="0"/>
        </w:rPr>
        <w:t>s</w:t>
      </w:r>
    </w:p>
    <w:p w:rsidR="00D95720" w:rsidP="004E6ED1" w:rsidRDefault="00465A13" w14:paraId="2B4D7A3F" w14:textId="5AE3C834">
      <w:pPr>
        <w:snapToGrid w:val="0"/>
        <w:ind w:left="1080"/>
        <w:rPr>
          <w:rFonts w:cs="Arial"/>
        </w:rPr>
      </w:pPr>
      <w:r>
        <w:rPr>
          <w:rFonts w:cs="Arial"/>
        </w:rPr>
        <w:t>The Porter-Cologne Water Quality Control Act</w:t>
      </w:r>
      <w:r w:rsidR="00603719">
        <w:rPr>
          <w:rFonts w:cs="Arial"/>
        </w:rPr>
        <w:t xml:space="preserve"> (</w:t>
      </w:r>
      <w:r w:rsidR="001C28F8">
        <w:rPr>
          <w:rFonts w:cs="Arial"/>
        </w:rPr>
        <w:t>California Water Code</w:t>
      </w:r>
      <w:r w:rsidR="00603719">
        <w:rPr>
          <w:rFonts w:cs="Arial"/>
        </w:rPr>
        <w:t>)</w:t>
      </w:r>
      <w:r w:rsidR="00A215E9">
        <w:rPr>
          <w:rFonts w:cs="Arial"/>
        </w:rPr>
        <w:t xml:space="preserve">, </w:t>
      </w:r>
      <w:r w:rsidR="00E33E5C">
        <w:rPr>
          <w:rFonts w:cs="Arial"/>
        </w:rPr>
        <w:t>§§</w:t>
      </w:r>
      <w:r w:rsidR="00A215E9">
        <w:rPr>
          <w:rFonts w:cs="Arial"/>
        </w:rPr>
        <w:t>13050</w:t>
      </w:r>
      <w:r w:rsidR="006554ED">
        <w:rPr>
          <w:rFonts w:cs="Arial"/>
        </w:rPr>
        <w:t xml:space="preserve"> </w:t>
      </w:r>
      <w:r w:rsidR="00A215E9">
        <w:rPr>
          <w:rFonts w:cs="Arial"/>
        </w:rPr>
        <w:t>and 13240</w:t>
      </w:r>
      <w:r w:rsidR="00850313">
        <w:rPr>
          <w:rFonts w:cs="Arial"/>
        </w:rPr>
        <w:t>,</w:t>
      </w:r>
      <w:r w:rsidR="00906785">
        <w:rPr>
          <w:rFonts w:cs="Arial"/>
        </w:rPr>
        <w:t xml:space="preserve"> </w:t>
      </w:r>
      <w:r w:rsidR="005A2EFB">
        <w:rPr>
          <w:rFonts w:cs="Arial"/>
        </w:rPr>
        <w:t xml:space="preserve">provides requirements </w:t>
      </w:r>
      <w:r w:rsidR="00716402">
        <w:rPr>
          <w:rFonts w:cs="Arial"/>
        </w:rPr>
        <w:t xml:space="preserve">for Regional Water Boards’ </w:t>
      </w:r>
      <w:r w:rsidR="00305593">
        <w:rPr>
          <w:rFonts w:cs="Arial"/>
        </w:rPr>
        <w:t>formulation and adoption</w:t>
      </w:r>
      <w:r w:rsidR="000607AB">
        <w:rPr>
          <w:rFonts w:cs="Arial"/>
        </w:rPr>
        <w:t xml:space="preserve"> of </w:t>
      </w:r>
      <w:r w:rsidR="00716402">
        <w:rPr>
          <w:rFonts w:cs="Arial"/>
        </w:rPr>
        <w:t xml:space="preserve">Water Quality Control Plans. </w:t>
      </w:r>
    </w:p>
    <w:p w:rsidRPr="0099303F" w:rsidR="009E2377" w:rsidP="004E6ED1" w:rsidRDefault="00861AF4" w14:paraId="20D089B2" w14:textId="3028E106">
      <w:pPr>
        <w:snapToGrid w:val="0"/>
        <w:ind w:left="1080"/>
        <w:rPr>
          <w:rFonts w:cs="Arial"/>
        </w:rPr>
      </w:pPr>
      <w:r w:rsidRPr="00662BD1">
        <w:rPr>
          <w:rFonts w:cs="Arial"/>
        </w:rPr>
        <w:t xml:space="preserve">Each </w:t>
      </w:r>
      <w:r w:rsidRPr="00662BD1" w:rsidR="00566798">
        <w:rPr>
          <w:rFonts w:cs="Arial"/>
        </w:rPr>
        <w:t>Regional Water Board</w:t>
      </w:r>
      <w:r w:rsidRPr="00662BD1">
        <w:rPr>
          <w:rFonts w:cs="Arial"/>
        </w:rPr>
        <w:t xml:space="preserve"> ha</w:t>
      </w:r>
      <w:r w:rsidRPr="00662BD1" w:rsidR="00566798">
        <w:rPr>
          <w:rFonts w:cs="Arial"/>
        </w:rPr>
        <w:t xml:space="preserve">s adopted </w:t>
      </w:r>
      <w:r w:rsidR="00690356">
        <w:rPr>
          <w:rFonts w:cs="Arial"/>
        </w:rPr>
        <w:t>Basin Plans</w:t>
      </w:r>
      <w:r w:rsidRPr="00662BD1" w:rsidR="00566798">
        <w:rPr>
          <w:rFonts w:cs="Arial"/>
        </w:rPr>
        <w:t xml:space="preserve"> </w:t>
      </w:r>
      <w:r w:rsidRPr="00662BD1" w:rsidR="00235A04">
        <w:rPr>
          <w:rFonts w:cs="Arial"/>
        </w:rPr>
        <w:t>specific to</w:t>
      </w:r>
      <w:r w:rsidRPr="00662BD1" w:rsidR="00566798">
        <w:rPr>
          <w:rFonts w:cs="Arial"/>
        </w:rPr>
        <w:t xml:space="preserve"> </w:t>
      </w:r>
      <w:r w:rsidR="00164DCE">
        <w:rPr>
          <w:rFonts w:cs="Arial"/>
        </w:rPr>
        <w:t>its</w:t>
      </w:r>
      <w:r w:rsidRPr="00A21D92" w:rsidR="00164DCE">
        <w:rPr>
          <w:rFonts w:cs="Arial"/>
        </w:rPr>
        <w:t xml:space="preserve"> </w:t>
      </w:r>
      <w:r w:rsidRPr="00662BD1" w:rsidR="00F806DC">
        <w:rPr>
          <w:rFonts w:cs="Arial"/>
        </w:rPr>
        <w:t>r</w:t>
      </w:r>
      <w:r w:rsidRPr="00662BD1" w:rsidR="00566798">
        <w:rPr>
          <w:rFonts w:cs="Arial"/>
        </w:rPr>
        <w:t>egion</w:t>
      </w:r>
      <w:r w:rsidRPr="00662BD1" w:rsidR="003D47BA">
        <w:rPr>
          <w:rFonts w:cs="Arial"/>
        </w:rPr>
        <w:t>. The region-specific water quality control plans, referred to a</w:t>
      </w:r>
      <w:r w:rsidRPr="00662BD1">
        <w:rPr>
          <w:rFonts w:cs="Arial"/>
        </w:rPr>
        <w:t>s</w:t>
      </w:r>
      <w:r w:rsidRPr="00662BD1" w:rsidR="003D47BA">
        <w:rPr>
          <w:rFonts w:cs="Arial"/>
        </w:rPr>
        <w:t xml:space="preserve"> </w:t>
      </w:r>
      <w:r w:rsidRPr="00662BD1" w:rsidR="006E1D49">
        <w:rPr>
          <w:rFonts w:cs="Arial"/>
        </w:rPr>
        <w:t>B</w:t>
      </w:r>
      <w:r w:rsidRPr="00662BD1" w:rsidR="003D47BA">
        <w:rPr>
          <w:rFonts w:cs="Arial"/>
        </w:rPr>
        <w:t xml:space="preserve">asin </w:t>
      </w:r>
      <w:r w:rsidRPr="00662BD1" w:rsidR="006E1D49">
        <w:rPr>
          <w:rFonts w:cs="Arial"/>
        </w:rPr>
        <w:t>P</w:t>
      </w:r>
      <w:r w:rsidRPr="00662BD1" w:rsidR="003D47BA">
        <w:rPr>
          <w:rFonts w:cs="Arial"/>
        </w:rPr>
        <w:t>lans,</w:t>
      </w:r>
      <w:r w:rsidRPr="00662BD1" w:rsidR="00566798">
        <w:rPr>
          <w:rFonts w:cs="Arial"/>
        </w:rPr>
        <w:t xml:space="preserve"> designate </w:t>
      </w:r>
      <w:r w:rsidRPr="00662BD1" w:rsidR="00016B91">
        <w:rPr>
          <w:rFonts w:cs="Arial"/>
        </w:rPr>
        <w:t>receiving water</w:t>
      </w:r>
      <w:r w:rsidRPr="00662BD1" w:rsidR="00566798">
        <w:rPr>
          <w:rFonts w:cs="Arial"/>
        </w:rPr>
        <w:t xml:space="preserve"> beneficial uses, establish water quality objectives, and contain implementation programs and policies to achieve those objectives for all waters addressed through the </w:t>
      </w:r>
      <w:r w:rsidRPr="00662BD1" w:rsidR="00016B91">
        <w:rPr>
          <w:rFonts w:cs="Arial"/>
        </w:rPr>
        <w:t>plan</w:t>
      </w:r>
      <w:r w:rsidRPr="00662BD1" w:rsidR="00566798">
        <w:rPr>
          <w:rFonts w:cs="Arial"/>
        </w:rPr>
        <w:t xml:space="preserve">. </w:t>
      </w:r>
      <w:r w:rsidRPr="00662BD1" w:rsidR="00A23D04">
        <w:rPr>
          <w:rFonts w:cs="Arial"/>
        </w:rPr>
        <w:t xml:space="preserve">The </w:t>
      </w:r>
      <w:r w:rsidR="00A3627A">
        <w:rPr>
          <w:rFonts w:cs="Arial"/>
        </w:rPr>
        <w:t>Permittee</w:t>
      </w:r>
      <w:r w:rsidRPr="00662BD1" w:rsidR="00A23D04">
        <w:rPr>
          <w:rFonts w:cs="Arial"/>
        </w:rPr>
        <w:t xml:space="preserve"> is subject to the prohibitions and requirements of each Basin Plan. </w:t>
      </w:r>
      <w:r w:rsidRPr="00662BD1" w:rsidR="00566798">
        <w:rPr>
          <w:rFonts w:cs="Arial"/>
        </w:rPr>
        <w:t xml:space="preserve">Requirements in this Order implement the </w:t>
      </w:r>
      <w:r w:rsidRPr="00662BD1" w:rsidR="006A00BE">
        <w:rPr>
          <w:rFonts w:cs="Arial"/>
        </w:rPr>
        <w:t xml:space="preserve">Regional Water Board </w:t>
      </w:r>
      <w:r w:rsidRPr="00662BD1" w:rsidR="006E1D49">
        <w:rPr>
          <w:rFonts w:cs="Arial"/>
        </w:rPr>
        <w:t>B</w:t>
      </w:r>
      <w:r w:rsidRPr="00662BD1" w:rsidR="006A00BE">
        <w:rPr>
          <w:rFonts w:cs="Arial"/>
        </w:rPr>
        <w:t xml:space="preserve">asin </w:t>
      </w:r>
      <w:r w:rsidRPr="00662BD1" w:rsidR="00880291">
        <w:rPr>
          <w:rFonts w:cs="Arial"/>
        </w:rPr>
        <w:t>P</w:t>
      </w:r>
      <w:r w:rsidRPr="00662BD1" w:rsidR="006A00BE">
        <w:rPr>
          <w:rFonts w:cs="Arial"/>
        </w:rPr>
        <w:t>lans</w:t>
      </w:r>
      <w:r w:rsidRPr="00662BD1" w:rsidR="00566798">
        <w:rPr>
          <w:rFonts w:cs="Arial"/>
        </w:rPr>
        <w:t>.</w:t>
      </w:r>
      <w:r w:rsidR="005B782F">
        <w:rPr>
          <w:rFonts w:cs="Arial"/>
        </w:rPr>
        <w:t xml:space="preserve"> </w:t>
      </w:r>
    </w:p>
    <w:p w:rsidRPr="007C1701" w:rsidR="0096354C" w:rsidP="004E6ED1" w:rsidRDefault="000F6B50" w14:paraId="2F8A6C8A" w14:textId="5B14E096">
      <w:pPr>
        <w:pStyle w:val="Heading4"/>
        <w:tabs>
          <w:tab w:val="clear" w:pos="720"/>
          <w:tab w:val="left" w:pos="1080"/>
        </w:tabs>
        <w:ind w:left="1080" w:hanging="1080"/>
        <w:rPr>
          <w:b/>
          <w:bCs/>
          <w:i/>
          <w:iCs w:val="0"/>
        </w:rPr>
      </w:pPr>
      <w:bookmarkStart w:name="_Toc51173178" w:id="32"/>
      <w:r w:rsidRPr="00E33E5C">
        <w:rPr>
          <w:b/>
          <w:bCs/>
          <w:i/>
          <w:iCs w:val="0"/>
        </w:rPr>
        <w:t>A</w:t>
      </w:r>
      <w:r w:rsidRPr="00E33E5C" w:rsidR="00132FB1">
        <w:rPr>
          <w:b/>
          <w:bCs/>
          <w:i/>
          <w:iCs w:val="0"/>
        </w:rPr>
        <w:t>7</w:t>
      </w:r>
      <w:r w:rsidRPr="00E33E5C" w:rsidR="00011474">
        <w:rPr>
          <w:b/>
          <w:bCs/>
          <w:i/>
          <w:iCs w:val="0"/>
        </w:rPr>
        <w:t>.3.5</w:t>
      </w:r>
      <w:r w:rsidRPr="00E33E5C" w:rsidR="00465559">
        <w:rPr>
          <w:b/>
          <w:bCs/>
          <w:i/>
          <w:iCs w:val="0"/>
        </w:rPr>
        <w:tab/>
      </w:r>
      <w:r w:rsidRPr="00E33E5C" w:rsidR="0096354C">
        <w:rPr>
          <w:b/>
          <w:bCs/>
          <w:i/>
          <w:iCs w:val="0"/>
        </w:rPr>
        <w:t>Clean Water Act 303(d) List</w:t>
      </w:r>
      <w:bookmarkEnd w:id="32"/>
      <w:r w:rsidRPr="00E33E5C" w:rsidR="000507EA">
        <w:rPr>
          <w:b/>
          <w:bCs/>
          <w:i/>
          <w:iCs w:val="0"/>
        </w:rPr>
        <w:t xml:space="preserve"> and Relationship to </w:t>
      </w:r>
      <w:r w:rsidRPr="007C1701" w:rsidR="007C1701">
        <w:rPr>
          <w:b/>
          <w:bCs/>
          <w:i/>
          <w:iCs w:val="0"/>
        </w:rPr>
        <w:t>Total Maximum Daily Load</w:t>
      </w:r>
      <w:r w:rsidRPr="007C1701" w:rsidR="000507EA">
        <w:rPr>
          <w:b/>
          <w:bCs/>
          <w:i/>
          <w:iCs w:val="0"/>
        </w:rPr>
        <w:t>s</w:t>
      </w:r>
    </w:p>
    <w:p w:rsidRPr="00A21D92" w:rsidR="00755D73" w:rsidP="004E6ED1" w:rsidRDefault="00385CDA" w14:paraId="3E887453" w14:textId="5DFBFD32">
      <w:pPr>
        <w:snapToGrid w:val="0"/>
        <w:ind w:left="1080"/>
        <w:rPr>
          <w:rFonts w:cs="Arial"/>
        </w:rPr>
      </w:pPr>
      <w:r w:rsidRPr="00A21D92">
        <w:rPr>
          <w:rFonts w:cs="Arial"/>
        </w:rPr>
        <w:t>Clean</w:t>
      </w:r>
      <w:r w:rsidRPr="00A21D92" w:rsidR="000405A6">
        <w:rPr>
          <w:rFonts w:cs="Arial"/>
        </w:rPr>
        <w:t xml:space="preserve"> </w:t>
      </w:r>
      <w:r w:rsidRPr="00A21D92">
        <w:rPr>
          <w:rFonts w:cs="Arial"/>
        </w:rPr>
        <w:t>Water</w:t>
      </w:r>
      <w:r w:rsidRPr="00A21D92" w:rsidR="000405A6">
        <w:rPr>
          <w:rFonts w:cs="Arial"/>
        </w:rPr>
        <w:t xml:space="preserve"> </w:t>
      </w:r>
      <w:r w:rsidRPr="00A21D92">
        <w:rPr>
          <w:rFonts w:cs="Arial"/>
        </w:rPr>
        <w:t>Act</w:t>
      </w:r>
      <w:r w:rsidRPr="00A21D92" w:rsidR="000405A6">
        <w:rPr>
          <w:rFonts w:cs="Arial"/>
        </w:rPr>
        <w:t xml:space="preserve"> </w:t>
      </w:r>
      <w:r w:rsidR="00E67F9F">
        <w:rPr>
          <w:rFonts w:cs="Arial"/>
        </w:rPr>
        <w:t>§</w:t>
      </w:r>
      <w:r w:rsidRPr="00A21D92" w:rsidR="00D553FC">
        <w:rPr>
          <w:rFonts w:cs="Arial"/>
        </w:rPr>
        <w:t xml:space="preserve">303(d) requires identification of specific waters where </w:t>
      </w:r>
      <w:r w:rsidRPr="00A21D92" w:rsidR="004D0806">
        <w:rPr>
          <w:rFonts w:cs="Arial"/>
        </w:rPr>
        <w:t>data indicate</w:t>
      </w:r>
      <w:r w:rsidRPr="00A21D92" w:rsidR="00D553FC">
        <w:rPr>
          <w:rFonts w:cs="Arial"/>
        </w:rPr>
        <w:t xml:space="preserve"> </w:t>
      </w:r>
      <w:r w:rsidRPr="004E6ED1" w:rsidR="00615A5D">
        <w:rPr>
          <w:rFonts w:cs="Arial"/>
        </w:rPr>
        <w:t>those waters are not achieving water quality standards</w:t>
      </w:r>
      <w:r w:rsidRPr="00A21D92" w:rsidR="00D553FC">
        <w:rPr>
          <w:rFonts w:cs="Arial"/>
        </w:rPr>
        <w:t xml:space="preserve">. </w:t>
      </w:r>
      <w:r w:rsidRPr="004E6ED1" w:rsidR="00927FB1">
        <w:rPr>
          <w:rFonts w:cs="Arial"/>
        </w:rPr>
        <w:t xml:space="preserve">For each 303(d) listed water body, the state or </w:t>
      </w:r>
      <w:r w:rsidRPr="004E6ED1" w:rsidR="00766ACF">
        <w:rPr>
          <w:rFonts w:cs="Arial"/>
        </w:rPr>
        <w:t>USEPA</w:t>
      </w:r>
      <w:r w:rsidRPr="004E6ED1" w:rsidR="00C56C92">
        <w:rPr>
          <w:rFonts w:cs="Arial"/>
        </w:rPr>
        <w:t xml:space="preserve"> </w:t>
      </w:r>
      <w:r w:rsidRPr="004E6ED1" w:rsidR="00927FB1">
        <w:rPr>
          <w:rFonts w:cs="Arial"/>
        </w:rPr>
        <w:t xml:space="preserve">is required to establish a Total Maximum Daily Load (TMDL), or implement alternative approaches as defined in </w:t>
      </w:r>
      <w:r w:rsidRPr="004E6ED1" w:rsidR="002A3BF1">
        <w:rPr>
          <w:rFonts w:cs="Arial"/>
        </w:rPr>
        <w:t>USEPA</w:t>
      </w:r>
      <w:r w:rsidRPr="004E6ED1" w:rsidR="00927FB1">
        <w:rPr>
          <w:rFonts w:cs="Arial"/>
        </w:rPr>
        <w:t xml:space="preserve">’s Long-Term Vision for Assessment, Restoration and Protection under the Clean Water Act </w:t>
      </w:r>
      <w:r w:rsidRPr="004E6ED1" w:rsidR="00E67F9F">
        <w:rPr>
          <w:rFonts w:cs="Arial"/>
        </w:rPr>
        <w:t>§</w:t>
      </w:r>
      <w:r w:rsidRPr="004E6ED1" w:rsidR="00927FB1">
        <w:rPr>
          <w:rFonts w:cs="Arial"/>
        </w:rPr>
        <w:t>303(d) Program</w:t>
      </w:r>
      <w:r w:rsidRPr="004E6ED1" w:rsidR="003B055A">
        <w:rPr>
          <w:rFonts w:cs="Arial"/>
        </w:rPr>
        <w:t>.</w:t>
      </w:r>
      <w:r w:rsidR="002A4359">
        <w:rPr>
          <w:rFonts w:cs="Arial"/>
        </w:rPr>
        <w:t xml:space="preserve"> </w:t>
      </w:r>
      <w:r w:rsidRPr="00A21D92" w:rsidR="006042D8">
        <w:rPr>
          <w:rFonts w:cs="Arial"/>
        </w:rPr>
        <w:t>TMDL</w:t>
      </w:r>
      <w:r w:rsidRPr="00A21D92" w:rsidR="00D553FC">
        <w:rPr>
          <w:rFonts w:cs="Arial"/>
        </w:rPr>
        <w:t xml:space="preserve">s </w:t>
      </w:r>
      <w:r w:rsidRPr="00A21D92" w:rsidR="00086FD6">
        <w:rPr>
          <w:rFonts w:cs="Arial"/>
        </w:rPr>
        <w:t>establis</w:t>
      </w:r>
      <w:r w:rsidRPr="00A21D92" w:rsidR="00D553FC">
        <w:rPr>
          <w:rFonts w:cs="Arial"/>
        </w:rPr>
        <w:t xml:space="preserve">h </w:t>
      </w:r>
      <w:r w:rsidR="00F90EEA">
        <w:rPr>
          <w:rFonts w:cs="Arial"/>
        </w:rPr>
        <w:t>wasteload</w:t>
      </w:r>
      <w:r w:rsidRPr="00A21D92" w:rsidR="005A7571">
        <w:rPr>
          <w:rFonts w:cs="Arial"/>
        </w:rPr>
        <w:t xml:space="preserve"> allocation</w:t>
      </w:r>
      <w:r w:rsidRPr="00A21D92" w:rsidR="00D553FC">
        <w:rPr>
          <w:rFonts w:cs="Arial"/>
        </w:rPr>
        <w:t>s for point source</w:t>
      </w:r>
      <w:r w:rsidRPr="00A21D92" w:rsidR="005A691A">
        <w:rPr>
          <w:rFonts w:cs="Arial"/>
        </w:rPr>
        <w:t xml:space="preserve"> discharge</w:t>
      </w:r>
      <w:r w:rsidRPr="00A21D92" w:rsidR="00D553FC">
        <w:rPr>
          <w:rFonts w:cs="Arial"/>
        </w:rPr>
        <w:t>s</w:t>
      </w:r>
      <w:r w:rsidRPr="00A21D92" w:rsidR="00C77011">
        <w:rPr>
          <w:rFonts w:cs="Arial"/>
        </w:rPr>
        <w:t xml:space="preserve"> and</w:t>
      </w:r>
      <w:r w:rsidRPr="00A21D92" w:rsidR="00D553FC">
        <w:rPr>
          <w:rFonts w:cs="Arial"/>
        </w:rPr>
        <w:t xml:space="preserve"> load allocations for non-point source</w:t>
      </w:r>
      <w:r w:rsidRPr="00A21D92" w:rsidR="005A691A">
        <w:rPr>
          <w:rFonts w:cs="Arial"/>
        </w:rPr>
        <w:t xml:space="preserve"> </w:t>
      </w:r>
      <w:r w:rsidRPr="00A21D92" w:rsidR="00307C5F">
        <w:rPr>
          <w:rFonts w:cs="Arial"/>
        </w:rPr>
        <w:t>discharges</w:t>
      </w:r>
      <w:r w:rsidRPr="00A21D92" w:rsidR="00D95F7C">
        <w:rPr>
          <w:rFonts w:cs="Arial"/>
        </w:rPr>
        <w:t>. TMDLs</w:t>
      </w:r>
      <w:r w:rsidRPr="00A21D92" w:rsidR="00307C5F">
        <w:rPr>
          <w:rFonts w:cs="Arial"/>
        </w:rPr>
        <w:t xml:space="preserve"> </w:t>
      </w:r>
      <w:r w:rsidRPr="00A21D92" w:rsidR="00D553FC">
        <w:rPr>
          <w:rFonts w:cs="Arial"/>
        </w:rPr>
        <w:t>are established to achieve the water quality standards for the impaired waters.</w:t>
      </w:r>
      <w:r w:rsidR="00D92E5E">
        <w:rPr>
          <w:rFonts w:cs="Arial"/>
        </w:rPr>
        <w:t xml:space="preserve"> This Order </w:t>
      </w:r>
      <w:r w:rsidR="003019CB">
        <w:rPr>
          <w:rFonts w:cs="Arial"/>
        </w:rPr>
        <w:t>includes provisions to implement TMDLs assigned to Permittees regulated by this Oder.</w:t>
      </w:r>
    </w:p>
    <w:p w:rsidRPr="003522DA" w:rsidR="00E758C8" w:rsidP="004E6ED1" w:rsidRDefault="000F6B50" w14:paraId="02158614" w14:textId="3BD65A16">
      <w:pPr>
        <w:pStyle w:val="Heading4"/>
        <w:tabs>
          <w:tab w:val="clear" w:pos="720"/>
          <w:tab w:val="left" w:pos="1080"/>
        </w:tabs>
        <w:ind w:left="1080" w:hanging="1080"/>
        <w:rPr>
          <w:b/>
          <w:bCs/>
          <w:i/>
          <w:iCs w:val="0"/>
        </w:rPr>
      </w:pPr>
      <w:bookmarkStart w:name="_Toc51173179" w:id="33"/>
      <w:r w:rsidRPr="003522DA">
        <w:rPr>
          <w:b/>
          <w:bCs/>
          <w:i/>
          <w:iCs w:val="0"/>
        </w:rPr>
        <w:t>A</w:t>
      </w:r>
      <w:r w:rsidRPr="003522DA" w:rsidR="00132FB1">
        <w:rPr>
          <w:b/>
          <w:bCs/>
          <w:i/>
          <w:iCs w:val="0"/>
        </w:rPr>
        <w:t>7</w:t>
      </w:r>
      <w:r w:rsidRPr="003522DA" w:rsidR="00E758C8">
        <w:rPr>
          <w:b/>
          <w:bCs/>
          <w:i/>
          <w:iCs w:val="0"/>
        </w:rPr>
        <w:t>.3.6</w:t>
      </w:r>
      <w:r w:rsidRPr="003522DA" w:rsidR="00465559">
        <w:rPr>
          <w:b/>
          <w:bCs/>
          <w:i/>
          <w:iCs w:val="0"/>
        </w:rPr>
        <w:tab/>
      </w:r>
      <w:r w:rsidRPr="003522DA" w:rsidR="00E758C8">
        <w:rPr>
          <w:b/>
          <w:bCs/>
          <w:i/>
          <w:iCs w:val="0"/>
        </w:rPr>
        <w:t>Enforcement</w:t>
      </w:r>
      <w:r w:rsidRPr="003522DA" w:rsidR="00FE33BF">
        <w:rPr>
          <w:b/>
          <w:bCs/>
          <w:i/>
          <w:iCs w:val="0"/>
        </w:rPr>
        <w:t xml:space="preserve"> and Non-Compliance</w:t>
      </w:r>
      <w:bookmarkEnd w:id="33"/>
    </w:p>
    <w:p w:rsidRPr="00A21D92" w:rsidR="00E758C8" w:rsidP="004E6ED1" w:rsidRDefault="00E758C8" w14:paraId="5F26AA6D" w14:textId="75EFA2E1">
      <w:pPr>
        <w:snapToGrid w:val="0"/>
        <w:ind w:left="1080"/>
        <w:rPr>
          <w:rFonts w:cs="Arial"/>
        </w:rPr>
      </w:pPr>
      <w:r w:rsidRPr="00A21D92">
        <w:rPr>
          <w:rFonts w:cs="Arial"/>
        </w:rPr>
        <w:t xml:space="preserve">The State and Regional Water Boards </w:t>
      </w:r>
      <w:r w:rsidRPr="6B38FDFC" w:rsidR="00A82DFB">
        <w:rPr>
          <w:rFonts w:cs="Arial"/>
        </w:rPr>
        <w:t xml:space="preserve">are authorized to </w:t>
      </w:r>
      <w:r w:rsidRPr="00A21D92">
        <w:rPr>
          <w:rFonts w:cs="Arial"/>
        </w:rPr>
        <w:t>enforce the provisions and requirements of this Order</w:t>
      </w:r>
      <w:r w:rsidRPr="00A21D92" w:rsidR="00FE33BF">
        <w:rPr>
          <w:rFonts w:cs="Arial"/>
        </w:rPr>
        <w:t xml:space="preserve">. NPDES regulations require the </w:t>
      </w:r>
      <w:r w:rsidR="00A3627A">
        <w:rPr>
          <w:rFonts w:cs="Arial"/>
        </w:rPr>
        <w:t>Permittee</w:t>
      </w:r>
      <w:r w:rsidRPr="00A21D92" w:rsidR="00FE33BF">
        <w:rPr>
          <w:rFonts w:cs="Arial"/>
        </w:rPr>
        <w:t xml:space="preserve"> to notify the State or appropriate Regional Water Board of </w:t>
      </w:r>
      <w:r w:rsidRPr="00A21D92" w:rsidR="00306E9B">
        <w:rPr>
          <w:rFonts w:cs="Arial"/>
        </w:rPr>
        <w:t>anticipated</w:t>
      </w:r>
      <w:r w:rsidRPr="00A21D92" w:rsidR="00FE33BF">
        <w:rPr>
          <w:rFonts w:cs="Arial"/>
        </w:rPr>
        <w:t xml:space="preserve"> non-compliance with this Order (40</w:t>
      </w:r>
      <w:r w:rsidRPr="00A21D92" w:rsidR="000405A6">
        <w:rPr>
          <w:rFonts w:cs="Arial"/>
        </w:rPr>
        <w:t xml:space="preserve"> </w:t>
      </w:r>
      <w:r w:rsidRPr="00A21D92" w:rsidDel="00C644B0" w:rsidR="007B232F">
        <w:rPr>
          <w:rFonts w:cs="Arial"/>
        </w:rPr>
        <w:t>C.F.R.</w:t>
      </w:r>
      <w:r w:rsidRPr="00A21D92" w:rsidR="000405A6">
        <w:rPr>
          <w:rFonts w:cs="Arial"/>
        </w:rPr>
        <w:t xml:space="preserve"> </w:t>
      </w:r>
      <w:r w:rsidR="00E67F9F">
        <w:rPr>
          <w:rFonts w:cs="Arial"/>
        </w:rPr>
        <w:t>§</w:t>
      </w:r>
      <w:r w:rsidRPr="00A21D92" w:rsidR="00FE33BF">
        <w:rPr>
          <w:rFonts w:cs="Arial"/>
        </w:rPr>
        <w:t>122.41(l)(2)</w:t>
      </w:r>
      <w:r w:rsidRPr="00A21D92" w:rsidR="002603CD">
        <w:rPr>
          <w:rFonts w:cs="Arial"/>
        </w:rPr>
        <w:t>)</w:t>
      </w:r>
      <w:r w:rsidRPr="00A21D92" w:rsidR="00306E9B">
        <w:rPr>
          <w:rFonts w:cs="Arial"/>
        </w:rPr>
        <w:t xml:space="preserve"> or of instances of non-compliance that endanger human health or the environment (40</w:t>
      </w:r>
      <w:r w:rsidRPr="00A21D92" w:rsidR="000405A6">
        <w:rPr>
          <w:rFonts w:cs="Arial"/>
        </w:rPr>
        <w:t xml:space="preserve"> </w:t>
      </w:r>
      <w:r w:rsidRPr="00A21D92" w:rsidDel="00C644B0" w:rsidR="007B232F">
        <w:rPr>
          <w:rFonts w:cs="Arial"/>
        </w:rPr>
        <w:t>C.F.R.</w:t>
      </w:r>
      <w:r w:rsidRPr="00A21D92" w:rsidR="000405A6">
        <w:rPr>
          <w:rFonts w:cs="Arial"/>
        </w:rPr>
        <w:t xml:space="preserve"> </w:t>
      </w:r>
      <w:r w:rsidR="00E67F9F">
        <w:rPr>
          <w:rFonts w:cs="Arial"/>
        </w:rPr>
        <w:t>§</w:t>
      </w:r>
      <w:r w:rsidRPr="00A21D92" w:rsidR="00306E9B">
        <w:rPr>
          <w:rFonts w:cs="Arial"/>
        </w:rPr>
        <w:t>122.41(</w:t>
      </w:r>
      <w:r w:rsidRPr="003522DA" w:rsidR="00306E9B">
        <w:rPr>
          <w:rFonts w:cs="Arial"/>
        </w:rPr>
        <w:t>l</w:t>
      </w:r>
      <w:r w:rsidRPr="00A21D92" w:rsidR="00306E9B">
        <w:rPr>
          <w:rFonts w:cs="Arial"/>
        </w:rPr>
        <w:t>)(6))</w:t>
      </w:r>
      <w:r w:rsidRPr="00A21D92" w:rsidR="00110579">
        <w:rPr>
          <w:rFonts w:cs="Arial"/>
        </w:rPr>
        <w:t>.</w:t>
      </w:r>
      <w:r w:rsidRPr="00A21D92" w:rsidR="00306E9B">
        <w:rPr>
          <w:rFonts w:cs="Arial"/>
        </w:rPr>
        <w:t xml:space="preserve"> </w:t>
      </w:r>
    </w:p>
    <w:p w:rsidRPr="004E6ED1" w:rsidR="00E758C8" w:rsidP="004E6ED1" w:rsidRDefault="000F6B50" w14:paraId="36584479" w14:textId="6F9D1F46">
      <w:pPr>
        <w:pStyle w:val="Heading4"/>
        <w:tabs>
          <w:tab w:val="clear" w:pos="720"/>
          <w:tab w:val="left" w:pos="1080"/>
        </w:tabs>
        <w:ind w:left="1080" w:hanging="1080"/>
        <w:rPr>
          <w:b/>
          <w:bCs/>
          <w:i/>
          <w:iCs w:val="0"/>
        </w:rPr>
      </w:pPr>
      <w:bookmarkStart w:name="_Toc51173180" w:id="34"/>
      <w:r w:rsidRPr="004E6ED1">
        <w:rPr>
          <w:b/>
          <w:bCs/>
          <w:i/>
          <w:iCs w:val="0"/>
        </w:rPr>
        <w:t>A</w:t>
      </w:r>
      <w:r w:rsidRPr="004E6ED1" w:rsidR="00132FB1">
        <w:rPr>
          <w:b/>
          <w:bCs/>
          <w:i/>
          <w:iCs w:val="0"/>
        </w:rPr>
        <w:t>7</w:t>
      </w:r>
      <w:r w:rsidRPr="004E6ED1" w:rsidR="003C7CF1">
        <w:rPr>
          <w:b/>
          <w:bCs/>
          <w:i/>
          <w:iCs w:val="0"/>
        </w:rPr>
        <w:t>.3.7</w:t>
      </w:r>
      <w:r w:rsidRPr="004E6ED1" w:rsidR="00465559">
        <w:rPr>
          <w:b/>
          <w:bCs/>
          <w:i/>
          <w:iCs w:val="0"/>
        </w:rPr>
        <w:tab/>
      </w:r>
      <w:r w:rsidRPr="004E6ED1" w:rsidR="003C7CF1">
        <w:rPr>
          <w:b/>
          <w:bCs/>
          <w:i/>
          <w:iCs w:val="0"/>
        </w:rPr>
        <w:t>Public Participation</w:t>
      </w:r>
      <w:bookmarkEnd w:id="34"/>
    </w:p>
    <w:p w:rsidRPr="004E6ED1" w:rsidR="008D3E0A" w:rsidP="0083331F" w:rsidRDefault="001C28F8" w14:paraId="10A064E1" w14:textId="7554975C">
      <w:pPr>
        <w:snapToGrid w:val="0"/>
        <w:ind w:left="1080"/>
        <w:rPr>
          <w:rFonts w:cs="Arial"/>
        </w:rPr>
      </w:pPr>
      <w:r w:rsidRPr="004E6ED1">
        <w:rPr>
          <w:rFonts w:cs="Arial"/>
        </w:rPr>
        <w:t>California Water Code</w:t>
      </w:r>
      <w:r w:rsidRPr="004E6ED1" w:rsidR="00603719">
        <w:rPr>
          <w:rFonts w:cs="Arial"/>
        </w:rPr>
        <w:t xml:space="preserve"> </w:t>
      </w:r>
      <w:r w:rsidRPr="004E6ED1" w:rsidR="00E67F9F">
        <w:rPr>
          <w:rFonts w:cs="Arial"/>
        </w:rPr>
        <w:t>§</w:t>
      </w:r>
      <w:r w:rsidRPr="004E6ED1" w:rsidR="008D3E0A">
        <w:rPr>
          <w:rFonts w:cs="Arial"/>
        </w:rPr>
        <w:t xml:space="preserve">13167.5 requires that the State Water Board provide </w:t>
      </w:r>
      <w:r w:rsidRPr="004E6ED1" w:rsidR="005C6E4C">
        <w:rPr>
          <w:rFonts w:cs="Arial"/>
        </w:rPr>
        <w:t>notice and period of at least 30 days for public comment prior to the adoption of</w:t>
      </w:r>
      <w:r w:rsidRPr="004E6ED1" w:rsidR="00EB78A8">
        <w:rPr>
          <w:rFonts w:cs="Arial"/>
        </w:rPr>
        <w:t xml:space="preserve"> waste discharge requ</w:t>
      </w:r>
      <w:r w:rsidRPr="004E6ED1" w:rsidR="00CE4100">
        <w:rPr>
          <w:rFonts w:cs="Arial"/>
        </w:rPr>
        <w:t>irements</w:t>
      </w:r>
      <w:r w:rsidR="00EE4B48">
        <w:rPr>
          <w:rFonts w:cs="Arial"/>
        </w:rPr>
        <w:t>.</w:t>
      </w:r>
      <w:r w:rsidRPr="004E6ED1" w:rsidR="00CE4100">
        <w:rPr>
          <w:rFonts w:cs="Arial"/>
        </w:rPr>
        <w:t xml:space="preserve"> </w:t>
      </w:r>
    </w:p>
    <w:p w:rsidRPr="004E6ED1" w:rsidR="00506869" w:rsidP="0083331F" w:rsidRDefault="00BA37CC" w14:paraId="1CAA62F8" w14:textId="7090E1D1">
      <w:pPr>
        <w:snapToGrid w:val="0"/>
        <w:ind w:left="1080"/>
        <w:rPr>
          <w:rFonts w:cs="Arial"/>
        </w:rPr>
      </w:pPr>
      <w:r w:rsidRPr="002E68F9">
        <w:rPr>
          <w:rFonts w:cs="Arial"/>
        </w:rPr>
        <w:t xml:space="preserve">State Water Board staff </w:t>
      </w:r>
      <w:r w:rsidRPr="002E68F9" w:rsidR="00B0730B">
        <w:rPr>
          <w:rFonts w:cs="Arial"/>
        </w:rPr>
        <w:t xml:space="preserve">issued an Informal Draft </w:t>
      </w:r>
      <w:r w:rsidRPr="002E68F9" w:rsidR="0007013E">
        <w:rPr>
          <w:rFonts w:cs="Arial"/>
        </w:rPr>
        <w:t>Small MS4 permit</w:t>
      </w:r>
      <w:r w:rsidRPr="002E68F9" w:rsidR="00AA532F">
        <w:rPr>
          <w:rFonts w:cs="Arial"/>
        </w:rPr>
        <w:t xml:space="preserve"> on </w:t>
      </w:r>
      <w:r w:rsidRPr="002E68F9" w:rsidR="003F697B">
        <w:rPr>
          <w:rFonts w:cs="Arial"/>
        </w:rPr>
        <w:t xml:space="preserve">August </w:t>
      </w:r>
      <w:r w:rsidRPr="002E68F9" w:rsidR="009B771E">
        <w:rPr>
          <w:rFonts w:cs="Arial"/>
        </w:rPr>
        <w:t>1, 2024</w:t>
      </w:r>
      <w:r w:rsidRPr="002E68F9" w:rsidR="0007013E">
        <w:rPr>
          <w:rFonts w:cs="Arial"/>
        </w:rPr>
        <w:t xml:space="preserve">, </w:t>
      </w:r>
      <w:r w:rsidRPr="008745A3" w:rsidR="00DB66DD">
        <w:rPr>
          <w:rFonts w:cs="Arial"/>
          <w:highlight w:val="yellow"/>
        </w:rPr>
        <w:t xml:space="preserve">and </w:t>
      </w:r>
      <w:r w:rsidRPr="008745A3" w:rsidR="0007013E">
        <w:rPr>
          <w:rFonts w:cs="Arial"/>
          <w:highlight w:val="yellow"/>
        </w:rPr>
        <w:t>a</w:t>
      </w:r>
      <w:r w:rsidRPr="008745A3" w:rsidR="00AE1B9D">
        <w:rPr>
          <w:rFonts w:cs="Arial"/>
          <w:highlight w:val="yellow"/>
        </w:rPr>
        <w:t xml:space="preserve"> Draft Small MS4 permit </w:t>
      </w:r>
      <w:r w:rsidRPr="008745A3" w:rsidR="009B771E">
        <w:rPr>
          <w:rFonts w:cs="Arial"/>
          <w:highlight w:val="yellow"/>
        </w:rPr>
        <w:t xml:space="preserve">on </w:t>
      </w:r>
      <w:r w:rsidRPr="00F63DA9" w:rsidR="009B771E">
        <w:rPr>
          <w:rFonts w:cs="Arial"/>
          <w:highlight w:val="yellow"/>
        </w:rPr>
        <w:t>XXX xx</w:t>
      </w:r>
      <w:r w:rsidRPr="00890D26" w:rsidR="009B771E">
        <w:rPr>
          <w:rFonts w:cs="Arial"/>
          <w:highlight w:val="yellow"/>
        </w:rPr>
        <w:t>, 202</w:t>
      </w:r>
      <w:r w:rsidR="007F3DEC">
        <w:rPr>
          <w:rFonts w:cs="Arial"/>
          <w:highlight w:val="yellow"/>
        </w:rPr>
        <w:t>x</w:t>
      </w:r>
      <w:r w:rsidRPr="00890D26" w:rsidR="00AE1B9D">
        <w:rPr>
          <w:rFonts w:cs="Arial"/>
          <w:highlight w:val="yellow"/>
        </w:rPr>
        <w:t xml:space="preserve">, </w:t>
      </w:r>
      <w:r w:rsidRPr="00890D26" w:rsidR="00DB66DD">
        <w:rPr>
          <w:rFonts w:cs="Arial"/>
          <w:highlight w:val="yellow"/>
        </w:rPr>
        <w:t>for 60</w:t>
      </w:r>
      <w:r w:rsidRPr="008745A3" w:rsidR="00A94D6D">
        <w:rPr>
          <w:rFonts w:cs="Arial"/>
          <w:highlight w:val="yellow"/>
        </w:rPr>
        <w:t> </w:t>
      </w:r>
      <w:r w:rsidRPr="008745A3" w:rsidR="00DB66DD">
        <w:rPr>
          <w:rFonts w:cs="Arial"/>
          <w:highlight w:val="yellow"/>
        </w:rPr>
        <w:t>day comment periods.</w:t>
      </w:r>
      <w:r w:rsidRPr="004E6ED1" w:rsidR="00DB66DD">
        <w:rPr>
          <w:rFonts w:cs="Arial"/>
        </w:rPr>
        <w:t xml:space="preserve"> </w:t>
      </w:r>
    </w:p>
    <w:p w:rsidR="0001630D" w:rsidP="0083331F" w:rsidRDefault="00CF5B61" w14:paraId="32AA0991" w14:textId="35A5165F">
      <w:pPr>
        <w:snapToGrid w:val="0"/>
        <w:ind w:left="1080"/>
        <w:rPr>
          <w:rFonts w:cs="Arial"/>
        </w:rPr>
      </w:pPr>
      <w:r w:rsidRPr="004E6ED1">
        <w:rPr>
          <w:rFonts w:cs="Arial"/>
        </w:rPr>
        <w:t xml:space="preserve">On September </w:t>
      </w:r>
      <w:r w:rsidRPr="004E6ED1" w:rsidR="00F146CA">
        <w:rPr>
          <w:rFonts w:cs="Arial"/>
        </w:rPr>
        <w:t xml:space="preserve">3 </w:t>
      </w:r>
      <w:r w:rsidRPr="004E6ED1">
        <w:rPr>
          <w:rFonts w:cs="Arial"/>
        </w:rPr>
        <w:t xml:space="preserve">and </w:t>
      </w:r>
      <w:r w:rsidRPr="004E6ED1" w:rsidR="00F146CA">
        <w:rPr>
          <w:rFonts w:cs="Arial"/>
        </w:rPr>
        <w:t>5</w:t>
      </w:r>
      <w:r w:rsidRPr="004E6ED1">
        <w:rPr>
          <w:rFonts w:cs="Arial"/>
        </w:rPr>
        <w:t xml:space="preserve">, 2024, State Water Board staff conducted </w:t>
      </w:r>
      <w:r w:rsidRPr="004E6ED1" w:rsidR="007F4E54">
        <w:rPr>
          <w:rFonts w:cs="Arial"/>
        </w:rPr>
        <w:t>workshops on the Informal Draft Permit.</w:t>
      </w:r>
      <w:r w:rsidRPr="004E6ED1" w:rsidR="00F146CA">
        <w:rPr>
          <w:rFonts w:cs="Arial"/>
        </w:rPr>
        <w:t xml:space="preserve"> </w:t>
      </w:r>
      <w:r w:rsidRPr="004E6ED1" w:rsidR="00DC1FF1">
        <w:rPr>
          <w:rFonts w:cs="Arial"/>
        </w:rPr>
        <w:t xml:space="preserve">In addition, </w:t>
      </w:r>
      <w:r w:rsidR="00DC1FF1">
        <w:rPr>
          <w:rFonts w:cs="Arial"/>
        </w:rPr>
        <w:t xml:space="preserve">over the summer of 2024 </w:t>
      </w:r>
      <w:r w:rsidRPr="004E6ED1" w:rsidR="00DC1FF1">
        <w:rPr>
          <w:rFonts w:cs="Arial"/>
        </w:rPr>
        <w:t>State Water Board staff met informally with stakeholders</w:t>
      </w:r>
      <w:r w:rsidR="00DC1FF1">
        <w:rPr>
          <w:rFonts w:cs="Arial"/>
        </w:rPr>
        <w:t xml:space="preserve"> and accepted verbal comments</w:t>
      </w:r>
      <w:r w:rsidR="00DC1FF1">
        <w:t>.</w:t>
      </w:r>
    </w:p>
    <w:p w:rsidR="00A56AA0" w:rsidP="0083331F" w:rsidRDefault="00F146CA" w14:paraId="44251202" w14:textId="6F298529">
      <w:pPr>
        <w:snapToGrid w:val="0"/>
        <w:ind w:left="1080"/>
      </w:pPr>
      <w:r w:rsidRPr="004E6ED1">
        <w:rPr>
          <w:rFonts w:cs="Arial"/>
        </w:rPr>
        <w:t xml:space="preserve">On </w:t>
      </w:r>
      <w:r w:rsidR="00A04A7C">
        <w:rPr>
          <w:rFonts w:cs="Arial"/>
        </w:rPr>
        <w:t>July 29</w:t>
      </w:r>
      <w:r>
        <w:rPr>
          <w:rFonts w:cs="Arial"/>
        </w:rPr>
        <w:t xml:space="preserve"> and </w:t>
      </w:r>
      <w:r w:rsidR="00A04A7C">
        <w:rPr>
          <w:rFonts w:cs="Arial"/>
        </w:rPr>
        <w:t>July 30</w:t>
      </w:r>
      <w:r w:rsidRPr="004E6ED1">
        <w:rPr>
          <w:rFonts w:cs="Arial"/>
        </w:rPr>
        <w:t>, 202</w:t>
      </w:r>
      <w:r w:rsidR="00425CF9">
        <w:rPr>
          <w:rFonts w:cs="Arial"/>
        </w:rPr>
        <w:t>6</w:t>
      </w:r>
      <w:r w:rsidR="00A94D6D">
        <w:rPr>
          <w:rFonts w:cs="Arial"/>
        </w:rPr>
        <w:t>,</w:t>
      </w:r>
      <w:r w:rsidRPr="004E6ED1">
        <w:rPr>
          <w:rFonts w:cs="Arial"/>
        </w:rPr>
        <w:t xml:space="preserve"> </w:t>
      </w:r>
      <w:r w:rsidRPr="004E6ED1" w:rsidR="008568A4">
        <w:rPr>
          <w:rFonts w:cs="Arial"/>
        </w:rPr>
        <w:t xml:space="preserve">State Water Board staff conducted public workshops on the Draft Permit. </w:t>
      </w:r>
    </w:p>
    <w:p w:rsidRPr="004E6ED1" w:rsidR="00D04408" w:rsidP="004E6ED1" w:rsidRDefault="000F6B50" w14:paraId="7443D994" w14:textId="45425888">
      <w:pPr>
        <w:pStyle w:val="Heading4"/>
        <w:tabs>
          <w:tab w:val="clear" w:pos="720"/>
          <w:tab w:val="left" w:pos="1080"/>
        </w:tabs>
        <w:ind w:left="1080" w:hanging="1080"/>
        <w:rPr>
          <w:b/>
          <w:bCs/>
          <w:i/>
          <w:iCs w:val="0"/>
        </w:rPr>
      </w:pPr>
      <w:bookmarkStart w:name="_Toc51173181" w:id="35"/>
      <w:bookmarkStart w:name="_Toc74912536" w:id="36"/>
      <w:r w:rsidRPr="004E6ED1">
        <w:rPr>
          <w:b/>
          <w:bCs/>
          <w:i/>
          <w:iCs w:val="0"/>
        </w:rPr>
        <w:t>A</w:t>
      </w:r>
      <w:r w:rsidRPr="004E6ED1" w:rsidR="00132FB1">
        <w:rPr>
          <w:b/>
          <w:bCs/>
          <w:i/>
          <w:iCs w:val="0"/>
        </w:rPr>
        <w:t>7</w:t>
      </w:r>
      <w:r w:rsidRPr="004E6ED1" w:rsidR="00D04408">
        <w:rPr>
          <w:b/>
          <w:bCs/>
          <w:i/>
          <w:iCs w:val="0"/>
        </w:rPr>
        <w:t>.</w:t>
      </w:r>
      <w:r w:rsidRPr="004E6ED1" w:rsidR="00F34627">
        <w:rPr>
          <w:b/>
          <w:bCs/>
          <w:i/>
          <w:iCs w:val="0"/>
        </w:rPr>
        <w:t>3.8</w:t>
      </w:r>
      <w:r w:rsidRPr="004E6ED1" w:rsidR="003F6038">
        <w:rPr>
          <w:b/>
          <w:bCs/>
          <w:i/>
          <w:iCs w:val="0"/>
        </w:rPr>
        <w:tab/>
      </w:r>
      <w:r w:rsidRPr="004E6ED1" w:rsidR="003F6038">
        <w:rPr>
          <w:b/>
          <w:bCs/>
          <w:i/>
          <w:iCs w:val="0"/>
        </w:rPr>
        <w:t>Human Right to Water</w:t>
      </w:r>
    </w:p>
    <w:p w:rsidRPr="004E6ED1" w:rsidR="003F6038" w:rsidP="004E6ED1" w:rsidRDefault="00415A83" w14:paraId="6AF84236" w14:textId="268EED98">
      <w:pPr>
        <w:snapToGrid w:val="0"/>
        <w:ind w:left="1080"/>
        <w:rPr>
          <w:rFonts w:cs="Arial"/>
        </w:rPr>
      </w:pPr>
      <w:r w:rsidRPr="004E6ED1">
        <w:rPr>
          <w:rFonts w:cs="Arial"/>
        </w:rPr>
        <w:t>The Order is consistent with the State Water Board Resolution’s No. 2016</w:t>
      </w:r>
      <w:r w:rsidR="00DB616F">
        <w:rPr>
          <w:rFonts w:cs="Arial"/>
        </w:rPr>
        <w:noBreakHyphen/>
      </w:r>
      <w:r w:rsidRPr="004E6ED1">
        <w:rPr>
          <w:rFonts w:cs="Arial"/>
        </w:rPr>
        <w:t>0010, which adopts the human right to water as a core value and directs its implementation in programs and activities</w:t>
      </w:r>
      <w:r w:rsidRPr="004E6ED1" w:rsidR="00572060">
        <w:rPr>
          <w:rFonts w:cs="Arial"/>
        </w:rPr>
        <w:t xml:space="preserve">. The Order is expected to positively impact the human right to water through </w:t>
      </w:r>
      <w:r w:rsidRPr="004E6ED1" w:rsidR="007C4A94">
        <w:rPr>
          <w:rFonts w:cs="Arial"/>
        </w:rPr>
        <w:t>improving</w:t>
      </w:r>
      <w:r w:rsidRPr="004E6ED1" w:rsidR="00572060">
        <w:rPr>
          <w:rFonts w:cs="Arial"/>
        </w:rPr>
        <w:t xml:space="preserve"> </w:t>
      </w:r>
      <w:r w:rsidRPr="004E6ED1" w:rsidR="006E12B2">
        <w:rPr>
          <w:rFonts w:cs="Arial"/>
        </w:rPr>
        <w:t>storm</w:t>
      </w:r>
      <w:r w:rsidRPr="004E6ED1" w:rsidR="00572060">
        <w:rPr>
          <w:rFonts w:cs="Arial"/>
        </w:rPr>
        <w:t xml:space="preserve">water quality </w:t>
      </w:r>
      <w:r w:rsidRPr="004E6ED1" w:rsidR="00FD57FE">
        <w:rPr>
          <w:rFonts w:cs="Arial"/>
        </w:rPr>
        <w:t xml:space="preserve">discharged to </w:t>
      </w:r>
      <w:r w:rsidRPr="004E6ED1" w:rsidR="008678DD">
        <w:rPr>
          <w:rFonts w:cs="Arial"/>
        </w:rPr>
        <w:t>surface water</w:t>
      </w:r>
      <w:r w:rsidRPr="004E6ED1" w:rsidR="00D87BEE">
        <w:rPr>
          <w:rFonts w:cs="Arial"/>
        </w:rPr>
        <w:t>.</w:t>
      </w:r>
      <w:r w:rsidRPr="004E6ED1" w:rsidR="00E27E07">
        <w:rPr>
          <w:rFonts w:cs="Arial"/>
        </w:rPr>
        <w:t xml:space="preserve"> </w:t>
      </w:r>
    </w:p>
    <w:p w:rsidRPr="004E6ED1" w:rsidR="00332926" w:rsidP="004E6ED1" w:rsidRDefault="000F6B50" w14:paraId="1A4A9B0F" w14:textId="0E994E5B">
      <w:pPr>
        <w:pStyle w:val="Heading4"/>
        <w:tabs>
          <w:tab w:val="clear" w:pos="720"/>
          <w:tab w:val="left" w:pos="1080"/>
        </w:tabs>
        <w:ind w:left="1080" w:hanging="1080"/>
        <w:rPr>
          <w:b/>
          <w:bCs/>
          <w:i/>
          <w:iCs w:val="0"/>
        </w:rPr>
      </w:pPr>
      <w:r w:rsidRPr="004E6ED1">
        <w:rPr>
          <w:b/>
          <w:bCs/>
          <w:i/>
          <w:iCs w:val="0"/>
        </w:rPr>
        <w:t>A</w:t>
      </w:r>
      <w:r w:rsidRPr="004E6ED1" w:rsidR="00132FB1">
        <w:rPr>
          <w:b/>
          <w:bCs/>
          <w:i/>
          <w:iCs w:val="0"/>
        </w:rPr>
        <w:t>7</w:t>
      </w:r>
      <w:r w:rsidRPr="004E6ED1" w:rsidR="00332926">
        <w:rPr>
          <w:b/>
          <w:bCs/>
          <w:i/>
          <w:iCs w:val="0"/>
        </w:rPr>
        <w:t>.3.9</w:t>
      </w:r>
      <w:r w:rsidRPr="004E6ED1" w:rsidR="00332926">
        <w:rPr>
          <w:b/>
          <w:bCs/>
          <w:i/>
          <w:iCs w:val="0"/>
        </w:rPr>
        <w:tab/>
      </w:r>
      <w:r w:rsidR="007E3A7E">
        <w:rPr>
          <w:b/>
          <w:bCs/>
          <w:i/>
          <w:iCs w:val="0"/>
        </w:rPr>
        <w:t xml:space="preserve">Public </w:t>
      </w:r>
      <w:r w:rsidRPr="004E6ED1" w:rsidR="00211E40">
        <w:rPr>
          <w:b/>
          <w:bCs/>
          <w:i/>
          <w:iCs w:val="0"/>
        </w:rPr>
        <w:t>Outreach</w:t>
      </w:r>
    </w:p>
    <w:p w:rsidR="00F64B69" w:rsidP="00E82250" w:rsidRDefault="00F27051" w14:paraId="16F3B6E6" w14:textId="3AC00D42">
      <w:pPr>
        <w:snapToGrid w:val="0"/>
        <w:ind w:left="1080"/>
      </w:pPr>
      <w:r w:rsidRPr="00F27051">
        <w:t xml:space="preserve">The public process to consider adoption </w:t>
      </w:r>
      <w:r w:rsidR="00887B54">
        <w:t xml:space="preserve">of this Order </w:t>
      </w:r>
      <w:r w:rsidRPr="00F27051">
        <w:t>provided opportunities for stakeholders</w:t>
      </w:r>
      <w:r w:rsidR="000767F3">
        <w:t xml:space="preserve">, </w:t>
      </w:r>
      <w:r w:rsidR="007D6DC1">
        <w:t>disadvantaged communities and tribes</w:t>
      </w:r>
      <w:r w:rsidR="00F64B69">
        <w:rPr>
          <w:rStyle w:val="FootnoteReference"/>
        </w:rPr>
        <w:footnoteReference w:id="8"/>
      </w:r>
      <w:r w:rsidR="007D6DC1">
        <w:t xml:space="preserve">, </w:t>
      </w:r>
      <w:r w:rsidR="00C26D1C">
        <w:t xml:space="preserve">and interested parties </w:t>
      </w:r>
      <w:r w:rsidRPr="00F27051">
        <w:t>to provide meaningful input on the Order requirements that affect their communities.</w:t>
      </w:r>
      <w:r w:rsidR="00887B54">
        <w:t xml:space="preserve"> </w:t>
      </w:r>
    </w:p>
    <w:p w:rsidRPr="00B817D3" w:rsidR="00E82250" w:rsidP="00E82250" w:rsidRDefault="00E82250" w14:paraId="7E086E59" w14:textId="32DCE2B6">
      <w:pPr>
        <w:snapToGrid w:val="0"/>
        <w:ind w:left="1080"/>
        <w:rPr>
          <w:rFonts w:eastAsiaTheme="minorHAnsi"/>
        </w:rPr>
      </w:pPr>
      <w:r w:rsidRPr="00A21D92">
        <w:t xml:space="preserve">The </w:t>
      </w:r>
      <w:r>
        <w:t>Permittees</w:t>
      </w:r>
      <w:r w:rsidRPr="001C59FD">
        <w:t xml:space="preserve">, </w:t>
      </w:r>
      <w:r>
        <w:t xml:space="preserve">tribal contacts, disadvantaged communities, </w:t>
      </w:r>
      <w:r w:rsidR="002B5FD7">
        <w:t xml:space="preserve">and </w:t>
      </w:r>
      <w:r w:rsidRPr="001C59FD">
        <w:t>interested agencies and persons have been notified of the</w:t>
      </w:r>
      <w:r w:rsidRPr="00B817D3">
        <w:rPr>
          <w:rFonts w:eastAsiaTheme="minorHAnsi"/>
        </w:rPr>
        <w:t xml:space="preserve"> State Water Board’s intent to reissue </w:t>
      </w:r>
      <w:r>
        <w:rPr>
          <w:rFonts w:eastAsiaTheme="minorHAnsi"/>
        </w:rPr>
        <w:t xml:space="preserve">the waste discharge </w:t>
      </w:r>
      <w:r w:rsidRPr="00B817D3">
        <w:rPr>
          <w:rFonts w:eastAsiaTheme="minorHAnsi"/>
        </w:rPr>
        <w:t>requirements for stormwater discharges and have been provided an opportunity to submit their written comments and recommendations and receive responses to these written comments. The State Water Board, through public testimony in public meetings and in written form, has received and considered all comments pertaining to this Order.</w:t>
      </w:r>
    </w:p>
    <w:p w:rsidRPr="007F3DEC" w:rsidR="00692287" w:rsidP="002215C6" w:rsidRDefault="000F6B50" w14:paraId="63F8ACC5" w14:textId="6E84966E">
      <w:pPr>
        <w:pStyle w:val="Heading3"/>
      </w:pPr>
      <w:r>
        <w:t>A</w:t>
      </w:r>
      <w:r w:rsidR="00EF7174">
        <w:t>7</w:t>
      </w:r>
      <w:r w:rsidRPr="00546DA6" w:rsidR="007D7CA4">
        <w:t>.4</w:t>
      </w:r>
      <w:r w:rsidRPr="00546DA6" w:rsidR="00465559">
        <w:tab/>
      </w:r>
      <w:r w:rsidRPr="00546DA6" w:rsidR="00692287">
        <w:t xml:space="preserve">Local </w:t>
      </w:r>
      <w:r w:rsidRPr="00546DA6" w:rsidR="00950246">
        <w:t xml:space="preserve">Jurisdictions </w:t>
      </w:r>
      <w:r w:rsidRPr="00546DA6" w:rsidR="00692287">
        <w:t>and Preemption</w:t>
      </w:r>
      <w:bookmarkEnd w:id="35"/>
      <w:bookmarkEnd w:id="36"/>
    </w:p>
    <w:p w:rsidR="003676C8" w:rsidP="0083331F" w:rsidRDefault="000A1C58" w14:paraId="63473FFB" w14:textId="5CFA1054">
      <w:pPr>
        <w:snapToGrid w:val="0"/>
        <w:ind w:left="720"/>
        <w:rPr>
          <w:rFonts w:cs="Arial"/>
        </w:rPr>
      </w:pPr>
      <w:r w:rsidRPr="0099303F">
        <w:rPr>
          <w:rFonts w:cs="Arial"/>
        </w:rPr>
        <w:t xml:space="preserve">This Order does not supersede the authority of the </w:t>
      </w:r>
      <w:r w:rsidR="00A3627A">
        <w:rPr>
          <w:rFonts w:cs="Arial"/>
        </w:rPr>
        <w:t>Permittee</w:t>
      </w:r>
      <w:r w:rsidRPr="0099303F" w:rsidR="007C0E2C">
        <w:rPr>
          <w:rFonts w:cs="Arial"/>
        </w:rPr>
        <w:t xml:space="preserve"> </w:t>
      </w:r>
      <w:r w:rsidRPr="0099303F" w:rsidR="004B7AEA">
        <w:rPr>
          <w:rFonts w:cs="Arial"/>
        </w:rPr>
        <w:t>or</w:t>
      </w:r>
      <w:r w:rsidRPr="0099303F" w:rsidR="007C0E2C">
        <w:rPr>
          <w:rFonts w:cs="Arial"/>
        </w:rPr>
        <w:t xml:space="preserve"> the authority of the </w:t>
      </w:r>
      <w:r w:rsidRPr="0099303F" w:rsidR="008853D6">
        <w:rPr>
          <w:rFonts w:cs="Arial"/>
        </w:rPr>
        <w:t>local jurisdiction</w:t>
      </w:r>
      <w:r w:rsidRPr="0099303F">
        <w:rPr>
          <w:rFonts w:cs="Arial"/>
        </w:rPr>
        <w:t xml:space="preserve"> to prohibit, restrict, or control </w:t>
      </w:r>
      <w:r w:rsidRPr="0099303F" w:rsidR="00BB2F57">
        <w:rPr>
          <w:rFonts w:cs="Arial"/>
        </w:rPr>
        <w:t>stormwater</w:t>
      </w:r>
      <w:r w:rsidRPr="0099303F">
        <w:rPr>
          <w:rFonts w:cs="Arial"/>
        </w:rPr>
        <w:t xml:space="preserve"> discharges</w:t>
      </w:r>
      <w:r w:rsidRPr="0099303F" w:rsidR="004B7AEA">
        <w:rPr>
          <w:rFonts w:cs="Arial"/>
        </w:rPr>
        <w:t>,</w:t>
      </w:r>
      <w:r w:rsidRPr="0099303F">
        <w:rPr>
          <w:rFonts w:cs="Arial"/>
        </w:rPr>
        <w:t xml:space="preserve"> and conditionally exempt non-</w:t>
      </w:r>
      <w:r w:rsidRPr="0099303F" w:rsidR="00BB2F57">
        <w:rPr>
          <w:rFonts w:cs="Arial"/>
        </w:rPr>
        <w:t>stormwater</w:t>
      </w:r>
      <w:r w:rsidRPr="0099303F">
        <w:rPr>
          <w:rFonts w:cs="Arial"/>
        </w:rPr>
        <w:t xml:space="preserve"> discharges to storm drain systems or other watercourses within its </w:t>
      </w:r>
      <w:r w:rsidRPr="0099303F" w:rsidR="00872CBA">
        <w:rPr>
          <w:rFonts w:cs="Arial"/>
        </w:rPr>
        <w:t>jurisdiction</w:t>
      </w:r>
      <w:r w:rsidRPr="0099303F">
        <w:rPr>
          <w:rFonts w:cs="Arial"/>
        </w:rPr>
        <w:t xml:space="preserve"> as allowed by </w:t>
      </w:r>
      <w:r w:rsidR="00D95F7C">
        <w:rPr>
          <w:rFonts w:cs="Arial"/>
        </w:rPr>
        <w:t>s</w:t>
      </w:r>
      <w:r w:rsidRPr="0099303F">
        <w:rPr>
          <w:rFonts w:cs="Arial"/>
        </w:rPr>
        <w:t>tate and federal law.</w:t>
      </w:r>
      <w:r w:rsidRPr="0099303F" w:rsidR="00C47002">
        <w:rPr>
          <w:rFonts w:cs="Arial"/>
        </w:rPr>
        <w:t xml:space="preserve"> </w:t>
      </w:r>
    </w:p>
    <w:p w:rsidRPr="0099303F" w:rsidR="00692287" w:rsidP="0083331F" w:rsidRDefault="00C47002" w14:paraId="37D9D9C3" w14:textId="5EF22C78">
      <w:pPr>
        <w:snapToGrid w:val="0"/>
        <w:ind w:left="720"/>
        <w:rPr>
          <w:rFonts w:cs="Arial"/>
        </w:rPr>
      </w:pPr>
      <w:r w:rsidRPr="0099303F">
        <w:rPr>
          <w:rFonts w:cs="Arial"/>
        </w:rPr>
        <w:t xml:space="preserve">The </w:t>
      </w:r>
      <w:r w:rsidR="00A3627A">
        <w:rPr>
          <w:rFonts w:cs="Arial"/>
        </w:rPr>
        <w:t>Permittee</w:t>
      </w:r>
      <w:r w:rsidRPr="0099303F">
        <w:rPr>
          <w:rFonts w:cs="Arial"/>
        </w:rPr>
        <w:t xml:space="preserve"> is expected to comply with the lawful requirements of municipalities and other local, regional, and state agencies regarding discharges </w:t>
      </w:r>
      <w:r w:rsidRPr="0099303F">
        <w:rPr>
          <w:rFonts w:cs="Arial"/>
        </w:rPr>
        <w:t xml:space="preserve">of </w:t>
      </w:r>
      <w:r w:rsidRPr="0099303F" w:rsidR="004C29C6">
        <w:rPr>
          <w:rFonts w:cs="Arial"/>
        </w:rPr>
        <w:t>stormwater</w:t>
      </w:r>
      <w:r w:rsidRPr="0099303F">
        <w:rPr>
          <w:rFonts w:cs="Arial"/>
        </w:rPr>
        <w:t xml:space="preserve"> to separate storm sewer systems or other watercourses under those jurisdictions.</w:t>
      </w:r>
      <w:r w:rsidR="00AF05D1">
        <w:rPr>
          <w:rFonts w:cs="Arial"/>
        </w:rPr>
        <w:t xml:space="preserve"> </w:t>
      </w:r>
      <w:r w:rsidRPr="0099303F" w:rsidR="00AF05D1">
        <w:rPr>
          <w:rFonts w:cs="Arial"/>
        </w:rPr>
        <w:t xml:space="preserve">Stormwater and non-stormwater discharges from </w:t>
      </w:r>
      <w:r w:rsidR="00732899">
        <w:rPr>
          <w:rFonts w:cs="Arial"/>
        </w:rPr>
        <w:t>MS4s</w:t>
      </w:r>
      <w:r w:rsidRPr="0099303F" w:rsidR="00AF05D1">
        <w:rPr>
          <w:rFonts w:cs="Arial"/>
        </w:rPr>
        <w:t xml:space="preserve"> that are owned and managed by local jurisdictions may discharge to stormwater conveyance systems owned and managed by the </w:t>
      </w:r>
      <w:r w:rsidR="00AF05D1">
        <w:rPr>
          <w:rFonts w:cs="Arial"/>
        </w:rPr>
        <w:t>Permittee</w:t>
      </w:r>
      <w:r w:rsidRPr="0099303F" w:rsidR="00AF05D1">
        <w:rPr>
          <w:rFonts w:cs="Arial"/>
        </w:rPr>
        <w:t xml:space="preserve">; likewise, stormwater and non-stormwater discharges from the </w:t>
      </w:r>
      <w:r w:rsidR="00AF05D1">
        <w:rPr>
          <w:rFonts w:cs="Arial"/>
        </w:rPr>
        <w:t>Permittee</w:t>
      </w:r>
      <w:r w:rsidRPr="0099303F" w:rsidR="00AF05D1">
        <w:rPr>
          <w:rFonts w:cs="Arial"/>
        </w:rPr>
        <w:t>’s right</w:t>
      </w:r>
      <w:r w:rsidRPr="00A21D92" w:rsidR="00AF05D1">
        <w:rPr>
          <w:rFonts w:cs="Arial"/>
        </w:rPr>
        <w:t>-</w:t>
      </w:r>
      <w:r w:rsidRPr="0099303F" w:rsidR="00AF05D1">
        <w:rPr>
          <w:rFonts w:cs="Arial"/>
        </w:rPr>
        <w:t>of</w:t>
      </w:r>
      <w:r w:rsidRPr="00A21D92" w:rsidR="00AF05D1">
        <w:rPr>
          <w:rFonts w:cs="Arial"/>
        </w:rPr>
        <w:t>-</w:t>
      </w:r>
      <w:r w:rsidRPr="0099303F" w:rsidR="00AF05D1">
        <w:rPr>
          <w:rFonts w:cs="Arial"/>
        </w:rPr>
        <w:t>way, properties, facilities, and activities may discharge to stormwater conveyance systems managed by local jurisdictions.</w:t>
      </w:r>
    </w:p>
    <w:p w:rsidRPr="00A21D92" w:rsidR="10A581A9" w:rsidP="002215C6" w:rsidRDefault="000F6B50" w14:paraId="70AC9513" w14:textId="4F24A269">
      <w:pPr>
        <w:pStyle w:val="Heading3"/>
      </w:pPr>
      <w:r>
        <w:t>A</w:t>
      </w:r>
      <w:r w:rsidR="00EF7174">
        <w:t>7</w:t>
      </w:r>
      <w:r w:rsidRPr="00A21D92" w:rsidR="10A581A9">
        <w:t xml:space="preserve">.5 </w:t>
      </w:r>
      <w:r w:rsidR="00606EDA">
        <w:tab/>
      </w:r>
      <w:r w:rsidR="00254ECF">
        <w:t xml:space="preserve">Economic </w:t>
      </w:r>
      <w:r w:rsidRPr="00A84AB2" w:rsidR="10A581A9">
        <w:t>Consideration</w:t>
      </w:r>
      <w:r w:rsidR="00254ECF">
        <w:t>s ‒</w:t>
      </w:r>
      <w:r w:rsidRPr="00A84AB2" w:rsidR="10A581A9">
        <w:t xml:space="preserve"> </w:t>
      </w:r>
      <w:r w:rsidRPr="00A21D92" w:rsidR="10A581A9">
        <w:t>Cost of Compliance</w:t>
      </w:r>
    </w:p>
    <w:p w:rsidR="00240295" w:rsidP="00AB3927" w:rsidRDefault="00854DED" w14:paraId="6377B0F1" w14:textId="70C859E8">
      <w:pPr>
        <w:shd w:val="clear" w:color="auto" w:fill="FFFFFF" w:themeFill="background1"/>
        <w:snapToGrid w:val="0"/>
        <w:ind w:left="720"/>
        <w:rPr>
          <w:rFonts w:eastAsia="Arial" w:cs="Arial"/>
          <w:color w:val="000000" w:themeColor="text1"/>
        </w:rPr>
      </w:pPr>
      <w:r>
        <w:rPr>
          <w:rFonts w:eastAsia="Arial" w:cs="Arial"/>
          <w:color w:val="000000" w:themeColor="text1"/>
        </w:rPr>
        <w:t xml:space="preserve">Cost of compliance has been considered </w:t>
      </w:r>
      <w:r w:rsidR="009D0EF9">
        <w:rPr>
          <w:rFonts w:eastAsia="Arial" w:cs="Arial"/>
          <w:color w:val="000000" w:themeColor="text1"/>
        </w:rPr>
        <w:t>in issuing this Order</w:t>
      </w:r>
      <w:r w:rsidR="00E813AB">
        <w:rPr>
          <w:rFonts w:eastAsia="Arial" w:cs="Arial"/>
          <w:color w:val="000000" w:themeColor="text1"/>
        </w:rPr>
        <w:t xml:space="preserve"> while taking into consideration that</w:t>
      </w:r>
      <w:r w:rsidR="00162313">
        <w:rPr>
          <w:rFonts w:eastAsia="Arial" w:cs="Arial"/>
          <w:color w:val="000000" w:themeColor="text1"/>
        </w:rPr>
        <w:t xml:space="preserve"> m</w:t>
      </w:r>
      <w:r w:rsidRPr="00794414" w:rsidR="00794414">
        <w:rPr>
          <w:rFonts w:eastAsia="Arial" w:cs="Arial"/>
          <w:color w:val="000000" w:themeColor="text1"/>
        </w:rPr>
        <w:t xml:space="preserve">any stormwater program components and associated costs existed before any MS4 permits were issued. For example, storm drain maintenance, street sweeping and trash/litter collection costs cannot solely or even principally </w:t>
      </w:r>
      <w:r w:rsidR="002528D5">
        <w:rPr>
          <w:rFonts w:eastAsia="Arial" w:cs="Arial"/>
          <w:color w:val="000000" w:themeColor="text1"/>
        </w:rPr>
        <w:t xml:space="preserve">be </w:t>
      </w:r>
      <w:r w:rsidRPr="00794414" w:rsidR="00794414">
        <w:rPr>
          <w:rFonts w:eastAsia="Arial" w:cs="Arial"/>
          <w:color w:val="000000" w:themeColor="text1"/>
        </w:rPr>
        <w:t xml:space="preserve">attributed to MS4 permit compliance since these long-standing practices preceded the adoption of the earliest </w:t>
      </w:r>
      <w:r w:rsidR="003253DD">
        <w:rPr>
          <w:rFonts w:eastAsia="Arial" w:cs="Arial"/>
          <w:color w:val="000000" w:themeColor="text1"/>
        </w:rPr>
        <w:t>stormwater</w:t>
      </w:r>
      <w:r w:rsidRPr="00794414" w:rsidR="00794414">
        <w:rPr>
          <w:rFonts w:eastAsia="Arial" w:cs="Arial"/>
          <w:color w:val="000000" w:themeColor="text1"/>
        </w:rPr>
        <w:t xml:space="preserve"> permit in 1990. Even many structural BMPs (erosion protection, energy dissipation devices, detention basins etc.) are standard engineering practice for many projects and are not implemented solely to comply with permit provisions. Therefore, the true cost resulting from MS4 permit requirements is some fraction of the total stormwater program costs.</w:t>
      </w:r>
      <w:r w:rsidR="00EA69AA">
        <w:rPr>
          <w:rFonts w:eastAsia="Arial" w:cs="Arial"/>
          <w:color w:val="000000" w:themeColor="text1"/>
        </w:rPr>
        <w:t xml:space="preserve"> </w:t>
      </w:r>
    </w:p>
    <w:p w:rsidR="00240295" w:rsidP="00260FCD" w:rsidRDefault="0090111F" w14:paraId="0A192F3B" w14:textId="27DD2FC6">
      <w:pPr>
        <w:pStyle w:val="Heading4"/>
        <w:rPr>
          <w:rFonts w:eastAsia="Arial"/>
        </w:rPr>
      </w:pPr>
      <w:r>
        <w:rPr>
          <w:rFonts w:eastAsia="Arial"/>
        </w:rPr>
        <w:t xml:space="preserve">Cost of Compliance – </w:t>
      </w:r>
      <w:r w:rsidR="00240295">
        <w:rPr>
          <w:rFonts w:eastAsia="Arial"/>
        </w:rPr>
        <w:t>Six Minimum Control Measures</w:t>
      </w:r>
    </w:p>
    <w:p w:rsidRPr="002E68F9" w:rsidR="00261FA3" w:rsidP="00BE647D" w:rsidRDefault="00E177B1" w14:paraId="51474CDD" w14:textId="33D3B5E7">
      <w:pPr>
        <w:shd w:val="clear" w:color="auto" w:fill="FFFFFF" w:themeFill="background1"/>
        <w:snapToGrid w:val="0"/>
        <w:ind w:left="720"/>
        <w:rPr>
          <w:rFonts w:eastAsia="Arial" w:cs="Arial"/>
          <w:color w:val="000000" w:themeColor="text1"/>
        </w:rPr>
      </w:pPr>
      <w:r w:rsidRPr="002E68F9">
        <w:rPr>
          <w:rFonts w:eastAsia="Arial" w:cs="Arial"/>
          <w:color w:val="000000" w:themeColor="text1"/>
        </w:rPr>
        <w:t xml:space="preserve">Federal Regulations require that Phase II </w:t>
      </w:r>
      <w:r w:rsidRPr="002E68F9" w:rsidR="00124437">
        <w:rPr>
          <w:rFonts w:eastAsia="Arial" w:cs="Arial"/>
          <w:color w:val="000000" w:themeColor="text1"/>
        </w:rPr>
        <w:t>Small MS4</w:t>
      </w:r>
      <w:r w:rsidRPr="002E68F9">
        <w:rPr>
          <w:rFonts w:eastAsia="Arial" w:cs="Arial"/>
          <w:color w:val="000000" w:themeColor="text1"/>
        </w:rPr>
        <w:t xml:space="preserve"> permits include the six minimum measure of control</w:t>
      </w:r>
      <w:r w:rsidRPr="002E68F9" w:rsidR="00A5439D">
        <w:rPr>
          <w:rFonts w:eastAsia="Arial" w:cs="Arial"/>
          <w:color w:val="000000" w:themeColor="text1"/>
        </w:rPr>
        <w:t xml:space="preserve"> (i</w:t>
      </w:r>
      <w:r w:rsidRPr="002E68F9" w:rsidR="0040044A">
        <w:rPr>
          <w:rFonts w:eastAsia="Arial" w:cs="Arial"/>
          <w:color w:val="000000" w:themeColor="text1"/>
        </w:rPr>
        <w:t>.e., p</w:t>
      </w:r>
      <w:r w:rsidRPr="002E68F9" w:rsidR="0040044A">
        <w:t>ublic education and outreach, public participation,</w:t>
      </w:r>
      <w:r w:rsidRPr="002E68F9" w:rsidR="00C30C2F">
        <w:rPr>
          <w:rFonts w:eastAsia="Arial" w:cs="Arial"/>
          <w:color w:val="000000" w:themeColor="text1"/>
        </w:rPr>
        <w:t xml:space="preserve"> </w:t>
      </w:r>
      <w:r w:rsidRPr="002E68F9" w:rsidR="00C30C2F">
        <w:t>illicit discharge detection and elimination,</w:t>
      </w:r>
      <w:r w:rsidRPr="002E68F9" w:rsidR="005C5EC4">
        <w:t xml:space="preserve"> management of construction site runoff, </w:t>
      </w:r>
      <w:r w:rsidRPr="002E68F9" w:rsidR="002B2B96">
        <w:t xml:space="preserve">management of post construction site runoff, and </w:t>
      </w:r>
      <w:r w:rsidRPr="002E68F9" w:rsidR="00D649FA">
        <w:t>good housekeeping in municipal operations).</w:t>
      </w:r>
    </w:p>
    <w:p w:rsidRPr="002E68F9" w:rsidR="001F4912" w:rsidP="00BE647D" w:rsidRDefault="00CC3B1E" w14:paraId="6BAB1AE3" w14:textId="442B300B">
      <w:pPr>
        <w:shd w:val="clear" w:color="auto" w:fill="FFFFFF" w:themeFill="background1"/>
        <w:snapToGrid w:val="0"/>
        <w:ind w:left="720"/>
      </w:pPr>
      <w:r w:rsidRPr="002E68F9">
        <w:t>California State University, Sacramento</w:t>
      </w:r>
      <w:r w:rsidRPr="002E68F9" w:rsidR="00DD2634">
        <w:t xml:space="preserve">, Office </w:t>
      </w:r>
      <w:r w:rsidRPr="002E68F9" w:rsidR="00A962D1">
        <w:t>of Water Program</w:t>
      </w:r>
      <w:r w:rsidRPr="002E68F9" w:rsidR="00BD5890">
        <w:t>’</w:t>
      </w:r>
      <w:r w:rsidRPr="002E68F9" w:rsidR="00A962D1">
        <w:t>s</w:t>
      </w:r>
      <w:r w:rsidRPr="002E68F9">
        <w:t xml:space="preserve"> </w:t>
      </w:r>
      <w:r w:rsidRPr="002E68F9" w:rsidR="00D17594">
        <w:t xml:space="preserve">January </w:t>
      </w:r>
      <w:r w:rsidRPr="002E68F9" w:rsidR="00230280">
        <w:t xml:space="preserve">2005 </w:t>
      </w:r>
      <w:hyperlink w:history="1" r:id="rId17">
        <w:r w:rsidRPr="002E68F9" w:rsidR="0047333B">
          <w:rPr>
            <w:rStyle w:val="Hyperlink"/>
          </w:rPr>
          <w:t>NPDES Stormwater Cost Survey</w:t>
        </w:r>
      </w:hyperlink>
      <w:r w:rsidRPr="002E68F9">
        <w:t xml:space="preserve"> found </w:t>
      </w:r>
      <w:r w:rsidRPr="002E68F9" w:rsidR="00A74C80">
        <w:t>stormwater costs per household for the Phase II six minimum control measures</w:t>
      </w:r>
      <w:r w:rsidRPr="002E68F9" w:rsidR="0006496F">
        <w:t xml:space="preserve"> </w:t>
      </w:r>
      <w:r w:rsidRPr="002E68F9" w:rsidR="002403EB">
        <w:t xml:space="preserve">had </w:t>
      </w:r>
      <w:r w:rsidRPr="002E68F9" w:rsidR="0006496F">
        <w:t xml:space="preserve">a </w:t>
      </w:r>
      <w:r w:rsidRPr="002E68F9" w:rsidR="00A1590B">
        <w:t>mean cost of 26</w:t>
      </w:r>
      <w:r w:rsidRPr="002E68F9" w:rsidR="002403EB">
        <w:t xml:space="preserve"> </w:t>
      </w:r>
      <w:r w:rsidRPr="002E68F9" w:rsidR="00A1590B">
        <w:t>dollars per household</w:t>
      </w:r>
      <w:r w:rsidRPr="002E68F9" w:rsidR="00D17594">
        <w:t xml:space="preserve"> per year</w:t>
      </w:r>
      <w:r w:rsidRPr="002E68F9" w:rsidR="009B244D">
        <w:t xml:space="preserve">. </w:t>
      </w:r>
      <w:r w:rsidRPr="002E68F9" w:rsidR="00E070BE">
        <w:rPr>
          <w:shd w:val="clear" w:color="auto" w:fill="FFFFFF" w:themeFill="background1"/>
        </w:rPr>
        <w:t>Adjusted f</w:t>
      </w:r>
      <w:r w:rsidRPr="002E68F9" w:rsidR="00E070BE">
        <w:t xml:space="preserve">or </w:t>
      </w:r>
      <w:r w:rsidRPr="002E68F9" w:rsidR="00225B92">
        <w:t xml:space="preserve">April </w:t>
      </w:r>
      <w:r w:rsidRPr="002E68F9" w:rsidR="00E070BE">
        <w:t>2024</w:t>
      </w:r>
      <w:r w:rsidRPr="002E68F9" w:rsidR="00790106">
        <w:t xml:space="preserve"> using the</w:t>
      </w:r>
      <w:r w:rsidRPr="002E68F9" w:rsidR="00D141E9">
        <w:t xml:space="preserve"> U.S. Bureau of Labor Statistics</w:t>
      </w:r>
      <w:r w:rsidRPr="002E68F9" w:rsidR="00790106">
        <w:t xml:space="preserve"> </w:t>
      </w:r>
      <w:hyperlink w:history="1" r:id="rId18">
        <w:r w:rsidRPr="002E68F9" w:rsidR="00BD6394">
          <w:rPr>
            <w:rStyle w:val="Hyperlink"/>
          </w:rPr>
          <w:t>CPI Inflation Calculator</w:t>
        </w:r>
      </w:hyperlink>
      <w:r w:rsidRPr="002E68F9" w:rsidR="00225B92">
        <w:t>, the</w:t>
      </w:r>
      <w:r w:rsidRPr="002E68F9" w:rsidR="006931D7">
        <w:t xml:space="preserve"> mean </w:t>
      </w:r>
      <w:r w:rsidRPr="002E68F9" w:rsidR="001755C9">
        <w:t>is</w:t>
      </w:r>
      <w:r w:rsidRPr="002E68F9" w:rsidR="006931D7">
        <w:t xml:space="preserve"> </w:t>
      </w:r>
      <w:r w:rsidRPr="002E68F9" w:rsidR="00BD6394">
        <w:t>42.75 dol</w:t>
      </w:r>
      <w:r w:rsidRPr="002E68F9" w:rsidR="00225B92">
        <w:t>l</w:t>
      </w:r>
      <w:r w:rsidRPr="002E68F9" w:rsidR="00BD6394">
        <w:t>ars per household per year.</w:t>
      </w:r>
    </w:p>
    <w:p w:rsidRPr="002E68F9" w:rsidR="00B8469D" w:rsidP="00BE647D" w:rsidRDefault="005713D4" w14:paraId="2F13BA3E" w14:textId="0BA0D4F5">
      <w:pPr>
        <w:shd w:val="clear" w:color="auto" w:fill="FFFFFF" w:themeFill="background1"/>
        <w:snapToGrid w:val="0"/>
        <w:ind w:left="720"/>
        <w:rPr>
          <w:rFonts w:eastAsia="Arial" w:cs="Arial"/>
          <w:color w:val="000000" w:themeColor="text1"/>
        </w:rPr>
      </w:pPr>
      <w:r w:rsidRPr="002E68F9">
        <w:rPr>
          <w:rFonts w:eastAsia="Arial" w:cs="Arial"/>
          <w:color w:val="000000" w:themeColor="text1"/>
        </w:rPr>
        <w:t xml:space="preserve">Where appropriate, this Order continues the requirements from the previous Order. </w:t>
      </w:r>
      <w:r w:rsidRPr="002E68F9" w:rsidR="10A581A9">
        <w:rPr>
          <w:rFonts w:eastAsia="Arial" w:cs="Arial"/>
          <w:color w:val="000000" w:themeColor="text1"/>
        </w:rPr>
        <w:t xml:space="preserve">The </w:t>
      </w:r>
      <w:r w:rsidRPr="002E68F9" w:rsidR="10A581A9">
        <w:rPr>
          <w:rFonts w:cs="Arial"/>
        </w:rPr>
        <w:t>State</w:t>
      </w:r>
      <w:r w:rsidRPr="002E68F9" w:rsidR="10A581A9">
        <w:rPr>
          <w:rFonts w:eastAsia="Arial" w:cs="Arial"/>
          <w:color w:val="000000" w:themeColor="text1"/>
        </w:rPr>
        <w:t xml:space="preserve"> Water Board has considered the requirements for the </w:t>
      </w:r>
      <w:r w:rsidRPr="002E68F9" w:rsidR="00A3627A">
        <w:rPr>
          <w:rFonts w:eastAsia="Arial" w:cs="Arial"/>
          <w:color w:val="000000" w:themeColor="text1"/>
        </w:rPr>
        <w:t>Permittee</w:t>
      </w:r>
      <w:r w:rsidRPr="002E68F9" w:rsidR="10A581A9">
        <w:rPr>
          <w:rFonts w:eastAsia="Arial" w:cs="Arial"/>
          <w:color w:val="000000" w:themeColor="text1"/>
        </w:rPr>
        <w:t xml:space="preserve"> to implement </w:t>
      </w:r>
      <w:r w:rsidRPr="002E68F9" w:rsidR="004C3CEF">
        <w:rPr>
          <w:rFonts w:eastAsia="Arial" w:cs="Arial"/>
          <w:color w:val="000000" w:themeColor="text1"/>
        </w:rPr>
        <w:t>BMPs</w:t>
      </w:r>
      <w:r w:rsidRPr="002E68F9" w:rsidR="10A581A9">
        <w:rPr>
          <w:rFonts w:eastAsia="Arial" w:cs="Arial"/>
          <w:color w:val="000000" w:themeColor="text1"/>
        </w:rPr>
        <w:t xml:space="preserve"> to meet the minimum “</w:t>
      </w:r>
      <w:r w:rsidRPr="002E68F9" w:rsidR="00C10298">
        <w:rPr>
          <w:rFonts w:eastAsia="Arial" w:cs="Arial"/>
          <w:color w:val="000000" w:themeColor="text1"/>
        </w:rPr>
        <w:t>Maximum Extent Practicable</w:t>
      </w:r>
      <w:r w:rsidRPr="002E68F9" w:rsidR="10A581A9">
        <w:rPr>
          <w:rFonts w:eastAsia="Arial" w:cs="Arial"/>
          <w:color w:val="000000" w:themeColor="text1"/>
        </w:rPr>
        <w:t xml:space="preserve">” </w:t>
      </w:r>
      <w:r w:rsidRPr="002E68F9" w:rsidR="00AE7BDA">
        <w:rPr>
          <w:rFonts w:eastAsia="Arial" w:cs="Arial"/>
          <w:color w:val="000000" w:themeColor="text1"/>
        </w:rPr>
        <w:t xml:space="preserve">(MEP) </w:t>
      </w:r>
      <w:r w:rsidRPr="002E68F9" w:rsidR="10A581A9">
        <w:rPr>
          <w:rFonts w:eastAsia="Arial" w:cs="Arial"/>
          <w:color w:val="000000" w:themeColor="text1"/>
        </w:rPr>
        <w:t xml:space="preserve">standard required by federal law and has determined that the costs reflect this standard. </w:t>
      </w:r>
    </w:p>
    <w:p w:rsidRPr="002E68F9" w:rsidR="10A581A9" w:rsidP="00BE647D" w:rsidRDefault="10A581A9" w14:paraId="6AFF4613" w14:textId="7BC4F06E">
      <w:pPr>
        <w:shd w:val="clear" w:color="auto" w:fill="FFFFFF" w:themeFill="background1"/>
        <w:snapToGrid w:val="0"/>
        <w:ind w:left="720"/>
        <w:rPr>
          <w:rFonts w:eastAsia="Arial" w:cs="Arial"/>
          <w:color w:val="000000" w:themeColor="text1"/>
        </w:rPr>
      </w:pPr>
      <w:r w:rsidRPr="002E68F9">
        <w:rPr>
          <w:rFonts w:eastAsia="Arial" w:cs="Arial"/>
          <w:color w:val="000000" w:themeColor="text1"/>
        </w:rPr>
        <w:t xml:space="preserve">Consistent with </w:t>
      </w:r>
      <w:hyperlink r:id="rId19">
        <w:r w:rsidRPr="002E68F9">
          <w:rPr>
            <w:rStyle w:val="Hyperlink"/>
            <w:rFonts w:eastAsia="Arial" w:cs="Arial"/>
          </w:rPr>
          <w:t>State Water Board Order WQ 2000-11</w:t>
        </w:r>
      </w:hyperlink>
      <w:r w:rsidRPr="002E68F9">
        <w:rPr>
          <w:rFonts w:eastAsia="Arial" w:cs="Arial"/>
          <w:color w:val="000000" w:themeColor="text1"/>
        </w:rPr>
        <w:t xml:space="preserve">, cost is one factor that should be considered in determining whether a permit reflects the </w:t>
      </w:r>
      <w:r w:rsidRPr="002E68F9" w:rsidR="00C10298">
        <w:rPr>
          <w:rFonts w:eastAsia="Arial" w:cs="Arial"/>
          <w:color w:val="000000" w:themeColor="text1"/>
        </w:rPr>
        <w:t>Maximum Extent Practicable</w:t>
      </w:r>
      <w:r w:rsidRPr="002E68F9">
        <w:rPr>
          <w:rFonts w:eastAsia="Arial" w:cs="Arial"/>
          <w:color w:val="000000" w:themeColor="text1"/>
        </w:rPr>
        <w:t xml:space="preserve"> standard. The </w:t>
      </w:r>
      <w:r w:rsidRPr="002E68F9" w:rsidR="00C10298">
        <w:rPr>
          <w:rFonts w:eastAsia="Arial" w:cs="Arial"/>
          <w:color w:val="000000" w:themeColor="text1"/>
        </w:rPr>
        <w:t>Maximum Extent Practicable</w:t>
      </w:r>
      <w:r w:rsidRPr="002E68F9">
        <w:rPr>
          <w:rFonts w:eastAsia="Arial" w:cs="Arial"/>
          <w:color w:val="000000" w:themeColor="text1"/>
        </w:rPr>
        <w:t xml:space="preserve"> standard is an </w:t>
      </w:r>
      <w:r w:rsidRPr="002E68F9">
        <w:rPr>
          <w:rFonts w:eastAsia="Arial" w:cs="Arial"/>
          <w:color w:val="000000" w:themeColor="text1"/>
        </w:rPr>
        <w:t xml:space="preserve">evolving, flexible, and advancing concept that considers technical and economic feasibility. Because of the numerous advances in stormwater regulation, this Order does not require the </w:t>
      </w:r>
      <w:r w:rsidRPr="002E68F9" w:rsidR="00A3627A">
        <w:rPr>
          <w:rFonts w:eastAsia="Arial" w:cs="Arial"/>
          <w:color w:val="000000" w:themeColor="text1"/>
        </w:rPr>
        <w:t>Permittee</w:t>
      </w:r>
      <w:r w:rsidRPr="002E68F9">
        <w:rPr>
          <w:rFonts w:eastAsia="Arial" w:cs="Arial"/>
          <w:color w:val="000000" w:themeColor="text1"/>
        </w:rPr>
        <w:t xml:space="preserve"> to fully incorporate and implement all advances in a single permit term; this Order takes an incremental approach that allows for ongoing prioritization and effective use of limited </w:t>
      </w:r>
      <w:r w:rsidRPr="002E68F9" w:rsidR="00A3627A">
        <w:rPr>
          <w:rFonts w:eastAsia="Arial" w:cs="Arial"/>
          <w:color w:val="000000" w:themeColor="text1"/>
        </w:rPr>
        <w:t>Permittee</w:t>
      </w:r>
      <w:r w:rsidRPr="002E68F9">
        <w:rPr>
          <w:rFonts w:eastAsia="Arial" w:cs="Arial"/>
          <w:color w:val="000000" w:themeColor="text1"/>
        </w:rPr>
        <w:t xml:space="preserve"> funds.</w:t>
      </w:r>
      <w:r w:rsidRPr="002E68F9" w:rsidR="001D5A94">
        <w:rPr>
          <w:rFonts w:eastAsia="Arial" w:cs="Arial"/>
          <w:color w:val="000000" w:themeColor="text1"/>
        </w:rPr>
        <w:t xml:space="preserve"> </w:t>
      </w:r>
      <w:r w:rsidRPr="002E68F9">
        <w:rPr>
          <w:rFonts w:eastAsia="Arial" w:cs="Arial"/>
          <w:color w:val="000000" w:themeColor="text1"/>
        </w:rPr>
        <w:t>While costs associated with the</w:t>
      </w:r>
      <w:r w:rsidRPr="002E68F9">
        <w:rPr>
          <w:rFonts w:eastAsia="Arial" w:cs="Arial"/>
          <w:color w:val="000000" w:themeColor="text1"/>
          <w:u w:val="single"/>
        </w:rPr>
        <w:t xml:space="preserve"> </w:t>
      </w:r>
      <w:hyperlink r:id="rId20">
        <w:r w:rsidRPr="002E68F9">
          <w:rPr>
            <w:rStyle w:val="Hyperlink"/>
            <w:rFonts w:eastAsia="Arial" w:cs="Arial"/>
          </w:rPr>
          <w:t>statewide Trash Provisions</w:t>
        </w:r>
      </w:hyperlink>
      <w:r w:rsidRPr="002E68F9">
        <w:rPr>
          <w:rFonts w:eastAsia="Arial" w:cs="Arial"/>
          <w:color w:val="000000" w:themeColor="text1"/>
          <w:u w:val="single"/>
        </w:rPr>
        <w:t xml:space="preserve"> </w:t>
      </w:r>
      <w:r w:rsidRPr="002E68F9">
        <w:rPr>
          <w:rFonts w:eastAsia="Arial" w:cs="Arial"/>
          <w:color w:val="000000" w:themeColor="text1"/>
        </w:rPr>
        <w:t>and TMDL requirements are discussed below, th</w:t>
      </w:r>
      <w:r w:rsidRPr="002E68F9" w:rsidR="00A703F1">
        <w:rPr>
          <w:rFonts w:eastAsia="Arial" w:cs="Arial"/>
          <w:color w:val="000000" w:themeColor="text1"/>
        </w:rPr>
        <w:t>e</w:t>
      </w:r>
      <w:r w:rsidRPr="002E68F9" w:rsidR="002F179D">
        <w:rPr>
          <w:rFonts w:eastAsia="Arial" w:cs="Arial"/>
          <w:color w:val="000000" w:themeColor="text1"/>
        </w:rPr>
        <w:t xml:space="preserve">y </w:t>
      </w:r>
      <w:r w:rsidRPr="002E68F9">
        <w:rPr>
          <w:rFonts w:eastAsia="Arial" w:cs="Arial"/>
          <w:color w:val="000000" w:themeColor="text1"/>
        </w:rPr>
        <w:t xml:space="preserve">are not subject to the </w:t>
      </w:r>
      <w:r w:rsidRPr="002E68F9" w:rsidR="00C10298">
        <w:rPr>
          <w:rFonts w:eastAsia="Arial" w:cs="Arial"/>
          <w:color w:val="000000" w:themeColor="text1"/>
        </w:rPr>
        <w:t>Maximum Extent Practicable</w:t>
      </w:r>
      <w:r w:rsidRPr="002E68F9">
        <w:rPr>
          <w:rFonts w:eastAsia="Arial" w:cs="Arial"/>
          <w:color w:val="000000" w:themeColor="text1"/>
        </w:rPr>
        <w:t xml:space="preserve"> standard.</w:t>
      </w:r>
    </w:p>
    <w:p w:rsidRPr="002E68F9" w:rsidR="10A581A9" w:rsidP="00BE647D" w:rsidRDefault="00B35556" w14:paraId="4F3B6E18" w14:textId="041605D1">
      <w:pPr>
        <w:shd w:val="clear" w:color="auto" w:fill="FFFFFF" w:themeFill="background1"/>
        <w:snapToGrid w:val="0"/>
        <w:ind w:left="720"/>
        <w:rPr>
          <w:rFonts w:eastAsia="Arial" w:cs="Arial"/>
          <w:color w:val="000000" w:themeColor="text1"/>
        </w:rPr>
      </w:pPr>
      <w:r w:rsidRPr="002E68F9">
        <w:rPr>
          <w:rFonts w:eastAsia="Arial" w:cs="Arial"/>
          <w:color w:val="000000" w:themeColor="text1"/>
        </w:rPr>
        <w:t>T</w:t>
      </w:r>
      <w:r w:rsidRPr="002E68F9" w:rsidR="10A581A9">
        <w:rPr>
          <w:rFonts w:eastAsia="Arial" w:cs="Arial"/>
          <w:color w:val="000000" w:themeColor="text1"/>
        </w:rPr>
        <w:t xml:space="preserve">he </w:t>
      </w:r>
      <w:r w:rsidRPr="002E68F9" w:rsidR="00A3627A">
        <w:rPr>
          <w:rFonts w:eastAsia="Arial" w:cs="Arial"/>
          <w:color w:val="000000" w:themeColor="text1"/>
        </w:rPr>
        <w:t>Permittee</w:t>
      </w:r>
      <w:r w:rsidRPr="002E68F9" w:rsidR="10A581A9">
        <w:rPr>
          <w:rFonts w:eastAsia="Arial" w:cs="Arial"/>
          <w:color w:val="000000" w:themeColor="text1"/>
        </w:rPr>
        <w:t xml:space="preserve"> will </w:t>
      </w:r>
      <w:r w:rsidRPr="002E68F9" w:rsidR="00CE0E8A">
        <w:rPr>
          <w:rFonts w:eastAsia="Arial" w:cs="Arial"/>
          <w:color w:val="000000" w:themeColor="text1"/>
        </w:rPr>
        <w:t xml:space="preserve">incur costs for </w:t>
      </w:r>
      <w:r w:rsidRPr="002E68F9" w:rsidR="004B3B9B">
        <w:rPr>
          <w:rFonts w:eastAsia="Arial" w:cs="Arial"/>
          <w:color w:val="000000" w:themeColor="text1"/>
        </w:rPr>
        <w:t>trash implementation requirements</w:t>
      </w:r>
      <w:r w:rsidRPr="002E68F9" w:rsidR="002156B3">
        <w:rPr>
          <w:rFonts w:eastAsia="Arial" w:cs="Arial"/>
          <w:color w:val="000000" w:themeColor="text1"/>
        </w:rPr>
        <w:t>,</w:t>
      </w:r>
      <w:r w:rsidRPr="002E68F9" w:rsidR="004B3B9B">
        <w:rPr>
          <w:rFonts w:eastAsia="Arial" w:cs="Arial"/>
          <w:color w:val="000000" w:themeColor="text1"/>
        </w:rPr>
        <w:t xml:space="preserve"> </w:t>
      </w:r>
      <w:r w:rsidRPr="002E68F9" w:rsidR="008A2853">
        <w:rPr>
          <w:rFonts w:eastAsia="Arial" w:cs="Arial"/>
          <w:color w:val="000000" w:themeColor="text1"/>
        </w:rPr>
        <w:t xml:space="preserve">in the continuation of </w:t>
      </w:r>
      <w:r w:rsidRPr="002E68F9" w:rsidR="10A581A9">
        <w:rPr>
          <w:rFonts w:eastAsia="Arial" w:cs="Arial"/>
          <w:color w:val="000000" w:themeColor="text1"/>
        </w:rPr>
        <w:t xml:space="preserve">complying with TMDL-related </w:t>
      </w:r>
      <w:r w:rsidRPr="002E68F9" w:rsidR="00F90EEA">
        <w:rPr>
          <w:rFonts w:eastAsia="Arial" w:cs="Arial"/>
          <w:color w:val="000000" w:themeColor="text1"/>
        </w:rPr>
        <w:t>wasteload</w:t>
      </w:r>
      <w:r w:rsidRPr="002E68F9" w:rsidR="10A581A9">
        <w:rPr>
          <w:rFonts w:eastAsia="Arial" w:cs="Arial"/>
          <w:color w:val="000000" w:themeColor="text1"/>
        </w:rPr>
        <w:t xml:space="preserve"> allocations</w:t>
      </w:r>
      <w:r w:rsidRPr="002E68F9" w:rsidR="008A2853">
        <w:rPr>
          <w:rFonts w:eastAsia="Arial" w:cs="Arial"/>
          <w:color w:val="000000" w:themeColor="text1"/>
        </w:rPr>
        <w:t>,</w:t>
      </w:r>
      <w:r w:rsidRPr="002E68F9" w:rsidR="10A581A9">
        <w:rPr>
          <w:rFonts w:eastAsia="Arial" w:cs="Arial"/>
          <w:color w:val="000000" w:themeColor="text1"/>
        </w:rPr>
        <w:t xml:space="preserve"> and </w:t>
      </w:r>
      <w:r w:rsidRPr="002E68F9" w:rsidR="0073493B">
        <w:rPr>
          <w:rFonts w:eastAsia="Arial" w:cs="Arial"/>
          <w:color w:val="000000" w:themeColor="text1"/>
        </w:rPr>
        <w:t xml:space="preserve">in </w:t>
      </w:r>
      <w:r w:rsidRPr="002E68F9" w:rsidR="10A581A9">
        <w:rPr>
          <w:rFonts w:eastAsia="Arial" w:cs="Arial"/>
          <w:color w:val="000000" w:themeColor="text1"/>
        </w:rPr>
        <w:t>implementing the iterative process as required by this Order.</w:t>
      </w:r>
    </w:p>
    <w:p w:rsidRPr="002E68F9" w:rsidR="00403EDE" w:rsidP="00BE647D" w:rsidRDefault="10A581A9" w14:paraId="5444BFE2" w14:textId="1D739A9C">
      <w:pPr>
        <w:shd w:val="clear" w:color="auto" w:fill="FFFFFF" w:themeFill="background1"/>
        <w:snapToGrid w:val="0"/>
        <w:ind w:left="720"/>
        <w:rPr>
          <w:rFonts w:eastAsia="Arial" w:cs="Arial"/>
          <w:color w:val="000000" w:themeColor="text1"/>
        </w:rPr>
      </w:pPr>
      <w:r w:rsidRPr="002E68F9">
        <w:rPr>
          <w:rFonts w:eastAsia="Arial" w:cs="Arial"/>
          <w:color w:val="000000" w:themeColor="text1"/>
        </w:rPr>
        <w:t xml:space="preserve">Consistent with State Water Board </w:t>
      </w:r>
      <w:hyperlink r:id="rId21">
        <w:r w:rsidRPr="002E68F9">
          <w:rPr>
            <w:rStyle w:val="Hyperlink"/>
            <w:rFonts w:eastAsia="Arial" w:cs="Arial"/>
          </w:rPr>
          <w:t>Resolution 2013-0029</w:t>
        </w:r>
      </w:hyperlink>
      <w:r w:rsidRPr="002E68F9">
        <w:rPr>
          <w:rFonts w:eastAsia="Arial" w:cs="Arial"/>
          <w:color w:val="000000" w:themeColor="text1"/>
        </w:rPr>
        <w:t>, State Water Board staff considered the cost of permit compliance during the development of this Order. State Water Board staff held meetings</w:t>
      </w:r>
      <w:r w:rsidRPr="002E68F9" w:rsidR="00697B13">
        <w:rPr>
          <w:rFonts w:eastAsia="Arial" w:cs="Arial"/>
          <w:color w:val="000000" w:themeColor="text1"/>
        </w:rPr>
        <w:t xml:space="preserve"> with </w:t>
      </w:r>
      <w:r w:rsidRPr="002E68F9" w:rsidR="00074CCF">
        <w:rPr>
          <w:rFonts w:eastAsia="Arial" w:cs="Arial"/>
          <w:color w:val="000000" w:themeColor="text1"/>
        </w:rPr>
        <w:t>interested parties</w:t>
      </w:r>
      <w:r w:rsidRPr="002E68F9">
        <w:rPr>
          <w:rFonts w:eastAsia="Arial" w:cs="Arial"/>
          <w:color w:val="000000" w:themeColor="text1"/>
        </w:rPr>
        <w:t xml:space="preserve"> to develop permit requirements that protect water quality per federal and state regulations and law and that are compatible with the </w:t>
      </w:r>
      <w:r w:rsidRPr="002E68F9" w:rsidR="00A3627A">
        <w:rPr>
          <w:rFonts w:eastAsia="Arial" w:cs="Arial"/>
          <w:color w:val="000000" w:themeColor="text1"/>
        </w:rPr>
        <w:t>Permittee</w:t>
      </w:r>
      <w:r w:rsidRPr="002E68F9">
        <w:rPr>
          <w:rFonts w:eastAsia="Arial" w:cs="Arial"/>
          <w:color w:val="000000" w:themeColor="text1"/>
        </w:rPr>
        <w:t xml:space="preserve">’s existing protocols and established Stormwater Management Plan. During these meetings, State Water Board staff provided guidance </w:t>
      </w:r>
      <w:r w:rsidRPr="002E68F9" w:rsidR="00364551">
        <w:rPr>
          <w:rFonts w:eastAsia="Arial" w:cs="Arial"/>
          <w:color w:val="000000" w:themeColor="text1"/>
        </w:rPr>
        <w:t>to</w:t>
      </w:r>
      <w:r w:rsidRPr="002E68F9">
        <w:rPr>
          <w:rFonts w:eastAsia="Arial" w:cs="Arial"/>
          <w:color w:val="000000" w:themeColor="text1"/>
        </w:rPr>
        <w:t xml:space="preserve"> understand permit requirements and the various options this Order provides to demonstrate compliance.</w:t>
      </w:r>
      <w:r w:rsidRPr="002E68F9" w:rsidR="007C133D">
        <w:rPr>
          <w:rFonts w:eastAsia="Arial" w:cs="Arial"/>
          <w:color w:val="000000" w:themeColor="text1"/>
        </w:rPr>
        <w:t xml:space="preserve"> </w:t>
      </w:r>
    </w:p>
    <w:p w:rsidRPr="003A4880" w:rsidR="00403EDE" w:rsidP="00AB6AE3" w:rsidRDefault="00403EDE" w14:paraId="6C8218D7" w14:textId="77777777">
      <w:pPr>
        <w:pStyle w:val="Heading4"/>
        <w:ind w:hanging="540"/>
        <w:rPr>
          <w:rFonts w:eastAsiaTheme="minorHAnsi"/>
          <w:lang w:eastAsia="en-US"/>
        </w:rPr>
      </w:pPr>
      <w:r>
        <w:rPr>
          <w:rFonts w:eastAsia="Arial"/>
          <w:color w:val="201F1E"/>
        </w:rPr>
        <w:t>1.</w:t>
      </w:r>
      <w:r>
        <w:rPr>
          <w:rFonts w:eastAsia="Arial"/>
          <w:color w:val="201F1E"/>
        </w:rPr>
        <w:tab/>
      </w:r>
      <w:r w:rsidRPr="001B1379">
        <w:rPr>
          <w:rFonts w:eastAsiaTheme="minorHAnsi"/>
          <w:lang w:eastAsia="en-US"/>
        </w:rPr>
        <w:t>Potential</w:t>
      </w:r>
      <w:r w:rsidRPr="003A4880">
        <w:rPr>
          <w:rFonts w:eastAsiaTheme="minorHAnsi"/>
          <w:lang w:eastAsia="en-US"/>
        </w:rPr>
        <w:t xml:space="preserve"> Additional Compliance Costs to Maintain Water Quality Protection</w:t>
      </w:r>
    </w:p>
    <w:p w:rsidRPr="00DD5E50" w:rsidR="00403EDE" w:rsidP="00AB6AE3" w:rsidRDefault="00403EDE" w14:paraId="55FFE4D8" w14:textId="77777777">
      <w:pPr>
        <w:ind w:left="1260"/>
        <w:rPr>
          <w:rFonts w:eastAsia="Arial" w:cs="Arial"/>
          <w:color w:val="000000" w:themeColor="text1"/>
        </w:rPr>
      </w:pPr>
      <w:r w:rsidRPr="00DD5E50">
        <w:rPr>
          <w:rStyle w:val="normaltextrun"/>
          <w:rFonts w:cs="Arial"/>
        </w:rPr>
        <w:t>This</w:t>
      </w:r>
      <w:r w:rsidRPr="00DD5E50">
        <w:rPr>
          <w:rFonts w:eastAsia="Arial" w:cs="Arial"/>
          <w:color w:val="000000" w:themeColor="text1"/>
        </w:rPr>
        <w:t xml:space="preserve"> Order may increase the </w:t>
      </w:r>
      <w:r>
        <w:rPr>
          <w:rFonts w:eastAsia="Arial" w:cs="Arial"/>
          <w:color w:val="000000" w:themeColor="text1"/>
        </w:rPr>
        <w:t>Permittee</w:t>
      </w:r>
      <w:r w:rsidRPr="00DD5E50">
        <w:rPr>
          <w:rFonts w:eastAsia="Arial" w:cs="Arial"/>
          <w:color w:val="000000" w:themeColor="text1"/>
        </w:rPr>
        <w:t>’s cost of permit compliance due to the following changes from the previous Order:</w:t>
      </w:r>
    </w:p>
    <w:p w:rsidRPr="00DD5E50" w:rsidR="00403EDE" w:rsidP="00AB6AE3" w:rsidRDefault="00403EDE" w14:paraId="54FB0C4F" w14:textId="77777777">
      <w:pPr>
        <w:pStyle w:val="Heading5"/>
        <w:ind w:hanging="270"/>
      </w:pPr>
      <w:r>
        <w:t>a.</w:t>
      </w:r>
      <w:r>
        <w:tab/>
      </w:r>
      <w:r w:rsidRPr="0035164D">
        <w:t>Post</w:t>
      </w:r>
      <w:r w:rsidRPr="00DD5E50">
        <w:t>-</w:t>
      </w:r>
      <w:r w:rsidRPr="0035164D">
        <w:t>Construction</w:t>
      </w:r>
      <w:r w:rsidRPr="00DD5E50">
        <w:t xml:space="preserve"> Treatment </w:t>
      </w:r>
    </w:p>
    <w:p w:rsidRPr="00DD5E50" w:rsidR="00403EDE" w:rsidP="00403EDE" w:rsidRDefault="00403EDE" w14:paraId="3E14045F" w14:textId="77777777">
      <w:pPr>
        <w:ind w:left="1440"/>
        <w:rPr>
          <w:rFonts w:eastAsia="Arial" w:cs="Arial"/>
          <w:color w:val="000000" w:themeColor="text1"/>
        </w:rPr>
      </w:pPr>
      <w:r>
        <w:rPr>
          <w:rFonts w:eastAsia="Arial" w:cs="Arial"/>
          <w:color w:val="000000" w:themeColor="text1"/>
        </w:rPr>
        <w:t>While the trigger project sizes and general flow of the post-construction low impact development requirements have not been changed from the previous permit, this Order does make several clarifying changes and changes to exceptions to the definition of Regulated Projects that will require permittees to spend resources updating their ordinances, codes, policies, standard contract language, and/or guidance documents. This Order removes the Regulated Project exemption for large single-family homes which may require more permittee resources to track these projects. However, this Order also clearly spells out that standalone full-depth reclamation projects to repair roads can be an exempt if the project is not changing drainage patterns.</w:t>
      </w:r>
    </w:p>
    <w:p w:rsidR="00403EDE" w:rsidP="00AB6AE3" w:rsidRDefault="00403EDE" w14:paraId="20F889E7" w14:textId="77777777">
      <w:pPr>
        <w:pStyle w:val="Heading5"/>
        <w:ind w:hanging="270"/>
      </w:pPr>
      <w:r>
        <w:t>b.</w:t>
      </w:r>
      <w:r>
        <w:tab/>
      </w:r>
      <w:r w:rsidRPr="0035164D">
        <w:t>Resilience</w:t>
      </w:r>
      <w:r>
        <w:t xml:space="preserve"> to Climate Change</w:t>
      </w:r>
    </w:p>
    <w:p w:rsidR="00403EDE" w:rsidP="00403EDE" w:rsidRDefault="00403EDE" w14:paraId="79CF3124" w14:textId="77777777">
      <w:pPr>
        <w:pStyle w:val="ListParagraph"/>
        <w:tabs>
          <w:tab w:val="left" w:pos="1440"/>
        </w:tabs>
        <w:ind w:left="1440"/>
        <w:rPr>
          <w:rFonts w:eastAsia="Arial" w:cs="Arial"/>
          <w:color w:val="000000" w:themeColor="text1"/>
        </w:rPr>
      </w:pPr>
      <w:r w:rsidRPr="007A0A53">
        <w:rPr>
          <w:rFonts w:eastAsia="Arial" w:cs="Arial"/>
          <w:color w:val="000000" w:themeColor="text1"/>
        </w:rPr>
        <w:t>Climate change refers to observed changes in weather patterns that may occur such as temperature, precipitation, and storms.</w:t>
      </w:r>
      <w:r>
        <w:rPr>
          <w:rFonts w:eastAsia="Arial" w:cs="Arial"/>
          <w:color w:val="000000" w:themeColor="text1"/>
        </w:rPr>
        <w:t xml:space="preserve"> </w:t>
      </w:r>
      <w:r w:rsidRPr="003938DF">
        <w:rPr>
          <w:rFonts w:eastAsia="Arial" w:cs="Arial"/>
          <w:color w:val="000000" w:themeColor="text1"/>
        </w:rPr>
        <w:t xml:space="preserve">The State Water Board’s Resolution No. 2017-0012: “Comprehensive Response to Climate </w:t>
      </w:r>
      <w:r w:rsidRPr="003938DF">
        <w:rPr>
          <w:rFonts w:eastAsia="Arial" w:cs="Arial"/>
          <w:color w:val="000000" w:themeColor="text1"/>
        </w:rPr>
        <w:t>Change,” requires a proactive approach to climate change in all California Water Board actions, with the intent to embed climate change consideration into all programs and activities. Aligning with Resolution No. 2017-0012, this Order promotes stormwater capture and use projects</w:t>
      </w:r>
      <w:r>
        <w:rPr>
          <w:rFonts w:eastAsia="Arial" w:cs="Arial"/>
          <w:color w:val="000000" w:themeColor="text1"/>
        </w:rPr>
        <w:t xml:space="preserve">. This Order requires Permittees to assess stormwater assets for resilience to climate change, such as sea level and groundwater rise, flooding, and drought. </w:t>
      </w:r>
    </w:p>
    <w:p w:rsidRPr="00DD5E50" w:rsidR="00403EDE" w:rsidP="00AB6AE3" w:rsidRDefault="00403EDE" w14:paraId="1C9D2432" w14:textId="73D6D2B4">
      <w:pPr>
        <w:pStyle w:val="Heading5"/>
        <w:ind w:hanging="270"/>
      </w:pPr>
      <w:r>
        <w:t>c.</w:t>
      </w:r>
      <w:r>
        <w:tab/>
      </w:r>
      <w:r>
        <w:t>Revised R</w:t>
      </w:r>
      <w:r w:rsidRPr="00DD5E50">
        <w:t>equirements for Asset Management</w:t>
      </w:r>
    </w:p>
    <w:p w:rsidRPr="00DD5E50" w:rsidR="00403EDE" w:rsidP="00403EDE" w:rsidRDefault="00403EDE" w14:paraId="53825E37" w14:textId="5F4C1A2C">
      <w:pPr>
        <w:ind w:left="1440"/>
        <w:rPr>
          <w:rFonts w:eastAsia="Arial" w:cs="Arial"/>
          <w:color w:val="000000" w:themeColor="text1"/>
        </w:rPr>
      </w:pPr>
      <w:r w:rsidRPr="00DD5E50">
        <w:rPr>
          <w:rFonts w:eastAsia="Arial" w:cs="Arial"/>
          <w:color w:val="000000" w:themeColor="text1"/>
        </w:rPr>
        <w:t xml:space="preserve">Similar to other NPDES permits, this Order requires the </w:t>
      </w:r>
      <w:r>
        <w:rPr>
          <w:rFonts w:eastAsia="Arial" w:cs="Arial"/>
          <w:color w:val="000000" w:themeColor="text1"/>
        </w:rPr>
        <w:t>Permittee</w:t>
      </w:r>
      <w:r w:rsidRPr="00DD5E50">
        <w:rPr>
          <w:rFonts w:eastAsia="Arial" w:cs="Arial"/>
          <w:color w:val="000000" w:themeColor="text1"/>
        </w:rPr>
        <w:t xml:space="preserve"> to develop and implement </w:t>
      </w:r>
      <w:r>
        <w:rPr>
          <w:rFonts w:eastAsia="Arial" w:cs="Arial"/>
          <w:color w:val="000000" w:themeColor="text1"/>
        </w:rPr>
        <w:t>aspects of a</w:t>
      </w:r>
      <w:r w:rsidRPr="00DD5E50">
        <w:rPr>
          <w:rFonts w:eastAsia="Arial" w:cs="Arial"/>
          <w:color w:val="000000" w:themeColor="text1"/>
        </w:rPr>
        <w:t xml:space="preserve">sset </w:t>
      </w:r>
      <w:r>
        <w:rPr>
          <w:rFonts w:eastAsia="Arial" w:cs="Arial"/>
          <w:color w:val="000000" w:themeColor="text1"/>
        </w:rPr>
        <w:t>m</w:t>
      </w:r>
      <w:r w:rsidRPr="00DD5E50">
        <w:rPr>
          <w:rFonts w:eastAsia="Arial" w:cs="Arial"/>
          <w:color w:val="000000" w:themeColor="text1"/>
        </w:rPr>
        <w:t xml:space="preserve">anagement that focus on the </w:t>
      </w:r>
      <w:r>
        <w:rPr>
          <w:rFonts w:eastAsia="Arial" w:cs="Arial"/>
          <w:color w:val="000000" w:themeColor="text1"/>
        </w:rPr>
        <w:t>long</w:t>
      </w:r>
      <w:r w:rsidR="00902D0D">
        <w:rPr>
          <w:rFonts w:eastAsia="Arial" w:cs="Arial"/>
          <w:color w:val="000000" w:themeColor="text1"/>
        </w:rPr>
        <w:t>-</w:t>
      </w:r>
      <w:r>
        <w:rPr>
          <w:rFonts w:eastAsia="Arial" w:cs="Arial"/>
          <w:color w:val="000000" w:themeColor="text1"/>
        </w:rPr>
        <w:t>term operation and maintenance of the Permittee</w:t>
      </w:r>
      <w:r w:rsidRPr="00DD5E50">
        <w:rPr>
          <w:rFonts w:eastAsia="Arial" w:cs="Arial"/>
          <w:color w:val="000000" w:themeColor="text1"/>
        </w:rPr>
        <w:t xml:space="preserve">’s stormwater assets. While this Order adds some new requirements, the asset management requirements </w:t>
      </w:r>
      <w:r>
        <w:rPr>
          <w:rFonts w:eastAsia="Arial" w:cs="Arial"/>
          <w:color w:val="000000" w:themeColor="text1"/>
        </w:rPr>
        <w:t>build on</w:t>
      </w:r>
      <w:r w:rsidRPr="00DD5E50">
        <w:rPr>
          <w:rFonts w:eastAsia="Arial" w:cs="Arial"/>
          <w:color w:val="000000" w:themeColor="text1"/>
        </w:rPr>
        <w:t xml:space="preserve"> existing </w:t>
      </w:r>
      <w:r>
        <w:rPr>
          <w:rFonts w:eastAsia="Arial" w:cs="Arial"/>
          <w:color w:val="000000" w:themeColor="text1"/>
        </w:rPr>
        <w:t xml:space="preserve">permit </w:t>
      </w:r>
      <w:r w:rsidRPr="00DD5E50">
        <w:rPr>
          <w:rFonts w:eastAsia="Arial" w:cs="Arial"/>
          <w:color w:val="000000" w:themeColor="text1"/>
        </w:rPr>
        <w:t>protocols</w:t>
      </w:r>
      <w:r>
        <w:rPr>
          <w:rFonts w:eastAsia="Arial" w:cs="Arial"/>
          <w:color w:val="000000" w:themeColor="text1"/>
        </w:rPr>
        <w:t>, phase in over the course of the permit term, and allow for alternative approaches with Regional Board approval</w:t>
      </w:r>
      <w:r w:rsidRPr="00DD5E50">
        <w:rPr>
          <w:rFonts w:eastAsia="Arial" w:cs="Arial"/>
          <w:color w:val="000000" w:themeColor="text1"/>
        </w:rPr>
        <w:t>.</w:t>
      </w:r>
    </w:p>
    <w:p w:rsidRPr="0030006E" w:rsidR="00403EDE" w:rsidP="00403EDE" w:rsidRDefault="00403EDE" w14:paraId="4B654BD5" w14:textId="76FF24F1">
      <w:pPr>
        <w:ind w:left="1440"/>
        <w:rPr>
          <w:rFonts w:eastAsia="Arial" w:cs="Arial"/>
          <w:color w:val="000000" w:themeColor="text1"/>
        </w:rPr>
      </w:pPr>
      <w:r w:rsidRPr="00DD5E50">
        <w:rPr>
          <w:rFonts w:eastAsia="Arial" w:cs="Arial"/>
          <w:color w:val="000000" w:themeColor="text1"/>
        </w:rPr>
        <w:t xml:space="preserve">The State Water Board anticipates that the stormwater-specific </w:t>
      </w:r>
      <w:r>
        <w:rPr>
          <w:rFonts w:eastAsia="Arial" w:cs="Arial"/>
          <w:color w:val="000000" w:themeColor="text1"/>
        </w:rPr>
        <w:t>a</w:t>
      </w:r>
      <w:r w:rsidRPr="00DD5E50">
        <w:rPr>
          <w:rFonts w:eastAsia="Arial" w:cs="Arial"/>
          <w:color w:val="000000" w:themeColor="text1"/>
        </w:rPr>
        <w:t xml:space="preserve">sset </w:t>
      </w:r>
      <w:r>
        <w:rPr>
          <w:rFonts w:eastAsia="Arial" w:cs="Arial"/>
          <w:color w:val="000000" w:themeColor="text1"/>
        </w:rPr>
        <w:t>m</w:t>
      </w:r>
      <w:r w:rsidRPr="00DD5E50">
        <w:rPr>
          <w:rFonts w:eastAsia="Arial" w:cs="Arial"/>
          <w:color w:val="000000" w:themeColor="text1"/>
        </w:rPr>
        <w:t xml:space="preserve">anagement </w:t>
      </w:r>
      <w:r>
        <w:rPr>
          <w:rFonts w:eastAsia="Arial" w:cs="Arial"/>
          <w:color w:val="000000" w:themeColor="text1"/>
        </w:rPr>
        <w:t>planning</w:t>
      </w:r>
      <w:r w:rsidRPr="00DD5E50">
        <w:rPr>
          <w:rFonts w:eastAsia="Arial" w:cs="Arial"/>
          <w:color w:val="000000" w:themeColor="text1"/>
        </w:rPr>
        <w:t xml:space="preserve"> will result in cost savings in the long term. In the March 2017</w:t>
      </w:r>
      <w:r w:rsidRPr="10A581A9">
        <w:rPr>
          <w:rFonts w:eastAsia="Arial" w:cs="Arial"/>
          <w:color w:val="000000" w:themeColor="text1"/>
          <w:u w:val="single"/>
        </w:rPr>
        <w:t xml:space="preserve"> </w:t>
      </w:r>
      <w:hyperlink r:id="rId22">
        <w:r w:rsidRPr="10A581A9">
          <w:rPr>
            <w:rStyle w:val="Hyperlink"/>
            <w:rFonts w:eastAsia="Arial" w:cs="Arial"/>
          </w:rPr>
          <w:t>Asset Management Programs for Stormwater and Wastewater Systems: Overcoming Barriers to Development and Implementation</w:t>
        </w:r>
      </w:hyperlink>
      <w:r w:rsidRPr="00DD5E50">
        <w:rPr>
          <w:rFonts w:eastAsia="Arial" w:cs="Arial"/>
          <w:color w:val="000000" w:themeColor="text1"/>
        </w:rPr>
        <w:t xml:space="preserve">, </w:t>
      </w:r>
      <w:r w:rsidR="00766ACF">
        <w:rPr>
          <w:rFonts w:eastAsia="Arial" w:cs="Arial"/>
          <w:color w:val="000000" w:themeColor="text1"/>
        </w:rPr>
        <w:t>USEPA</w:t>
      </w:r>
      <w:r>
        <w:rPr>
          <w:rFonts w:eastAsia="Arial" w:cs="Arial"/>
          <w:color w:val="000000" w:themeColor="text1"/>
        </w:rPr>
        <w:t xml:space="preserve"> </w:t>
      </w:r>
      <w:r w:rsidRPr="00DD5E50">
        <w:rPr>
          <w:rFonts w:eastAsia="Arial" w:cs="Arial"/>
          <w:color w:val="000000" w:themeColor="text1"/>
        </w:rPr>
        <w:t xml:space="preserve">states that </w:t>
      </w:r>
      <w:r>
        <w:rPr>
          <w:rFonts w:eastAsia="Arial" w:cs="Arial"/>
          <w:color w:val="000000" w:themeColor="text1"/>
        </w:rPr>
        <w:t xml:space="preserve">benefits of </w:t>
      </w:r>
      <w:r w:rsidRPr="00DD5E50">
        <w:rPr>
          <w:rFonts w:eastAsia="Arial" w:cs="Arial"/>
          <w:color w:val="000000" w:themeColor="text1"/>
        </w:rPr>
        <w:t>asset management will vary by utility, but potential benefits include reduced overall costs for both operations and capital expenditures, prolonged asset lifecycle and enhanced long term asset performance, and confidence in capital planning regarding rehabilitation, repair, and replacement decision making.</w:t>
      </w:r>
    </w:p>
    <w:p w:rsidRPr="0030006E" w:rsidR="00403EDE" w:rsidP="00AB6AE3" w:rsidRDefault="00403EDE" w14:paraId="081AFAC8" w14:textId="77777777">
      <w:pPr>
        <w:pStyle w:val="Heading5"/>
        <w:ind w:hanging="270"/>
      </w:pPr>
      <w:r>
        <w:t>d.</w:t>
      </w:r>
      <w:r>
        <w:tab/>
      </w:r>
      <w:r w:rsidRPr="0030006E">
        <w:t>New Requirements to Implement 2015 Statewide Trash Provisions</w:t>
      </w:r>
    </w:p>
    <w:p w:rsidR="00403EDE" w:rsidP="00403EDE" w:rsidRDefault="00403EDE" w14:paraId="0E137A50" w14:textId="0ACFAD8E">
      <w:pPr>
        <w:ind w:left="1440"/>
        <w:rPr>
          <w:rFonts w:eastAsia="Arial" w:cs="Arial"/>
          <w:color w:val="000000" w:themeColor="text1"/>
        </w:rPr>
      </w:pPr>
      <w:r w:rsidRPr="0030006E">
        <w:rPr>
          <w:rFonts w:eastAsia="Arial" w:cs="Arial"/>
          <w:color w:val="000000" w:themeColor="text1"/>
        </w:rPr>
        <w:t xml:space="preserve">This Order includes trash management-related requirements to implement the statewide Trash Provisions. While costs associated with implementing the Trash Provisions are expected to be significant, these new costs are for actions that directly improve water quality. The Trash Provisions were adopted by the State Water Board in 2015, and </w:t>
      </w:r>
      <w:r>
        <w:rPr>
          <w:rFonts w:eastAsia="Arial" w:cs="Arial"/>
          <w:color w:val="000000" w:themeColor="text1"/>
        </w:rPr>
        <w:t>interested parties</w:t>
      </w:r>
      <w:r w:rsidRPr="0030006E">
        <w:rPr>
          <w:rFonts w:eastAsia="Arial" w:cs="Arial"/>
          <w:color w:val="000000" w:themeColor="text1"/>
        </w:rPr>
        <w:t xml:space="preserve"> participated in the Trash Provision</w:t>
      </w:r>
      <w:r>
        <w:rPr>
          <w:rFonts w:eastAsia="Arial" w:cs="Arial"/>
          <w:color w:val="000000" w:themeColor="text1"/>
        </w:rPr>
        <w:t>s</w:t>
      </w:r>
      <w:r w:rsidRPr="0030006E">
        <w:rPr>
          <w:rFonts w:eastAsia="Arial" w:cs="Arial"/>
          <w:color w:val="000000" w:themeColor="text1"/>
        </w:rPr>
        <w:t xml:space="preserve"> development and adoption process. During the State Water Board’s consideration of the Trash Provisions, the State Water Board complied with the</w:t>
      </w:r>
      <w:r w:rsidRPr="0030006E">
        <w:rPr>
          <w:rFonts w:eastAsia="Arial"/>
        </w:rPr>
        <w:t xml:space="preserve"> </w:t>
      </w:r>
      <w:hyperlink r:id="rId23">
        <w:r>
          <w:rPr>
            <w:rStyle w:val="Hyperlink"/>
            <w:rFonts w:eastAsia="Arial" w:cs="Arial"/>
          </w:rPr>
          <w:t>California Water Code</w:t>
        </w:r>
      </w:hyperlink>
      <w:r w:rsidRPr="0071035B">
        <w:rPr>
          <w:rFonts w:eastAsia="Arial" w:cs="Arial"/>
          <w:color w:val="000000" w:themeColor="text1"/>
        </w:rPr>
        <w:t xml:space="preserve"> </w:t>
      </w:r>
      <w:r w:rsidR="0054775C">
        <w:rPr>
          <w:rFonts w:eastAsia="Arial" w:cs="Arial"/>
          <w:color w:val="000000" w:themeColor="text1"/>
        </w:rPr>
        <w:t>§§</w:t>
      </w:r>
      <w:r w:rsidRPr="0030006E">
        <w:rPr>
          <w:rFonts w:eastAsia="Arial" w:cs="Arial"/>
          <w:color w:val="000000" w:themeColor="text1"/>
        </w:rPr>
        <w:t xml:space="preserve">13170 and 13241, subdivision (d) requirements to consider economics when establishing water quality objectives. </w:t>
      </w:r>
      <w:r>
        <w:rPr>
          <w:rFonts w:eastAsia="Arial" w:cs="Arial"/>
          <w:color w:val="000000" w:themeColor="text1"/>
        </w:rPr>
        <w:t>Small MS4 permittee</w:t>
      </w:r>
      <w:r w:rsidRPr="0030006E">
        <w:rPr>
          <w:rFonts w:eastAsia="Arial" w:cs="Arial"/>
          <w:color w:val="000000" w:themeColor="text1"/>
        </w:rPr>
        <w:t>s</w:t>
      </w:r>
      <w:r>
        <w:rPr>
          <w:rFonts w:eastAsia="Arial" w:cs="Arial"/>
          <w:color w:val="000000" w:themeColor="text1"/>
        </w:rPr>
        <w:t>’</w:t>
      </w:r>
      <w:r w:rsidRPr="0030006E">
        <w:rPr>
          <w:rFonts w:eastAsia="Arial" w:cs="Arial"/>
          <w:color w:val="000000" w:themeColor="text1"/>
        </w:rPr>
        <w:t xml:space="preserve"> capital expenditures and annual costs were considered for compliance, as detailed in the Trash Provisions’ </w:t>
      </w:r>
      <w:hyperlink r:id="rId24">
        <w:r w:rsidRPr="10A581A9">
          <w:rPr>
            <w:rStyle w:val="Hyperlink"/>
            <w:rFonts w:eastAsia="Arial" w:cs="Arial"/>
          </w:rPr>
          <w:t>Economic Considerations</w:t>
        </w:r>
      </w:hyperlink>
      <w:r w:rsidR="00EE6634">
        <w:t>.</w:t>
      </w:r>
      <w:r w:rsidRPr="00CB1E18">
        <w:rPr>
          <w:rFonts w:eastAsia="Arial" w:cs="Arial"/>
          <w:color w:val="000000" w:themeColor="text1"/>
        </w:rPr>
        <w:t xml:space="preserve"> </w:t>
      </w:r>
    </w:p>
    <w:p w:rsidR="00403EDE" w:rsidP="00AB6AE3" w:rsidRDefault="00403EDE" w14:paraId="1C48169F" w14:textId="77777777">
      <w:pPr>
        <w:pStyle w:val="Heading5"/>
        <w:ind w:hanging="270"/>
      </w:pPr>
      <w:r>
        <w:t>e.</w:t>
      </w:r>
      <w:r>
        <w:tab/>
      </w:r>
      <w:r w:rsidRPr="0035164D">
        <w:t>Pet Waste Requirements</w:t>
      </w:r>
    </w:p>
    <w:p w:rsidR="00403EDE" w:rsidP="00403EDE" w:rsidRDefault="00403EDE" w14:paraId="14989726" w14:textId="77777777">
      <w:pPr>
        <w:ind w:left="1440"/>
        <w:rPr>
          <w:rFonts w:eastAsia="Arial" w:cs="Arial"/>
          <w:color w:val="000000" w:themeColor="text1"/>
        </w:rPr>
      </w:pPr>
      <w:r>
        <w:rPr>
          <w:rFonts w:eastAsia="Arial" w:cs="Arial"/>
          <w:color w:val="000000" w:themeColor="text1"/>
        </w:rPr>
        <w:t>This Order includes new requirements for reducing bacteria pollution from pet waste in MS4s through two programs: 1. Identification of municipally owned and operated areas (parks, trails, etc.) that accumulate pet waste that will enter the MS4 and planning actions to reduce this waste; and 2. public education aimed at reminding the public to clean up after their pets.</w:t>
      </w:r>
    </w:p>
    <w:p w:rsidRPr="001B1379" w:rsidR="00403EDE" w:rsidP="00403EDE" w:rsidRDefault="00403EDE" w14:paraId="3CEB47EC" w14:textId="77777777">
      <w:pPr>
        <w:ind w:left="1440"/>
        <w:rPr>
          <w:rFonts w:eastAsia="Arial" w:cs="Arial"/>
          <w:color w:val="000000" w:themeColor="text1"/>
        </w:rPr>
      </w:pPr>
      <w:r>
        <w:rPr>
          <w:rFonts w:eastAsia="Arial" w:cs="Arial"/>
          <w:color w:val="000000" w:themeColor="text1"/>
        </w:rPr>
        <w:t>It is expected that the costs of these two programs can be minimized by integrating the programs into existing inspections, maintenance, and public outreach.</w:t>
      </w:r>
    </w:p>
    <w:p w:rsidR="00403EDE" w:rsidP="00AB6AE3" w:rsidRDefault="00403EDE" w14:paraId="29330EA3" w14:textId="77777777">
      <w:pPr>
        <w:pStyle w:val="Heading5"/>
        <w:ind w:hanging="270"/>
      </w:pPr>
      <w:r>
        <w:t>f.</w:t>
      </w:r>
      <w:r>
        <w:tab/>
      </w:r>
      <w:r>
        <w:t xml:space="preserve">Snow Removal and </w:t>
      </w:r>
      <w:r w:rsidRPr="0035164D">
        <w:t>Traction</w:t>
      </w:r>
      <w:r>
        <w:t xml:space="preserve"> Application Operations Pollution Prevention and Control</w:t>
      </w:r>
    </w:p>
    <w:p w:rsidRPr="003A4880" w:rsidR="00403EDE" w:rsidP="00403EDE" w:rsidRDefault="00403EDE" w14:paraId="26C55E41" w14:textId="4A23F51B">
      <w:pPr>
        <w:ind w:left="1440"/>
      </w:pPr>
      <w:r w:rsidRPr="003A4880">
        <w:rPr>
          <w:rFonts w:eastAsia="Arial" w:cs="Arial"/>
          <w:color w:val="000000" w:themeColor="text1"/>
        </w:rPr>
        <w:t>For</w:t>
      </w:r>
      <w:r>
        <w:t xml:space="preserve"> Permittees above 3,000 feet in elevation that have snow removal and traction application activities, this Order adds requirements to minimize pollution in stormwater runoff from these activities. This affects a small subset of permittees and is not expected to cause major changes to their existing operations.</w:t>
      </w:r>
    </w:p>
    <w:p w:rsidR="00403EDE" w:rsidP="00AB6AE3" w:rsidRDefault="00403EDE" w14:paraId="7CBDB1AF" w14:textId="3B738D25">
      <w:pPr>
        <w:pStyle w:val="Heading5"/>
        <w:ind w:hanging="270"/>
      </w:pPr>
      <w:r>
        <w:t>g.</w:t>
      </w:r>
      <w:r>
        <w:tab/>
      </w:r>
      <w:r>
        <w:t xml:space="preserve">Construction </w:t>
      </w:r>
      <w:r w:rsidR="00D5478F">
        <w:t>S</w:t>
      </w:r>
      <w:r>
        <w:t xml:space="preserve">ite </w:t>
      </w:r>
      <w:r w:rsidR="00D5478F">
        <w:t>I</w:t>
      </w:r>
      <w:r>
        <w:t>nspections</w:t>
      </w:r>
    </w:p>
    <w:p w:rsidRPr="001B1379" w:rsidR="00403EDE" w:rsidP="00403EDE" w:rsidRDefault="00403EDE" w14:paraId="1456911F" w14:textId="77777777">
      <w:pPr>
        <w:ind w:left="1440"/>
        <w:rPr>
          <w:rFonts w:eastAsia="Arial"/>
        </w:rPr>
      </w:pPr>
      <w:r>
        <w:rPr>
          <w:rFonts w:eastAsia="Arial"/>
        </w:rPr>
        <w:t xml:space="preserve">This </w:t>
      </w:r>
      <w:r w:rsidRPr="001B1379">
        <w:rPr>
          <w:rFonts w:eastAsia="Arial" w:cs="Arial"/>
          <w:color w:val="000000" w:themeColor="text1"/>
        </w:rPr>
        <w:t>Order</w:t>
      </w:r>
      <w:r>
        <w:rPr>
          <w:rFonts w:eastAsia="Arial" w:cs="Arial"/>
          <w:color w:val="000000" w:themeColor="text1"/>
        </w:rPr>
        <w:t xml:space="preserve"> sets a more specific frequency for construction site inspections than the previous permit. This will likely require increased construction site inspections. The previous order did not set an inspection frequency for non-priority sites and required inspections of priority sites at specific steps of the construction process. This order calls for at least one inspection annually for all sites and two inspections annually for sites identified as high priority.</w:t>
      </w:r>
    </w:p>
    <w:p w:rsidR="00403EDE" w:rsidP="00AB6AE3" w:rsidRDefault="00403EDE" w14:paraId="580A0031" w14:textId="77777777">
      <w:pPr>
        <w:pStyle w:val="Heading5"/>
        <w:ind w:hanging="270"/>
      </w:pPr>
      <w:r>
        <w:t>h.</w:t>
      </w:r>
      <w:r>
        <w:tab/>
      </w:r>
      <w:r>
        <w:t>TMDLs</w:t>
      </w:r>
    </w:p>
    <w:p w:rsidR="00403EDE" w:rsidP="00403EDE" w:rsidRDefault="00403EDE" w14:paraId="12B63EE8" w14:textId="77777777">
      <w:pPr>
        <w:ind w:left="1440"/>
        <w:rPr>
          <w:rFonts w:eastAsia="Arial" w:cs="Arial"/>
          <w:color w:val="000000" w:themeColor="text1"/>
        </w:rPr>
      </w:pPr>
      <w:r>
        <w:rPr>
          <w:rFonts w:eastAsia="Arial" w:cs="Arial"/>
          <w:color w:val="000000" w:themeColor="text1"/>
        </w:rPr>
        <w:t>This Order adds new TMDLs and updates requirements for TMDLs already in the existing permit. This affects a large number of permittees, but the requirements, and accompanying costs, vary widely. The State and Regional Water Boards have worked closely with stakeholders to craft feasible requirements to meet the TMDLs.</w:t>
      </w:r>
    </w:p>
    <w:p w:rsidR="00403EDE" w:rsidP="00AB6AE3" w:rsidRDefault="00403EDE" w14:paraId="7497FB5B" w14:textId="1CD9AD08">
      <w:pPr>
        <w:pStyle w:val="Heading4"/>
        <w:ind w:hanging="540"/>
        <w:rPr>
          <w:rFonts w:eastAsiaTheme="minorHAnsi"/>
          <w:lang w:eastAsia="en-US"/>
        </w:rPr>
      </w:pPr>
      <w:r w:rsidRPr="0056614F">
        <w:rPr>
          <w:rFonts w:eastAsia="Arial"/>
          <w:color w:val="201F1E"/>
        </w:rPr>
        <w:t>2.</w:t>
      </w:r>
      <w:r w:rsidRPr="0056614F">
        <w:rPr>
          <w:rFonts w:eastAsia="Arial"/>
          <w:color w:val="201F1E"/>
        </w:rPr>
        <w:tab/>
      </w:r>
      <w:r w:rsidRPr="00403EDE">
        <w:rPr>
          <w:rFonts w:eastAsiaTheme="minorHAnsi"/>
          <w:lang w:eastAsia="en-US"/>
        </w:rPr>
        <w:t>Potential</w:t>
      </w:r>
      <w:r w:rsidR="00045640">
        <w:rPr>
          <w:rFonts w:eastAsiaTheme="minorHAnsi"/>
          <w:lang w:eastAsia="en-US"/>
        </w:rPr>
        <w:t>ly</w:t>
      </w:r>
      <w:r w:rsidRPr="0056614F">
        <w:rPr>
          <w:rFonts w:eastAsia="Arial"/>
        </w:rPr>
        <w:t xml:space="preserve"> </w:t>
      </w:r>
      <w:r w:rsidRPr="001B1379">
        <w:rPr>
          <w:rFonts w:eastAsiaTheme="minorHAnsi"/>
          <w:lang w:eastAsia="en-US"/>
        </w:rPr>
        <w:t>Reduced</w:t>
      </w:r>
      <w:r w:rsidRPr="003A4880">
        <w:rPr>
          <w:rFonts w:eastAsiaTheme="minorHAnsi"/>
          <w:lang w:eastAsia="en-US"/>
        </w:rPr>
        <w:t xml:space="preserve"> and Minimized Compliance Costs</w:t>
      </w:r>
    </w:p>
    <w:p w:rsidRPr="00403EDE" w:rsidR="00403EDE" w:rsidP="00AB6AE3" w:rsidRDefault="00403EDE" w14:paraId="292ED38A" w14:textId="5A4E12E0">
      <w:pPr>
        <w:ind w:left="1260"/>
        <w:rPr>
          <w:rFonts w:eastAsia="Arial" w:cs="Arial"/>
          <w:color w:val="000000" w:themeColor="text1"/>
        </w:rPr>
      </w:pPr>
      <w:r w:rsidRPr="00DD5E50">
        <w:rPr>
          <w:rStyle w:val="normaltextrun"/>
          <w:rFonts w:cs="Arial"/>
        </w:rPr>
        <w:t>This</w:t>
      </w:r>
      <w:r w:rsidRPr="00DD5E50">
        <w:rPr>
          <w:rFonts w:eastAsia="Arial" w:cs="Arial"/>
          <w:color w:val="000000" w:themeColor="text1"/>
        </w:rPr>
        <w:t xml:space="preserve"> Order may </w:t>
      </w:r>
      <w:r>
        <w:rPr>
          <w:rFonts w:eastAsia="Arial" w:cs="Arial"/>
          <w:color w:val="000000" w:themeColor="text1"/>
        </w:rPr>
        <w:t>reduce</w:t>
      </w:r>
      <w:r w:rsidRPr="00DD5E50">
        <w:rPr>
          <w:rFonts w:eastAsia="Arial" w:cs="Arial"/>
          <w:color w:val="000000" w:themeColor="text1"/>
        </w:rPr>
        <w:t xml:space="preserve"> the </w:t>
      </w:r>
      <w:r>
        <w:rPr>
          <w:rFonts w:eastAsia="Arial" w:cs="Arial"/>
          <w:color w:val="000000" w:themeColor="text1"/>
        </w:rPr>
        <w:t>Permittee</w:t>
      </w:r>
      <w:r w:rsidRPr="00DD5E50">
        <w:rPr>
          <w:rFonts w:eastAsia="Arial" w:cs="Arial"/>
          <w:color w:val="000000" w:themeColor="text1"/>
        </w:rPr>
        <w:t xml:space="preserve">’s cost of permit compliance due to the following </w:t>
      </w:r>
      <w:r>
        <w:rPr>
          <w:rFonts w:eastAsia="Arial" w:cs="Arial"/>
          <w:color w:val="000000" w:themeColor="text1"/>
        </w:rPr>
        <w:t xml:space="preserve">considerations or </w:t>
      </w:r>
      <w:r w:rsidRPr="00DD5E50">
        <w:rPr>
          <w:rFonts w:eastAsia="Arial" w:cs="Arial"/>
          <w:color w:val="000000" w:themeColor="text1"/>
        </w:rPr>
        <w:t>changes from the previous Order</w:t>
      </w:r>
      <w:r>
        <w:rPr>
          <w:rFonts w:eastAsia="Arial" w:cs="Arial"/>
          <w:color w:val="000000" w:themeColor="text1"/>
        </w:rPr>
        <w:t>:</w:t>
      </w:r>
    </w:p>
    <w:p w:rsidR="00403EDE" w:rsidP="00AB6AE3" w:rsidRDefault="00403EDE" w14:paraId="0592D14A" w14:textId="77777777">
      <w:pPr>
        <w:pStyle w:val="Heading5"/>
        <w:ind w:hanging="270"/>
      </w:pPr>
      <w:r w:rsidRPr="0035164D">
        <w:t>a.</w:t>
      </w:r>
      <w:r w:rsidRPr="0035164D">
        <w:tab/>
      </w:r>
      <w:r>
        <w:t>Removal of potential illicit discharge list and changes to dry weather inspections</w:t>
      </w:r>
    </w:p>
    <w:p w:rsidR="00403EDE" w:rsidP="00403EDE" w:rsidRDefault="00403EDE" w14:paraId="6C73C7D7" w14:textId="77777777">
      <w:pPr>
        <w:ind w:left="1440"/>
        <w:rPr>
          <w:rFonts w:eastAsia="Arial" w:cs="Arial"/>
          <w:color w:val="000000" w:themeColor="text1"/>
        </w:rPr>
      </w:pPr>
      <w:r>
        <w:rPr>
          <w:rFonts w:eastAsia="Arial" w:cs="Arial"/>
          <w:color w:val="000000" w:themeColor="text1"/>
        </w:rPr>
        <w:t xml:space="preserve">The previous permit required permittees to maintain an extensive list of facilities within their MS4 that had potential to contribute pollutants through </w:t>
      </w:r>
      <w:r>
        <w:rPr>
          <w:rFonts w:eastAsia="Arial" w:cs="Arial"/>
          <w:color w:val="000000" w:themeColor="text1"/>
        </w:rPr>
        <w:t>illicit discharges. Permittees have found this list burdensome to maintain and not useful in identifying illicit discharges.</w:t>
      </w:r>
    </w:p>
    <w:p w:rsidR="00403EDE" w:rsidP="00403EDE" w:rsidRDefault="00403EDE" w14:paraId="30C679A5" w14:textId="77777777">
      <w:pPr>
        <w:ind w:left="1440"/>
        <w:rPr>
          <w:rFonts w:eastAsia="Arial" w:cs="Arial"/>
          <w:color w:val="000000" w:themeColor="text1"/>
        </w:rPr>
      </w:pPr>
      <w:r>
        <w:rPr>
          <w:rFonts w:eastAsia="Arial" w:cs="Arial"/>
          <w:color w:val="000000" w:themeColor="text1"/>
        </w:rPr>
        <w:t>The previous order also contained vague requirements for dry weather flow inspections that had some permittees conducting unnecessary sampling or dry weather flow inspections that proved ineffective at identifying active illicit discharges.</w:t>
      </w:r>
    </w:p>
    <w:p w:rsidR="00403EDE" w:rsidP="00403EDE" w:rsidRDefault="00403EDE" w14:paraId="49357034" w14:textId="77777777">
      <w:pPr>
        <w:ind w:left="1440"/>
        <w:rPr>
          <w:rFonts w:eastAsia="Arial" w:cs="Arial"/>
          <w:color w:val="000000" w:themeColor="text1"/>
        </w:rPr>
      </w:pPr>
      <w:r>
        <w:rPr>
          <w:rFonts w:eastAsia="Arial" w:cs="Arial"/>
          <w:color w:val="000000" w:themeColor="text1"/>
        </w:rPr>
        <w:t>This Order focuses instead on priority area inspections which will allow permittees to proactively inspect large areas instead of tracking granular details about specific facilities. This also puts a more proactive focus on inspecting the areas for dry weather flow instead of the outfall. Ideally illicit discharges are identified and stopped before reaching an outfall.</w:t>
      </w:r>
    </w:p>
    <w:p w:rsidR="00403EDE" w:rsidP="00AB6AE3" w:rsidRDefault="00403EDE" w14:paraId="221E5CC0" w14:textId="77777777">
      <w:pPr>
        <w:pStyle w:val="Heading5"/>
        <w:ind w:hanging="270"/>
      </w:pPr>
      <w:r>
        <w:t>b.</w:t>
      </w:r>
      <w:r>
        <w:tab/>
      </w:r>
      <w:r>
        <w:t>Alternative options for post-construction BMPs</w:t>
      </w:r>
    </w:p>
    <w:p w:rsidR="00403EDE" w:rsidP="00403EDE" w:rsidRDefault="00403EDE" w14:paraId="01D8EDC6" w14:textId="77777777">
      <w:pPr>
        <w:ind w:left="1440"/>
        <w:rPr>
          <w:rFonts w:eastAsia="Arial" w:cs="Arial"/>
          <w:color w:val="000000" w:themeColor="text1"/>
        </w:rPr>
      </w:pPr>
      <w:r>
        <w:rPr>
          <w:rFonts w:eastAsia="Arial" w:cs="Arial"/>
          <w:color w:val="000000" w:themeColor="text1"/>
        </w:rPr>
        <w:t>This Order adds options for meeting post-construction standards through offsite BMPs. This allows for flexibility in planning development and redevelopment and has the potential to both decrease costs and improve water quality simultaneously by locating BMPs at sites that may be more cost effective or located in another area of the watershed where it could be more effective overall.</w:t>
      </w:r>
    </w:p>
    <w:p w:rsidR="00403EDE" w:rsidP="00AB6AE3" w:rsidRDefault="00403EDE" w14:paraId="7A2664FF" w14:textId="77777777">
      <w:pPr>
        <w:pStyle w:val="Heading5"/>
        <w:ind w:hanging="270"/>
      </w:pPr>
      <w:r>
        <w:t>c.</w:t>
      </w:r>
      <w:r>
        <w:tab/>
      </w:r>
      <w:r>
        <w:t>Reduced water quality monitoring for some permittees</w:t>
      </w:r>
    </w:p>
    <w:p w:rsidR="00403EDE" w:rsidP="00403EDE" w:rsidRDefault="00403EDE" w14:paraId="2DFD80F4" w14:textId="2FD261BA">
      <w:pPr>
        <w:ind w:left="1440"/>
        <w:rPr>
          <w:rFonts w:eastAsia="Arial" w:cs="Arial"/>
          <w:color w:val="000000" w:themeColor="text1"/>
        </w:rPr>
      </w:pPr>
      <w:r>
        <w:rPr>
          <w:rFonts w:eastAsia="Arial" w:cs="Arial"/>
          <w:color w:val="000000" w:themeColor="text1"/>
        </w:rPr>
        <w:t>This Order ends general receiving water monitoring and special studies for permittees with a population above 50,000 that don’t conduct monitoring otherwise (through TMDLs, ASBS, or 303</w:t>
      </w:r>
      <w:r w:rsidR="00025F02">
        <w:rPr>
          <w:rFonts w:eastAsia="Arial" w:cs="Arial"/>
          <w:color w:val="000000" w:themeColor="text1"/>
        </w:rPr>
        <w:t>(</w:t>
      </w:r>
      <w:r>
        <w:rPr>
          <w:rFonts w:eastAsia="Arial" w:cs="Arial"/>
          <w:color w:val="000000" w:themeColor="text1"/>
        </w:rPr>
        <w:t>d</w:t>
      </w:r>
      <w:r w:rsidR="00025F02">
        <w:rPr>
          <w:rFonts w:eastAsia="Arial" w:cs="Arial"/>
          <w:color w:val="000000" w:themeColor="text1"/>
        </w:rPr>
        <w:t>)</w:t>
      </w:r>
      <w:r>
        <w:rPr>
          <w:rFonts w:eastAsia="Arial" w:cs="Arial"/>
          <w:color w:val="000000" w:themeColor="text1"/>
        </w:rPr>
        <w:t xml:space="preserve"> monitoring). While this is only a subset of permittees, it will be a significant cost reduction.</w:t>
      </w:r>
    </w:p>
    <w:p w:rsidR="00403EDE" w:rsidP="00AB6AE3" w:rsidRDefault="00403EDE" w14:paraId="7148D3D9" w14:textId="77777777">
      <w:pPr>
        <w:pStyle w:val="Heading5"/>
        <w:ind w:hanging="270"/>
      </w:pPr>
      <w:r>
        <w:t>d.</w:t>
      </w:r>
      <w:r>
        <w:tab/>
      </w:r>
      <w:r>
        <w:t>Alternative Compliance Pathway</w:t>
      </w:r>
    </w:p>
    <w:p w:rsidRPr="00DD5E50" w:rsidR="00403EDE" w:rsidP="00403EDE" w:rsidRDefault="00403EDE" w14:paraId="4E8B39A3" w14:textId="03762734">
      <w:pPr>
        <w:ind w:left="1440"/>
        <w:rPr>
          <w:rFonts w:eastAsia="Arial" w:cs="Arial"/>
          <w:color w:val="000000" w:themeColor="text1"/>
        </w:rPr>
      </w:pPr>
      <w:r>
        <w:rPr>
          <w:rFonts w:eastAsia="Arial" w:cs="Arial"/>
          <w:color w:val="000000" w:themeColor="text1"/>
        </w:rPr>
        <w:t>Attachment H sets out a new pathway for compliance with multiple aspects of this Order including TMDLs through stormwater capture and infiltration. This alternative pathway also allows adjacent MS4s to coordinate efforts and collaborate on shared capture and infiltration projects</w:t>
      </w:r>
      <w:r w:rsidR="003E2EEA">
        <w:rPr>
          <w:rFonts w:eastAsia="Arial" w:cs="Arial"/>
          <w:color w:val="000000" w:themeColor="text1"/>
        </w:rPr>
        <w:t>,</w:t>
      </w:r>
      <w:r>
        <w:rPr>
          <w:rFonts w:eastAsia="Arial" w:cs="Arial"/>
          <w:color w:val="000000" w:themeColor="text1"/>
        </w:rPr>
        <w:t xml:space="preserve"> which can allow for agreements for MS4s to discharge to adjacent MS4s.</w:t>
      </w:r>
    </w:p>
    <w:p w:rsidRPr="0099303F" w:rsidR="0044222E" w:rsidP="001A1BAA" w:rsidRDefault="000F6B50" w14:paraId="61FAB1A7" w14:textId="0FEBEFAD">
      <w:pPr>
        <w:pStyle w:val="Heading2"/>
      </w:pPr>
      <w:bookmarkStart w:name="_Toc14431456" w:id="37"/>
      <w:bookmarkStart w:name="_Toc14431642" w:id="38"/>
      <w:bookmarkStart w:name="_Toc14431707" w:id="39"/>
      <w:bookmarkStart w:name="_Toc51173183" w:id="40"/>
      <w:bookmarkStart w:name="_Toc74912538" w:id="41"/>
      <w:bookmarkStart w:name="_Toc226536085" w:id="42"/>
      <w:bookmarkEnd w:id="37"/>
      <w:bookmarkEnd w:id="38"/>
      <w:bookmarkEnd w:id="39"/>
      <w:r>
        <w:t>A</w:t>
      </w:r>
      <w:r w:rsidR="00EF7174">
        <w:t>8</w:t>
      </w:r>
      <w:r w:rsidRPr="0099303F" w:rsidR="00886DF9">
        <w:tab/>
      </w:r>
      <w:r w:rsidRPr="0099303F" w:rsidR="008A689F">
        <w:t xml:space="preserve">GENERAL </w:t>
      </w:r>
      <w:r w:rsidRPr="0099303F" w:rsidR="00E729E5">
        <w:t>DISCHARGE PROHIBITIONS</w:t>
      </w:r>
      <w:bookmarkEnd w:id="40"/>
      <w:bookmarkEnd w:id="41"/>
      <w:bookmarkEnd w:id="42"/>
    </w:p>
    <w:p w:rsidRPr="00672440" w:rsidR="00C04162" w:rsidP="002215C6" w:rsidRDefault="000F6B50" w14:paraId="2C349275" w14:textId="737DBE56">
      <w:pPr>
        <w:pStyle w:val="Heading3"/>
      </w:pPr>
      <w:bookmarkStart w:name="_Toc51173184" w:id="43"/>
      <w:bookmarkStart w:name="_Toc74912539" w:id="44"/>
      <w:r>
        <w:t>A</w:t>
      </w:r>
      <w:r w:rsidR="00EF7174">
        <w:t>8</w:t>
      </w:r>
      <w:r w:rsidRPr="00546DA6" w:rsidR="007D7CA4">
        <w:t>.</w:t>
      </w:r>
      <w:r w:rsidRPr="00546DA6" w:rsidR="00ED1704">
        <w:t>1</w:t>
      </w:r>
      <w:r w:rsidRPr="00546DA6" w:rsidR="00886DF9">
        <w:tab/>
      </w:r>
      <w:r w:rsidRPr="00546DA6" w:rsidR="003A6383">
        <w:t xml:space="preserve">Maximum Extent </w:t>
      </w:r>
      <w:r w:rsidRPr="00546DA6" w:rsidR="004A213D">
        <w:t>Practicable</w:t>
      </w:r>
      <w:bookmarkEnd w:id="43"/>
      <w:bookmarkEnd w:id="44"/>
      <w:r w:rsidR="00BD3BDE">
        <w:t xml:space="preserve"> Standard for C</w:t>
      </w:r>
      <w:r w:rsidRPr="00BD3BDE" w:rsidR="00BD3BDE">
        <w:t xml:space="preserve">ontrolling </w:t>
      </w:r>
      <w:r w:rsidR="00BD3BDE">
        <w:t>P</w:t>
      </w:r>
      <w:r w:rsidRPr="00BD3BDE" w:rsidR="00BD3BDE">
        <w:t xml:space="preserve">olluted </w:t>
      </w:r>
      <w:r w:rsidR="00BD3BDE">
        <w:t>R</w:t>
      </w:r>
      <w:r w:rsidRPr="00BD3BDE" w:rsidR="00BD3BDE">
        <w:t>unoff</w:t>
      </w:r>
    </w:p>
    <w:p w:rsidR="00062BAC" w:rsidP="005729A7" w:rsidRDefault="00DD0106" w14:paraId="4F77DB9C" w14:textId="5AFA9776">
      <w:pPr>
        <w:snapToGrid w:val="0"/>
        <w:ind w:left="720"/>
        <w:rPr>
          <w:rFonts w:cs="Arial"/>
        </w:rPr>
      </w:pPr>
      <w:bookmarkStart w:name="_Hlk52450013" w:id="45"/>
      <w:r w:rsidRPr="0099303F">
        <w:rPr>
          <w:rFonts w:cs="Arial"/>
        </w:rPr>
        <w:t>Stormwater discharges from</w:t>
      </w:r>
      <w:r w:rsidRPr="0099303F" w:rsidR="006E3284">
        <w:rPr>
          <w:rFonts w:cs="Arial"/>
        </w:rPr>
        <w:t xml:space="preserve"> the </w:t>
      </w:r>
      <w:r w:rsidR="00A3627A">
        <w:rPr>
          <w:rFonts w:cs="Arial"/>
        </w:rPr>
        <w:t>Permittee</w:t>
      </w:r>
      <w:r w:rsidRPr="0099303F" w:rsidR="006E3284">
        <w:rPr>
          <w:rFonts w:cs="Arial"/>
        </w:rPr>
        <w:t xml:space="preserve">’s municipal separate storm sewer system containing pollutants that have not been reduced to the </w:t>
      </w:r>
      <w:r w:rsidR="00C10298">
        <w:rPr>
          <w:rFonts w:cs="Arial"/>
        </w:rPr>
        <w:t>Maximum Extent Practicable</w:t>
      </w:r>
      <w:r w:rsidRPr="0099303F" w:rsidR="006E3284">
        <w:rPr>
          <w:rFonts w:cs="Arial"/>
        </w:rPr>
        <w:t xml:space="preserve"> are prohibited</w:t>
      </w:r>
      <w:r w:rsidRPr="0099303F" w:rsidR="00000D36">
        <w:rPr>
          <w:rFonts w:cs="Arial"/>
        </w:rPr>
        <w:t>, as required by Clean Water Act</w:t>
      </w:r>
      <w:r w:rsidR="00B95D56">
        <w:rPr>
          <w:rFonts w:cs="Arial"/>
        </w:rPr>
        <w:t>.</w:t>
      </w:r>
      <w:r w:rsidRPr="0099303F" w:rsidR="00000D36">
        <w:rPr>
          <w:rFonts w:cs="Arial"/>
        </w:rPr>
        <w:t xml:space="preserve"> </w:t>
      </w:r>
      <w:r w:rsidRPr="0099303F" w:rsidR="00D9212C">
        <w:rPr>
          <w:rFonts w:cs="Arial"/>
        </w:rPr>
        <w:t xml:space="preserve">See the </w:t>
      </w:r>
      <w:r w:rsidR="00AE1A47">
        <w:rPr>
          <w:rFonts w:cs="Arial"/>
        </w:rPr>
        <w:t xml:space="preserve">section </w:t>
      </w:r>
      <w:r w:rsidRPr="0099303F" w:rsidR="00D9212C">
        <w:rPr>
          <w:rFonts w:cs="Arial"/>
        </w:rPr>
        <w:t xml:space="preserve">on Effluent Limitations, </w:t>
      </w:r>
      <w:r w:rsidRPr="0099303F" w:rsidR="00E163C0">
        <w:rPr>
          <w:rFonts w:cs="Arial"/>
        </w:rPr>
        <w:t>below</w:t>
      </w:r>
      <w:r w:rsidR="00085B44">
        <w:rPr>
          <w:rFonts w:cs="Arial"/>
        </w:rPr>
        <w:t>,</w:t>
      </w:r>
      <w:r w:rsidRPr="0099303F" w:rsidR="00D9212C">
        <w:rPr>
          <w:rFonts w:cs="Arial"/>
        </w:rPr>
        <w:t xml:space="preserve"> for more information</w:t>
      </w:r>
      <w:r w:rsidR="00B95D56">
        <w:rPr>
          <w:rFonts w:cs="Arial"/>
        </w:rPr>
        <w:t>.</w:t>
      </w:r>
    </w:p>
    <w:p w:rsidRPr="00044715" w:rsidR="00044715" w:rsidP="00044715" w:rsidRDefault="00044715" w14:paraId="38995B4A" w14:textId="66F494A0">
      <w:pPr>
        <w:ind w:left="720"/>
        <w:rPr>
          <w:rFonts w:cs="Arial"/>
        </w:rPr>
      </w:pPr>
      <w:bookmarkStart w:name="_Toc51173185" w:id="46"/>
      <w:bookmarkStart w:name="_Toc74912540" w:id="47"/>
      <w:bookmarkEnd w:id="45"/>
      <w:r w:rsidRPr="00044715">
        <w:rPr>
          <w:rFonts w:cs="Arial"/>
        </w:rPr>
        <w:t xml:space="preserve">The federal Clean Water Act </w:t>
      </w:r>
      <w:r w:rsidR="00E67F9F">
        <w:rPr>
          <w:rFonts w:cs="Arial"/>
        </w:rPr>
        <w:t>§</w:t>
      </w:r>
      <w:r w:rsidRPr="00044715">
        <w:rPr>
          <w:rFonts w:cs="Arial"/>
        </w:rPr>
        <w:t xml:space="preserve">402(p)(3)(B) provides that NPDES permits for MS4s must require municipalities to reduce pollutants in their </w:t>
      </w:r>
      <w:r w:rsidR="00CD7F3F">
        <w:rPr>
          <w:rFonts w:cs="Arial"/>
        </w:rPr>
        <w:t>stormwater</w:t>
      </w:r>
      <w:r w:rsidRPr="00044715">
        <w:rPr>
          <w:rFonts w:cs="Arial"/>
        </w:rPr>
        <w:t xml:space="preserve"> discharges to the Maximum Extent Practicable. MS4 permits "</w:t>
      </w:r>
      <w:r w:rsidRPr="00044715">
        <w:rPr>
          <w:rFonts w:cs="Arial"/>
          <w:i/>
          <w:iCs/>
        </w:rPr>
        <w:t>shall require controls to reduce the discharge of pollutants to the maximum extent practicable, including management practices, control techniques and system, design and engineering methods."</w:t>
      </w:r>
      <w:r w:rsidRPr="00044715">
        <w:rPr>
          <w:rFonts w:cs="Arial"/>
        </w:rPr>
        <w:t xml:space="preserve"> </w:t>
      </w:r>
    </w:p>
    <w:p w:rsidR="00EF2F35" w:rsidP="00044715" w:rsidRDefault="00044715" w14:paraId="32628D6F" w14:textId="77777777">
      <w:pPr>
        <w:ind w:left="720"/>
        <w:rPr>
          <w:rFonts w:cs="Arial"/>
        </w:rPr>
      </w:pPr>
      <w:r w:rsidRPr="00044715">
        <w:rPr>
          <w:rFonts w:cs="Arial"/>
        </w:rPr>
        <w:t>The Maximum Extent Practicable standard involves applying BMPs that are effective in reducing the discharge of pollutants in stormwater runoff. In discussing the Maximum Extent Practicable standard, the State Water Board has stated the following: "</w:t>
      </w:r>
      <w:r w:rsidRPr="00A93D49">
        <w:rPr>
          <w:rFonts w:cs="Arial"/>
          <w:i/>
          <w:iCs/>
        </w:rPr>
        <w:t>There must be a serious attempt to comply, and practical solutions may not be lightly rejected. If, from the list of BMPs, a permittee chooses only a few of the least expensive methods, it is likely that Maximum Extent Practicable has not been met. On the other hand, if a permittee employs all applicable BMPs except those where it can show that they are not technically feasible in the locality, or whose cost would exceed any benefit to be derived, it would have met the standard. Maximum Extent Practicable requires</w:t>
      </w:r>
      <w:r w:rsidRPr="00A93D49" w:rsidR="000E1B01">
        <w:rPr>
          <w:rFonts w:cs="Arial"/>
          <w:i/>
          <w:iCs/>
        </w:rPr>
        <w:t xml:space="preserve"> Permittees </w:t>
      </w:r>
      <w:r w:rsidRPr="00A93D49">
        <w:rPr>
          <w:rFonts w:cs="Arial"/>
          <w:i/>
          <w:iCs/>
        </w:rPr>
        <w:t>to choose effective BMPs, and to reject applicable BMPs only where other effective BMPs will serve the same purpose, the BMPs would not be technically feasible, or the cost would be prohibitive</w:t>
      </w:r>
      <w:r w:rsidRPr="00044715">
        <w:rPr>
          <w:rFonts w:cs="Arial"/>
        </w:rPr>
        <w:t xml:space="preserve">." (Order No. </w:t>
      </w:r>
      <w:hyperlink w:history="1" r:id="rId25">
        <w:r w:rsidRPr="00044715">
          <w:rPr>
            <w:rStyle w:val="Hyperlink"/>
            <w:rFonts w:cs="Arial"/>
          </w:rPr>
          <w:t>WQ 2000-11</w:t>
        </w:r>
      </w:hyperlink>
      <w:r w:rsidRPr="00044715">
        <w:rPr>
          <w:rFonts w:cs="Arial"/>
        </w:rPr>
        <w:t xml:space="preserve">, at p.20.) </w:t>
      </w:r>
    </w:p>
    <w:p w:rsidRPr="00044715" w:rsidR="00044715" w:rsidP="00044715" w:rsidRDefault="00044715" w14:paraId="6E4FE6FE" w14:textId="5A916D98">
      <w:pPr>
        <w:ind w:left="720"/>
        <w:rPr>
          <w:rFonts w:cs="Arial"/>
        </w:rPr>
      </w:pPr>
      <w:r w:rsidRPr="00044715">
        <w:rPr>
          <w:rFonts w:cs="Arial"/>
        </w:rPr>
        <w:t xml:space="preserve">Maximum Extent Practicable is the result of the cumulative effect of implementing, continuously evaluating, and making corresponding changes to a variety of technically and economically feasible BMPs that ensures the most appropriate controls are implemented in the most effective manner. This process of implementing, evaluating, revising, or adding new BMPs is commonly referred to as the iterative approach. For Small MS4s, </w:t>
      </w:r>
      <w:r w:rsidR="00534640">
        <w:rPr>
          <w:rFonts w:cs="Arial"/>
        </w:rPr>
        <w:t>U</w:t>
      </w:r>
      <w:r w:rsidR="00766ACF">
        <w:rPr>
          <w:rFonts w:cs="Arial"/>
        </w:rPr>
        <w:t>SEPA</w:t>
      </w:r>
      <w:r w:rsidRPr="00044715">
        <w:rPr>
          <w:rFonts w:cs="Arial"/>
        </w:rPr>
        <w:t xml:space="preserve"> has stated that pollutant reductions to the </w:t>
      </w:r>
      <w:r w:rsidR="00DF7CA1">
        <w:rPr>
          <w:rFonts w:cs="Arial"/>
        </w:rPr>
        <w:t>Maximum Extent Practicable</w:t>
      </w:r>
      <w:r w:rsidRPr="00044715">
        <w:rPr>
          <w:rFonts w:cs="Arial"/>
        </w:rPr>
        <w:t xml:space="preserve"> will be realized by implementing BMPs through the six minimum measures described in the permit. (64 Federal Register 68753.)</w:t>
      </w:r>
    </w:p>
    <w:p w:rsidRPr="00380850" w:rsidR="00385CDA" w:rsidP="002215C6" w:rsidRDefault="001553A0" w14:paraId="6AE08A10" w14:textId="05F2F40A">
      <w:pPr>
        <w:pStyle w:val="Heading3"/>
      </w:pPr>
      <w:r>
        <w:t>A</w:t>
      </w:r>
      <w:r w:rsidR="00EF7174">
        <w:t>8</w:t>
      </w:r>
      <w:r w:rsidRPr="00546DA6" w:rsidR="00B843A0">
        <w:t>.2</w:t>
      </w:r>
      <w:r w:rsidRPr="00546DA6" w:rsidR="00B843A0">
        <w:tab/>
      </w:r>
      <w:r w:rsidRPr="00546DA6" w:rsidR="00E95451">
        <w:t>Storm</w:t>
      </w:r>
      <w:r w:rsidRPr="00546DA6" w:rsidR="00BB2F57">
        <w:t>w</w:t>
      </w:r>
      <w:r w:rsidRPr="00546DA6" w:rsidR="00E95451">
        <w:t>ater</w:t>
      </w:r>
      <w:r w:rsidRPr="00546DA6" w:rsidR="00F41E84">
        <w:t xml:space="preserve"> </w:t>
      </w:r>
      <w:r w:rsidRPr="00546DA6" w:rsidR="00783B4B">
        <w:t xml:space="preserve">and Non-Stormwater </w:t>
      </w:r>
      <w:r w:rsidRPr="00546DA6" w:rsidR="00F41E84">
        <w:t>Discharges into</w:t>
      </w:r>
      <w:r w:rsidRPr="00546DA6" w:rsidR="00A93991">
        <w:t xml:space="preserve"> </w:t>
      </w:r>
      <w:bookmarkEnd w:id="46"/>
      <w:bookmarkEnd w:id="47"/>
      <w:r w:rsidR="003D3250">
        <w:t>ASBS</w:t>
      </w:r>
    </w:p>
    <w:p w:rsidR="00A043E7" w:rsidP="005729A7" w:rsidRDefault="00F801CE" w14:paraId="63660FFD" w14:textId="2A6B8D62">
      <w:pPr>
        <w:snapToGrid w:val="0"/>
        <w:ind w:left="720"/>
        <w:rPr>
          <w:rFonts w:cs="Arial"/>
        </w:rPr>
      </w:pPr>
      <w:r>
        <w:rPr>
          <w:rFonts w:cs="Arial"/>
        </w:rPr>
        <w:t xml:space="preserve">This Order includes requirements for </w:t>
      </w:r>
      <w:r w:rsidR="00124437">
        <w:rPr>
          <w:rFonts w:cs="Arial"/>
        </w:rPr>
        <w:t>Small MS4</w:t>
      </w:r>
      <w:r w:rsidR="00387DD7">
        <w:rPr>
          <w:rFonts w:cs="Arial"/>
        </w:rPr>
        <w:t xml:space="preserve"> </w:t>
      </w:r>
      <w:r w:rsidR="008E52C2">
        <w:rPr>
          <w:rFonts w:cs="Arial"/>
        </w:rPr>
        <w:t>P</w:t>
      </w:r>
      <w:r w:rsidR="00387DD7">
        <w:rPr>
          <w:rFonts w:cs="Arial"/>
        </w:rPr>
        <w:t xml:space="preserve">ermittees that discharge to an </w:t>
      </w:r>
      <w:r w:rsidRPr="0099303F" w:rsidR="00D737D6">
        <w:rPr>
          <w:rFonts w:cs="Arial"/>
        </w:rPr>
        <w:t>Area of Special Biological Significance</w:t>
      </w:r>
      <w:r w:rsidR="00D737D6">
        <w:rPr>
          <w:rFonts w:cs="Arial"/>
        </w:rPr>
        <w:t xml:space="preserve"> (</w:t>
      </w:r>
      <w:r w:rsidR="00387DD7">
        <w:rPr>
          <w:rFonts w:cs="Arial"/>
        </w:rPr>
        <w:t>ASBS</w:t>
      </w:r>
      <w:r w:rsidR="00D737D6">
        <w:rPr>
          <w:rFonts w:cs="Arial"/>
        </w:rPr>
        <w:t>)</w:t>
      </w:r>
      <w:r w:rsidR="00387DD7">
        <w:rPr>
          <w:rFonts w:cs="Arial"/>
        </w:rPr>
        <w:t xml:space="preserve">. </w:t>
      </w:r>
      <w:r w:rsidR="008E52C2">
        <w:rPr>
          <w:rFonts w:cs="Arial"/>
        </w:rPr>
        <w:t>Public a</w:t>
      </w:r>
      <w:r w:rsidR="00A043E7">
        <w:rPr>
          <w:rFonts w:cs="Arial"/>
        </w:rPr>
        <w:t>gencies</w:t>
      </w:r>
      <w:r w:rsidR="008E52C2">
        <w:rPr>
          <w:rFonts w:cs="Arial"/>
        </w:rPr>
        <w:t xml:space="preserve"> </w:t>
      </w:r>
      <w:r w:rsidR="0031772B">
        <w:rPr>
          <w:rFonts w:cs="Arial"/>
        </w:rPr>
        <w:t>or</w:t>
      </w:r>
      <w:r w:rsidR="008E52C2">
        <w:rPr>
          <w:rFonts w:cs="Arial"/>
        </w:rPr>
        <w:t xml:space="preserve"> </w:t>
      </w:r>
      <w:r w:rsidR="0031772B">
        <w:rPr>
          <w:rFonts w:cs="Arial"/>
        </w:rPr>
        <w:t xml:space="preserve">public </w:t>
      </w:r>
      <w:r w:rsidR="008E52C2">
        <w:rPr>
          <w:rFonts w:cs="Arial"/>
        </w:rPr>
        <w:t>entities</w:t>
      </w:r>
      <w:r w:rsidR="00387DD7">
        <w:rPr>
          <w:rFonts w:cs="Arial"/>
        </w:rPr>
        <w:t xml:space="preserve"> </w:t>
      </w:r>
      <w:r w:rsidR="00A043E7">
        <w:rPr>
          <w:rFonts w:cs="Arial"/>
        </w:rPr>
        <w:t xml:space="preserve">that </w:t>
      </w:r>
      <w:r w:rsidR="00387DD7">
        <w:rPr>
          <w:rFonts w:cs="Arial"/>
        </w:rPr>
        <w:t>do not meet the definition of a</w:t>
      </w:r>
      <w:r w:rsidR="009371BC">
        <w:rPr>
          <w:rFonts w:cs="Arial"/>
        </w:rPr>
        <w:t>n</w:t>
      </w:r>
      <w:r w:rsidR="00387DD7">
        <w:rPr>
          <w:rFonts w:cs="Arial"/>
        </w:rPr>
        <w:t xml:space="preserve"> MS4s are not included</w:t>
      </w:r>
      <w:r w:rsidR="009371BC">
        <w:rPr>
          <w:rFonts w:cs="Arial"/>
        </w:rPr>
        <w:t xml:space="preserve"> in this Order</w:t>
      </w:r>
      <w:r w:rsidR="0098796A">
        <w:rPr>
          <w:rFonts w:cs="Arial"/>
        </w:rPr>
        <w:t xml:space="preserve">’s </w:t>
      </w:r>
      <w:r w:rsidR="0031772B">
        <w:rPr>
          <w:rFonts w:cs="Arial"/>
        </w:rPr>
        <w:t xml:space="preserve">ASBS </w:t>
      </w:r>
      <w:r w:rsidR="0098796A">
        <w:rPr>
          <w:rFonts w:cs="Arial"/>
        </w:rPr>
        <w:t>requirements</w:t>
      </w:r>
      <w:r w:rsidR="00387DD7">
        <w:rPr>
          <w:rFonts w:cs="Arial"/>
        </w:rPr>
        <w:t xml:space="preserve">. </w:t>
      </w:r>
      <w:r w:rsidR="00757774">
        <w:rPr>
          <w:rFonts w:cs="Arial"/>
        </w:rPr>
        <w:t xml:space="preserve">Attachment F provides </w:t>
      </w:r>
      <w:r w:rsidR="00683717">
        <w:rPr>
          <w:rFonts w:cs="Arial"/>
        </w:rPr>
        <w:t xml:space="preserve">a list of </w:t>
      </w:r>
      <w:r w:rsidR="00124437">
        <w:rPr>
          <w:rFonts w:cs="Arial"/>
        </w:rPr>
        <w:t>Small MS4</w:t>
      </w:r>
      <w:r w:rsidR="00683717">
        <w:rPr>
          <w:rFonts w:cs="Arial"/>
        </w:rPr>
        <w:t xml:space="preserve"> Permittees that discharge to an ASBS. </w:t>
      </w:r>
    </w:p>
    <w:p w:rsidR="007F64D8" w:rsidP="005729A7" w:rsidRDefault="003D3250" w14:paraId="36B06F93" w14:textId="6E0B93C1">
      <w:pPr>
        <w:snapToGrid w:val="0"/>
        <w:ind w:left="720"/>
        <w:rPr>
          <w:rFonts w:cs="Arial"/>
        </w:rPr>
      </w:pPr>
      <w:r>
        <w:rPr>
          <w:rFonts w:cs="Arial"/>
        </w:rPr>
        <w:t xml:space="preserve">Attachment </w:t>
      </w:r>
      <w:r w:rsidR="002456D7">
        <w:rPr>
          <w:rFonts w:cs="Arial"/>
        </w:rPr>
        <w:t>F</w:t>
      </w:r>
      <w:r>
        <w:rPr>
          <w:rFonts w:cs="Arial"/>
        </w:rPr>
        <w:t xml:space="preserve"> provides the compliance requirements </w:t>
      </w:r>
      <w:r w:rsidR="009371BC">
        <w:rPr>
          <w:rFonts w:cs="Arial"/>
        </w:rPr>
        <w:t xml:space="preserve">for a </w:t>
      </w:r>
      <w:r w:rsidR="00124437">
        <w:rPr>
          <w:rFonts w:cs="Arial"/>
        </w:rPr>
        <w:t>Small MS4</w:t>
      </w:r>
      <w:r w:rsidR="009371BC">
        <w:rPr>
          <w:rFonts w:cs="Arial"/>
        </w:rPr>
        <w:t xml:space="preserve"> </w:t>
      </w:r>
      <w:r>
        <w:rPr>
          <w:rFonts w:cs="Arial"/>
        </w:rPr>
        <w:t xml:space="preserve">to discharge to an ASBS. </w:t>
      </w:r>
      <w:r w:rsidRPr="0099303F" w:rsidR="00906C16">
        <w:rPr>
          <w:rFonts w:cs="Arial"/>
        </w:rPr>
        <w:t>The</w:t>
      </w:r>
      <w:r w:rsidR="00E61CBB">
        <w:rPr>
          <w:rFonts w:cs="Arial"/>
        </w:rPr>
        <w:t xml:space="preserve"> Water Quality Control Plan for Ocean Waters of California</w:t>
      </w:r>
      <w:r w:rsidRPr="0099303F" w:rsidR="00906C16">
        <w:rPr>
          <w:rFonts w:cs="Arial"/>
        </w:rPr>
        <w:t xml:space="preserve"> </w:t>
      </w:r>
      <w:r w:rsidR="00E2706D">
        <w:rPr>
          <w:rFonts w:cs="Arial"/>
        </w:rPr>
        <w:t>(</w:t>
      </w:r>
      <w:hyperlink w:history="1" r:id="rId26">
        <w:r w:rsidRPr="002809B1" w:rsidR="002809B1">
          <w:rPr>
            <w:rStyle w:val="Hyperlink"/>
            <w:rFonts w:cs="Arial"/>
          </w:rPr>
          <w:t>Ocean Plan</w:t>
        </w:r>
      </w:hyperlink>
      <w:r w:rsidR="00E2706D">
        <w:t>)</w:t>
      </w:r>
      <w:r w:rsidRPr="0099303F" w:rsidR="001866A2">
        <w:rPr>
          <w:rFonts w:cs="Arial"/>
        </w:rPr>
        <w:t xml:space="preserve"> </w:t>
      </w:r>
      <w:r w:rsidRPr="0099303F" w:rsidR="00F801B1">
        <w:rPr>
          <w:rFonts w:cs="Arial"/>
        </w:rPr>
        <w:t>regulat</w:t>
      </w:r>
      <w:r w:rsidRPr="0099303F" w:rsidR="00B80C2E">
        <w:rPr>
          <w:rFonts w:cs="Arial"/>
        </w:rPr>
        <w:t>es</w:t>
      </w:r>
      <w:r w:rsidRPr="0099303F" w:rsidR="00F26926">
        <w:rPr>
          <w:rFonts w:cs="Arial"/>
        </w:rPr>
        <w:t xml:space="preserve"> </w:t>
      </w:r>
      <w:r w:rsidRPr="0099303F" w:rsidR="001A1408">
        <w:rPr>
          <w:rFonts w:cs="Arial"/>
        </w:rPr>
        <w:t xml:space="preserve">territorial marine waters of the </w:t>
      </w:r>
      <w:r w:rsidRPr="0099303F" w:rsidR="00896A9E">
        <w:rPr>
          <w:rFonts w:cs="Arial"/>
        </w:rPr>
        <w:t>state</w:t>
      </w:r>
      <w:r w:rsidRPr="0099303F" w:rsidR="00F26568">
        <w:rPr>
          <w:rFonts w:cs="Arial"/>
        </w:rPr>
        <w:t xml:space="preserve"> </w:t>
      </w:r>
      <w:r w:rsidRPr="0099303F" w:rsidR="001866A2">
        <w:rPr>
          <w:rFonts w:cs="Arial"/>
        </w:rPr>
        <w:t>for use and enjoyment by the people of the State</w:t>
      </w:r>
      <w:r w:rsidRPr="0099303F" w:rsidR="00243BBB">
        <w:rPr>
          <w:rFonts w:cs="Arial"/>
        </w:rPr>
        <w:t>.</w:t>
      </w:r>
      <w:r w:rsidRPr="0099303F" w:rsidR="00401F61">
        <w:rPr>
          <w:rFonts w:cs="Arial"/>
        </w:rPr>
        <w:t xml:space="preserve"> </w:t>
      </w:r>
      <w:r w:rsidR="00B13E46">
        <w:rPr>
          <w:rFonts w:cs="Arial"/>
        </w:rPr>
        <w:t>Appendix V</w:t>
      </w:r>
      <w:r w:rsidR="00DE5876">
        <w:rPr>
          <w:rFonts w:cs="Arial"/>
        </w:rPr>
        <w:t xml:space="preserve"> of t</w:t>
      </w:r>
      <w:r w:rsidRPr="0099303F" w:rsidR="00401F61">
        <w:rPr>
          <w:rFonts w:cs="Arial"/>
        </w:rPr>
        <w:t xml:space="preserve">he Ocean </w:t>
      </w:r>
      <w:r w:rsidR="00B13E46">
        <w:rPr>
          <w:rFonts w:cs="Arial"/>
        </w:rPr>
        <w:t xml:space="preserve">Plan </w:t>
      </w:r>
      <w:r w:rsidRPr="0099303F" w:rsidR="0011209D">
        <w:rPr>
          <w:rFonts w:cs="Arial"/>
        </w:rPr>
        <w:t xml:space="preserve">includes designations for coastal marine waters as </w:t>
      </w:r>
      <w:r w:rsidR="007F4F6F">
        <w:rPr>
          <w:rFonts w:cs="Arial"/>
        </w:rPr>
        <w:t>ASBS</w:t>
      </w:r>
      <w:r w:rsidRPr="0099303F" w:rsidR="00C86FB3">
        <w:rPr>
          <w:rFonts w:cs="Arial"/>
        </w:rPr>
        <w:t>, defined as a coastal area requiring protection of species or biological communities.</w:t>
      </w:r>
      <w:r w:rsidR="00CF3B04">
        <w:rPr>
          <w:rFonts w:cs="Arial"/>
        </w:rPr>
        <w:t xml:space="preserve"> </w:t>
      </w:r>
    </w:p>
    <w:p w:rsidRPr="0099303F" w:rsidR="00C50729" w:rsidP="009544C7" w:rsidRDefault="00D0124E" w14:paraId="3CE804A7" w14:textId="4E500655">
      <w:pPr>
        <w:snapToGrid w:val="0"/>
        <w:ind w:left="720"/>
        <w:rPr>
          <w:rFonts w:cs="Arial"/>
        </w:rPr>
      </w:pPr>
      <w:r w:rsidRPr="0099303F">
        <w:rPr>
          <w:rFonts w:cs="Arial"/>
        </w:rPr>
        <w:t xml:space="preserve">The </w:t>
      </w:r>
      <w:r w:rsidR="00F84A28">
        <w:rPr>
          <w:rFonts w:cs="Arial"/>
        </w:rPr>
        <w:t>Ocean Plan</w:t>
      </w:r>
      <w:r w:rsidRPr="0099303F">
        <w:rPr>
          <w:rFonts w:cs="Arial"/>
        </w:rPr>
        <w:t xml:space="preserve"> </w:t>
      </w:r>
      <w:r w:rsidRPr="0099303F" w:rsidR="00401F61">
        <w:rPr>
          <w:rFonts w:cs="Arial"/>
        </w:rPr>
        <w:t>prohibit</w:t>
      </w:r>
      <w:r w:rsidRPr="0099303F">
        <w:rPr>
          <w:rFonts w:cs="Arial"/>
        </w:rPr>
        <w:t>s</w:t>
      </w:r>
      <w:r w:rsidRPr="0099303F" w:rsidR="00401F61">
        <w:rPr>
          <w:rFonts w:cs="Arial"/>
        </w:rPr>
        <w:t xml:space="preserve"> </w:t>
      </w:r>
      <w:r w:rsidRPr="0099303F" w:rsidR="00BB2F57">
        <w:rPr>
          <w:rFonts w:cs="Arial"/>
        </w:rPr>
        <w:t>stormwater</w:t>
      </w:r>
      <w:r w:rsidRPr="0099303F" w:rsidR="003C5AC4">
        <w:rPr>
          <w:rFonts w:cs="Arial"/>
        </w:rPr>
        <w:t xml:space="preserve"> </w:t>
      </w:r>
      <w:r w:rsidRPr="0099303F" w:rsidR="002578DE">
        <w:rPr>
          <w:rFonts w:cs="Arial"/>
        </w:rPr>
        <w:t xml:space="preserve">discharges to </w:t>
      </w:r>
      <w:r w:rsidR="0090534D">
        <w:rPr>
          <w:rFonts w:cs="Arial"/>
        </w:rPr>
        <w:t>ASBS</w:t>
      </w:r>
      <w:r w:rsidRPr="0099303F" w:rsidR="002578DE">
        <w:rPr>
          <w:rFonts w:cs="Arial"/>
        </w:rPr>
        <w:t xml:space="preserve"> unless the discharges </w:t>
      </w:r>
      <w:r w:rsidRPr="0099303F" w:rsidR="00754E52">
        <w:rPr>
          <w:rFonts w:cs="Arial"/>
        </w:rPr>
        <w:t>comply with</w:t>
      </w:r>
      <w:r w:rsidRPr="0099303F" w:rsidR="00C403B2">
        <w:rPr>
          <w:rFonts w:cs="Arial"/>
        </w:rPr>
        <w:t xml:space="preserve"> </w:t>
      </w:r>
      <w:r w:rsidRPr="0099303F" w:rsidR="00695521">
        <w:rPr>
          <w:rFonts w:cs="Arial"/>
        </w:rPr>
        <w:t>State</w:t>
      </w:r>
      <w:r w:rsidR="004566C5">
        <w:rPr>
          <w:rFonts w:cs="Arial"/>
        </w:rPr>
        <w:t xml:space="preserve"> </w:t>
      </w:r>
      <w:r w:rsidRPr="0099303F" w:rsidR="00695521">
        <w:rPr>
          <w:rFonts w:cs="Arial"/>
        </w:rPr>
        <w:t>Water</w:t>
      </w:r>
      <w:r w:rsidR="004566C5">
        <w:rPr>
          <w:rFonts w:cs="Arial"/>
        </w:rPr>
        <w:t xml:space="preserve"> </w:t>
      </w:r>
      <w:r w:rsidRPr="0099303F" w:rsidR="00695521">
        <w:rPr>
          <w:rFonts w:cs="Arial"/>
        </w:rPr>
        <w:t>Board</w:t>
      </w:r>
      <w:r w:rsidR="004566C5">
        <w:rPr>
          <w:rFonts w:cs="Arial"/>
        </w:rPr>
        <w:t xml:space="preserve"> </w:t>
      </w:r>
      <w:r w:rsidRPr="0099303F" w:rsidR="00695521">
        <w:rPr>
          <w:rFonts w:cs="Arial"/>
        </w:rPr>
        <w:t>Resolution</w:t>
      </w:r>
      <w:r w:rsidR="004566C5">
        <w:rPr>
          <w:rFonts w:cs="Arial"/>
        </w:rPr>
        <w:t xml:space="preserve"> </w:t>
      </w:r>
      <w:hyperlink w:history="1" r:id="rId27">
        <w:r w:rsidRPr="00197055" w:rsidR="00695521">
          <w:rPr>
            <w:rStyle w:val="Hyperlink"/>
            <w:rFonts w:cs="Arial"/>
          </w:rPr>
          <w:t>No.</w:t>
        </w:r>
        <w:r w:rsidRPr="00197055" w:rsidR="000405A6">
          <w:rPr>
            <w:rStyle w:val="Hyperlink"/>
            <w:rFonts w:cs="Arial"/>
          </w:rPr>
          <w:t xml:space="preserve"> </w:t>
        </w:r>
        <w:r w:rsidRPr="00197055" w:rsidR="00695521">
          <w:rPr>
            <w:rStyle w:val="Hyperlink"/>
            <w:rFonts w:cs="Arial"/>
          </w:rPr>
          <w:t>2012</w:t>
        </w:r>
        <w:r w:rsidRPr="00197055" w:rsidR="00E82AC8">
          <w:rPr>
            <w:rStyle w:val="Hyperlink"/>
            <w:rFonts w:cs="Arial"/>
          </w:rPr>
          <w:noBreakHyphen/>
        </w:r>
        <w:r w:rsidRPr="00197055" w:rsidR="00695521">
          <w:rPr>
            <w:rStyle w:val="Hyperlink"/>
            <w:rFonts w:cs="Arial"/>
          </w:rPr>
          <w:t>0012</w:t>
        </w:r>
      </w:hyperlink>
      <w:r w:rsidRPr="004B4735" w:rsidR="00B84E59">
        <w:rPr>
          <w:rFonts w:cs="Arial"/>
        </w:rPr>
        <w:t xml:space="preserve">, </w:t>
      </w:r>
      <w:r w:rsidRPr="004B4735" w:rsidR="007C28EA">
        <w:rPr>
          <w:rFonts w:cs="Arial"/>
        </w:rPr>
        <w:t xml:space="preserve">Approving </w:t>
      </w:r>
      <w:r w:rsidRPr="004B4735" w:rsidR="00C1009C">
        <w:rPr>
          <w:rFonts w:cs="Arial"/>
        </w:rPr>
        <w:t>Exceptions to the California Ocean Plan for Selected Discharges into Areas of Special Biological Significance</w:t>
      </w:r>
      <w:r w:rsidRPr="004B4735" w:rsidR="007C28EA">
        <w:rPr>
          <w:rFonts w:cs="Arial"/>
        </w:rPr>
        <w:t>, Including Special Protections for Beneficial Uses</w:t>
      </w:r>
      <w:r w:rsidR="00D217C6">
        <w:rPr>
          <w:rFonts w:cs="Arial"/>
        </w:rPr>
        <w:t xml:space="preserve"> (General Exception)</w:t>
      </w:r>
      <w:r w:rsidRPr="004B4735" w:rsidR="002578DE">
        <w:rPr>
          <w:rFonts w:cs="Arial"/>
        </w:rPr>
        <w:t>.</w:t>
      </w:r>
      <w:r w:rsidRPr="0071035B" w:rsidR="00165A53">
        <w:rPr>
          <w:rFonts w:cs="Arial"/>
        </w:rPr>
        <w:t xml:space="preserve"> </w:t>
      </w:r>
      <w:r w:rsidR="0019753B">
        <w:rPr>
          <w:rFonts w:cs="Arial"/>
        </w:rPr>
        <w:t xml:space="preserve">Applicable </w:t>
      </w:r>
      <w:r w:rsidR="00124437">
        <w:rPr>
          <w:rFonts w:cs="Arial"/>
        </w:rPr>
        <w:t>Small MS4</w:t>
      </w:r>
      <w:r w:rsidR="00BA050A">
        <w:rPr>
          <w:rFonts w:cs="Arial"/>
        </w:rPr>
        <w:t xml:space="preserve"> </w:t>
      </w:r>
      <w:r w:rsidR="00A3627A">
        <w:rPr>
          <w:rFonts w:cs="Arial"/>
        </w:rPr>
        <w:t>Permittee</w:t>
      </w:r>
      <w:r w:rsidR="0019753B">
        <w:rPr>
          <w:rFonts w:cs="Arial"/>
        </w:rPr>
        <w:t>s</w:t>
      </w:r>
      <w:r w:rsidRPr="0099303F" w:rsidR="00EA1075">
        <w:rPr>
          <w:rFonts w:cs="Arial"/>
        </w:rPr>
        <w:t xml:space="preserve"> </w:t>
      </w:r>
      <w:r w:rsidR="00794276">
        <w:rPr>
          <w:rFonts w:cs="Arial"/>
        </w:rPr>
        <w:t>a</w:t>
      </w:r>
      <w:r w:rsidRPr="0099303F" w:rsidR="00EA1075">
        <w:rPr>
          <w:rFonts w:cs="Arial"/>
        </w:rPr>
        <w:t xml:space="preserve">pplied for and </w:t>
      </w:r>
      <w:r w:rsidR="00794276">
        <w:rPr>
          <w:rFonts w:cs="Arial"/>
        </w:rPr>
        <w:t>have been</w:t>
      </w:r>
      <w:r w:rsidRPr="0099303F" w:rsidR="00EA1075">
        <w:rPr>
          <w:rFonts w:cs="Arial"/>
        </w:rPr>
        <w:t xml:space="preserve"> granted an</w:t>
      </w:r>
      <w:r w:rsidRPr="0099303F" w:rsidR="00C1624E">
        <w:rPr>
          <w:rFonts w:cs="Arial"/>
        </w:rPr>
        <w:t xml:space="preserve"> </w:t>
      </w:r>
      <w:r w:rsidRPr="0099303F" w:rsidR="00EA1075">
        <w:rPr>
          <w:rFonts w:cs="Arial"/>
        </w:rPr>
        <w:t xml:space="preserve">exception to the prohibition </w:t>
      </w:r>
      <w:r w:rsidRPr="0099303F" w:rsidR="00D63536">
        <w:rPr>
          <w:rFonts w:cs="Arial"/>
        </w:rPr>
        <w:t>on the condition th</w:t>
      </w:r>
      <w:r w:rsidR="00794276">
        <w:rPr>
          <w:rFonts w:cs="Arial"/>
        </w:rPr>
        <w:t>at the applicab</w:t>
      </w:r>
      <w:r w:rsidR="00D217C6">
        <w:rPr>
          <w:rFonts w:cs="Arial"/>
        </w:rPr>
        <w:t>le</w:t>
      </w:r>
      <w:r w:rsidRPr="0099303F" w:rsidR="00D63536">
        <w:rPr>
          <w:rFonts w:cs="Arial"/>
        </w:rPr>
        <w:t xml:space="preserve"> </w:t>
      </w:r>
      <w:r w:rsidR="00A3627A">
        <w:rPr>
          <w:rFonts w:cs="Arial"/>
        </w:rPr>
        <w:t>Permittee</w:t>
      </w:r>
      <w:r w:rsidRPr="0099303F" w:rsidR="00D63536">
        <w:rPr>
          <w:rFonts w:cs="Arial"/>
        </w:rPr>
        <w:t xml:space="preserve"> complies with the special protections specified in the General Exception and contained in this Order.</w:t>
      </w:r>
    </w:p>
    <w:p w:rsidRPr="0099303F" w:rsidR="002578DE" w:rsidP="009544C7" w:rsidRDefault="00C071E9" w14:paraId="221942EE" w14:textId="52FCFCC6">
      <w:pPr>
        <w:snapToGrid w:val="0"/>
        <w:ind w:left="720"/>
        <w:rPr>
          <w:rFonts w:cs="Arial"/>
        </w:rPr>
      </w:pPr>
      <w:r w:rsidRPr="0099303F">
        <w:rPr>
          <w:rFonts w:cs="Arial"/>
        </w:rPr>
        <w:t>Non-</w:t>
      </w:r>
      <w:r w:rsidRPr="0099303F" w:rsidR="00BB2F57">
        <w:rPr>
          <w:rFonts w:cs="Arial"/>
        </w:rPr>
        <w:t>stormwater</w:t>
      </w:r>
      <w:r w:rsidRPr="0099303F" w:rsidR="00537640">
        <w:rPr>
          <w:rFonts w:cs="Arial"/>
        </w:rPr>
        <w:t xml:space="preserve"> discharges to </w:t>
      </w:r>
      <w:r w:rsidR="00BA050A">
        <w:rPr>
          <w:rFonts w:cs="Arial"/>
        </w:rPr>
        <w:t>ASBS</w:t>
      </w:r>
      <w:r w:rsidRPr="0099303F" w:rsidR="00537640">
        <w:rPr>
          <w:rFonts w:cs="Arial"/>
        </w:rPr>
        <w:t xml:space="preserve"> </w:t>
      </w:r>
      <w:r w:rsidRPr="0099303F" w:rsidR="00FA0B23">
        <w:rPr>
          <w:rFonts w:cs="Arial"/>
        </w:rPr>
        <w:t xml:space="preserve">are prohibited </w:t>
      </w:r>
      <w:r w:rsidRPr="0099303F" w:rsidR="00537640">
        <w:rPr>
          <w:rFonts w:cs="Arial"/>
        </w:rPr>
        <w:t xml:space="preserve">except </w:t>
      </w:r>
      <w:r w:rsidRPr="0099303F" w:rsidR="003C31CC">
        <w:rPr>
          <w:rFonts w:cs="Arial"/>
        </w:rPr>
        <w:t>where specifically authorized as</w:t>
      </w:r>
      <w:r w:rsidRPr="0099303F" w:rsidR="00537640">
        <w:rPr>
          <w:rFonts w:cs="Arial"/>
        </w:rPr>
        <w:t xml:space="preserve"> specified in </w:t>
      </w:r>
      <w:r w:rsidR="006C319C">
        <w:rPr>
          <w:rFonts w:cs="Arial"/>
        </w:rPr>
        <w:t>the General Exception</w:t>
      </w:r>
      <w:r w:rsidRPr="0099303F" w:rsidR="008D5D95">
        <w:rPr>
          <w:rFonts w:cs="Arial"/>
        </w:rPr>
        <w:t xml:space="preserve"> and</w:t>
      </w:r>
      <w:r w:rsidRPr="0099303F" w:rsidR="00515778">
        <w:rPr>
          <w:rFonts w:cs="Arial"/>
        </w:rPr>
        <w:t xml:space="preserve"> </w:t>
      </w:r>
      <w:r w:rsidR="001155FD">
        <w:rPr>
          <w:rFonts w:cs="Arial"/>
        </w:rPr>
        <w:t xml:space="preserve">Attachment </w:t>
      </w:r>
      <w:r w:rsidR="005C2C4B">
        <w:rPr>
          <w:rFonts w:cs="Arial"/>
        </w:rPr>
        <w:t>F</w:t>
      </w:r>
      <w:r w:rsidRPr="0099303F" w:rsidR="00515778">
        <w:rPr>
          <w:rFonts w:cs="Arial"/>
        </w:rPr>
        <w:t xml:space="preserve"> of this Order</w:t>
      </w:r>
      <w:r w:rsidRPr="0099303F" w:rsidR="004E1252">
        <w:rPr>
          <w:rFonts w:cs="Arial"/>
        </w:rPr>
        <w:t>.</w:t>
      </w:r>
      <w:r w:rsidRPr="0099303F" w:rsidR="00535C39">
        <w:rPr>
          <w:rFonts w:cs="Arial"/>
        </w:rPr>
        <w:t xml:space="preserve"> </w:t>
      </w:r>
    </w:p>
    <w:p w:rsidRPr="00EA4A6D" w:rsidR="00930374" w:rsidP="00EA4A6D" w:rsidRDefault="00626BFD" w14:paraId="2CF407DE" w14:textId="4C116BF8">
      <w:pPr>
        <w:snapToGrid w:val="0"/>
        <w:ind w:left="720"/>
        <w:rPr>
          <w:rFonts w:cs="Arial"/>
        </w:rPr>
      </w:pPr>
      <w:r>
        <w:rPr>
          <w:rFonts w:cs="Arial"/>
        </w:rPr>
        <w:t xml:space="preserve">This Order includes requirements for </w:t>
      </w:r>
      <w:r w:rsidR="00124437">
        <w:rPr>
          <w:rFonts w:cs="Arial"/>
        </w:rPr>
        <w:t>Small MS4</w:t>
      </w:r>
      <w:r w:rsidR="002921F0">
        <w:rPr>
          <w:rFonts w:cs="Arial"/>
        </w:rPr>
        <w:t xml:space="preserve"> </w:t>
      </w:r>
      <w:r>
        <w:rPr>
          <w:rFonts w:cs="Arial"/>
        </w:rPr>
        <w:t xml:space="preserve">Permittees that are authorized under the General Exception to discharge </w:t>
      </w:r>
      <w:r w:rsidR="00EA4A6D">
        <w:rPr>
          <w:rFonts w:cs="Arial"/>
        </w:rPr>
        <w:t xml:space="preserve">to </w:t>
      </w:r>
      <w:r w:rsidRPr="0099303F">
        <w:rPr>
          <w:rFonts w:cs="Arial"/>
        </w:rPr>
        <w:t>Areas of Special Biological Significance</w:t>
      </w:r>
      <w:r w:rsidR="00EA4A6D">
        <w:rPr>
          <w:rFonts w:cs="Arial"/>
        </w:rPr>
        <w:t>. See Attachment F for a list of MS4 Permittees and the ASBS they discharge to.</w:t>
      </w:r>
    </w:p>
    <w:p w:rsidRPr="00886722" w:rsidR="00E765CA" w:rsidP="002215C6" w:rsidRDefault="000F6B50" w14:paraId="498A6DC0" w14:textId="5F8F6890">
      <w:pPr>
        <w:pStyle w:val="Heading3"/>
      </w:pPr>
      <w:bookmarkStart w:name="_Toc51173186" w:id="48"/>
      <w:bookmarkStart w:name="_Toc74912541" w:id="49"/>
      <w:bookmarkStart w:name="_Hlk10111042" w:id="50"/>
      <w:r>
        <w:t>A</w:t>
      </w:r>
      <w:r w:rsidR="00EF7174">
        <w:t>8</w:t>
      </w:r>
      <w:r w:rsidRPr="00546DA6" w:rsidR="007D7CA4">
        <w:t>.</w:t>
      </w:r>
      <w:r w:rsidRPr="00546DA6" w:rsidR="00002118">
        <w:t>3</w:t>
      </w:r>
      <w:r w:rsidRPr="00546DA6" w:rsidR="00BE4B41">
        <w:tab/>
      </w:r>
      <w:r w:rsidRPr="00546DA6" w:rsidR="00216D4A">
        <w:t>Non-</w:t>
      </w:r>
      <w:r w:rsidRPr="00546DA6" w:rsidR="00783B4B">
        <w:t>S</w:t>
      </w:r>
      <w:r w:rsidRPr="00546DA6" w:rsidR="00BB2F57">
        <w:t>tormwater</w:t>
      </w:r>
      <w:r w:rsidRPr="00546DA6" w:rsidR="00216D4A">
        <w:t xml:space="preserve"> Discharge Prohibition</w:t>
      </w:r>
      <w:r w:rsidRPr="00546DA6" w:rsidR="007C5C90">
        <w:t xml:space="preserve"> and Conditiona</w:t>
      </w:r>
      <w:r w:rsidRPr="00546DA6" w:rsidR="00820B31">
        <w:t>lly Exempt Non-</w:t>
      </w:r>
      <w:r w:rsidRPr="00546DA6" w:rsidR="00BB2F57">
        <w:t>Stormwater</w:t>
      </w:r>
      <w:r w:rsidRPr="00546DA6" w:rsidR="00820B31">
        <w:t xml:space="preserve"> Discharges</w:t>
      </w:r>
      <w:bookmarkEnd w:id="48"/>
      <w:bookmarkEnd w:id="49"/>
    </w:p>
    <w:p w:rsidR="00957D1D" w:rsidP="0078644D" w:rsidRDefault="00E76209" w14:paraId="3D619C58" w14:textId="4433952D">
      <w:pPr>
        <w:snapToGrid w:val="0"/>
        <w:ind w:left="720"/>
        <w:rPr>
          <w:rFonts w:cs="Arial"/>
        </w:rPr>
      </w:pPr>
      <w:r w:rsidRPr="00840991">
        <w:rPr>
          <w:rFonts w:cs="Arial"/>
        </w:rPr>
        <w:t>Non-</w:t>
      </w:r>
      <w:r>
        <w:rPr>
          <w:rFonts w:cs="Arial"/>
        </w:rPr>
        <w:t>stormwater</w:t>
      </w:r>
      <w:r w:rsidRPr="00840991">
        <w:rPr>
          <w:rFonts w:cs="Arial"/>
        </w:rPr>
        <w:t xml:space="preserve"> discharges consist of all discharges from an MS4 that do not originate from precipitation events. This Order prohibits non-</w:t>
      </w:r>
      <w:r>
        <w:rPr>
          <w:rFonts w:cs="Arial"/>
        </w:rPr>
        <w:t>stormwater</w:t>
      </w:r>
      <w:r w:rsidRPr="00840991">
        <w:rPr>
          <w:rFonts w:cs="Arial"/>
        </w:rPr>
        <w:t xml:space="preserve"> discharges through an</w:t>
      </w:r>
      <w:r>
        <w:rPr>
          <w:rFonts w:cs="Arial"/>
        </w:rPr>
        <w:t xml:space="preserve"> MS4 into waters of the U.S </w:t>
      </w:r>
      <w:r w:rsidR="0078644D">
        <w:rPr>
          <w:rFonts w:cs="Arial"/>
        </w:rPr>
        <w:t>(s</w:t>
      </w:r>
      <w:r>
        <w:rPr>
          <w:rFonts w:cs="Arial"/>
        </w:rPr>
        <w:t>ee Order section 5.8.1</w:t>
      </w:r>
      <w:r w:rsidR="0078644D">
        <w:rPr>
          <w:rFonts w:cs="Arial"/>
        </w:rPr>
        <w:t>),</w:t>
      </w:r>
      <w:r w:rsidRPr="0099303F" w:rsidR="00D66C69">
        <w:rPr>
          <w:rFonts w:cs="Arial"/>
        </w:rPr>
        <w:t xml:space="preserve"> unless authorized by a separate NPDES permit or </w:t>
      </w:r>
      <w:r w:rsidR="003166D3">
        <w:rPr>
          <w:rFonts w:cs="Arial"/>
        </w:rPr>
        <w:t xml:space="preserve">are </w:t>
      </w:r>
      <w:r w:rsidRPr="0099303F" w:rsidR="00D66C69">
        <w:rPr>
          <w:rFonts w:cs="Arial"/>
        </w:rPr>
        <w:t>conditionally exempt.</w:t>
      </w:r>
      <w:r w:rsidR="00840991">
        <w:rPr>
          <w:rFonts w:cs="Arial"/>
        </w:rPr>
        <w:t xml:space="preserve"> </w:t>
      </w:r>
    </w:p>
    <w:p w:rsidR="00FE0803" w:rsidP="009544C7" w:rsidRDefault="00C93F46" w14:paraId="4DB417C5" w14:textId="152BEAD0">
      <w:pPr>
        <w:snapToGrid w:val="0"/>
        <w:ind w:left="720"/>
        <w:rPr>
          <w:rFonts w:cs="Arial"/>
        </w:rPr>
      </w:pPr>
      <w:r w:rsidRPr="00D0424A">
        <w:rPr>
          <w:rFonts w:cs="Arial"/>
        </w:rPr>
        <w:t>Certain categories of non-</w:t>
      </w:r>
      <w:r w:rsidR="00977F06">
        <w:rPr>
          <w:rFonts w:cs="Arial"/>
        </w:rPr>
        <w:t>stormwater</w:t>
      </w:r>
      <w:r w:rsidRPr="00D0424A">
        <w:rPr>
          <w:rFonts w:cs="Arial"/>
        </w:rPr>
        <w:t xml:space="preserve"> discharges are conditionally exempt as specified at 40 </w:t>
      </w:r>
      <w:r>
        <w:rPr>
          <w:rFonts w:cs="Arial"/>
        </w:rPr>
        <w:t>C.F.R</w:t>
      </w:r>
      <w:r w:rsidR="005A0D98">
        <w:rPr>
          <w:rFonts w:cs="Arial"/>
        </w:rPr>
        <w:t xml:space="preserve">. </w:t>
      </w:r>
      <w:r w:rsidR="00E67F9F">
        <w:rPr>
          <w:rFonts w:cs="Arial"/>
        </w:rPr>
        <w:t>§</w:t>
      </w:r>
      <w:r w:rsidRPr="00D0424A">
        <w:rPr>
          <w:rFonts w:cs="Arial"/>
        </w:rPr>
        <w:t>122.26(d)(2)(iv)(B)(1).</w:t>
      </w:r>
      <w:r w:rsidR="00CC146D">
        <w:rPr>
          <w:rFonts w:cs="Arial"/>
        </w:rPr>
        <w:t xml:space="preserve"> </w:t>
      </w:r>
      <w:r w:rsidR="00685ED0">
        <w:rPr>
          <w:rFonts w:cs="Arial"/>
        </w:rPr>
        <w:t>However, c</w:t>
      </w:r>
      <w:r w:rsidRPr="0099303F" w:rsidR="00067E3C">
        <w:rPr>
          <w:rFonts w:cs="Arial"/>
        </w:rPr>
        <w:t>onditionally exempt</w:t>
      </w:r>
      <w:r w:rsidRPr="0099303F" w:rsidR="00067E3C">
        <w:rPr>
          <w:rFonts w:cs="Arial"/>
          <w:b/>
        </w:rPr>
        <w:t xml:space="preserve"> </w:t>
      </w:r>
      <w:r w:rsidRPr="0099303F" w:rsidR="00067E3C">
        <w:rPr>
          <w:rFonts w:cs="Arial"/>
        </w:rPr>
        <w:t>non-stormwater discharges that are found to be significant sources of pollution are to be effectively prohibited.</w:t>
      </w:r>
    </w:p>
    <w:p w:rsidRPr="00546DA6" w:rsidR="00E765CA" w:rsidP="002215C6" w:rsidRDefault="000F6B50" w14:paraId="1E9AAF9C" w14:textId="075DE13A">
      <w:pPr>
        <w:pStyle w:val="Heading3"/>
        <w:rPr>
          <w:i/>
          <w:iCs/>
        </w:rPr>
      </w:pPr>
      <w:bookmarkStart w:name="_Toc51173187" w:id="51"/>
      <w:bookmarkStart w:name="_Toc74912542" w:id="52"/>
      <w:r>
        <w:t>A</w:t>
      </w:r>
      <w:r w:rsidR="00EF7174">
        <w:t>8</w:t>
      </w:r>
      <w:r w:rsidRPr="00546DA6" w:rsidR="007D7CA4">
        <w:t>.</w:t>
      </w:r>
      <w:r w:rsidRPr="00546DA6" w:rsidR="00002118">
        <w:t>4</w:t>
      </w:r>
      <w:r w:rsidRPr="00546DA6" w:rsidR="00EA1F9D">
        <w:tab/>
      </w:r>
      <w:r w:rsidRPr="00546DA6" w:rsidR="007C1039">
        <w:t xml:space="preserve">Prohibition </w:t>
      </w:r>
      <w:r w:rsidR="007C1039">
        <w:t xml:space="preserve">of </w:t>
      </w:r>
      <w:r w:rsidRPr="00546DA6" w:rsidR="00E765CA">
        <w:t>Discharge</w:t>
      </w:r>
      <w:r w:rsidR="007C1039">
        <w:t>s</w:t>
      </w:r>
      <w:r w:rsidRPr="00546DA6" w:rsidR="00E765CA">
        <w:t xml:space="preserve"> </w:t>
      </w:r>
      <w:r w:rsidR="002F325B">
        <w:t>that Cause or Contribute to</w:t>
      </w:r>
      <w:r w:rsidRPr="00546DA6" w:rsidR="00A17CA1">
        <w:t xml:space="preserve"> </w:t>
      </w:r>
      <w:r w:rsidRPr="00A21D92" w:rsidR="00B90296">
        <w:t>Exceedance</w:t>
      </w:r>
      <w:r w:rsidRPr="00A21D92" w:rsidR="009F66AD">
        <w:t>s</w:t>
      </w:r>
      <w:bookmarkEnd w:id="51"/>
      <w:bookmarkEnd w:id="52"/>
    </w:p>
    <w:p w:rsidRPr="0099303F" w:rsidR="00531A85" w:rsidP="009544C7" w:rsidRDefault="00281CFB" w14:paraId="0E23869D" w14:textId="0FAB2E99">
      <w:pPr>
        <w:snapToGrid w:val="0"/>
        <w:ind w:left="720"/>
        <w:rPr>
          <w:rFonts w:cs="Arial"/>
        </w:rPr>
      </w:pPr>
      <w:r w:rsidRPr="0099303F">
        <w:rPr>
          <w:rFonts w:cs="Arial"/>
        </w:rPr>
        <w:t xml:space="preserve">This </w:t>
      </w:r>
      <w:r w:rsidRPr="0099303F" w:rsidR="00D43568">
        <w:rPr>
          <w:rFonts w:cs="Arial"/>
        </w:rPr>
        <w:t>Order prohibits discharge</w:t>
      </w:r>
      <w:r w:rsidRPr="0099303F" w:rsidR="001203F5">
        <w:rPr>
          <w:rFonts w:cs="Arial"/>
        </w:rPr>
        <w:t>s</w:t>
      </w:r>
      <w:r w:rsidRPr="0099303F" w:rsidR="00D43568">
        <w:rPr>
          <w:rFonts w:cs="Arial"/>
        </w:rPr>
        <w:t xml:space="preserve"> that cause or contribute t</w:t>
      </w:r>
      <w:r w:rsidRPr="00DD05B7" w:rsidR="00D43568">
        <w:rPr>
          <w:rFonts w:cs="Arial"/>
        </w:rPr>
        <w:t xml:space="preserve">o </w:t>
      </w:r>
      <w:r w:rsidRPr="00DD05B7" w:rsidR="00F30A90">
        <w:rPr>
          <w:rFonts w:cs="Arial"/>
        </w:rPr>
        <w:t xml:space="preserve">exceedances </w:t>
      </w:r>
      <w:r w:rsidRPr="00DD05B7" w:rsidR="00D43568">
        <w:rPr>
          <w:rFonts w:cs="Arial"/>
        </w:rPr>
        <w:t>of water quality objectives or</w:t>
      </w:r>
      <w:r w:rsidRPr="00DD05B7" w:rsidR="00F30A90">
        <w:rPr>
          <w:rFonts w:cs="Arial"/>
        </w:rPr>
        <w:t xml:space="preserve"> that unreasonably </w:t>
      </w:r>
      <w:r w:rsidRPr="00DD05B7" w:rsidR="00652637">
        <w:rPr>
          <w:rFonts w:cs="Arial"/>
        </w:rPr>
        <w:t>a</w:t>
      </w:r>
      <w:r w:rsidRPr="00DD05B7" w:rsidR="00F30A90">
        <w:rPr>
          <w:rFonts w:cs="Arial"/>
        </w:rPr>
        <w:t>ffect beneficial uses</w:t>
      </w:r>
      <w:r w:rsidRPr="00DD05B7" w:rsidR="00471780">
        <w:rPr>
          <w:rFonts w:cs="Arial"/>
        </w:rPr>
        <w:t>.</w:t>
      </w:r>
    </w:p>
    <w:p w:rsidRPr="00546DA6" w:rsidR="00B57C80" w:rsidP="002215C6" w:rsidRDefault="000F6B50" w14:paraId="311AC71B" w14:textId="123248E1">
      <w:pPr>
        <w:pStyle w:val="Heading3"/>
        <w:rPr>
          <w:i/>
          <w:iCs/>
        </w:rPr>
      </w:pPr>
      <w:bookmarkStart w:name="_Toc74912544" w:id="53"/>
      <w:bookmarkStart w:name="_Hlk52458409" w:id="54"/>
      <w:r>
        <w:t>A</w:t>
      </w:r>
      <w:r w:rsidR="00E4799E">
        <w:t>8</w:t>
      </w:r>
      <w:r w:rsidRPr="00546DA6" w:rsidR="00B57C80">
        <w:t>.</w:t>
      </w:r>
      <w:r w:rsidRPr="00A21D92" w:rsidR="00667F5E">
        <w:t>5</w:t>
      </w:r>
      <w:r w:rsidRPr="00546DA6" w:rsidR="00B57C80">
        <w:tab/>
      </w:r>
      <w:r w:rsidRPr="00546DA6" w:rsidR="00B57C80">
        <w:t>Maintenance Activities</w:t>
      </w:r>
      <w:bookmarkEnd w:id="53"/>
    </w:p>
    <w:p w:rsidRPr="0099303F" w:rsidR="00B57C80" w:rsidP="00F63930" w:rsidRDefault="006F4D27" w14:paraId="0E857D43" w14:textId="0D345510">
      <w:pPr>
        <w:snapToGrid w:val="0"/>
        <w:ind w:left="720"/>
        <w:rPr>
          <w:rFonts w:cs="Arial"/>
        </w:rPr>
      </w:pPr>
      <w:r w:rsidRPr="0099303F">
        <w:rPr>
          <w:rFonts w:cs="Arial"/>
        </w:rPr>
        <w:t xml:space="preserve">This Order </w:t>
      </w:r>
      <w:r w:rsidR="00A26C4C">
        <w:rPr>
          <w:rFonts w:cs="Arial"/>
        </w:rPr>
        <w:t>continues</w:t>
      </w:r>
      <w:r w:rsidRPr="0099303F">
        <w:rPr>
          <w:rFonts w:cs="Arial"/>
        </w:rPr>
        <w:t xml:space="preserve"> the </w:t>
      </w:r>
      <w:r w:rsidR="00C874DB">
        <w:rPr>
          <w:rFonts w:cs="Arial"/>
        </w:rPr>
        <w:t>p</w:t>
      </w:r>
      <w:r w:rsidR="00A26C4C">
        <w:rPr>
          <w:rFonts w:cs="Arial"/>
        </w:rPr>
        <w:t>revio</w:t>
      </w:r>
      <w:r w:rsidR="00C874DB">
        <w:rPr>
          <w:rFonts w:cs="Arial"/>
        </w:rPr>
        <w:t>us permit</w:t>
      </w:r>
      <w:r w:rsidRPr="0099303F">
        <w:rPr>
          <w:rFonts w:cs="Arial"/>
        </w:rPr>
        <w:t xml:space="preserve"> requirements for implementation of maintenance to reduce the discharge of </w:t>
      </w:r>
      <w:r w:rsidRPr="0099303F" w:rsidR="00A937FF">
        <w:rPr>
          <w:rFonts w:cs="Arial"/>
        </w:rPr>
        <w:t>wastes or wastewater</w:t>
      </w:r>
      <w:r w:rsidRPr="0099303F" w:rsidR="00776195">
        <w:rPr>
          <w:rFonts w:cs="Arial"/>
        </w:rPr>
        <w:t xml:space="preserve"> from </w:t>
      </w:r>
      <w:r w:rsidR="000C0E85">
        <w:rPr>
          <w:rFonts w:cs="Arial"/>
        </w:rPr>
        <w:t xml:space="preserve">the Permittee’s MS4 boundary </w:t>
      </w:r>
      <w:r w:rsidRPr="0099303F" w:rsidR="00E513D6">
        <w:rPr>
          <w:rFonts w:cs="Arial"/>
        </w:rPr>
        <w:t>to waters of the United States or to a storm drainage facility leading to waters of the United States</w:t>
      </w:r>
      <w:r w:rsidRPr="0099303F">
        <w:rPr>
          <w:rFonts w:cs="Arial"/>
        </w:rPr>
        <w:t>. Federal NPDES stormwater regulations (40</w:t>
      </w:r>
      <w:r w:rsidR="000405A6">
        <w:rPr>
          <w:rFonts w:cs="Arial"/>
        </w:rPr>
        <w:t xml:space="preserve"> </w:t>
      </w:r>
      <w:r w:rsidRPr="0099303F">
        <w:rPr>
          <w:rFonts w:cs="Arial"/>
        </w:rPr>
        <w:t>C.F.R.</w:t>
      </w:r>
      <w:r w:rsidR="000405A6">
        <w:rPr>
          <w:rFonts w:cs="Arial"/>
        </w:rPr>
        <w:t xml:space="preserve"> </w:t>
      </w:r>
      <w:r w:rsidR="0054775C">
        <w:rPr>
          <w:rFonts w:cs="Arial"/>
        </w:rPr>
        <w:t>§§</w:t>
      </w:r>
      <w:r w:rsidRPr="0099303F">
        <w:rPr>
          <w:rFonts w:cs="Arial"/>
        </w:rPr>
        <w:t>122.41(e)</w:t>
      </w:r>
      <w:r w:rsidRPr="0099303F" w:rsidR="00DF5E24">
        <w:rPr>
          <w:rFonts w:cs="Arial"/>
        </w:rPr>
        <w:t xml:space="preserve"> and</w:t>
      </w:r>
      <w:r w:rsidRPr="0099303F">
        <w:rPr>
          <w:rFonts w:cs="Arial"/>
        </w:rPr>
        <w:t xml:space="preserve"> 122.26(d)(2)(iv</w:t>
      </w:r>
      <w:r w:rsidRPr="0099303F" w:rsidR="00DF5E24">
        <w:rPr>
          <w:rFonts w:cs="Arial"/>
        </w:rPr>
        <w:t>)</w:t>
      </w:r>
      <w:r w:rsidRPr="0099303F" w:rsidR="009E6197">
        <w:rPr>
          <w:rFonts w:cs="Arial"/>
        </w:rPr>
        <w:t>)</w:t>
      </w:r>
      <w:r w:rsidRPr="0099303F" w:rsidR="00DF5E24">
        <w:rPr>
          <w:rFonts w:cs="Arial"/>
        </w:rPr>
        <w:t xml:space="preserve"> provide</w:t>
      </w:r>
      <w:r w:rsidRPr="0099303F">
        <w:rPr>
          <w:rFonts w:cs="Arial"/>
        </w:rPr>
        <w:t xml:space="preserve"> the regulatory basis for incorporating</w:t>
      </w:r>
      <w:r w:rsidRPr="0099303F" w:rsidR="00E513D6">
        <w:rPr>
          <w:rFonts w:cs="Arial"/>
        </w:rPr>
        <w:t xml:space="preserve"> provisions related to</w:t>
      </w:r>
      <w:r w:rsidRPr="0099303F">
        <w:rPr>
          <w:rFonts w:cs="Arial"/>
        </w:rPr>
        <w:t xml:space="preserve"> maintenance </w:t>
      </w:r>
      <w:r w:rsidRPr="0099303F" w:rsidR="00E513D6">
        <w:rPr>
          <w:rFonts w:cs="Arial"/>
        </w:rPr>
        <w:t xml:space="preserve">activities </w:t>
      </w:r>
      <w:r w:rsidRPr="0099303F">
        <w:rPr>
          <w:rFonts w:cs="Arial"/>
        </w:rPr>
        <w:t>into this Order.</w:t>
      </w:r>
    </w:p>
    <w:p w:rsidRPr="00A36ADA" w:rsidR="00B57C80" w:rsidP="002215C6" w:rsidRDefault="000F6B50" w14:paraId="58288E87" w14:textId="2E228D5F">
      <w:pPr>
        <w:pStyle w:val="Heading3"/>
      </w:pPr>
      <w:bookmarkStart w:name="_Toc74912545" w:id="55"/>
      <w:r>
        <w:t>A</w:t>
      </w:r>
      <w:r w:rsidR="00E4799E">
        <w:t>8</w:t>
      </w:r>
      <w:r w:rsidRPr="00546DA6" w:rsidR="00B57C80">
        <w:t>.</w:t>
      </w:r>
      <w:r w:rsidRPr="00A21D92" w:rsidR="00667F5E">
        <w:t>6</w:t>
      </w:r>
      <w:r w:rsidRPr="00546DA6" w:rsidR="00B57C80">
        <w:tab/>
      </w:r>
      <w:r w:rsidRPr="00546DA6" w:rsidR="000460D3">
        <w:t xml:space="preserve">Discharge Prohibition of </w:t>
      </w:r>
      <w:r w:rsidRPr="00546DA6" w:rsidR="00B57C80">
        <w:t>Waste</w:t>
      </w:r>
      <w:bookmarkEnd w:id="55"/>
    </w:p>
    <w:bookmarkEnd w:id="54"/>
    <w:p w:rsidR="00B57C80" w:rsidP="00F63930" w:rsidRDefault="00830AFF" w14:paraId="0DA7ECAD" w14:textId="29AB84CF">
      <w:pPr>
        <w:snapToGrid w:val="0"/>
        <w:ind w:left="720"/>
        <w:rPr>
          <w:rFonts w:cs="Arial"/>
        </w:rPr>
      </w:pPr>
      <w:r w:rsidRPr="0099303F">
        <w:rPr>
          <w:rFonts w:cs="Arial"/>
        </w:rPr>
        <w:t xml:space="preserve">This Order </w:t>
      </w:r>
      <w:r w:rsidR="00E54869">
        <w:rPr>
          <w:rFonts w:cs="Arial"/>
        </w:rPr>
        <w:t xml:space="preserve">prohibits </w:t>
      </w:r>
      <w:r w:rsidRPr="0099303F" w:rsidR="002257C7">
        <w:rPr>
          <w:rFonts w:cs="Arial"/>
        </w:rPr>
        <w:t>the</w:t>
      </w:r>
      <w:r w:rsidRPr="0099303F" w:rsidR="006D6AFD">
        <w:rPr>
          <w:rFonts w:cs="Arial"/>
        </w:rPr>
        <w:t xml:space="preserve"> discharg</w:t>
      </w:r>
      <w:r w:rsidRPr="0099303F" w:rsidR="002257C7">
        <w:rPr>
          <w:rFonts w:cs="Arial"/>
        </w:rPr>
        <w:t>e</w:t>
      </w:r>
      <w:r w:rsidRPr="0099303F" w:rsidR="006D6AFD">
        <w:rPr>
          <w:rFonts w:cs="Arial"/>
        </w:rPr>
        <w:t xml:space="preserve"> </w:t>
      </w:r>
      <w:r w:rsidRPr="0099303F" w:rsidR="002257C7">
        <w:rPr>
          <w:rFonts w:cs="Arial"/>
        </w:rPr>
        <w:t xml:space="preserve">of </w:t>
      </w:r>
      <w:r w:rsidRPr="0099303F" w:rsidR="006D6AFD">
        <w:rPr>
          <w:rFonts w:cs="Arial"/>
        </w:rPr>
        <w:t>waste</w:t>
      </w:r>
      <w:r w:rsidRPr="0099303F" w:rsidR="002077CD">
        <w:rPr>
          <w:rFonts w:cs="Arial"/>
        </w:rPr>
        <w:t xml:space="preserve"> </w:t>
      </w:r>
      <w:r w:rsidRPr="0099303F">
        <w:rPr>
          <w:rFonts w:cs="Arial"/>
        </w:rPr>
        <w:t xml:space="preserve">directly or adjacent to </w:t>
      </w:r>
      <w:r w:rsidRPr="0099303F" w:rsidR="00346288">
        <w:rPr>
          <w:rFonts w:cs="Arial"/>
        </w:rPr>
        <w:t>w</w:t>
      </w:r>
      <w:r w:rsidRPr="0099303F">
        <w:rPr>
          <w:rFonts w:cs="Arial"/>
        </w:rPr>
        <w:t>aters of the United States</w:t>
      </w:r>
      <w:r w:rsidRPr="0099303F" w:rsidR="00E94B27">
        <w:rPr>
          <w:rFonts w:cs="Arial"/>
        </w:rPr>
        <w:t xml:space="preserve"> unless authorized by the State Water Board or a Regional Water Board</w:t>
      </w:r>
      <w:r w:rsidRPr="0099303F">
        <w:rPr>
          <w:rFonts w:cs="Arial"/>
        </w:rPr>
        <w:t xml:space="preserve">. </w:t>
      </w:r>
      <w:r w:rsidRPr="0099303F" w:rsidR="00BB371A">
        <w:rPr>
          <w:rFonts w:cs="Arial"/>
        </w:rPr>
        <w:t>W</w:t>
      </w:r>
      <w:r w:rsidRPr="0099303F">
        <w:rPr>
          <w:rFonts w:cs="Arial"/>
        </w:rPr>
        <w:t xml:space="preserve">aste includes </w:t>
      </w:r>
      <w:r w:rsidR="00662BD1">
        <w:rPr>
          <w:rFonts w:cs="Arial"/>
        </w:rPr>
        <w:t>“</w:t>
      </w:r>
      <w:r w:rsidRPr="0099303F">
        <w:rPr>
          <w:rFonts w:cs="Arial"/>
        </w:rPr>
        <w:t>sewage and any and all other waste substances, liquid, solid, gaseous, radioactive</w:t>
      </w:r>
      <w:r w:rsidR="00662BD1">
        <w:rPr>
          <w:rFonts w:cs="Arial"/>
        </w:rPr>
        <w:t>,</w:t>
      </w:r>
      <w:r w:rsidRPr="0099303F">
        <w:rPr>
          <w:rFonts w:cs="Arial"/>
        </w:rPr>
        <w:t xml:space="preserve"> associated with human habitation, or of human or animal origin, or from any producing, manufacturing, or processing operation, including waste placed within containers of whatever nature prior to, and for purposes of, disposal.” </w:t>
      </w:r>
      <w:r w:rsidRPr="0099303F" w:rsidR="00AA59FC">
        <w:rPr>
          <w:rFonts w:cs="Arial"/>
        </w:rPr>
        <w:t>(</w:t>
      </w:r>
      <w:r w:rsidR="001C28F8">
        <w:rPr>
          <w:rFonts w:cs="Arial"/>
        </w:rPr>
        <w:t>California Water Code</w:t>
      </w:r>
      <w:r w:rsidR="000405A6">
        <w:rPr>
          <w:rFonts w:cs="Arial"/>
        </w:rPr>
        <w:t xml:space="preserve"> </w:t>
      </w:r>
      <w:r w:rsidR="00E67F9F">
        <w:rPr>
          <w:rFonts w:cs="Arial"/>
        </w:rPr>
        <w:t>§</w:t>
      </w:r>
      <w:r w:rsidRPr="0099303F" w:rsidR="00AA59FC">
        <w:rPr>
          <w:rFonts w:cs="Arial"/>
        </w:rPr>
        <w:t xml:space="preserve">13050(d).) </w:t>
      </w:r>
    </w:p>
    <w:p w:rsidRPr="00FF59CB" w:rsidR="00755D73" w:rsidP="001A1BAA" w:rsidRDefault="000F6B50" w14:paraId="67D11B7E" w14:textId="7E9640BC">
      <w:pPr>
        <w:pStyle w:val="Heading2"/>
      </w:pPr>
      <w:bookmarkStart w:name="_Toc51173189" w:id="56"/>
      <w:bookmarkStart w:name="_Toc74912547" w:id="57"/>
      <w:bookmarkStart w:name="_Toc226536086" w:id="58"/>
      <w:bookmarkEnd w:id="50"/>
      <w:r>
        <w:t>A</w:t>
      </w:r>
      <w:r w:rsidR="00E4799E">
        <w:t>9</w:t>
      </w:r>
      <w:r w:rsidR="0047169C">
        <w:tab/>
      </w:r>
      <w:r w:rsidR="5607FDA7">
        <w:t>EFFLUENT LIMITATIONS</w:t>
      </w:r>
      <w:bookmarkEnd w:id="56"/>
      <w:bookmarkEnd w:id="57"/>
      <w:bookmarkEnd w:id="58"/>
    </w:p>
    <w:p w:rsidRPr="00A21D92" w:rsidR="000C186D" w:rsidP="00F63930" w:rsidRDefault="5338AFB9" w14:paraId="51F0902D" w14:textId="37961316">
      <w:pPr>
        <w:snapToGrid w:val="0"/>
        <w:ind w:left="720"/>
        <w:rPr>
          <w:rFonts w:cs="Arial"/>
        </w:rPr>
      </w:pPr>
      <w:r w:rsidRPr="398CEB9F">
        <w:rPr>
          <w:rFonts w:eastAsia="Arial" w:cs="Arial"/>
          <w:color w:val="000000" w:themeColor="text1"/>
        </w:rPr>
        <w:t xml:space="preserve">Clean Water Act </w:t>
      </w:r>
      <w:r w:rsidR="00E324BE">
        <w:rPr>
          <w:rFonts w:eastAsia="Arial" w:cs="Arial"/>
          <w:color w:val="000000" w:themeColor="text1"/>
        </w:rPr>
        <w:t>§</w:t>
      </w:r>
      <w:r w:rsidRPr="398CEB9F" w:rsidR="00E67F9F">
        <w:rPr>
          <w:rFonts w:eastAsia="Arial" w:cs="Arial"/>
          <w:color w:val="000000" w:themeColor="text1"/>
        </w:rPr>
        <w:t>301(b)(1)(A)</w:t>
      </w:r>
      <w:r w:rsidR="00E324BE">
        <w:rPr>
          <w:rFonts w:eastAsia="Arial" w:cs="Arial"/>
          <w:color w:val="000000" w:themeColor="text1"/>
        </w:rPr>
        <w:t xml:space="preserve"> </w:t>
      </w:r>
      <w:r w:rsidRPr="398CEB9F">
        <w:rPr>
          <w:rFonts w:eastAsia="Arial" w:cs="Arial"/>
          <w:color w:val="000000" w:themeColor="text1"/>
        </w:rPr>
        <w:t xml:space="preserve">and 40 C.F.R. </w:t>
      </w:r>
      <w:r w:rsidR="00E324BE">
        <w:rPr>
          <w:rFonts w:eastAsia="Arial" w:cs="Arial"/>
          <w:color w:val="000000" w:themeColor="text1"/>
        </w:rPr>
        <w:t>§</w:t>
      </w:r>
      <w:r w:rsidRPr="398CEB9F">
        <w:rPr>
          <w:rFonts w:eastAsia="Arial" w:cs="Arial"/>
          <w:color w:val="000000" w:themeColor="text1"/>
        </w:rPr>
        <w:t xml:space="preserve">122.44 </w:t>
      </w:r>
      <w:r w:rsidRPr="00DD05B7">
        <w:rPr>
          <w:rFonts w:eastAsia="Arial" w:cs="Arial"/>
          <w:color w:val="000000" w:themeColor="text1"/>
        </w:rPr>
        <w:t>generally</w:t>
      </w:r>
      <w:r w:rsidRPr="398CEB9F">
        <w:rPr>
          <w:rFonts w:eastAsia="Arial" w:cs="Arial"/>
          <w:color w:val="000000" w:themeColor="text1"/>
        </w:rPr>
        <w:t xml:space="preserve"> require that NPDES permits include technology based effluent limitations. </w:t>
      </w:r>
      <w:r w:rsidR="00B42211">
        <w:rPr>
          <w:rFonts w:eastAsia="Arial" w:cs="Arial"/>
          <w:color w:val="000000" w:themeColor="text1"/>
        </w:rPr>
        <w:t>However, p</w:t>
      </w:r>
      <w:r w:rsidRPr="00DD05B7">
        <w:rPr>
          <w:rFonts w:eastAsia="Arial" w:cs="Arial"/>
          <w:color w:val="000000" w:themeColor="text1"/>
        </w:rPr>
        <w:t xml:space="preserve">ursuant to Clean Water Act </w:t>
      </w:r>
      <w:r w:rsidR="00E324BE">
        <w:rPr>
          <w:rFonts w:eastAsia="Arial" w:cs="Arial"/>
          <w:color w:val="000000" w:themeColor="text1"/>
        </w:rPr>
        <w:t>§</w:t>
      </w:r>
      <w:r w:rsidRPr="00DD05B7">
        <w:rPr>
          <w:rFonts w:eastAsia="Arial" w:cs="Arial"/>
          <w:color w:val="000000" w:themeColor="text1"/>
        </w:rPr>
        <w:t xml:space="preserve">402(p)(3)(B)(iii), </w:t>
      </w:r>
      <w:r w:rsidR="00244065">
        <w:rPr>
          <w:rFonts w:eastAsia="Arial" w:cs="Arial"/>
          <w:color w:val="000000" w:themeColor="text1"/>
        </w:rPr>
        <w:t xml:space="preserve">NPDES </w:t>
      </w:r>
      <w:r w:rsidRPr="398CEB9F">
        <w:rPr>
          <w:rFonts w:eastAsia="Arial" w:cs="Arial"/>
          <w:color w:val="000000" w:themeColor="text1"/>
        </w:rPr>
        <w:t xml:space="preserve">municipal stormwater </w:t>
      </w:r>
      <w:r w:rsidRPr="00DD05B7">
        <w:rPr>
          <w:rFonts w:eastAsia="Arial" w:cs="Arial"/>
          <w:color w:val="000000" w:themeColor="text1"/>
        </w:rPr>
        <w:t>dischargers are required to comply with the technology-based standard to</w:t>
      </w:r>
      <w:r w:rsidRPr="398CEB9F">
        <w:rPr>
          <w:rFonts w:eastAsia="Arial" w:cs="Arial"/>
          <w:b/>
          <w:bCs/>
          <w:color w:val="000000" w:themeColor="text1"/>
        </w:rPr>
        <w:t xml:space="preserve"> </w:t>
      </w:r>
      <w:r w:rsidRPr="398CEB9F">
        <w:rPr>
          <w:rFonts w:eastAsia="Arial" w:cs="Arial"/>
          <w:color w:val="000000" w:themeColor="text1"/>
        </w:rPr>
        <w:t xml:space="preserve">“reduce the discharge of pollutants to the </w:t>
      </w:r>
      <w:r w:rsidR="00DF7CA1">
        <w:rPr>
          <w:rFonts w:eastAsia="Arial" w:cs="Arial"/>
          <w:color w:val="000000" w:themeColor="text1"/>
        </w:rPr>
        <w:t>Maximum Extent Practicable</w:t>
      </w:r>
      <w:r w:rsidRPr="7DC1F09D">
        <w:rPr>
          <w:rFonts w:eastAsia="Arial" w:cs="Arial"/>
          <w:color w:val="000000" w:themeColor="text1"/>
        </w:rPr>
        <w:t>.”</w:t>
      </w:r>
    </w:p>
    <w:p w:rsidRPr="00B817D3" w:rsidR="000C186D" w:rsidP="00F63930" w:rsidRDefault="00DF7CA1" w14:paraId="6D482B8C" w14:textId="01A2A7DC">
      <w:pPr>
        <w:snapToGrid w:val="0"/>
        <w:ind w:left="720"/>
        <w:rPr>
          <w:rFonts w:eastAsiaTheme="minorHAnsi"/>
        </w:rPr>
      </w:pPr>
      <w:r>
        <w:rPr>
          <w:rFonts w:eastAsiaTheme="minorHAnsi"/>
        </w:rPr>
        <w:t>Maximum Extent Practicable</w:t>
      </w:r>
      <w:r w:rsidRPr="00B817D3" w:rsidR="00000D36">
        <w:rPr>
          <w:rFonts w:eastAsiaTheme="minorHAnsi"/>
        </w:rPr>
        <w:t xml:space="preserve"> is generally achieved by emphasizing pollution prevention and source control </w:t>
      </w:r>
      <w:r w:rsidR="000A2877">
        <w:rPr>
          <w:rFonts w:eastAsiaTheme="minorHAnsi"/>
        </w:rPr>
        <w:t>BMPs</w:t>
      </w:r>
      <w:r w:rsidRPr="00B817D3" w:rsidR="00000D36">
        <w:rPr>
          <w:rFonts w:eastAsiaTheme="minorHAnsi"/>
        </w:rPr>
        <w:t xml:space="preserve"> as the first lines of defense in combination with structural and treatment methods where appropriate. The </w:t>
      </w:r>
      <w:r>
        <w:rPr>
          <w:rFonts w:eastAsiaTheme="minorHAnsi"/>
        </w:rPr>
        <w:t>Maximum Extent Practicable</w:t>
      </w:r>
      <w:r w:rsidRPr="00B817D3" w:rsidR="00000D36">
        <w:rPr>
          <w:rFonts w:eastAsiaTheme="minorHAnsi"/>
        </w:rPr>
        <w:t xml:space="preserve"> approach is an ever evolving, flexible, and advancing concept, which considers technical and economic feasibility. </w:t>
      </w:r>
      <w:r w:rsidRPr="00B817D3" w:rsidR="00667EED">
        <w:rPr>
          <w:rFonts w:eastAsiaTheme="minorHAnsi"/>
        </w:rPr>
        <w:t>K</w:t>
      </w:r>
      <w:r w:rsidRPr="00B817D3" w:rsidR="00000D36">
        <w:rPr>
          <w:rFonts w:eastAsiaTheme="minorHAnsi"/>
        </w:rPr>
        <w:t xml:space="preserve">nowledge about controlling urban runoff </w:t>
      </w:r>
      <w:r w:rsidRPr="00B817D3" w:rsidR="00667EED">
        <w:rPr>
          <w:rFonts w:eastAsiaTheme="minorHAnsi"/>
        </w:rPr>
        <w:t xml:space="preserve">and what constitutes the </w:t>
      </w:r>
      <w:r>
        <w:rPr>
          <w:rFonts w:eastAsiaTheme="minorHAnsi"/>
        </w:rPr>
        <w:t>Maximum Extent Practicable</w:t>
      </w:r>
      <w:r w:rsidRPr="00B817D3" w:rsidR="00667EED">
        <w:rPr>
          <w:rFonts w:eastAsiaTheme="minorHAnsi"/>
        </w:rPr>
        <w:t xml:space="preserve"> </w:t>
      </w:r>
      <w:r w:rsidRPr="00B817D3" w:rsidR="00000D36">
        <w:rPr>
          <w:rFonts w:eastAsiaTheme="minorHAnsi"/>
        </w:rPr>
        <w:t>continues to evolve.</w:t>
      </w:r>
      <w:r w:rsidRPr="00B817D3" w:rsidR="000C186D">
        <w:rPr>
          <w:rFonts w:eastAsiaTheme="minorHAnsi"/>
        </w:rPr>
        <w:t xml:space="preserve"> </w:t>
      </w:r>
      <w:r w:rsidRPr="00B817D3" w:rsidR="00000D36">
        <w:rPr>
          <w:rFonts w:eastAsiaTheme="minorHAnsi"/>
        </w:rPr>
        <w:t xml:space="preserve">The final determination of whether a municipality has reduced pollutants to the </w:t>
      </w:r>
      <w:r>
        <w:rPr>
          <w:rFonts w:eastAsiaTheme="minorHAnsi"/>
        </w:rPr>
        <w:t>Maximum Extent Practicable</w:t>
      </w:r>
      <w:r w:rsidRPr="00B817D3" w:rsidR="00000D36">
        <w:rPr>
          <w:rFonts w:eastAsiaTheme="minorHAnsi"/>
        </w:rPr>
        <w:t xml:space="preserve"> can only be made by the permitting agency, not by the discharger.</w:t>
      </w:r>
      <w:r w:rsidRPr="00B817D3" w:rsidR="0019625F">
        <w:rPr>
          <w:rFonts w:eastAsiaTheme="minorHAnsi"/>
        </w:rPr>
        <w:t xml:space="preserve"> </w:t>
      </w:r>
    </w:p>
    <w:p w:rsidR="00D02A3C" w:rsidP="00F63930" w:rsidRDefault="005128FE" w14:paraId="187F3773" w14:textId="2C02D489">
      <w:pPr>
        <w:snapToGrid w:val="0"/>
        <w:ind w:left="720"/>
        <w:rPr>
          <w:rFonts w:eastAsiaTheme="minorHAnsi"/>
        </w:rPr>
      </w:pPr>
      <w:r w:rsidRPr="00B817D3">
        <w:rPr>
          <w:rFonts w:eastAsiaTheme="minorHAnsi"/>
        </w:rPr>
        <w:t xml:space="preserve">These effluent limitations are </w:t>
      </w:r>
      <w:r w:rsidRPr="00B817D3" w:rsidR="00977FC6">
        <w:rPr>
          <w:rFonts w:eastAsiaTheme="minorHAnsi"/>
        </w:rPr>
        <w:t xml:space="preserve">achieved through implementation of </w:t>
      </w:r>
      <w:r w:rsidR="000A2877">
        <w:rPr>
          <w:rFonts w:eastAsiaTheme="minorHAnsi"/>
        </w:rPr>
        <w:t>BMPs</w:t>
      </w:r>
      <w:r w:rsidRPr="00B817D3" w:rsidR="00977FC6">
        <w:rPr>
          <w:rFonts w:eastAsiaTheme="minorHAnsi"/>
        </w:rPr>
        <w:t xml:space="preserve"> in lieu of numeric effluent limitations, as authorized by </w:t>
      </w:r>
      <w:r w:rsidRPr="00B817D3" w:rsidR="00097BA0">
        <w:rPr>
          <w:rFonts w:eastAsiaTheme="minorHAnsi"/>
        </w:rPr>
        <w:t>40</w:t>
      </w:r>
      <w:r w:rsidR="004652B3">
        <w:rPr>
          <w:rFonts w:eastAsiaTheme="minorHAnsi"/>
        </w:rPr>
        <w:t> </w:t>
      </w:r>
      <w:r w:rsidRPr="00B817D3" w:rsidR="007B232F">
        <w:rPr>
          <w:rFonts w:eastAsiaTheme="minorHAnsi"/>
        </w:rPr>
        <w:t>C.F.R.</w:t>
      </w:r>
      <w:r w:rsidR="000405A6">
        <w:rPr>
          <w:rFonts w:eastAsiaTheme="minorHAnsi"/>
        </w:rPr>
        <w:t xml:space="preserve"> </w:t>
      </w:r>
      <w:r w:rsidR="00E324BE">
        <w:rPr>
          <w:rFonts w:eastAsiaTheme="minorHAnsi"/>
        </w:rPr>
        <w:t>§</w:t>
      </w:r>
      <w:r w:rsidRPr="00B817D3" w:rsidR="00097BA0">
        <w:rPr>
          <w:rFonts w:eastAsiaTheme="minorHAnsi"/>
        </w:rPr>
        <w:t>122.44(k)(</w:t>
      </w:r>
      <w:r w:rsidRPr="00B817D3" w:rsidR="00176016">
        <w:rPr>
          <w:rFonts w:eastAsiaTheme="minorHAnsi"/>
        </w:rPr>
        <w:t>2)</w:t>
      </w:r>
      <w:r w:rsidRPr="00B817D3" w:rsidR="00977FC6">
        <w:rPr>
          <w:rFonts w:eastAsiaTheme="minorHAnsi"/>
        </w:rPr>
        <w:t>.</w:t>
      </w:r>
      <w:r w:rsidRPr="00B817D3" w:rsidR="00EA2EEB">
        <w:rPr>
          <w:rFonts w:eastAsiaTheme="minorHAnsi"/>
        </w:rPr>
        <w:t xml:space="preserve"> </w:t>
      </w:r>
    </w:p>
    <w:p w:rsidRPr="00B817D3" w:rsidR="000C186D" w:rsidP="00F63930" w:rsidRDefault="00EA01BD" w14:paraId="5544976D" w14:textId="016DB069">
      <w:pPr>
        <w:snapToGrid w:val="0"/>
        <w:ind w:left="720"/>
        <w:rPr>
          <w:rFonts w:eastAsiaTheme="minorHAnsi"/>
        </w:rPr>
      </w:pPr>
      <w:r>
        <w:rPr>
          <w:rFonts w:eastAsiaTheme="minorHAnsi"/>
        </w:rPr>
        <w:t>T</w:t>
      </w:r>
      <w:r w:rsidRPr="00B817D3" w:rsidR="00097BA0">
        <w:rPr>
          <w:rFonts w:eastAsiaTheme="minorHAnsi"/>
        </w:rPr>
        <w:t xml:space="preserve">he State Water Board assembled a panel to address the feasibility of including numeric effluent limits as part of NPDES municipal, industrial, and construction </w:t>
      </w:r>
      <w:r w:rsidRPr="00B817D3" w:rsidR="00BB2F57">
        <w:rPr>
          <w:rFonts w:eastAsiaTheme="minorHAnsi"/>
        </w:rPr>
        <w:t>stormwater</w:t>
      </w:r>
      <w:r w:rsidRPr="00B817D3" w:rsidR="00097BA0">
        <w:rPr>
          <w:rFonts w:eastAsiaTheme="minorHAnsi"/>
        </w:rPr>
        <w:t xml:space="preserve"> permits. The panel issued a report dated June 19, 2006</w:t>
      </w:r>
      <w:r w:rsidR="005F78C4">
        <w:rPr>
          <w:rStyle w:val="FootnoteReference"/>
          <w:rFonts w:eastAsiaTheme="minorHAnsi"/>
        </w:rPr>
        <w:footnoteReference w:id="9"/>
      </w:r>
      <w:r w:rsidR="00C52293">
        <w:rPr>
          <w:rFonts w:eastAsiaTheme="minorHAnsi"/>
        </w:rPr>
        <w:t>,</w:t>
      </w:r>
      <w:r w:rsidRPr="00B817D3" w:rsidR="00097BA0">
        <w:rPr>
          <w:rFonts w:eastAsiaTheme="minorHAnsi"/>
        </w:rPr>
        <w:t xml:space="preserve"> that included recommendations as to the feasibility of including numeric limitations in </w:t>
      </w:r>
      <w:r w:rsidRPr="00B817D3" w:rsidR="00BB2F57">
        <w:rPr>
          <w:rFonts w:eastAsiaTheme="minorHAnsi"/>
        </w:rPr>
        <w:t>stormwater</w:t>
      </w:r>
      <w:r w:rsidRPr="00B817D3" w:rsidR="00097BA0">
        <w:rPr>
          <w:rFonts w:eastAsiaTheme="minorHAnsi"/>
        </w:rPr>
        <w:t xml:space="preserve"> permits, how such limitations should be established, and what data should be required.</w:t>
      </w:r>
      <w:r w:rsidRPr="00B817D3" w:rsidR="00E34AEA">
        <w:rPr>
          <w:rFonts w:eastAsiaTheme="minorHAnsi"/>
        </w:rPr>
        <w:t xml:space="preserve"> </w:t>
      </w:r>
      <w:r w:rsidRPr="00B817D3" w:rsidR="00097BA0">
        <w:rPr>
          <w:rFonts w:eastAsiaTheme="minorHAnsi"/>
        </w:rPr>
        <w:t xml:space="preserve">The report concluded that “It is not feasible at this time to set enforceable numeric effluent criteria for municipal </w:t>
      </w:r>
      <w:r w:rsidRPr="00B817D3" w:rsidR="000C53FB">
        <w:rPr>
          <w:rFonts w:eastAsiaTheme="minorHAnsi"/>
        </w:rPr>
        <w:t>best management practices</w:t>
      </w:r>
      <w:r w:rsidRPr="00B817D3" w:rsidR="00097BA0">
        <w:rPr>
          <w:rFonts w:eastAsiaTheme="minorHAnsi"/>
        </w:rPr>
        <w:t xml:space="preserve"> and urban discharges. However, it is possible to select and design them much more rigorously with respect to the physical, chemical and/or biological processes that take place within them, providing more confidence that the estimated mean concentrations of constituents in the effluents will be close to the </w:t>
      </w:r>
      <w:r w:rsidRPr="00B817D3" w:rsidR="00097BA0">
        <w:rPr>
          <w:rFonts w:eastAsiaTheme="minorHAnsi"/>
        </w:rPr>
        <w:t>design target.”</w:t>
      </w:r>
      <w:r w:rsidRPr="00B817D3" w:rsidR="00E34AEA">
        <w:rPr>
          <w:rFonts w:eastAsiaTheme="minorHAnsi"/>
        </w:rPr>
        <w:t xml:space="preserve"> </w:t>
      </w:r>
      <w:r w:rsidRPr="00B817D3" w:rsidR="00097BA0">
        <w:rPr>
          <w:rFonts w:eastAsiaTheme="minorHAnsi"/>
        </w:rPr>
        <w:t>Consistent with the findings of the Panel and precedential State Water Board orders (State Water Board Orders Nos.</w:t>
      </w:r>
      <w:r w:rsidR="000405A6">
        <w:rPr>
          <w:rFonts w:eastAsiaTheme="minorHAnsi"/>
        </w:rPr>
        <w:t xml:space="preserve"> </w:t>
      </w:r>
      <w:r w:rsidRPr="00B817D3" w:rsidR="00097BA0">
        <w:rPr>
          <w:rFonts w:eastAsiaTheme="minorHAnsi"/>
        </w:rPr>
        <w:t>WQ</w:t>
      </w:r>
      <w:r w:rsidR="000405A6">
        <w:rPr>
          <w:rFonts w:eastAsiaTheme="minorHAnsi"/>
        </w:rPr>
        <w:t xml:space="preserve"> </w:t>
      </w:r>
      <w:r w:rsidRPr="00B817D3" w:rsidR="00097BA0">
        <w:rPr>
          <w:rFonts w:eastAsiaTheme="minorHAnsi"/>
        </w:rPr>
        <w:t>91</w:t>
      </w:r>
      <w:r w:rsidR="00E82AC8">
        <w:rPr>
          <w:rFonts w:eastAsiaTheme="minorHAnsi"/>
        </w:rPr>
        <w:noBreakHyphen/>
      </w:r>
      <w:r w:rsidRPr="00B817D3" w:rsidR="00097BA0">
        <w:rPr>
          <w:rFonts w:eastAsiaTheme="minorHAnsi"/>
        </w:rPr>
        <w:t>03 and WQ</w:t>
      </w:r>
      <w:r w:rsidR="000405A6">
        <w:rPr>
          <w:rFonts w:eastAsiaTheme="minorHAnsi"/>
        </w:rPr>
        <w:t xml:space="preserve"> </w:t>
      </w:r>
      <w:r w:rsidRPr="00B817D3" w:rsidR="00097BA0">
        <w:rPr>
          <w:rFonts w:eastAsiaTheme="minorHAnsi"/>
        </w:rPr>
        <w:t>91</w:t>
      </w:r>
      <w:r w:rsidR="00E82AC8">
        <w:rPr>
          <w:rFonts w:eastAsiaTheme="minorHAnsi"/>
        </w:rPr>
        <w:noBreakHyphen/>
      </w:r>
      <w:r w:rsidRPr="00B817D3" w:rsidR="00097BA0">
        <w:rPr>
          <w:rFonts w:eastAsiaTheme="minorHAnsi"/>
        </w:rPr>
        <w:t xml:space="preserve">04), this Order allows the </w:t>
      </w:r>
      <w:r w:rsidR="00A3627A">
        <w:rPr>
          <w:rFonts w:eastAsiaTheme="minorHAnsi"/>
        </w:rPr>
        <w:t>Permittee</w:t>
      </w:r>
      <w:r w:rsidRPr="00B817D3" w:rsidR="00097BA0">
        <w:rPr>
          <w:rFonts w:eastAsiaTheme="minorHAnsi"/>
        </w:rPr>
        <w:t xml:space="preserve"> to implement </w:t>
      </w:r>
      <w:r w:rsidR="000A2877">
        <w:rPr>
          <w:rFonts w:eastAsiaTheme="minorHAnsi"/>
        </w:rPr>
        <w:t>BMP</w:t>
      </w:r>
      <w:r w:rsidRPr="00B817D3" w:rsidR="00097BA0">
        <w:rPr>
          <w:rFonts w:eastAsiaTheme="minorHAnsi"/>
        </w:rPr>
        <w:t>s to comply with the requirements of this Order.</w:t>
      </w:r>
    </w:p>
    <w:p w:rsidRPr="0099303F" w:rsidR="00A42DB0" w:rsidP="001A1BAA" w:rsidRDefault="000F6B50" w14:paraId="02F1CBE1" w14:textId="513700B0">
      <w:pPr>
        <w:pStyle w:val="Heading2"/>
      </w:pPr>
      <w:bookmarkStart w:name="_Toc51173190" w:id="59"/>
      <w:bookmarkStart w:name="_Toc74912548" w:id="60"/>
      <w:bookmarkStart w:name="_Toc226536087" w:id="61"/>
      <w:r>
        <w:t>A1</w:t>
      </w:r>
      <w:r w:rsidR="00305679">
        <w:t>0</w:t>
      </w:r>
      <w:r w:rsidRPr="0099303F" w:rsidR="00EA1F9D">
        <w:tab/>
      </w:r>
      <w:r w:rsidRPr="0099303F" w:rsidR="00A42DB0">
        <w:t>RECEIVING WATER LIMITATIONS</w:t>
      </w:r>
      <w:bookmarkEnd w:id="59"/>
      <w:bookmarkEnd w:id="60"/>
      <w:bookmarkEnd w:id="61"/>
      <w:r w:rsidRPr="0099303F" w:rsidR="00A42DB0">
        <w:t xml:space="preserve"> </w:t>
      </w:r>
    </w:p>
    <w:p w:rsidRPr="00297255" w:rsidR="00352221" w:rsidP="00352221" w:rsidRDefault="00352221" w14:paraId="12EDC1DA" w14:textId="455BDB12">
      <w:pPr>
        <w:snapToGrid w:val="0"/>
        <w:ind w:left="720"/>
        <w:rPr>
          <w:rFonts w:eastAsiaTheme="minorHAnsi"/>
        </w:rPr>
      </w:pPr>
      <w:r w:rsidRPr="00297255">
        <w:rPr>
          <w:rFonts w:eastAsiaTheme="minorHAnsi"/>
        </w:rPr>
        <w:t xml:space="preserve">This order conditions the discharge of pollutants from MS4s to satisfy requirements of Clean Water Act section 402(p)(3)(B). The recent U.S. Supreme Court decision </w:t>
      </w:r>
      <w:r w:rsidRPr="00297255">
        <w:rPr>
          <w:rFonts w:eastAsiaTheme="minorHAnsi"/>
          <w:i/>
          <w:iCs/>
        </w:rPr>
        <w:t xml:space="preserve">City and County of San Francisco, California v. Environmental Protection Agency </w:t>
      </w:r>
      <w:r w:rsidRPr="00297255">
        <w:rPr>
          <w:rFonts w:eastAsiaTheme="minorHAnsi"/>
        </w:rPr>
        <w:t xml:space="preserve">(2025) 145 S.Ct. 704 holds that NPDES permits issued by the </w:t>
      </w:r>
      <w:r w:rsidR="00084ECF">
        <w:rPr>
          <w:rFonts w:eastAsiaTheme="minorHAnsi"/>
        </w:rPr>
        <w:t>United States Environment</w:t>
      </w:r>
      <w:r w:rsidR="003A4626">
        <w:rPr>
          <w:rFonts w:eastAsiaTheme="minorHAnsi"/>
        </w:rPr>
        <w:t>al Protection Agency</w:t>
      </w:r>
      <w:r w:rsidRPr="00297255">
        <w:rPr>
          <w:rFonts w:eastAsiaTheme="minorHAnsi"/>
        </w:rPr>
        <w:t xml:space="preserve"> </w:t>
      </w:r>
      <w:r w:rsidR="003A4626">
        <w:rPr>
          <w:rFonts w:eastAsiaTheme="minorHAnsi"/>
        </w:rPr>
        <w:t>(</w:t>
      </w:r>
      <w:r w:rsidR="00280F07">
        <w:rPr>
          <w:rFonts w:eastAsiaTheme="minorHAnsi"/>
        </w:rPr>
        <w:t>USEPA</w:t>
      </w:r>
      <w:r w:rsidR="003A4626">
        <w:rPr>
          <w:rFonts w:eastAsiaTheme="minorHAnsi"/>
        </w:rPr>
        <w:t>)</w:t>
      </w:r>
      <w:r w:rsidRPr="00297255">
        <w:rPr>
          <w:rFonts w:eastAsiaTheme="minorHAnsi"/>
        </w:rPr>
        <w:t xml:space="preserve"> to implement Clean Water Act section 301(b)(1)(C) (33 U.S.C. § 1311(b)(1)(C)) may not include “end-result requirements,” which are provisions that do not spell out what a permittee must do or refrain from doing; rather, they make a permittee responsible for the quality of the water in the body of water into which the permittee discharges pollutants. </w:t>
      </w:r>
    </w:p>
    <w:p w:rsidR="00547AD0" w:rsidP="00EC6722" w:rsidRDefault="00EC6722" w14:paraId="2C1CC6FE" w14:textId="6B90504D">
      <w:pPr>
        <w:snapToGrid w:val="0"/>
        <w:ind w:left="720"/>
        <w:rPr>
          <w:rFonts w:eastAsiaTheme="minorHAnsi"/>
        </w:rPr>
      </w:pPr>
      <w:r w:rsidRPr="00297255">
        <w:rPr>
          <w:rFonts w:eastAsiaTheme="minorHAnsi"/>
        </w:rPr>
        <w:t>Under the Clean Water Act, MS4 discharges are not required to strictly comply with water quality standards pursuant to Clean Water Act section 301(b)(1)(C). (</w:t>
      </w:r>
      <w:r w:rsidRPr="00297255">
        <w:rPr>
          <w:rFonts w:eastAsiaTheme="minorHAnsi"/>
          <w:i/>
          <w:iCs/>
        </w:rPr>
        <w:t xml:space="preserve">Defenders of Wildlife v. Browner </w:t>
      </w:r>
      <w:r w:rsidRPr="00297255">
        <w:rPr>
          <w:rFonts w:eastAsiaTheme="minorHAnsi"/>
        </w:rPr>
        <w:t xml:space="preserve">(9th Cir. 1999) 191 F.3d 1159.) MS4 discharges must meet a technology-based standard of prohibiting non-storm water discharges and reducing pollutants in the discharge to the Maximum Extent Practicable in all cases, but requiring strict compliance with water quality standards (e.g., by imposing numeric effluent limitations) is at the discretion of the permitting agency. (33 U.S.C. § 1342(p)(3)(B); </w:t>
      </w:r>
      <w:r w:rsidRPr="00297255">
        <w:rPr>
          <w:rFonts w:eastAsiaTheme="minorHAnsi"/>
          <w:i/>
          <w:iCs/>
        </w:rPr>
        <w:t>Defenders of Wildlife, supra</w:t>
      </w:r>
      <w:r w:rsidRPr="00297255">
        <w:rPr>
          <w:rFonts w:eastAsiaTheme="minorHAnsi"/>
        </w:rPr>
        <w:t xml:space="preserve">.) To the extent NPDES permitting authorities impose conditions requiring discharges to meet water quality standards, either strictly or through an iterative process, they are relying on authority in Clean Water Act section 402(p)(3)(B) to include “such other provisions as the Administrator or the State determines appropriate for the control of such pollutants.” (33 U.S.C. § 1342(p)(3)(B)(iii).) This </w:t>
      </w:r>
      <w:r w:rsidR="003E15C2">
        <w:rPr>
          <w:rFonts w:eastAsiaTheme="minorHAnsi"/>
        </w:rPr>
        <w:t>O</w:t>
      </w:r>
      <w:r w:rsidRPr="00297255">
        <w:rPr>
          <w:rFonts w:eastAsiaTheme="minorHAnsi"/>
        </w:rPr>
        <w:t xml:space="preserve">rder is not based on Clean Water Act section 301(b)(1)(C). Nothing in the U.S. Supreme Court’s holding in </w:t>
      </w:r>
      <w:r w:rsidRPr="00297255">
        <w:rPr>
          <w:rFonts w:eastAsiaTheme="minorHAnsi"/>
          <w:i/>
          <w:iCs/>
        </w:rPr>
        <w:t xml:space="preserve">City and County of San Francisco </w:t>
      </w:r>
      <w:r w:rsidRPr="00297255">
        <w:rPr>
          <w:rFonts w:eastAsiaTheme="minorHAnsi"/>
        </w:rPr>
        <w:t>addressed Clean Water Act section 402(p)(3)(B), and the U.S. Supreme Court grounded its decision limiting end-result requirements in Clean Water Act section 301(b)(1)(C). (</w:t>
      </w:r>
      <w:r w:rsidRPr="00297255">
        <w:rPr>
          <w:rFonts w:eastAsiaTheme="minorHAnsi"/>
          <w:i/>
          <w:iCs/>
        </w:rPr>
        <w:t>City and County of San Francisco</w:t>
      </w:r>
      <w:r w:rsidRPr="00297255">
        <w:rPr>
          <w:rFonts w:eastAsiaTheme="minorHAnsi"/>
        </w:rPr>
        <w:t xml:space="preserve">, </w:t>
      </w:r>
      <w:r w:rsidRPr="00297255">
        <w:rPr>
          <w:rFonts w:eastAsiaTheme="minorHAnsi"/>
          <w:i/>
          <w:iCs/>
        </w:rPr>
        <w:t>supra</w:t>
      </w:r>
      <w:r w:rsidRPr="00297255">
        <w:rPr>
          <w:rFonts w:eastAsiaTheme="minorHAnsi"/>
        </w:rPr>
        <w:t xml:space="preserve">, at pp. 10-20.) As a result, </w:t>
      </w:r>
      <w:r w:rsidRPr="00297255">
        <w:rPr>
          <w:rFonts w:eastAsiaTheme="minorHAnsi"/>
          <w:i/>
          <w:iCs/>
        </w:rPr>
        <w:t xml:space="preserve">City and County of San Francisco </w:t>
      </w:r>
      <w:r w:rsidRPr="00297255">
        <w:rPr>
          <w:rFonts w:eastAsiaTheme="minorHAnsi"/>
        </w:rPr>
        <w:t>does not limit the inclusion of receiving water limitations in this MS4 NPDES order.</w:t>
      </w:r>
    </w:p>
    <w:p w:rsidRPr="004B1450" w:rsidR="004B1450" w:rsidP="004B1450" w:rsidRDefault="004B1450" w14:paraId="4B262FC1" w14:textId="1A658F63">
      <w:pPr>
        <w:snapToGrid w:val="0"/>
        <w:ind w:left="720"/>
        <w:rPr>
          <w:rFonts w:eastAsiaTheme="minorHAnsi"/>
        </w:rPr>
      </w:pPr>
      <w:r w:rsidRPr="004B1450">
        <w:rPr>
          <w:rFonts w:eastAsiaTheme="minorHAnsi"/>
        </w:rPr>
        <w:t xml:space="preserve">This </w:t>
      </w:r>
      <w:r w:rsidR="007D4171">
        <w:rPr>
          <w:rFonts w:eastAsiaTheme="minorHAnsi"/>
        </w:rPr>
        <w:t>O</w:t>
      </w:r>
      <w:r w:rsidRPr="004B1450">
        <w:rPr>
          <w:rFonts w:eastAsiaTheme="minorHAnsi"/>
        </w:rPr>
        <w:t xml:space="preserve">rder includes receiving water limitations not only in recognition of the authority conveyed by Clean Water Act section 402(p)(3)(B) and recognized by </w:t>
      </w:r>
      <w:r w:rsidRPr="004B1450">
        <w:rPr>
          <w:rFonts w:eastAsiaTheme="minorHAnsi"/>
          <w:i/>
          <w:iCs/>
        </w:rPr>
        <w:t>Defenders of Wildlife</w:t>
      </w:r>
      <w:r w:rsidRPr="004B1450">
        <w:rPr>
          <w:rFonts w:eastAsiaTheme="minorHAnsi"/>
        </w:rPr>
        <w:t xml:space="preserve">, but alternatively as a matter of independent state law authority (33 U.S.C. § 1370). Under the Porter-Cologne Water Quality Control Act, waste discharge requirements must implement applicable water quality control plans, which include the beneficial uses to be protected for a given water </w:t>
      </w:r>
      <w:r w:rsidRPr="004B1450">
        <w:rPr>
          <w:rFonts w:eastAsiaTheme="minorHAnsi"/>
        </w:rPr>
        <w:t xml:space="preserve">body and the water quality objectives reasonably required for that protection. (Wat. Code, § 13263.) When implementing requirements under the Porter-Cologne Act that are not compelled by federal law, the Water Boards have some flexibility to consider other factors, such as economics, when establishing the appropriate requirements. (Wat. Code, §§ 13241, 13263; </w:t>
      </w:r>
      <w:r w:rsidRPr="004B1450">
        <w:rPr>
          <w:rFonts w:eastAsiaTheme="minorHAnsi"/>
          <w:i/>
          <w:iCs/>
        </w:rPr>
        <w:t xml:space="preserve">City of Burbank v. State Water Resources Control Bd. </w:t>
      </w:r>
      <w:r w:rsidRPr="004B1450">
        <w:rPr>
          <w:rFonts w:eastAsiaTheme="minorHAnsi"/>
        </w:rPr>
        <w:t>(2005) 35 Cal.4th 613.) Accordingly, since the Water Boards have discretion under federal law to determine whether to require MS4 discharges to strictly comply with water quality standards identified in applicable water quality control plans and federal water quality criteria, the Water Boards may also utilize the flexibility under the Porter-Cologne Act to decline to require MS4 discharges to strictly comply with water quality standards. (See also, State Water Board Order WQ 2015-0075 (</w:t>
      </w:r>
      <w:r w:rsidRPr="004B1450">
        <w:rPr>
          <w:rFonts w:eastAsiaTheme="minorHAnsi"/>
          <w:i/>
          <w:iCs/>
        </w:rPr>
        <w:t>Los Angeles MS4</w:t>
      </w:r>
      <w:r w:rsidRPr="004B1450">
        <w:rPr>
          <w:rFonts w:eastAsiaTheme="minorHAnsi"/>
        </w:rPr>
        <w:t xml:space="preserve">), p. 14, n. 51.) </w:t>
      </w:r>
    </w:p>
    <w:p w:rsidR="004B1450" w:rsidP="00291A54" w:rsidRDefault="004B1450" w14:paraId="63716C7D" w14:textId="6AEADE81">
      <w:pPr>
        <w:snapToGrid w:val="0"/>
        <w:ind w:left="720"/>
        <w:rPr>
          <w:rFonts w:eastAsiaTheme="minorHAnsi"/>
        </w:rPr>
      </w:pPr>
      <w:r w:rsidRPr="004B1450">
        <w:rPr>
          <w:rFonts w:eastAsiaTheme="minorHAnsi"/>
        </w:rPr>
        <w:t>Multiple State Water Board precedential decisions guide and control the Water Boards in requiring MS4 NPDES permits to include receiving water limitations based on state water quality standards identified in applicable water quality control plan</w:t>
      </w:r>
      <w:r w:rsidR="007D2168">
        <w:rPr>
          <w:rFonts w:eastAsiaTheme="minorHAnsi"/>
        </w:rPr>
        <w:t>s</w:t>
      </w:r>
      <w:r w:rsidRPr="004B1450">
        <w:rPr>
          <w:rFonts w:eastAsiaTheme="minorHAnsi"/>
        </w:rPr>
        <w:t xml:space="preserve"> and applicable federal water quality criteria and to implement such limitations through an iterative process, and over time through appropriate watershed management plans. (State Water Board Orders WQ 98-01 (</w:t>
      </w:r>
      <w:r w:rsidRPr="004B1450">
        <w:rPr>
          <w:rFonts w:eastAsiaTheme="minorHAnsi"/>
          <w:i/>
          <w:iCs/>
        </w:rPr>
        <w:t>Environmental Health Coalition</w:t>
      </w:r>
      <w:r w:rsidRPr="004B1450">
        <w:rPr>
          <w:rFonts w:eastAsiaTheme="minorHAnsi"/>
        </w:rPr>
        <w:t>), WQ 99-05 (</w:t>
      </w:r>
      <w:r w:rsidRPr="004B1450">
        <w:rPr>
          <w:rFonts w:eastAsiaTheme="minorHAnsi"/>
          <w:i/>
          <w:iCs/>
        </w:rPr>
        <w:t>Environmental Health Coalition</w:t>
      </w:r>
      <w:r w:rsidRPr="004B1450">
        <w:rPr>
          <w:rFonts w:eastAsiaTheme="minorHAnsi"/>
        </w:rPr>
        <w:t>), WQ 2001-15 (</w:t>
      </w:r>
      <w:r w:rsidRPr="004B1450">
        <w:rPr>
          <w:rFonts w:eastAsiaTheme="minorHAnsi"/>
          <w:i/>
          <w:iCs/>
        </w:rPr>
        <w:t>Building Industry Association of San Diego</w:t>
      </w:r>
      <w:r w:rsidRPr="004B1450">
        <w:rPr>
          <w:rFonts w:eastAsiaTheme="minorHAnsi"/>
        </w:rPr>
        <w:t>), WQ 2015-0075.) That iterative process involves reporting of the exceedance of an applicable water quality standard, submission of a report describing proposed improvements to BMPs expected to better meet water quality standards and an implementation schedule, and implementation of these new or improved BMPs in accordance with the approved schedule. (State Water Board Order WQ 99-05, pp. 2-3; see also State Water Board Order WQ 2001-15, pp. 7-9.) The State Water Board previously found it appropriate to require implementation of BMPs in lieu of numeric water quality-based effluent limitations to meet water quality standards. (See State Water Board Orders WQ 91-03 (</w:t>
      </w:r>
      <w:r w:rsidRPr="004B1450">
        <w:rPr>
          <w:rFonts w:eastAsiaTheme="minorHAnsi"/>
          <w:i/>
          <w:iCs/>
        </w:rPr>
        <w:t>Citizens for a Better Environment</w:t>
      </w:r>
      <w:r w:rsidRPr="004B1450">
        <w:rPr>
          <w:rFonts w:eastAsiaTheme="minorHAnsi"/>
        </w:rPr>
        <w:t>), WQ 91-04 (</w:t>
      </w:r>
      <w:r w:rsidRPr="004B1450">
        <w:rPr>
          <w:rFonts w:eastAsiaTheme="minorHAnsi"/>
          <w:i/>
          <w:iCs/>
        </w:rPr>
        <w:t>Natural Resources Defense Council</w:t>
      </w:r>
      <w:r w:rsidRPr="004B1450">
        <w:rPr>
          <w:rFonts w:eastAsiaTheme="minorHAnsi"/>
        </w:rPr>
        <w:t xml:space="preserve">), WQ 98-01, WQ 2001-15.) </w:t>
      </w:r>
      <w:r w:rsidRPr="004B1450" w:rsidR="00117181">
        <w:rPr>
          <w:rFonts w:eastAsiaTheme="minorHAnsi"/>
        </w:rPr>
        <w:t>The State Water Board’s precedential decisions direct the Water Boards to require compliance with water quality standards through incorporation of receiving water limitations provisions consistent with State Water Board Order WQ 99-05.</w:t>
      </w:r>
    </w:p>
    <w:p w:rsidRPr="004B1450" w:rsidR="00C66EBB" w:rsidP="00291A54" w:rsidRDefault="00C66EBB" w14:paraId="0A1EEE89" w14:textId="736822D1">
      <w:pPr>
        <w:snapToGrid w:val="0"/>
        <w:ind w:left="720"/>
        <w:rPr>
          <w:rFonts w:eastAsiaTheme="minorHAnsi"/>
        </w:rPr>
      </w:pPr>
      <w:r w:rsidRPr="00B817D3">
        <w:rPr>
          <w:rFonts w:eastAsiaTheme="minorHAnsi"/>
        </w:rPr>
        <w:t xml:space="preserve">The Ninth Circuit held in </w:t>
      </w:r>
      <w:r w:rsidRPr="00B817D3">
        <w:rPr>
          <w:rFonts w:eastAsiaTheme="minorHAnsi"/>
          <w:i/>
          <w:shd w:val="clear" w:color="auto" w:fill="FFFFFF" w:themeFill="background1"/>
        </w:rPr>
        <w:t>Natural Resources Defense Council, Inc. v. County of Los</w:t>
      </w:r>
      <w:r>
        <w:rPr>
          <w:rFonts w:eastAsiaTheme="minorHAnsi"/>
          <w:i/>
          <w:shd w:val="clear" w:color="auto" w:fill="FFFFFF" w:themeFill="background1"/>
        </w:rPr>
        <w:t xml:space="preserve"> </w:t>
      </w:r>
      <w:r w:rsidRPr="00B817D3">
        <w:rPr>
          <w:rFonts w:eastAsiaTheme="minorHAnsi"/>
          <w:i/>
          <w:shd w:val="clear" w:color="auto" w:fill="FFFFFF" w:themeFill="background1"/>
        </w:rPr>
        <w:t xml:space="preserve">Angeles </w:t>
      </w:r>
      <w:r w:rsidRPr="00B817D3">
        <w:rPr>
          <w:rFonts w:eastAsiaTheme="minorHAnsi"/>
          <w:shd w:val="clear" w:color="auto" w:fill="FFFFFF" w:themeFill="background1"/>
        </w:rPr>
        <w:t>(Ninth</w:t>
      </w:r>
      <w:r w:rsidRPr="00B817D3">
        <w:rPr>
          <w:rFonts w:eastAsiaTheme="minorHAnsi"/>
        </w:rPr>
        <w:t xml:space="preserve"> Circuit 2011) 673 F.3d 880 that engagement in the iterative process does not provide a safe harbor from liability for violations of permit terms prohibiting exceedances of water quality standards. The Ninth Circuit holding is consistent with the position of the State Water Board and Regional Water Boards that exceedances of water quality standards in a</w:t>
      </w:r>
      <w:r w:rsidR="002F6B81">
        <w:rPr>
          <w:rFonts w:eastAsiaTheme="minorHAnsi"/>
        </w:rPr>
        <w:t>n MS4</w:t>
      </w:r>
      <w:r w:rsidRPr="00B817D3" w:rsidDel="000A6A50">
        <w:rPr>
          <w:rFonts w:eastAsiaTheme="minorHAnsi"/>
        </w:rPr>
        <w:t xml:space="preserve"> </w:t>
      </w:r>
      <w:r w:rsidRPr="00B817D3">
        <w:rPr>
          <w:rFonts w:eastAsiaTheme="minorHAnsi"/>
        </w:rPr>
        <w:t xml:space="preserve">permit constitute violations of permit terms subject to enforcement by the </w:t>
      </w:r>
      <w:r w:rsidR="00CA20CF">
        <w:rPr>
          <w:rFonts w:eastAsiaTheme="minorHAnsi"/>
        </w:rPr>
        <w:t xml:space="preserve">Water </w:t>
      </w:r>
      <w:r w:rsidRPr="00B817D3">
        <w:rPr>
          <w:rFonts w:eastAsiaTheme="minorHAnsi"/>
        </w:rPr>
        <w:t xml:space="preserve">Boards or through a citizen suit. While the </w:t>
      </w:r>
      <w:r w:rsidR="00CA20CF">
        <w:rPr>
          <w:rFonts w:eastAsiaTheme="minorHAnsi"/>
        </w:rPr>
        <w:t xml:space="preserve">Water </w:t>
      </w:r>
      <w:r w:rsidRPr="00B817D3">
        <w:rPr>
          <w:rFonts w:eastAsiaTheme="minorHAnsi"/>
        </w:rPr>
        <w:t xml:space="preserve">Boards have generally directed dischargers to achieve compliance by improving control measures through the iterative process, </w:t>
      </w:r>
      <w:r w:rsidRPr="00B817D3">
        <w:rPr>
          <w:rFonts w:eastAsiaTheme="minorHAnsi"/>
        </w:rPr>
        <w:t xml:space="preserve">the </w:t>
      </w:r>
      <w:r w:rsidR="00775C9E">
        <w:rPr>
          <w:rFonts w:eastAsiaTheme="minorHAnsi"/>
        </w:rPr>
        <w:t xml:space="preserve">Water </w:t>
      </w:r>
      <w:r w:rsidRPr="00B817D3">
        <w:rPr>
          <w:rFonts w:eastAsiaTheme="minorHAnsi"/>
        </w:rPr>
        <w:t>Board</w:t>
      </w:r>
      <w:r w:rsidR="00775C9E">
        <w:rPr>
          <w:rFonts w:eastAsiaTheme="minorHAnsi"/>
        </w:rPr>
        <w:t>s</w:t>
      </w:r>
      <w:r w:rsidRPr="00B817D3">
        <w:rPr>
          <w:rFonts w:eastAsiaTheme="minorHAnsi"/>
        </w:rPr>
        <w:t xml:space="preserve"> retain the discretion to take other appropriate enforcement and the iterative process does not shield dischargers from citizen suits. The State Water Board reaffirmed this position in State Board Order</w:t>
      </w:r>
      <w:r>
        <w:rPr>
          <w:rFonts w:eastAsiaTheme="minorHAnsi"/>
        </w:rPr>
        <w:t xml:space="preserve"> </w:t>
      </w:r>
      <w:r w:rsidRPr="00B817D3">
        <w:rPr>
          <w:rFonts w:eastAsiaTheme="minorHAnsi"/>
        </w:rPr>
        <w:t>WQ</w:t>
      </w:r>
      <w:r>
        <w:rPr>
          <w:rFonts w:eastAsiaTheme="minorHAnsi"/>
        </w:rPr>
        <w:t xml:space="preserve"> </w:t>
      </w:r>
      <w:r w:rsidRPr="00B817D3">
        <w:rPr>
          <w:rFonts w:eastAsiaTheme="minorHAnsi"/>
        </w:rPr>
        <w:t>2015</w:t>
      </w:r>
      <w:r>
        <w:rPr>
          <w:rFonts w:eastAsiaTheme="minorHAnsi"/>
        </w:rPr>
        <w:noBreakHyphen/>
      </w:r>
      <w:r w:rsidRPr="00B817D3">
        <w:rPr>
          <w:rFonts w:eastAsiaTheme="minorHAnsi"/>
        </w:rPr>
        <w:t>0075, stating, “we will continue to read those provisions consistent with how the courts have: engagement in the iterative process does not excuse exceedances of water quality standards.” (State Water Board Order</w:t>
      </w:r>
      <w:r>
        <w:rPr>
          <w:rFonts w:eastAsiaTheme="minorHAnsi"/>
        </w:rPr>
        <w:t xml:space="preserve"> </w:t>
      </w:r>
      <w:r w:rsidRPr="00B817D3">
        <w:rPr>
          <w:rFonts w:eastAsiaTheme="minorHAnsi"/>
        </w:rPr>
        <w:t>WQ</w:t>
      </w:r>
      <w:r>
        <w:rPr>
          <w:rFonts w:eastAsiaTheme="minorHAnsi"/>
        </w:rPr>
        <w:t xml:space="preserve"> </w:t>
      </w:r>
      <w:r w:rsidRPr="00B817D3">
        <w:rPr>
          <w:rFonts w:eastAsiaTheme="minorHAnsi"/>
        </w:rPr>
        <w:t>2015</w:t>
      </w:r>
      <w:r>
        <w:rPr>
          <w:rFonts w:eastAsiaTheme="minorHAnsi"/>
        </w:rPr>
        <w:noBreakHyphen/>
      </w:r>
      <w:r w:rsidRPr="00B817D3">
        <w:rPr>
          <w:rFonts w:eastAsiaTheme="minorHAnsi"/>
        </w:rPr>
        <w:t>0075, p. 15.)</w:t>
      </w:r>
      <w:r w:rsidRPr="00117181" w:rsidR="00117181">
        <w:rPr>
          <w:rFonts w:eastAsiaTheme="minorHAnsi"/>
        </w:rPr>
        <w:t xml:space="preserve"> </w:t>
      </w:r>
      <w:r w:rsidR="00117181">
        <w:rPr>
          <w:rFonts w:eastAsiaTheme="minorHAnsi"/>
        </w:rPr>
        <w:t>Further</w:t>
      </w:r>
      <w:r w:rsidRPr="004B1450" w:rsidR="00117181">
        <w:rPr>
          <w:rFonts w:eastAsiaTheme="minorHAnsi"/>
        </w:rPr>
        <w:t>, the State Water Board supplemented its prior precedent and included further direction to allow appropriate watershed management plans to provide an additional pathway for compliance with water quality standards. (</w:t>
      </w:r>
      <w:r w:rsidR="00117181">
        <w:rPr>
          <w:rFonts w:eastAsiaTheme="minorHAnsi"/>
        </w:rPr>
        <w:t xml:space="preserve">State Water Board Order </w:t>
      </w:r>
      <w:r w:rsidRPr="004B1450" w:rsidR="00117181">
        <w:rPr>
          <w:rFonts w:eastAsiaTheme="minorHAnsi"/>
        </w:rPr>
        <w:t xml:space="preserve">WQ 2015-0075, pp. 15-17.) </w:t>
      </w:r>
    </w:p>
    <w:p w:rsidR="004B1450" w:rsidP="004B1450" w:rsidRDefault="004B1450" w14:paraId="1B7D5E4D" w14:textId="7D0CB32B">
      <w:pPr>
        <w:snapToGrid w:val="0"/>
        <w:ind w:left="720"/>
        <w:rPr>
          <w:rFonts w:eastAsiaTheme="minorHAnsi"/>
        </w:rPr>
      </w:pPr>
      <w:r w:rsidRPr="004B1450">
        <w:rPr>
          <w:rFonts w:eastAsiaTheme="minorHAnsi"/>
        </w:rPr>
        <w:t xml:space="preserve">Because </w:t>
      </w:r>
      <w:r w:rsidRPr="004B1450">
        <w:rPr>
          <w:rFonts w:eastAsiaTheme="minorHAnsi"/>
          <w:i/>
          <w:iCs/>
        </w:rPr>
        <w:t xml:space="preserve">City and County of San Francisco </w:t>
      </w:r>
      <w:r w:rsidRPr="004B1450">
        <w:rPr>
          <w:rFonts w:eastAsiaTheme="minorHAnsi"/>
        </w:rPr>
        <w:t xml:space="preserve">did not construe Clean Water Act section 402(p)(3)(B) or apply to MS4 NPDES permits, but also in recognition that states may include such other provisions as determined appropriate for the control of pollution from MS4s (33 U.S.C. § 1342(p)(3)(B)(iii)) and include more stringent requirements than the federal Clean Water Act (33 U.S.C. § 1370) and that multiple State Water Board precedential orders require inclusion of receiving water limitations and provisions incorporating an iterative approach to implementing water quality standards, this </w:t>
      </w:r>
      <w:r w:rsidR="001930BF">
        <w:rPr>
          <w:rFonts w:eastAsiaTheme="minorHAnsi"/>
        </w:rPr>
        <w:t>O</w:t>
      </w:r>
      <w:r w:rsidRPr="004B1450">
        <w:rPr>
          <w:rFonts w:eastAsiaTheme="minorHAnsi"/>
        </w:rPr>
        <w:t>rder retains receiving water limitations consistent with State Water Board Order WQ 2015-0075 and prior precedent.</w:t>
      </w:r>
    </w:p>
    <w:p w:rsidRPr="0099303F" w:rsidR="000018F2" w:rsidP="001A1BAA" w:rsidRDefault="009A5E0B" w14:paraId="36599825" w14:textId="5FD30F2E">
      <w:pPr>
        <w:pStyle w:val="Heading2"/>
      </w:pPr>
      <w:r>
        <w:rPr>
          <w:rFonts w:eastAsiaTheme="minorHAnsi"/>
        </w:rPr>
        <w:t xml:space="preserve"> </w:t>
      </w:r>
      <w:bookmarkStart w:name="_Toc74912549" w:id="62"/>
      <w:bookmarkStart w:name="_Toc226536088" w:id="63"/>
      <w:r w:rsidR="000F6B50">
        <w:t>A1</w:t>
      </w:r>
      <w:r w:rsidR="00305679">
        <w:t>1</w:t>
      </w:r>
      <w:r w:rsidRPr="0099303F" w:rsidR="006E0451">
        <w:tab/>
      </w:r>
      <w:r w:rsidRPr="0099303F" w:rsidR="000018F2">
        <w:t>STANDARD PROVISIONS</w:t>
      </w:r>
      <w:bookmarkEnd w:id="62"/>
      <w:bookmarkEnd w:id="63"/>
    </w:p>
    <w:p w:rsidRPr="00B817D3" w:rsidR="000018F2" w:rsidP="00F63930" w:rsidRDefault="0053580B" w14:paraId="262E9C59" w14:textId="5E24FAE4">
      <w:pPr>
        <w:snapToGrid w:val="0"/>
        <w:ind w:left="720"/>
        <w:rPr>
          <w:rFonts w:eastAsiaTheme="minorHAnsi"/>
        </w:rPr>
      </w:pPr>
      <w:bookmarkStart w:name="_Toc51173191" w:id="64"/>
      <w:r>
        <w:rPr>
          <w:rFonts w:eastAsiaTheme="minorHAnsi"/>
        </w:rPr>
        <w:t xml:space="preserve">Standard Provisions are provided in </w:t>
      </w:r>
      <w:r w:rsidR="00CF75F8">
        <w:rPr>
          <w:rFonts w:eastAsiaTheme="minorHAnsi"/>
        </w:rPr>
        <w:t>section</w:t>
      </w:r>
      <w:r w:rsidR="007669B0">
        <w:rPr>
          <w:rFonts w:eastAsiaTheme="minorHAnsi"/>
        </w:rPr>
        <w:t>s 13 through 18</w:t>
      </w:r>
      <w:r w:rsidR="00CF75F8">
        <w:rPr>
          <w:rFonts w:eastAsiaTheme="minorHAnsi"/>
        </w:rPr>
        <w:t xml:space="preserve"> </w:t>
      </w:r>
      <w:r w:rsidR="007669B0">
        <w:rPr>
          <w:rFonts w:eastAsiaTheme="minorHAnsi"/>
        </w:rPr>
        <w:t xml:space="preserve">in </w:t>
      </w:r>
      <w:r w:rsidR="00115E4A">
        <w:rPr>
          <w:rFonts w:eastAsiaTheme="minorHAnsi"/>
        </w:rPr>
        <w:t>th</w:t>
      </w:r>
      <w:r w:rsidR="00CF75F8">
        <w:rPr>
          <w:rFonts w:eastAsiaTheme="minorHAnsi"/>
        </w:rPr>
        <w:t>is</w:t>
      </w:r>
      <w:r w:rsidR="00115E4A">
        <w:rPr>
          <w:rFonts w:eastAsiaTheme="minorHAnsi"/>
        </w:rPr>
        <w:t xml:space="preserve"> Order</w:t>
      </w:r>
      <w:r w:rsidR="0010310C">
        <w:rPr>
          <w:rFonts w:eastAsiaTheme="minorHAnsi"/>
        </w:rPr>
        <w:t xml:space="preserve">. </w:t>
      </w:r>
      <w:r w:rsidRPr="00B817D3" w:rsidR="000018F2">
        <w:rPr>
          <w:rFonts w:eastAsiaTheme="minorHAnsi"/>
        </w:rPr>
        <w:t>Standard Provisions, which apply to all NPDES permits in accordance with 40</w:t>
      </w:r>
      <w:r w:rsidR="008F3367">
        <w:rPr>
          <w:rFonts w:eastAsiaTheme="minorHAnsi"/>
        </w:rPr>
        <w:t> </w:t>
      </w:r>
      <w:r w:rsidRPr="00B817D3" w:rsidR="000018F2">
        <w:rPr>
          <w:rFonts w:eastAsiaTheme="minorHAnsi"/>
        </w:rPr>
        <w:t>C.F.R.</w:t>
      </w:r>
      <w:r w:rsidR="000405A6">
        <w:rPr>
          <w:rFonts w:eastAsiaTheme="minorHAnsi"/>
        </w:rPr>
        <w:t xml:space="preserve"> </w:t>
      </w:r>
      <w:r w:rsidR="00E324BE">
        <w:rPr>
          <w:rFonts w:eastAsiaTheme="minorHAnsi"/>
        </w:rPr>
        <w:t>§</w:t>
      </w:r>
      <w:r w:rsidRPr="00B817D3" w:rsidR="000018F2">
        <w:rPr>
          <w:rFonts w:eastAsiaTheme="minorHAnsi"/>
        </w:rPr>
        <w:t>122.41, and additional conditions applicable to specified categories of permits in accordance with 40</w:t>
      </w:r>
      <w:r w:rsidR="000405A6">
        <w:rPr>
          <w:rFonts w:eastAsiaTheme="minorHAnsi"/>
        </w:rPr>
        <w:t xml:space="preserve"> </w:t>
      </w:r>
      <w:r w:rsidRPr="00B817D3" w:rsidR="000018F2">
        <w:rPr>
          <w:rFonts w:eastAsiaTheme="minorHAnsi"/>
        </w:rPr>
        <w:t>C.F.R.</w:t>
      </w:r>
      <w:r w:rsidR="000405A6">
        <w:rPr>
          <w:rFonts w:eastAsiaTheme="minorHAnsi"/>
        </w:rPr>
        <w:t xml:space="preserve"> </w:t>
      </w:r>
      <w:r w:rsidR="00E324BE">
        <w:rPr>
          <w:rFonts w:eastAsiaTheme="minorHAnsi"/>
        </w:rPr>
        <w:t>§</w:t>
      </w:r>
      <w:r w:rsidRPr="00B817D3" w:rsidR="000018F2">
        <w:rPr>
          <w:rFonts w:eastAsiaTheme="minorHAnsi"/>
        </w:rPr>
        <w:t xml:space="preserve">122.42, are included in this Order. The </w:t>
      </w:r>
      <w:r w:rsidR="00A3627A">
        <w:rPr>
          <w:rFonts w:eastAsiaTheme="minorHAnsi"/>
        </w:rPr>
        <w:t>Permittee</w:t>
      </w:r>
      <w:r w:rsidRPr="00B817D3" w:rsidR="000018F2">
        <w:rPr>
          <w:rFonts w:eastAsiaTheme="minorHAnsi"/>
        </w:rPr>
        <w:t xml:space="preserve"> shall comply with all standard provisions and with those additional conditions that are applicable under </w:t>
      </w:r>
      <w:r w:rsidR="00E324BE">
        <w:rPr>
          <w:rFonts w:eastAsiaTheme="minorHAnsi"/>
        </w:rPr>
        <w:t>§</w:t>
      </w:r>
      <w:r w:rsidRPr="00B817D3" w:rsidR="000018F2">
        <w:rPr>
          <w:rFonts w:eastAsiaTheme="minorHAnsi"/>
        </w:rPr>
        <w:t>122.42.</w:t>
      </w:r>
      <w:r w:rsidR="009E571A">
        <w:rPr>
          <w:rFonts w:eastAsiaTheme="minorHAnsi"/>
        </w:rPr>
        <w:t xml:space="preserve"> </w:t>
      </w:r>
    </w:p>
    <w:p w:rsidRPr="00B817D3" w:rsidR="000018F2" w:rsidP="005729A7" w:rsidRDefault="00C569B9" w14:paraId="6530B67B" w14:textId="7ED4C8E8">
      <w:pPr>
        <w:snapToGrid w:val="0"/>
        <w:ind w:left="720"/>
        <w:rPr>
          <w:rFonts w:eastAsiaTheme="minorHAnsi"/>
        </w:rPr>
      </w:pPr>
      <w:r>
        <w:rPr>
          <w:rFonts w:eastAsiaTheme="minorHAnsi"/>
        </w:rPr>
        <w:t>Conditions that apply to all State issue NPDES permits</w:t>
      </w:r>
      <w:r w:rsidR="00F671AD">
        <w:rPr>
          <w:rFonts w:eastAsiaTheme="minorHAnsi"/>
        </w:rPr>
        <w:t xml:space="preserve"> are established in </w:t>
      </w:r>
      <w:r w:rsidRPr="00B817D3" w:rsidR="000018F2">
        <w:rPr>
          <w:rFonts w:eastAsiaTheme="minorHAnsi"/>
        </w:rPr>
        <w:t>40</w:t>
      </w:r>
      <w:r w:rsidR="000405A6">
        <w:rPr>
          <w:rFonts w:eastAsiaTheme="minorHAnsi"/>
        </w:rPr>
        <w:t xml:space="preserve"> </w:t>
      </w:r>
      <w:r w:rsidRPr="00B817D3" w:rsidR="000018F2">
        <w:rPr>
          <w:rFonts w:eastAsiaTheme="minorHAnsi"/>
        </w:rPr>
        <w:t>C.F.R.</w:t>
      </w:r>
      <w:r w:rsidR="000405A6">
        <w:rPr>
          <w:rFonts w:eastAsiaTheme="minorHAnsi"/>
        </w:rPr>
        <w:t xml:space="preserve"> </w:t>
      </w:r>
      <w:r w:rsidR="0054775C">
        <w:rPr>
          <w:rFonts w:eastAsiaTheme="minorHAnsi"/>
        </w:rPr>
        <w:t>§§</w:t>
      </w:r>
      <w:r w:rsidRPr="00B817D3" w:rsidR="000018F2">
        <w:rPr>
          <w:rFonts w:eastAsiaTheme="minorHAnsi"/>
        </w:rPr>
        <w:t>122.41(a)(1) and (b) through (n). These conditions</w:t>
      </w:r>
      <w:r w:rsidR="003C3C7A">
        <w:rPr>
          <w:rFonts w:eastAsiaTheme="minorHAnsi"/>
        </w:rPr>
        <w:t xml:space="preserve"> </w:t>
      </w:r>
      <w:r w:rsidR="00E773C8">
        <w:rPr>
          <w:rFonts w:eastAsiaTheme="minorHAnsi"/>
        </w:rPr>
        <w:t>must</w:t>
      </w:r>
      <w:r w:rsidRPr="00B817D3" w:rsidR="000018F2">
        <w:rPr>
          <w:rFonts w:eastAsiaTheme="minorHAnsi"/>
        </w:rPr>
        <w:t xml:space="preserve"> be incorporated into the permits either expressly or by reference. If incorporated by reference, a specific citation to the regulations shall be included in the Order. 40</w:t>
      </w:r>
      <w:r w:rsidR="000405A6">
        <w:rPr>
          <w:rFonts w:eastAsiaTheme="minorHAnsi"/>
        </w:rPr>
        <w:t xml:space="preserve"> </w:t>
      </w:r>
      <w:r w:rsidRPr="00B817D3" w:rsidR="000018F2">
        <w:rPr>
          <w:rFonts w:eastAsiaTheme="minorHAnsi"/>
        </w:rPr>
        <w:t>C.F.R.</w:t>
      </w:r>
      <w:r w:rsidR="000405A6">
        <w:rPr>
          <w:rFonts w:eastAsiaTheme="minorHAnsi"/>
        </w:rPr>
        <w:t xml:space="preserve"> </w:t>
      </w:r>
      <w:r w:rsidR="00E324BE">
        <w:rPr>
          <w:rFonts w:eastAsiaTheme="minorHAnsi"/>
        </w:rPr>
        <w:t>§</w:t>
      </w:r>
      <w:r w:rsidRPr="00B817D3" w:rsidR="000018F2">
        <w:rPr>
          <w:rFonts w:eastAsiaTheme="minorHAnsi"/>
        </w:rPr>
        <w:t>123.25(a)(12) allows the state to omit or modify conditions to impose more stringent requirements. In accordance with 40</w:t>
      </w:r>
      <w:r w:rsidR="000405A6">
        <w:rPr>
          <w:rFonts w:eastAsiaTheme="minorHAnsi"/>
        </w:rPr>
        <w:t xml:space="preserve"> </w:t>
      </w:r>
      <w:r w:rsidRPr="00B817D3" w:rsidR="000018F2">
        <w:rPr>
          <w:rFonts w:eastAsiaTheme="minorHAnsi"/>
        </w:rPr>
        <w:t>C.F.R.</w:t>
      </w:r>
      <w:r w:rsidR="000405A6">
        <w:rPr>
          <w:rFonts w:eastAsiaTheme="minorHAnsi"/>
        </w:rPr>
        <w:t xml:space="preserve"> </w:t>
      </w:r>
      <w:r w:rsidR="00E324BE">
        <w:rPr>
          <w:rFonts w:eastAsiaTheme="minorHAnsi"/>
        </w:rPr>
        <w:t>§</w:t>
      </w:r>
      <w:r w:rsidRPr="00B817D3" w:rsidR="000018F2">
        <w:rPr>
          <w:rFonts w:eastAsiaTheme="minorHAnsi"/>
        </w:rPr>
        <w:t>123.25, this Order omits federal conditions that address enforcement authority specified in 40</w:t>
      </w:r>
      <w:r w:rsidR="000405A6">
        <w:rPr>
          <w:rFonts w:eastAsiaTheme="minorHAnsi"/>
        </w:rPr>
        <w:t xml:space="preserve"> </w:t>
      </w:r>
      <w:r w:rsidRPr="00B817D3" w:rsidR="000018F2">
        <w:rPr>
          <w:rFonts w:eastAsiaTheme="minorHAnsi"/>
        </w:rPr>
        <w:t>C.F.R.</w:t>
      </w:r>
      <w:r w:rsidR="000405A6">
        <w:rPr>
          <w:rFonts w:eastAsiaTheme="minorHAnsi"/>
        </w:rPr>
        <w:t xml:space="preserve"> </w:t>
      </w:r>
      <w:r w:rsidR="0054775C">
        <w:rPr>
          <w:rFonts w:eastAsiaTheme="minorHAnsi"/>
        </w:rPr>
        <w:t>§§</w:t>
      </w:r>
      <w:r w:rsidRPr="00B817D3" w:rsidR="000018F2">
        <w:rPr>
          <w:rFonts w:eastAsiaTheme="minorHAnsi"/>
        </w:rPr>
        <w:t xml:space="preserve">122.41(j)(5) and (k)(2) because the enforcement authority under the </w:t>
      </w:r>
      <w:r w:rsidR="001C28F8">
        <w:rPr>
          <w:rFonts w:eastAsiaTheme="minorHAnsi"/>
        </w:rPr>
        <w:t>California Water Code</w:t>
      </w:r>
      <w:r w:rsidRPr="00B817D3" w:rsidR="000018F2">
        <w:rPr>
          <w:rFonts w:eastAsiaTheme="minorHAnsi"/>
        </w:rPr>
        <w:t xml:space="preserve"> is more stringent. In lieu of these conditions, this Order incorporates by reference </w:t>
      </w:r>
      <w:r w:rsidR="001C28F8">
        <w:rPr>
          <w:rFonts w:eastAsiaTheme="minorHAnsi"/>
        </w:rPr>
        <w:t>California Water Code</w:t>
      </w:r>
      <w:r w:rsidR="000405A6">
        <w:rPr>
          <w:rFonts w:eastAsiaTheme="minorHAnsi"/>
        </w:rPr>
        <w:t xml:space="preserve"> </w:t>
      </w:r>
      <w:r w:rsidR="00E324BE">
        <w:rPr>
          <w:rFonts w:eastAsiaTheme="minorHAnsi"/>
        </w:rPr>
        <w:t>§</w:t>
      </w:r>
      <w:r w:rsidRPr="00B817D3" w:rsidR="000018F2">
        <w:rPr>
          <w:rFonts w:eastAsiaTheme="minorHAnsi"/>
        </w:rPr>
        <w:t>13387(e).</w:t>
      </w:r>
    </w:p>
    <w:p w:rsidRPr="0099303F" w:rsidR="00EC6454" w:rsidP="001A1BAA" w:rsidRDefault="000F6B50" w14:paraId="19F9F1DE" w14:textId="11D47202">
      <w:pPr>
        <w:pStyle w:val="Heading2"/>
      </w:pPr>
      <w:bookmarkStart w:name="_Toc74912550" w:id="65"/>
      <w:bookmarkStart w:name="_Toc226536089" w:id="66"/>
      <w:r>
        <w:t>A1</w:t>
      </w:r>
      <w:r w:rsidR="004008C8">
        <w:t>2</w:t>
      </w:r>
      <w:r w:rsidRPr="0099303F" w:rsidR="006E0451">
        <w:tab/>
      </w:r>
      <w:r w:rsidRPr="0099303F" w:rsidR="00633DF9">
        <w:t>PERMIT</w:t>
      </w:r>
      <w:r w:rsidR="0019192D">
        <w:t>–</w:t>
      </w:r>
      <w:r w:rsidRPr="0099303F" w:rsidR="00C11284">
        <w:t xml:space="preserve">SPECIFIC </w:t>
      </w:r>
      <w:r w:rsidRPr="0099303F" w:rsidR="00A44C34">
        <w:t>PROVISIONS</w:t>
      </w:r>
      <w:bookmarkStart w:name="_Toc12024801" w:id="67"/>
      <w:bookmarkStart w:name="_Toc12024978" w:id="68"/>
      <w:bookmarkStart w:name="_Toc12194791" w:id="69"/>
      <w:bookmarkStart w:name="_Toc12024802" w:id="70"/>
      <w:bookmarkStart w:name="_Toc12024979" w:id="71"/>
      <w:bookmarkStart w:name="_Toc12194792" w:id="72"/>
      <w:bookmarkStart w:name="_Toc12024980" w:id="73"/>
      <w:bookmarkStart w:name="_Toc12194793" w:id="74"/>
      <w:bookmarkEnd w:id="64"/>
      <w:bookmarkEnd w:id="65"/>
      <w:bookmarkEnd w:id="66"/>
      <w:bookmarkEnd w:id="67"/>
      <w:bookmarkEnd w:id="68"/>
      <w:bookmarkEnd w:id="69"/>
      <w:bookmarkEnd w:id="70"/>
      <w:bookmarkEnd w:id="71"/>
      <w:bookmarkEnd w:id="72"/>
      <w:bookmarkEnd w:id="73"/>
      <w:bookmarkEnd w:id="74"/>
    </w:p>
    <w:p w:rsidR="00A923B8" w:rsidP="00C76540" w:rsidRDefault="00473709" w14:paraId="5008985C" w14:textId="77777777">
      <w:pPr>
        <w:widowControl w:val="0"/>
        <w:ind w:left="720"/>
      </w:pPr>
      <w:r>
        <w:t xml:space="preserve">This Order establishes </w:t>
      </w:r>
      <w:r w:rsidR="008D5878">
        <w:t>pre</w:t>
      </w:r>
      <w:r w:rsidR="00C76540">
        <w:t xml:space="preserve">scriptive </w:t>
      </w:r>
      <w:r>
        <w:t xml:space="preserve">permit conditions to which </w:t>
      </w:r>
      <w:r w:rsidR="00C36BAC">
        <w:t>P</w:t>
      </w:r>
      <w:r>
        <w:t>ermittees are subject</w:t>
      </w:r>
      <w:r w:rsidR="00027329">
        <w:t>.</w:t>
      </w:r>
      <w:r w:rsidR="00E51104">
        <w:t xml:space="preserve"> </w:t>
      </w:r>
    </w:p>
    <w:p w:rsidRPr="00EC2660" w:rsidR="00B4534A" w:rsidP="0079429E" w:rsidRDefault="00104929" w14:paraId="09853399" w14:textId="78F9CF64">
      <w:pPr>
        <w:pStyle w:val="Heading3"/>
        <w:tabs>
          <w:tab w:val="clear" w:pos="720"/>
        </w:tabs>
        <w:ind w:left="1080" w:hanging="1080"/>
      </w:pPr>
      <w:bookmarkStart w:name="_Toc51173192" w:id="75"/>
      <w:r>
        <w:t>A12</w:t>
      </w:r>
      <w:r w:rsidR="00F21CE1">
        <w:t>.</w:t>
      </w:r>
      <w:r w:rsidR="004008C8">
        <w:t>2</w:t>
      </w:r>
      <w:r w:rsidRPr="00EC2660" w:rsidR="00BD1AFD">
        <w:t>.</w:t>
      </w:r>
      <w:r w:rsidR="00254BF4">
        <w:t>1</w:t>
      </w:r>
      <w:r w:rsidRPr="00EC2660" w:rsidR="00274BF6">
        <w:tab/>
      </w:r>
      <w:r w:rsidRPr="00EC2660" w:rsidR="00B4534A">
        <w:t>Minimum Control Measures</w:t>
      </w:r>
    </w:p>
    <w:p w:rsidRPr="00BB4EFA" w:rsidR="00AF49B2" w:rsidP="0079429E" w:rsidRDefault="00FC3A09" w14:paraId="6E965EB1" w14:textId="229631B5">
      <w:pPr>
        <w:ind w:left="1080"/>
        <w:rPr>
          <w:rFonts w:cs="Arial"/>
        </w:rPr>
      </w:pPr>
      <w:r w:rsidRPr="00BB4EFA">
        <w:rPr>
          <w:rFonts w:eastAsia="Calibri" w:cs="Arial"/>
          <w:lang w:eastAsia="en-US"/>
        </w:rPr>
        <w:t>Federal regulations at 40 C</w:t>
      </w:r>
      <w:r w:rsidRPr="00BB4EFA" w:rsidR="00156318">
        <w:rPr>
          <w:rFonts w:eastAsia="Calibri" w:cs="Arial"/>
          <w:lang w:eastAsia="en-US"/>
        </w:rPr>
        <w:t>.</w:t>
      </w:r>
      <w:r w:rsidRPr="00BB4EFA">
        <w:rPr>
          <w:rFonts w:eastAsia="Calibri" w:cs="Arial"/>
          <w:lang w:eastAsia="en-US"/>
        </w:rPr>
        <w:t>F</w:t>
      </w:r>
      <w:r w:rsidRPr="00BB4EFA" w:rsidR="00156318">
        <w:rPr>
          <w:rFonts w:eastAsia="Calibri" w:cs="Arial"/>
          <w:lang w:eastAsia="en-US"/>
        </w:rPr>
        <w:t xml:space="preserve">.R. </w:t>
      </w:r>
      <w:r w:rsidR="00E324BE">
        <w:rPr>
          <w:rFonts w:eastAsia="Calibri" w:cs="Arial"/>
          <w:lang w:eastAsia="en-US"/>
        </w:rPr>
        <w:t>§</w:t>
      </w:r>
      <w:r w:rsidRPr="00BB4EFA">
        <w:rPr>
          <w:rFonts w:eastAsia="Calibri" w:cs="Arial"/>
          <w:lang w:eastAsia="en-US"/>
        </w:rPr>
        <w:t>122.34(</w:t>
      </w:r>
      <w:r w:rsidRPr="00BB4EFA" w:rsidR="00F17BBE">
        <w:rPr>
          <w:rFonts w:eastAsia="Calibri" w:cs="Arial"/>
          <w:lang w:eastAsia="en-US"/>
        </w:rPr>
        <w:t xml:space="preserve">b) </w:t>
      </w:r>
      <w:r w:rsidRPr="00BB4EFA" w:rsidR="007E7DAD">
        <w:rPr>
          <w:rFonts w:eastAsia="Calibri" w:cs="Arial"/>
          <w:lang w:eastAsia="en-US"/>
        </w:rPr>
        <w:t xml:space="preserve">require that any permit issued to a regulated </w:t>
      </w:r>
      <w:r w:rsidRPr="00BB4EFA" w:rsidR="005060FF">
        <w:rPr>
          <w:rFonts w:eastAsia="Calibri" w:cs="Arial"/>
          <w:lang w:eastAsia="en-US"/>
        </w:rPr>
        <w:t>Small MS4</w:t>
      </w:r>
      <w:r w:rsidRPr="00BB4EFA" w:rsidR="004C6A4C">
        <w:rPr>
          <w:rFonts w:eastAsia="Calibri" w:cs="Arial"/>
          <w:lang w:eastAsia="en-US"/>
        </w:rPr>
        <w:t xml:space="preserve"> must include permit terms and conditions to</w:t>
      </w:r>
      <w:r w:rsidRPr="00BB4EFA" w:rsidR="0063729F">
        <w:rPr>
          <w:rFonts w:eastAsia="Calibri" w:cs="Arial"/>
          <w:lang w:eastAsia="en-US"/>
        </w:rPr>
        <w:t xml:space="preserve"> </w:t>
      </w:r>
      <w:r w:rsidRPr="00BB4EFA" w:rsidR="0063729F">
        <w:rPr>
          <w:rFonts w:cs="Arial"/>
        </w:rPr>
        <w:t xml:space="preserve">reduce the discharge of pollutants from the </w:t>
      </w:r>
      <w:r w:rsidRPr="00BB4EFA" w:rsidR="005060FF">
        <w:rPr>
          <w:rFonts w:cs="Arial"/>
        </w:rPr>
        <w:t>Small MS4</w:t>
      </w:r>
      <w:r w:rsidRPr="00BB4EFA" w:rsidR="0063729F">
        <w:rPr>
          <w:rFonts w:cs="Arial"/>
        </w:rPr>
        <w:t xml:space="preserve"> to the </w:t>
      </w:r>
      <w:r w:rsidR="00DF7CA1">
        <w:rPr>
          <w:rFonts w:cs="Arial"/>
        </w:rPr>
        <w:t>Maximum Extent Practicable</w:t>
      </w:r>
      <w:r w:rsidRPr="00BB4EFA" w:rsidR="0063729F">
        <w:rPr>
          <w:rFonts w:cs="Arial"/>
        </w:rPr>
        <w:t xml:space="preserve">, to protect water quality, and to satisfy the appropriate water quality requirements of the Clean Water Act. Terms and conditions </w:t>
      </w:r>
      <w:r w:rsidRPr="00BB4EFA" w:rsidR="008343E2">
        <w:rPr>
          <w:rFonts w:cs="Arial"/>
        </w:rPr>
        <w:t>in the permit m</w:t>
      </w:r>
      <w:r w:rsidRPr="00BB4EFA" w:rsidR="0063729F">
        <w:rPr>
          <w:rFonts w:cs="Arial"/>
        </w:rPr>
        <w:t xml:space="preserve">ust be expressed in clear, specific, and measurable terms. </w:t>
      </w:r>
      <w:r w:rsidRPr="00BB4EFA" w:rsidR="00EB405B">
        <w:rPr>
          <w:rFonts w:cs="Arial"/>
        </w:rPr>
        <w:t xml:space="preserve">The permit must also require a written </w:t>
      </w:r>
      <w:r w:rsidRPr="00BB4EFA" w:rsidR="005060FF">
        <w:rPr>
          <w:rFonts w:cs="Arial"/>
        </w:rPr>
        <w:t>stormwater</w:t>
      </w:r>
      <w:r w:rsidRPr="00BB4EFA" w:rsidR="00EB405B">
        <w:rPr>
          <w:rFonts w:cs="Arial"/>
        </w:rPr>
        <w:t xml:space="preserve"> management program document or documents that, at a minimum, describes in detail how the permittee intends to comply with the permit's requirements for each minimum control measure.</w:t>
      </w:r>
    </w:p>
    <w:p w:rsidRPr="00BB4EFA" w:rsidR="005210B7" w:rsidP="0079429E" w:rsidRDefault="005210B7" w14:paraId="20CAB1BE" w14:textId="1694C633">
      <w:pPr>
        <w:ind w:left="1080"/>
        <w:rPr>
          <w:rFonts w:eastAsia="Calibri" w:cs="Arial"/>
          <w:lang w:eastAsia="en-US"/>
        </w:rPr>
      </w:pPr>
      <w:r w:rsidRPr="00BB4EFA">
        <w:rPr>
          <w:rFonts w:eastAsia="Calibri" w:cs="Arial"/>
          <w:lang w:eastAsia="en-US"/>
        </w:rPr>
        <w:t xml:space="preserve">This Order implements </w:t>
      </w:r>
      <w:r w:rsidRPr="00BB4EFA" w:rsidR="005628B9">
        <w:rPr>
          <w:rFonts w:eastAsia="Calibri" w:cs="Arial"/>
          <w:lang w:eastAsia="en-US"/>
        </w:rPr>
        <w:t xml:space="preserve">40 </w:t>
      </w:r>
      <w:r w:rsidR="000561B6">
        <w:rPr>
          <w:rFonts w:eastAsia="Calibri" w:cs="Arial"/>
          <w:lang w:eastAsia="en-US"/>
        </w:rPr>
        <w:t>C.F.R.</w:t>
      </w:r>
      <w:r w:rsidRPr="00BB4EFA" w:rsidR="005628B9">
        <w:rPr>
          <w:rFonts w:eastAsia="Calibri" w:cs="Arial"/>
          <w:lang w:eastAsia="en-US"/>
        </w:rPr>
        <w:t xml:space="preserve"> 122.34</w:t>
      </w:r>
      <w:r w:rsidRPr="00BB4EFA" w:rsidR="002F1599">
        <w:rPr>
          <w:rFonts w:eastAsia="Calibri" w:cs="Arial"/>
          <w:lang w:eastAsia="en-US"/>
        </w:rPr>
        <w:t>(b)</w:t>
      </w:r>
      <w:r w:rsidRPr="00BB4EFA" w:rsidR="00664789">
        <w:rPr>
          <w:rFonts w:eastAsia="Calibri" w:cs="Arial"/>
          <w:lang w:eastAsia="en-US"/>
        </w:rPr>
        <w:t xml:space="preserve">(1) through </w:t>
      </w:r>
      <w:r w:rsidRPr="00BB4EFA" w:rsidR="00294857">
        <w:rPr>
          <w:rFonts w:eastAsia="Calibri" w:cs="Arial"/>
          <w:lang w:eastAsia="en-US"/>
        </w:rPr>
        <w:t>(6)</w:t>
      </w:r>
      <w:r w:rsidRPr="00BB4EFA">
        <w:rPr>
          <w:rFonts w:eastAsia="Calibri" w:cs="Arial"/>
          <w:lang w:eastAsia="en-US"/>
        </w:rPr>
        <w:t xml:space="preserve"> </w:t>
      </w:r>
      <w:r w:rsidRPr="00BB4EFA" w:rsidR="007E3680">
        <w:rPr>
          <w:rFonts w:eastAsia="Calibri" w:cs="Arial"/>
          <w:lang w:eastAsia="en-US"/>
        </w:rPr>
        <w:t xml:space="preserve">that </w:t>
      </w:r>
      <w:r w:rsidRPr="00BB4EFA">
        <w:rPr>
          <w:rFonts w:eastAsia="Calibri" w:cs="Arial"/>
          <w:lang w:eastAsia="en-US"/>
        </w:rPr>
        <w:t>requir</w:t>
      </w:r>
      <w:r w:rsidRPr="00BB4EFA" w:rsidR="007E3680">
        <w:rPr>
          <w:rFonts w:eastAsia="Calibri" w:cs="Arial"/>
          <w:lang w:eastAsia="en-US"/>
        </w:rPr>
        <w:t>es</w:t>
      </w:r>
      <w:r w:rsidRPr="00BB4EFA">
        <w:rPr>
          <w:rFonts w:eastAsia="Calibri" w:cs="Arial"/>
          <w:lang w:eastAsia="en-US"/>
        </w:rPr>
        <w:t xml:space="preserve"> Permittees to implement the six minimum control measures, as follows</w:t>
      </w:r>
      <w:r w:rsidRPr="00BB4EFA">
        <w:rPr>
          <w:rFonts w:eastAsia="Calibri" w:cs="Arial"/>
          <w:vertAlign w:val="superscript"/>
          <w:lang w:eastAsia="en-US"/>
        </w:rPr>
        <w:footnoteReference w:id="10"/>
      </w:r>
      <w:r w:rsidRPr="00BB4EFA">
        <w:rPr>
          <w:rFonts w:eastAsia="Calibri" w:cs="Arial"/>
          <w:lang w:eastAsia="en-US"/>
        </w:rPr>
        <w:t xml:space="preserve">: </w:t>
      </w:r>
    </w:p>
    <w:p w:rsidRPr="00BB4EFA" w:rsidR="005210B7" w:rsidP="00E8254E" w:rsidRDefault="005210B7" w14:paraId="1B11918E" w14:textId="2849A184">
      <w:pPr>
        <w:numPr>
          <w:ilvl w:val="0"/>
          <w:numId w:val="55"/>
        </w:numPr>
        <w:ind w:left="1440"/>
        <w:rPr>
          <w:rFonts w:eastAsia="Calibri" w:cs="Arial"/>
          <w:strike/>
          <w:lang w:eastAsia="en-US"/>
        </w:rPr>
      </w:pPr>
      <w:r w:rsidRPr="00BB4EFA">
        <w:rPr>
          <w:rFonts w:eastAsia="Calibri" w:cs="Arial"/>
          <w:lang w:eastAsia="en-US"/>
        </w:rPr>
        <w:t>Public Education and Outreach</w:t>
      </w:r>
      <w:r w:rsidRPr="00BB4EFA" w:rsidR="00673ED4">
        <w:rPr>
          <w:rFonts w:eastAsia="Calibri" w:cs="Arial"/>
          <w:lang w:eastAsia="en-US"/>
        </w:rPr>
        <w:t xml:space="preserve"> </w:t>
      </w:r>
      <w:r w:rsidRPr="00BB4EFA" w:rsidR="00D04BA0">
        <w:rPr>
          <w:rFonts w:eastAsia="Calibri" w:cs="Arial"/>
          <w:lang w:eastAsia="en-US"/>
        </w:rPr>
        <w:t xml:space="preserve">on Stormwater Impacts </w:t>
      </w:r>
      <w:r w:rsidRPr="00BB4EFA" w:rsidR="00E05558">
        <w:rPr>
          <w:rFonts w:eastAsia="Calibri" w:cs="Arial"/>
          <w:lang w:eastAsia="en-US"/>
        </w:rPr>
        <w:t>–</w:t>
      </w:r>
      <w:r w:rsidRPr="00BB4EFA" w:rsidR="006F33AC">
        <w:rPr>
          <w:rFonts w:eastAsia="Calibri" w:cs="Arial"/>
          <w:lang w:eastAsia="en-US"/>
        </w:rPr>
        <w:t xml:space="preserve"> </w:t>
      </w:r>
      <w:r w:rsidRPr="00BB4EFA" w:rsidR="00673ED4">
        <w:rPr>
          <w:rFonts w:eastAsia="Calibri" w:cs="Arial"/>
          <w:lang w:eastAsia="en-US"/>
        </w:rPr>
        <w:t>D</w:t>
      </w:r>
      <w:r w:rsidRPr="00BB4EFA" w:rsidR="00673ED4">
        <w:rPr>
          <w:rFonts w:cs="Arial"/>
        </w:rPr>
        <w:t>istribute educational materials to the community or conduct equivalent outreach activities about the impacts of stormwater discharges on water bodies and the steps that the public can take to reduce pollutants in stormwater runoff.</w:t>
      </w:r>
      <w:r w:rsidRPr="00BB4EFA">
        <w:rPr>
          <w:rFonts w:eastAsia="Calibri" w:cs="Arial"/>
          <w:lang w:eastAsia="en-US"/>
        </w:rPr>
        <w:t xml:space="preserve"> </w:t>
      </w:r>
    </w:p>
    <w:p w:rsidRPr="00BB4EFA" w:rsidR="005210B7" w:rsidP="00E8254E" w:rsidRDefault="005210B7" w14:paraId="0C09ABA9" w14:textId="0ED30B4A">
      <w:pPr>
        <w:numPr>
          <w:ilvl w:val="0"/>
          <w:numId w:val="55"/>
        </w:numPr>
        <w:ind w:left="1440"/>
        <w:rPr>
          <w:rFonts w:eastAsia="Calibri" w:cs="Arial"/>
          <w:lang w:eastAsia="en-US"/>
        </w:rPr>
      </w:pPr>
      <w:r w:rsidRPr="00BB4EFA">
        <w:rPr>
          <w:rFonts w:eastAsia="Calibri" w:cs="Arial"/>
          <w:lang w:eastAsia="en-US"/>
        </w:rPr>
        <w:t xml:space="preserve">Public </w:t>
      </w:r>
      <w:r w:rsidRPr="00BB4EFA" w:rsidR="00270CC3">
        <w:rPr>
          <w:rFonts w:eastAsia="Calibri" w:cs="Arial"/>
          <w:lang w:eastAsia="en-US"/>
        </w:rPr>
        <w:t>Involvement</w:t>
      </w:r>
      <w:r w:rsidRPr="00BB4EFA" w:rsidR="00D7272E">
        <w:rPr>
          <w:rFonts w:eastAsia="Calibri" w:cs="Arial"/>
          <w:lang w:eastAsia="en-US"/>
        </w:rPr>
        <w:t>/</w:t>
      </w:r>
      <w:r w:rsidRPr="00BB4EFA">
        <w:rPr>
          <w:rFonts w:eastAsia="Calibri" w:cs="Arial"/>
          <w:lang w:eastAsia="en-US"/>
        </w:rPr>
        <w:t>Participation –</w:t>
      </w:r>
      <w:r w:rsidRPr="00BB4EFA" w:rsidR="002137EE">
        <w:rPr>
          <w:rFonts w:eastAsia="Calibri" w:cs="Arial"/>
          <w:lang w:eastAsia="en-US"/>
        </w:rPr>
        <w:t xml:space="preserve"> </w:t>
      </w:r>
      <w:r w:rsidRPr="00BB4EFA">
        <w:rPr>
          <w:rFonts w:eastAsia="Calibri" w:cs="Arial"/>
          <w:lang w:eastAsia="en-US"/>
        </w:rPr>
        <w:t xml:space="preserve">Provide an opportunity for the public to participate in the development/implementation of their stormwater management program. </w:t>
      </w:r>
      <w:r w:rsidRPr="00BB4EFA" w:rsidR="00D7272E">
        <w:rPr>
          <w:rFonts w:eastAsia="Calibri" w:cs="Arial"/>
          <w:lang w:eastAsia="en-US"/>
        </w:rPr>
        <w:t>Public n</w:t>
      </w:r>
      <w:r w:rsidRPr="00BB4EFA">
        <w:rPr>
          <w:rFonts w:eastAsia="Calibri" w:cs="Arial"/>
          <w:lang w:eastAsia="en-US"/>
        </w:rPr>
        <w:t xml:space="preserve">otices </w:t>
      </w:r>
      <w:r w:rsidRPr="00BB4EFA" w:rsidR="00D7272E">
        <w:rPr>
          <w:rFonts w:eastAsia="Calibri" w:cs="Arial"/>
          <w:lang w:eastAsia="en-US"/>
        </w:rPr>
        <w:t xml:space="preserve">for the opportunity to </w:t>
      </w:r>
      <w:r w:rsidRPr="00BB4EFA" w:rsidR="00C04F7C">
        <w:rPr>
          <w:rFonts w:eastAsia="Calibri" w:cs="Arial"/>
          <w:lang w:eastAsia="en-US"/>
        </w:rPr>
        <w:t xml:space="preserve">participate </w:t>
      </w:r>
      <w:r w:rsidRPr="00BB4EFA">
        <w:rPr>
          <w:rFonts w:eastAsia="Calibri" w:cs="Arial"/>
          <w:lang w:eastAsia="en-US"/>
        </w:rPr>
        <w:t>must comply with state</w:t>
      </w:r>
      <w:r w:rsidRPr="00BB4EFA" w:rsidR="00A267B0">
        <w:rPr>
          <w:rFonts w:eastAsia="Calibri" w:cs="Arial"/>
          <w:lang w:eastAsia="en-US"/>
        </w:rPr>
        <w:t>, T</w:t>
      </w:r>
      <w:r w:rsidRPr="00BB4EFA" w:rsidR="00B32E99">
        <w:rPr>
          <w:rFonts w:eastAsia="Calibri" w:cs="Arial"/>
          <w:lang w:eastAsia="en-US"/>
        </w:rPr>
        <w:t>ribal</w:t>
      </w:r>
      <w:r w:rsidRPr="00BB4EFA" w:rsidR="00A267B0">
        <w:rPr>
          <w:rFonts w:eastAsia="Calibri" w:cs="Arial"/>
          <w:lang w:eastAsia="en-US"/>
        </w:rPr>
        <w:t>, and local</w:t>
      </w:r>
      <w:r w:rsidRPr="00BB4EFA" w:rsidR="00B32E99">
        <w:rPr>
          <w:rFonts w:eastAsia="Calibri" w:cs="Arial"/>
          <w:lang w:eastAsia="en-US"/>
        </w:rPr>
        <w:t xml:space="preserve"> </w:t>
      </w:r>
      <w:r w:rsidRPr="00BB4EFA">
        <w:rPr>
          <w:rFonts w:eastAsia="Calibri" w:cs="Arial"/>
          <w:lang w:eastAsia="en-US"/>
        </w:rPr>
        <w:t xml:space="preserve">public notice requirements. </w:t>
      </w:r>
    </w:p>
    <w:p w:rsidRPr="00BB4EFA" w:rsidR="005210B7" w:rsidP="00E8254E" w:rsidRDefault="005210B7" w14:paraId="6A0B3946" w14:textId="76FDA253">
      <w:pPr>
        <w:numPr>
          <w:ilvl w:val="0"/>
          <w:numId w:val="55"/>
        </w:numPr>
        <w:ind w:left="1440"/>
        <w:rPr>
          <w:rFonts w:eastAsia="Calibri" w:cs="Arial"/>
          <w:lang w:eastAsia="en-US"/>
        </w:rPr>
      </w:pPr>
      <w:r w:rsidRPr="00BB4EFA">
        <w:rPr>
          <w:rFonts w:eastAsia="Calibri" w:cs="Arial"/>
          <w:lang w:eastAsia="en-US"/>
        </w:rPr>
        <w:t>Illicit Discharge Detection and Elimination –</w:t>
      </w:r>
      <w:r w:rsidRPr="00BB4EFA" w:rsidR="00DD5117">
        <w:rPr>
          <w:rFonts w:eastAsia="Calibri" w:cs="Arial"/>
          <w:lang w:eastAsia="en-US"/>
        </w:rPr>
        <w:t xml:space="preserve"> </w:t>
      </w:r>
      <w:r w:rsidRPr="00BB4EFA">
        <w:rPr>
          <w:rFonts w:eastAsia="Calibri" w:cs="Arial"/>
          <w:lang w:eastAsia="en-US"/>
        </w:rPr>
        <w:t>Find and eliminate sources of non-stormwater from the</w:t>
      </w:r>
      <w:r w:rsidRPr="00BB4EFA" w:rsidR="004F41A3">
        <w:rPr>
          <w:rFonts w:eastAsia="Calibri" w:cs="Arial"/>
          <w:lang w:eastAsia="en-US"/>
        </w:rPr>
        <w:t xml:space="preserve"> Permittee</w:t>
      </w:r>
      <w:r w:rsidR="008D204C">
        <w:rPr>
          <w:rFonts w:eastAsia="Calibri" w:cs="Arial"/>
          <w:lang w:eastAsia="en-US"/>
        </w:rPr>
        <w:t>’</w:t>
      </w:r>
      <w:r w:rsidRPr="00BB4EFA" w:rsidR="004F41A3">
        <w:rPr>
          <w:rFonts w:eastAsia="Calibri" w:cs="Arial"/>
          <w:lang w:eastAsia="en-US"/>
        </w:rPr>
        <w:t>s</w:t>
      </w:r>
      <w:r w:rsidRPr="00BB4EFA">
        <w:rPr>
          <w:rFonts w:eastAsia="Calibri" w:cs="Arial"/>
          <w:lang w:eastAsia="en-US"/>
        </w:rPr>
        <w:t xml:space="preserve"> storm sewer system. </w:t>
      </w:r>
      <w:r w:rsidRPr="00BB4EFA" w:rsidR="003977A6">
        <w:rPr>
          <w:rFonts w:eastAsia="Calibri" w:cs="Arial"/>
          <w:lang w:eastAsia="en-US"/>
        </w:rPr>
        <w:t>This Order requires t</w:t>
      </w:r>
      <w:r w:rsidRPr="00BB4EFA" w:rsidR="00654AD5">
        <w:rPr>
          <w:rFonts w:eastAsia="Calibri" w:cs="Arial"/>
          <w:lang w:eastAsia="en-US"/>
        </w:rPr>
        <w:t xml:space="preserve">he Permittee </w:t>
      </w:r>
      <w:r w:rsidRPr="00BB4EFA" w:rsidR="00EF1C3B">
        <w:rPr>
          <w:rFonts w:eastAsia="Calibri" w:cs="Arial"/>
          <w:lang w:eastAsia="en-US"/>
        </w:rPr>
        <w:t>effectively prohibit, through ordinance, or other regulatory mechanism, non-</w:t>
      </w:r>
      <w:r w:rsidRPr="00BB4EFA" w:rsidR="00977F06">
        <w:rPr>
          <w:rFonts w:eastAsia="Calibri" w:cs="Arial"/>
          <w:lang w:eastAsia="en-US"/>
        </w:rPr>
        <w:t>stormwater</w:t>
      </w:r>
      <w:r w:rsidRPr="00BB4EFA" w:rsidR="00EF1C3B">
        <w:rPr>
          <w:rFonts w:eastAsia="Calibri" w:cs="Arial"/>
          <w:lang w:eastAsia="en-US"/>
        </w:rPr>
        <w:t xml:space="preserve"> discharges into the storm sewer system and implement appropriate enforcement procedures and actions</w:t>
      </w:r>
      <w:r w:rsidRPr="00BB4EFA" w:rsidR="0062338F">
        <w:rPr>
          <w:rFonts w:eastAsia="Calibri" w:cs="Arial"/>
          <w:lang w:eastAsia="en-US"/>
        </w:rPr>
        <w:t xml:space="preserve">; </w:t>
      </w:r>
      <w:r w:rsidRPr="00BB4EFA" w:rsidR="00606B8F">
        <w:rPr>
          <w:rFonts w:eastAsia="Calibri" w:cs="Arial"/>
          <w:lang w:eastAsia="en-US"/>
        </w:rPr>
        <w:t>develop and implement a plan to detect and address non-</w:t>
      </w:r>
      <w:r w:rsidRPr="00BB4EFA" w:rsidR="00977F06">
        <w:rPr>
          <w:rFonts w:eastAsia="Calibri" w:cs="Arial"/>
          <w:lang w:eastAsia="en-US"/>
        </w:rPr>
        <w:t>stormwater</w:t>
      </w:r>
      <w:r w:rsidRPr="00BB4EFA" w:rsidR="00606B8F">
        <w:rPr>
          <w:rFonts w:eastAsia="Calibri" w:cs="Arial"/>
          <w:lang w:eastAsia="en-US"/>
        </w:rPr>
        <w:t xml:space="preserve"> discharges, including illegal dumping, to the system; and </w:t>
      </w:r>
      <w:r w:rsidR="00104929">
        <w:rPr>
          <w:rFonts w:eastAsia="Calibri" w:cs="Arial"/>
          <w:lang w:eastAsia="en-US"/>
        </w:rPr>
        <w:t>i</w:t>
      </w:r>
      <w:r w:rsidRPr="00BB4EFA" w:rsidR="00104929">
        <w:rPr>
          <w:rFonts w:eastAsia="Calibri" w:cs="Arial"/>
          <w:lang w:eastAsia="en-US"/>
        </w:rPr>
        <w:t xml:space="preserve">nform </w:t>
      </w:r>
      <w:r w:rsidRPr="00BB4EFA" w:rsidR="00606B8F">
        <w:rPr>
          <w:rFonts w:eastAsia="Calibri" w:cs="Arial"/>
          <w:lang w:eastAsia="en-US"/>
        </w:rPr>
        <w:t>public employees, businesses, and the general public of hazards associated with illegal discharges and improper disposal of waste.</w:t>
      </w:r>
    </w:p>
    <w:p w:rsidRPr="00BB4EFA" w:rsidR="0014648D" w:rsidP="00E8254E" w:rsidRDefault="005210B7" w14:paraId="2A33870C" w14:textId="7B49457B">
      <w:pPr>
        <w:numPr>
          <w:ilvl w:val="0"/>
          <w:numId w:val="55"/>
        </w:numPr>
        <w:ind w:left="1440"/>
        <w:rPr>
          <w:rFonts w:eastAsia="Calibri" w:cs="Arial"/>
          <w:lang w:eastAsia="en-US"/>
        </w:rPr>
      </w:pPr>
      <w:r w:rsidRPr="00BB4EFA">
        <w:rPr>
          <w:rFonts w:eastAsia="Calibri" w:cs="Arial"/>
          <w:lang w:eastAsia="en-US"/>
        </w:rPr>
        <w:t xml:space="preserve">Construction Site </w:t>
      </w:r>
      <w:r w:rsidRPr="00BB4EFA" w:rsidR="003652AD">
        <w:rPr>
          <w:rFonts w:eastAsia="Calibri" w:cs="Arial"/>
          <w:lang w:eastAsia="en-US"/>
        </w:rPr>
        <w:t xml:space="preserve">Stormwater </w:t>
      </w:r>
      <w:r w:rsidRPr="00BB4EFA">
        <w:rPr>
          <w:rFonts w:eastAsia="Calibri" w:cs="Arial"/>
          <w:lang w:eastAsia="en-US"/>
        </w:rPr>
        <w:t xml:space="preserve">Runoff </w:t>
      </w:r>
      <w:r w:rsidRPr="00BB4EFA" w:rsidR="003652AD">
        <w:rPr>
          <w:rFonts w:eastAsia="Calibri" w:cs="Arial"/>
          <w:lang w:eastAsia="en-US"/>
        </w:rPr>
        <w:t xml:space="preserve">Control </w:t>
      </w:r>
      <w:r w:rsidRPr="00BB4EFA">
        <w:rPr>
          <w:rFonts w:eastAsia="Calibri" w:cs="Arial"/>
          <w:lang w:eastAsia="en-US"/>
        </w:rPr>
        <w:t>–</w:t>
      </w:r>
      <w:r w:rsidRPr="00BB4EFA" w:rsidR="00494317">
        <w:rPr>
          <w:rFonts w:eastAsia="Calibri" w:cs="Arial"/>
          <w:lang w:eastAsia="en-US"/>
        </w:rPr>
        <w:t xml:space="preserve"> </w:t>
      </w:r>
      <w:r w:rsidRPr="00BB4EFA" w:rsidR="000267C3">
        <w:rPr>
          <w:rFonts w:eastAsia="Calibri" w:cs="Arial"/>
          <w:lang w:eastAsia="en-US"/>
        </w:rPr>
        <w:t>R</w:t>
      </w:r>
      <w:r w:rsidRPr="00BB4EFA" w:rsidR="00147515">
        <w:rPr>
          <w:rFonts w:cs="Arial"/>
        </w:rPr>
        <w:t xml:space="preserve">equires the development, implementation, and enforcement of </w:t>
      </w:r>
      <w:r w:rsidRPr="00BB4EFA" w:rsidR="005C09FD">
        <w:rPr>
          <w:rFonts w:cs="Arial"/>
        </w:rPr>
        <w:t>the</w:t>
      </w:r>
      <w:r w:rsidRPr="00BB4EFA" w:rsidR="00147515">
        <w:rPr>
          <w:rFonts w:cs="Arial"/>
        </w:rPr>
        <w:t xml:space="preserve"> </w:t>
      </w:r>
      <w:r w:rsidR="008E3EC3">
        <w:rPr>
          <w:rFonts w:cs="Arial"/>
        </w:rPr>
        <w:t>P</w:t>
      </w:r>
      <w:r w:rsidRPr="00BB4EFA" w:rsidR="00F95961">
        <w:rPr>
          <w:rFonts w:cs="Arial"/>
        </w:rPr>
        <w:t>ermittee</w:t>
      </w:r>
      <w:r w:rsidRPr="00BB4EFA" w:rsidR="005C09FD">
        <w:rPr>
          <w:rFonts w:cs="Arial"/>
        </w:rPr>
        <w:t>’</w:t>
      </w:r>
      <w:r w:rsidRPr="00BB4EFA" w:rsidR="00F95961">
        <w:rPr>
          <w:rFonts w:cs="Arial"/>
        </w:rPr>
        <w:t xml:space="preserve">s </w:t>
      </w:r>
      <w:r w:rsidRPr="00BB4EFA" w:rsidR="00147515">
        <w:rPr>
          <w:rFonts w:cs="Arial"/>
        </w:rPr>
        <w:t xml:space="preserve">program to reduce pollutants in any </w:t>
      </w:r>
      <w:r w:rsidRPr="00BB4EFA" w:rsidR="005060FF">
        <w:rPr>
          <w:rFonts w:cs="Arial"/>
        </w:rPr>
        <w:t>stormwater</w:t>
      </w:r>
      <w:r w:rsidRPr="00BB4EFA" w:rsidR="00147515">
        <w:rPr>
          <w:rFonts w:cs="Arial"/>
        </w:rPr>
        <w:t xml:space="preserve"> runoff to the </w:t>
      </w:r>
      <w:r w:rsidRPr="00BB4EFA" w:rsidR="005060FF">
        <w:rPr>
          <w:rFonts w:cs="Arial"/>
        </w:rPr>
        <w:t>Small MS4</w:t>
      </w:r>
      <w:r w:rsidRPr="00BB4EFA" w:rsidR="00147515">
        <w:rPr>
          <w:rFonts w:cs="Arial"/>
        </w:rPr>
        <w:t xml:space="preserve"> from construction activities that result in a land disturbance of greater than or equal to one acre. Reduction of </w:t>
      </w:r>
      <w:r w:rsidRPr="00BB4EFA" w:rsidR="005060FF">
        <w:rPr>
          <w:rFonts w:cs="Arial"/>
        </w:rPr>
        <w:t>stormwater</w:t>
      </w:r>
      <w:r w:rsidRPr="00BB4EFA" w:rsidR="00147515">
        <w:rPr>
          <w:rFonts w:cs="Arial"/>
        </w:rPr>
        <w:t xml:space="preserve"> discharges from construction activity disturbing less than one acre must be included if that construction activity is part of a larger common plan of development or sale that would disturb </w:t>
      </w:r>
      <w:r w:rsidRPr="00BB4EFA" w:rsidR="00147515">
        <w:rPr>
          <w:rFonts w:cs="Arial"/>
        </w:rPr>
        <w:t>one acre or more.</w:t>
      </w:r>
      <w:r w:rsidRPr="00BB4EFA" w:rsidR="0097736E">
        <w:rPr>
          <w:rFonts w:cs="Arial"/>
        </w:rPr>
        <w:t xml:space="preserve"> At a minimum, this Order requires</w:t>
      </w:r>
      <w:r w:rsidRPr="00BB4EFA" w:rsidR="000E1B01">
        <w:rPr>
          <w:rFonts w:cs="Arial"/>
        </w:rPr>
        <w:t xml:space="preserve"> Permittees </w:t>
      </w:r>
      <w:r w:rsidRPr="00BB4EFA" w:rsidR="00E9106A">
        <w:rPr>
          <w:rFonts w:cs="Arial"/>
        </w:rPr>
        <w:t>to develop and implement</w:t>
      </w:r>
      <w:r w:rsidRPr="00BB4EFA" w:rsidR="0014648D">
        <w:rPr>
          <w:rFonts w:cs="Arial"/>
        </w:rPr>
        <w:t>:</w:t>
      </w:r>
    </w:p>
    <w:p w:rsidRPr="00BB4EFA" w:rsidR="00E652A6" w:rsidP="0079429E" w:rsidRDefault="00E652A6" w14:paraId="06724485" w14:textId="46F4154B">
      <w:pPr>
        <w:ind w:left="1987" w:hanging="547"/>
        <w:rPr>
          <w:rFonts w:eastAsia="Calibri" w:cs="Arial"/>
          <w:lang w:eastAsia="en-US"/>
        </w:rPr>
      </w:pPr>
      <w:r w:rsidRPr="00BB4EFA">
        <w:rPr>
          <w:rFonts w:eastAsia="Calibri" w:cs="Arial"/>
          <w:lang w:eastAsia="en-US"/>
        </w:rPr>
        <w:t>a.</w:t>
      </w:r>
      <w:r w:rsidRPr="00BB4EFA" w:rsidR="00A52290">
        <w:rPr>
          <w:rFonts w:eastAsia="Calibri" w:cs="Arial"/>
          <w:lang w:eastAsia="en-US"/>
        </w:rPr>
        <w:tab/>
      </w:r>
      <w:r w:rsidRPr="00BB4EFA">
        <w:rPr>
          <w:rFonts w:eastAsia="Calibri" w:cs="Arial"/>
          <w:lang w:eastAsia="en-US"/>
        </w:rPr>
        <w:t xml:space="preserve">An ordinance or other regulatory mechanism to require erosion and sediment controls, as well as sanctions to ensure compliance, to the extent allowable under State, Tribal, or local law; </w:t>
      </w:r>
    </w:p>
    <w:p w:rsidRPr="00BB4EFA" w:rsidR="00E652A6" w:rsidP="0079429E" w:rsidRDefault="00346C75" w14:paraId="68BB47EE" w14:textId="68BE7593">
      <w:pPr>
        <w:ind w:left="1987" w:hanging="547"/>
        <w:rPr>
          <w:rFonts w:eastAsia="Calibri" w:cs="Arial"/>
          <w:lang w:eastAsia="en-US"/>
        </w:rPr>
      </w:pPr>
      <w:r w:rsidRPr="00BB4EFA">
        <w:rPr>
          <w:rFonts w:eastAsia="Calibri" w:cs="Arial"/>
          <w:lang w:eastAsia="en-US"/>
        </w:rPr>
        <w:t>b.</w:t>
      </w:r>
      <w:r w:rsidRPr="00BB4EFA" w:rsidR="00A52290">
        <w:rPr>
          <w:rFonts w:eastAsia="Calibri" w:cs="Arial"/>
          <w:lang w:eastAsia="en-US"/>
        </w:rPr>
        <w:tab/>
      </w:r>
      <w:r w:rsidRPr="00BB4EFA" w:rsidR="00E652A6">
        <w:rPr>
          <w:rFonts w:eastAsia="Calibri" w:cs="Arial"/>
          <w:lang w:eastAsia="en-US"/>
        </w:rPr>
        <w:t xml:space="preserve">Requirements for construction site operators to implement appropriate erosion and sediment control </w:t>
      </w:r>
      <w:r w:rsidRPr="00BB4EFA" w:rsidR="000A2877">
        <w:rPr>
          <w:rFonts w:eastAsia="Calibri" w:cs="Arial"/>
          <w:lang w:eastAsia="en-US"/>
        </w:rPr>
        <w:t>BMPs</w:t>
      </w:r>
      <w:r w:rsidRPr="00BB4EFA" w:rsidR="00E652A6">
        <w:rPr>
          <w:rFonts w:eastAsia="Calibri" w:cs="Arial"/>
          <w:lang w:eastAsia="en-US"/>
        </w:rPr>
        <w:t xml:space="preserve">; </w:t>
      </w:r>
    </w:p>
    <w:p w:rsidRPr="00BB4EFA" w:rsidR="00E652A6" w:rsidP="0079429E" w:rsidRDefault="00346C75" w14:paraId="73C35657" w14:textId="66967326">
      <w:pPr>
        <w:ind w:left="1987" w:hanging="547"/>
        <w:rPr>
          <w:rFonts w:eastAsia="Calibri" w:cs="Arial"/>
          <w:lang w:eastAsia="en-US"/>
        </w:rPr>
      </w:pPr>
      <w:r w:rsidRPr="00BB4EFA">
        <w:rPr>
          <w:rFonts w:eastAsia="Calibri" w:cs="Arial"/>
          <w:lang w:eastAsia="en-US"/>
        </w:rPr>
        <w:t>c</w:t>
      </w:r>
      <w:r w:rsidRPr="00BB4EFA" w:rsidR="00EA346D">
        <w:rPr>
          <w:rFonts w:eastAsia="Calibri" w:cs="Arial"/>
          <w:lang w:eastAsia="en-US"/>
        </w:rPr>
        <w:t>.</w:t>
      </w:r>
      <w:r w:rsidRPr="00BB4EFA" w:rsidR="00A52290">
        <w:rPr>
          <w:rFonts w:eastAsia="Calibri" w:cs="Arial"/>
          <w:lang w:eastAsia="en-US"/>
        </w:rPr>
        <w:tab/>
      </w:r>
      <w:r w:rsidRPr="00BB4EFA" w:rsidR="00E652A6">
        <w:rPr>
          <w:rFonts w:eastAsia="Calibri" w:cs="Arial"/>
          <w:lang w:eastAsia="en-US"/>
        </w:rPr>
        <w:t xml:space="preserve">Requirements for construction site operators to control waste such as discarded building materials, concrete truck washout, chemicals, litter, and sanitary waste at the construction site that may cause adverse impacts to water quality; </w:t>
      </w:r>
    </w:p>
    <w:p w:rsidRPr="00BB4EFA" w:rsidR="00E652A6" w:rsidP="0079429E" w:rsidRDefault="00EA346D" w14:paraId="27D4427D" w14:textId="62FA2D85">
      <w:pPr>
        <w:ind w:left="1987" w:hanging="547"/>
        <w:rPr>
          <w:rFonts w:eastAsia="Calibri" w:cs="Arial"/>
          <w:lang w:eastAsia="en-US"/>
        </w:rPr>
      </w:pPr>
      <w:r w:rsidRPr="00BB4EFA">
        <w:rPr>
          <w:rFonts w:eastAsia="Calibri" w:cs="Arial"/>
          <w:lang w:eastAsia="en-US"/>
        </w:rPr>
        <w:t>d.</w:t>
      </w:r>
      <w:r w:rsidRPr="00BB4EFA" w:rsidR="00A52290">
        <w:rPr>
          <w:rFonts w:eastAsia="Calibri" w:cs="Arial"/>
          <w:lang w:eastAsia="en-US"/>
        </w:rPr>
        <w:tab/>
      </w:r>
      <w:r w:rsidRPr="00BB4EFA" w:rsidR="00E652A6">
        <w:rPr>
          <w:rFonts w:eastAsia="Calibri" w:cs="Arial"/>
          <w:lang w:eastAsia="en-US"/>
        </w:rPr>
        <w:t xml:space="preserve">Procedures for site plan review which incorporate consideration of potential water quality impacts; </w:t>
      </w:r>
    </w:p>
    <w:p w:rsidRPr="00BB4EFA" w:rsidR="00E652A6" w:rsidP="0079429E" w:rsidRDefault="00EA346D" w14:paraId="15078B0E" w14:textId="494A7CA2">
      <w:pPr>
        <w:ind w:left="1987" w:hanging="547"/>
        <w:rPr>
          <w:rFonts w:eastAsia="Calibri" w:cs="Arial"/>
          <w:lang w:eastAsia="en-US"/>
        </w:rPr>
      </w:pPr>
      <w:r w:rsidRPr="00BB4EFA">
        <w:rPr>
          <w:rFonts w:eastAsia="Calibri" w:cs="Arial"/>
          <w:lang w:eastAsia="en-US"/>
        </w:rPr>
        <w:t>e.</w:t>
      </w:r>
      <w:r w:rsidRPr="00BB4EFA" w:rsidR="00A52290">
        <w:rPr>
          <w:rFonts w:eastAsia="Calibri" w:cs="Arial"/>
          <w:lang w:eastAsia="en-US"/>
        </w:rPr>
        <w:tab/>
      </w:r>
      <w:r w:rsidRPr="00BB4EFA" w:rsidR="00E652A6">
        <w:rPr>
          <w:rFonts w:eastAsia="Calibri" w:cs="Arial"/>
          <w:lang w:eastAsia="en-US"/>
        </w:rPr>
        <w:t xml:space="preserve">Procedures for receipt and consideration of information submitted by the public, and </w:t>
      </w:r>
    </w:p>
    <w:p w:rsidRPr="00BB4EFA" w:rsidR="0097736E" w:rsidP="0079429E" w:rsidRDefault="00EA346D" w14:paraId="7CB06E38" w14:textId="44FB7F49">
      <w:pPr>
        <w:ind w:left="1987" w:hanging="547"/>
        <w:rPr>
          <w:rFonts w:eastAsia="Calibri" w:cs="Arial"/>
          <w:lang w:eastAsia="en-US"/>
        </w:rPr>
      </w:pPr>
      <w:r w:rsidRPr="00BB4EFA">
        <w:rPr>
          <w:rFonts w:eastAsia="Calibri" w:cs="Arial"/>
          <w:lang w:eastAsia="en-US"/>
        </w:rPr>
        <w:t>f.</w:t>
      </w:r>
      <w:r w:rsidRPr="00BB4EFA" w:rsidR="00A52290">
        <w:rPr>
          <w:rFonts w:eastAsia="Calibri" w:cs="Arial"/>
          <w:lang w:eastAsia="en-US"/>
        </w:rPr>
        <w:tab/>
      </w:r>
      <w:r w:rsidRPr="00BB4EFA" w:rsidR="00E652A6">
        <w:rPr>
          <w:rFonts w:eastAsia="Calibri" w:cs="Arial"/>
          <w:lang w:eastAsia="en-US"/>
        </w:rPr>
        <w:t>Procedures for site inspection and enforcement of control measures</w:t>
      </w:r>
      <w:r w:rsidR="001B3C30">
        <w:rPr>
          <w:rFonts w:eastAsia="Calibri" w:cs="Arial"/>
          <w:lang w:eastAsia="en-US"/>
        </w:rPr>
        <w:t xml:space="preserve">. </w:t>
      </w:r>
      <w:r w:rsidRPr="00E80451" w:rsidR="001B3C30">
        <w:t xml:space="preserve">The Permittee may leverage existing inspections (other MS4 </w:t>
      </w:r>
      <w:r w:rsidRPr="00E80451" w:rsidR="00507C76">
        <w:t xml:space="preserve">inspections </w:t>
      </w:r>
      <w:r w:rsidRPr="00E80451" w:rsidR="001B3C30">
        <w:t>e.g., building, grading, code enforcement) and personnel to conduct Regulated Construction Project inspections and enforcement as long as they include assessments specific to stormwater issues</w:t>
      </w:r>
      <w:r w:rsidR="001B3C30">
        <w:t>.</w:t>
      </w:r>
    </w:p>
    <w:p w:rsidRPr="00BB4EFA" w:rsidR="0014648D" w:rsidP="00E8254E" w:rsidRDefault="008F5D1B" w14:paraId="1FB92D3E" w14:textId="61D60528">
      <w:pPr>
        <w:numPr>
          <w:ilvl w:val="0"/>
          <w:numId w:val="55"/>
        </w:numPr>
        <w:ind w:left="1440" w:hanging="540"/>
        <w:rPr>
          <w:rFonts w:eastAsia="Calibri" w:cs="Arial"/>
          <w:lang w:eastAsia="en-US"/>
        </w:rPr>
      </w:pPr>
      <w:r w:rsidRPr="00BB4EFA">
        <w:rPr>
          <w:rFonts w:eastAsia="Calibri" w:cs="Arial"/>
          <w:lang w:eastAsia="en-US"/>
        </w:rPr>
        <w:t>Post-</w:t>
      </w:r>
      <w:r w:rsidRPr="00BB4EFA" w:rsidR="00400F95">
        <w:rPr>
          <w:rFonts w:eastAsia="Calibri" w:cs="Arial"/>
          <w:lang w:eastAsia="en-US"/>
        </w:rPr>
        <w:t>C</w:t>
      </w:r>
      <w:r w:rsidRPr="00BB4EFA">
        <w:rPr>
          <w:rFonts w:eastAsia="Calibri" w:cs="Arial"/>
          <w:lang w:eastAsia="en-US"/>
        </w:rPr>
        <w:t xml:space="preserve">onstruction </w:t>
      </w:r>
      <w:r w:rsidRPr="00BB4EFA" w:rsidR="00400F95">
        <w:rPr>
          <w:rFonts w:eastAsia="Calibri" w:cs="Arial"/>
          <w:lang w:eastAsia="en-US"/>
        </w:rPr>
        <w:t>S</w:t>
      </w:r>
      <w:r w:rsidRPr="00BB4EFA">
        <w:rPr>
          <w:rFonts w:eastAsia="Calibri" w:cs="Arial"/>
          <w:lang w:eastAsia="en-US"/>
        </w:rPr>
        <w:t xml:space="preserve">tormwater </w:t>
      </w:r>
      <w:r w:rsidRPr="00BB4EFA" w:rsidR="00400F95">
        <w:rPr>
          <w:rFonts w:eastAsia="Calibri" w:cs="Arial"/>
          <w:lang w:eastAsia="en-US"/>
        </w:rPr>
        <w:t>M</w:t>
      </w:r>
      <w:r w:rsidRPr="00BB4EFA">
        <w:rPr>
          <w:rFonts w:eastAsia="Calibri" w:cs="Arial"/>
          <w:lang w:eastAsia="en-US"/>
        </w:rPr>
        <w:t xml:space="preserve">anagement in </w:t>
      </w:r>
      <w:r w:rsidRPr="00BB4EFA" w:rsidR="00400F95">
        <w:rPr>
          <w:rFonts w:eastAsia="Calibri" w:cs="Arial"/>
          <w:lang w:eastAsia="en-US"/>
        </w:rPr>
        <w:t>N</w:t>
      </w:r>
      <w:r w:rsidRPr="00BB4EFA">
        <w:rPr>
          <w:rFonts w:eastAsia="Calibri" w:cs="Arial"/>
          <w:lang w:eastAsia="en-US"/>
        </w:rPr>
        <w:t xml:space="preserve">ew </w:t>
      </w:r>
      <w:r w:rsidRPr="00BB4EFA" w:rsidR="00400F95">
        <w:rPr>
          <w:rFonts w:eastAsia="Calibri" w:cs="Arial"/>
          <w:lang w:eastAsia="en-US"/>
        </w:rPr>
        <w:t>D</w:t>
      </w:r>
      <w:r w:rsidRPr="00BB4EFA">
        <w:rPr>
          <w:rFonts w:eastAsia="Calibri" w:cs="Arial"/>
          <w:lang w:eastAsia="en-US"/>
        </w:rPr>
        <w:t xml:space="preserve">evelopment and </w:t>
      </w:r>
      <w:r w:rsidRPr="00BB4EFA" w:rsidR="00400F95">
        <w:rPr>
          <w:rFonts w:eastAsia="Calibri" w:cs="Arial"/>
          <w:lang w:eastAsia="en-US"/>
        </w:rPr>
        <w:t>R</w:t>
      </w:r>
      <w:r w:rsidRPr="00BB4EFA">
        <w:rPr>
          <w:rFonts w:eastAsia="Calibri" w:cs="Arial"/>
          <w:lang w:eastAsia="en-US"/>
        </w:rPr>
        <w:t>edevelopment</w:t>
      </w:r>
      <w:r w:rsidRPr="00BB4EFA" w:rsidR="00384D58">
        <w:rPr>
          <w:rFonts w:eastAsia="Calibri" w:cs="Arial"/>
          <w:lang w:eastAsia="en-US"/>
        </w:rPr>
        <w:t xml:space="preserve"> –</w:t>
      </w:r>
      <w:r w:rsidRPr="00BB4EFA" w:rsidR="009D733B">
        <w:rPr>
          <w:rFonts w:eastAsia="Calibri" w:cs="Arial"/>
          <w:lang w:eastAsia="en-US"/>
        </w:rPr>
        <w:t xml:space="preserve"> R</w:t>
      </w:r>
      <w:r w:rsidRPr="00BB4EFA" w:rsidR="00837412">
        <w:rPr>
          <w:rFonts w:eastAsia="Calibri" w:cs="Arial"/>
          <w:lang w:eastAsia="en-US"/>
        </w:rPr>
        <w:t>equire</w:t>
      </w:r>
      <w:r w:rsidRPr="00BB4EFA" w:rsidR="00B84BC1">
        <w:rPr>
          <w:rFonts w:eastAsia="Calibri" w:cs="Arial"/>
          <w:lang w:eastAsia="en-US"/>
        </w:rPr>
        <w:t>s</w:t>
      </w:r>
      <w:r w:rsidRPr="00BB4EFA" w:rsidR="00837412">
        <w:rPr>
          <w:rFonts w:eastAsia="Calibri" w:cs="Arial"/>
          <w:lang w:eastAsia="en-US"/>
        </w:rPr>
        <w:t xml:space="preserve"> the permittee to:</w:t>
      </w:r>
    </w:p>
    <w:p w:rsidRPr="0079429E" w:rsidR="0097455D" w:rsidP="00413D55" w:rsidRDefault="00D1622D" w14:paraId="39DA1639" w14:textId="479CEFB2">
      <w:pPr>
        <w:ind w:left="1987" w:hanging="547"/>
        <w:rPr>
          <w:rFonts w:eastAsia="Calibri" w:cs="Arial"/>
          <w:lang w:eastAsia="en-US"/>
        </w:rPr>
      </w:pPr>
      <w:r w:rsidRPr="00BB4EFA">
        <w:rPr>
          <w:rFonts w:cs="Arial"/>
        </w:rPr>
        <w:t>a.</w:t>
      </w:r>
      <w:r w:rsidRPr="00BB4EFA">
        <w:rPr>
          <w:rFonts w:cs="Arial"/>
        </w:rPr>
        <w:tab/>
      </w:r>
      <w:r w:rsidRPr="0079429E" w:rsidR="0097455D">
        <w:rPr>
          <w:rFonts w:eastAsia="Calibri" w:cs="Arial"/>
          <w:lang w:eastAsia="en-US"/>
        </w:rPr>
        <w:t>Develop and implement strategies</w:t>
      </w:r>
      <w:r w:rsidR="000F0C41">
        <w:rPr>
          <w:rFonts w:eastAsia="Calibri" w:cs="Arial"/>
          <w:lang w:eastAsia="en-US"/>
        </w:rPr>
        <w:t>,</w:t>
      </w:r>
      <w:r w:rsidRPr="0079429E" w:rsidR="0097455D">
        <w:rPr>
          <w:rFonts w:eastAsia="Calibri" w:cs="Arial"/>
          <w:lang w:eastAsia="en-US"/>
        </w:rPr>
        <w:t xml:space="preserve"> which include a combination of structural and/or non-structural BMPs appropriate for the community; </w:t>
      </w:r>
    </w:p>
    <w:p w:rsidRPr="0079429E" w:rsidR="0097455D" w:rsidP="00413D55" w:rsidRDefault="00D1622D" w14:paraId="7E934F36" w14:textId="62EF840E">
      <w:pPr>
        <w:ind w:left="1987" w:hanging="547"/>
        <w:rPr>
          <w:rFonts w:eastAsia="Calibri" w:cs="Arial"/>
          <w:lang w:eastAsia="en-US"/>
        </w:rPr>
      </w:pPr>
      <w:r w:rsidRPr="0079429E">
        <w:rPr>
          <w:rFonts w:eastAsia="Calibri"/>
          <w:lang w:eastAsia="en-US"/>
        </w:rPr>
        <w:t>b.</w:t>
      </w:r>
      <w:r w:rsidRPr="0079429E">
        <w:rPr>
          <w:rFonts w:eastAsia="Calibri"/>
          <w:lang w:eastAsia="en-US"/>
        </w:rPr>
        <w:tab/>
      </w:r>
      <w:r w:rsidRPr="0079429E" w:rsidR="0097455D">
        <w:rPr>
          <w:rFonts w:eastAsia="Calibri" w:cs="Arial"/>
          <w:lang w:eastAsia="en-US"/>
        </w:rPr>
        <w:t xml:space="preserve">Use an ordinance or other regulatory mechanism to address post-construction runoff from new development and redevelopment projects to the extent allowable under State, Tribal or local law; and </w:t>
      </w:r>
    </w:p>
    <w:p w:rsidRPr="0079429E" w:rsidR="0097455D" w:rsidP="00413D55" w:rsidRDefault="00D1622D" w14:paraId="7452C7E5" w14:textId="7B24C041">
      <w:pPr>
        <w:ind w:left="1987" w:hanging="547"/>
        <w:rPr>
          <w:rFonts w:eastAsia="Calibri" w:cs="Arial"/>
          <w:lang w:eastAsia="en-US"/>
        </w:rPr>
      </w:pPr>
      <w:r w:rsidRPr="0079429E">
        <w:rPr>
          <w:rFonts w:eastAsia="Calibri"/>
          <w:lang w:eastAsia="en-US"/>
        </w:rPr>
        <w:t xml:space="preserve">c. </w:t>
      </w:r>
      <w:r w:rsidRPr="0079429E">
        <w:rPr>
          <w:rFonts w:eastAsia="Calibri"/>
          <w:lang w:eastAsia="en-US"/>
        </w:rPr>
        <w:tab/>
      </w:r>
      <w:r w:rsidRPr="0079429E" w:rsidR="0097455D">
        <w:rPr>
          <w:rFonts w:eastAsia="Calibri" w:cs="Arial"/>
          <w:lang w:eastAsia="en-US"/>
        </w:rPr>
        <w:t>Ensure adequate long-term operation and maintenance of BMPs.</w:t>
      </w:r>
    </w:p>
    <w:p w:rsidRPr="00BB4EFA" w:rsidR="0097455D" w:rsidP="00E8254E" w:rsidRDefault="000C0FCB" w14:paraId="084428B3" w14:textId="13E31DDA">
      <w:pPr>
        <w:numPr>
          <w:ilvl w:val="0"/>
          <w:numId w:val="55"/>
        </w:numPr>
        <w:ind w:left="1440" w:hanging="540"/>
        <w:rPr>
          <w:rFonts w:eastAsia="Calibri" w:cs="Arial"/>
          <w:lang w:eastAsia="en-US"/>
        </w:rPr>
      </w:pPr>
      <w:r w:rsidRPr="00BB4EFA">
        <w:rPr>
          <w:rFonts w:eastAsia="Calibri" w:cs="Arial"/>
          <w:lang w:eastAsia="en-US"/>
        </w:rPr>
        <w:t xml:space="preserve">Pollution Prevention/Good Housekeeping for Municipal Operations </w:t>
      </w:r>
      <w:r w:rsidRPr="00BB4EFA" w:rsidR="00BA33C2">
        <w:rPr>
          <w:rFonts w:eastAsia="Calibri" w:cs="Arial"/>
          <w:lang w:eastAsia="en-US"/>
        </w:rPr>
        <w:t xml:space="preserve">– Requires the </w:t>
      </w:r>
      <w:r w:rsidR="00970A54">
        <w:rPr>
          <w:rFonts w:eastAsia="Calibri" w:cs="Arial"/>
          <w:lang w:eastAsia="en-US"/>
        </w:rPr>
        <w:t>P</w:t>
      </w:r>
      <w:r w:rsidRPr="00BB4EFA" w:rsidR="00295AE2">
        <w:rPr>
          <w:rFonts w:eastAsia="Calibri" w:cs="Arial"/>
          <w:lang w:eastAsia="en-US"/>
        </w:rPr>
        <w:t xml:space="preserve">ermittee to develop and implement </w:t>
      </w:r>
      <w:r w:rsidR="001578BF">
        <w:rPr>
          <w:rFonts w:eastAsia="Calibri" w:cs="Arial"/>
          <w:lang w:eastAsia="en-US"/>
        </w:rPr>
        <w:t>an</w:t>
      </w:r>
      <w:r w:rsidRPr="00BB4EFA" w:rsidR="001578BF">
        <w:rPr>
          <w:rFonts w:eastAsia="Calibri" w:cs="Arial"/>
          <w:lang w:eastAsia="en-US"/>
        </w:rPr>
        <w:t xml:space="preserve"> </w:t>
      </w:r>
      <w:r w:rsidRPr="00BB4EFA" w:rsidR="00295AE2">
        <w:rPr>
          <w:rFonts w:eastAsia="Calibri" w:cs="Arial"/>
          <w:lang w:eastAsia="en-US"/>
        </w:rPr>
        <w:t xml:space="preserve">operation and maintenance program that includes a training component </w:t>
      </w:r>
      <w:r w:rsidRPr="00BB4EFA" w:rsidR="00ED66B2">
        <w:rPr>
          <w:rFonts w:eastAsia="Calibri" w:cs="Arial"/>
          <w:lang w:eastAsia="en-US"/>
        </w:rPr>
        <w:t xml:space="preserve">with the ultimate goal of reducing pollutant runoff </w:t>
      </w:r>
      <w:r w:rsidRPr="00BB4EFA" w:rsidR="00D53152">
        <w:rPr>
          <w:rFonts w:eastAsia="Calibri" w:cs="Arial"/>
          <w:lang w:eastAsia="en-US"/>
        </w:rPr>
        <w:t>from municipal operations</w:t>
      </w:r>
      <w:r w:rsidRPr="00BB4EFA" w:rsidR="00A26C8D">
        <w:rPr>
          <w:rFonts w:eastAsia="Calibri" w:cs="Arial"/>
          <w:lang w:eastAsia="en-US"/>
        </w:rPr>
        <w:t xml:space="preserve">. The program must include </w:t>
      </w:r>
      <w:r w:rsidRPr="00BB4EFA" w:rsidR="00D05B2E">
        <w:rPr>
          <w:rFonts w:eastAsia="Calibri" w:cs="Arial"/>
          <w:lang w:eastAsia="en-US"/>
        </w:rPr>
        <w:t xml:space="preserve">employee training to prevent and reduce stormwater pollution from activities such as park and open space </w:t>
      </w:r>
      <w:r w:rsidRPr="00BB4EFA" w:rsidR="00147BE4">
        <w:rPr>
          <w:rFonts w:eastAsia="Calibri" w:cs="Arial"/>
          <w:lang w:eastAsia="en-US"/>
        </w:rPr>
        <w:t>maintenance, fleet and building maintenance, new construction and land disturbances, and stormwate</w:t>
      </w:r>
      <w:r w:rsidRPr="00BB4EFA" w:rsidR="0081088A">
        <w:rPr>
          <w:rFonts w:eastAsia="Calibri" w:cs="Arial"/>
          <w:lang w:eastAsia="en-US"/>
        </w:rPr>
        <w:t>r system maintenance.</w:t>
      </w:r>
      <w:r w:rsidRPr="00BB4EFA" w:rsidR="006161CE">
        <w:rPr>
          <w:rFonts w:eastAsia="Calibri" w:cs="Arial"/>
          <w:lang w:eastAsia="en-US"/>
        </w:rPr>
        <w:t xml:space="preserve"> </w:t>
      </w:r>
    </w:p>
    <w:p w:rsidRPr="00BB4EFA" w:rsidR="00DD44DD" w:rsidP="000874ED" w:rsidRDefault="000F6B50" w14:paraId="284C8FEA" w14:textId="461F263E">
      <w:pPr>
        <w:pStyle w:val="Heading3"/>
        <w:tabs>
          <w:tab w:val="clear" w:pos="720"/>
        </w:tabs>
        <w:spacing w:before="120"/>
        <w:ind w:left="1080" w:hanging="1080"/>
        <w:rPr>
          <w:i/>
          <w:iCs/>
        </w:rPr>
      </w:pPr>
      <w:bookmarkStart w:name="_Toc74912555" w:id="76"/>
      <w:bookmarkEnd w:id="75"/>
      <w:r w:rsidRPr="00BB4EFA">
        <w:t>A1</w:t>
      </w:r>
      <w:r w:rsidR="004008C8">
        <w:t>2</w:t>
      </w:r>
      <w:r w:rsidRPr="00BB4EFA" w:rsidR="00BD1AFD">
        <w:t>.</w:t>
      </w:r>
      <w:r w:rsidRPr="00BB4EFA" w:rsidR="00254BF4">
        <w:t>2</w:t>
      </w:r>
      <w:r w:rsidRPr="00BB4EFA" w:rsidR="00A41F64">
        <w:tab/>
      </w:r>
      <w:r w:rsidRPr="00BB4EFA" w:rsidR="00A41F64">
        <w:t>Monitoring Requirements</w:t>
      </w:r>
      <w:bookmarkEnd w:id="76"/>
    </w:p>
    <w:p w:rsidRPr="00BB4EFA" w:rsidR="004C2644" w:rsidP="000874ED" w:rsidRDefault="004C2644" w14:paraId="7266F1AA" w14:textId="1315E4DC">
      <w:pPr>
        <w:snapToGrid w:val="0"/>
        <w:ind w:left="1080"/>
        <w:rPr>
          <w:rFonts w:cs="Arial"/>
          <w:iCs/>
        </w:rPr>
      </w:pPr>
      <w:r w:rsidRPr="00BB4EFA">
        <w:rPr>
          <w:rFonts w:cs="Arial"/>
          <w:iCs/>
        </w:rPr>
        <w:t>Clean</w:t>
      </w:r>
      <w:r w:rsidRPr="00BB4EFA" w:rsidR="000405A6">
        <w:rPr>
          <w:rFonts w:cs="Arial"/>
          <w:iCs/>
        </w:rPr>
        <w:t xml:space="preserve"> </w:t>
      </w:r>
      <w:r w:rsidRPr="00BB4EFA">
        <w:rPr>
          <w:rFonts w:cs="Arial"/>
          <w:iCs/>
        </w:rPr>
        <w:t>Water</w:t>
      </w:r>
      <w:r w:rsidRPr="00BB4EFA" w:rsidR="000405A6">
        <w:rPr>
          <w:rFonts w:cs="Arial"/>
          <w:iCs/>
        </w:rPr>
        <w:t xml:space="preserve"> </w:t>
      </w:r>
      <w:r w:rsidRPr="00BB4EFA">
        <w:rPr>
          <w:rFonts w:cs="Arial"/>
          <w:iCs/>
        </w:rPr>
        <w:t>Act</w:t>
      </w:r>
      <w:r w:rsidRPr="00BB4EFA" w:rsidR="000405A6">
        <w:rPr>
          <w:rFonts w:cs="Arial"/>
          <w:iCs/>
        </w:rPr>
        <w:t xml:space="preserve"> </w:t>
      </w:r>
      <w:r w:rsidR="00E324BE">
        <w:rPr>
          <w:rFonts w:cs="Arial"/>
          <w:iCs/>
        </w:rPr>
        <w:t>§</w:t>
      </w:r>
      <w:r w:rsidRPr="00BB4EFA">
        <w:rPr>
          <w:rFonts w:cs="Arial"/>
          <w:iCs/>
        </w:rPr>
        <w:t>308 and 40</w:t>
      </w:r>
      <w:r w:rsidRPr="00BB4EFA" w:rsidR="000405A6">
        <w:rPr>
          <w:rFonts w:cs="Arial"/>
          <w:iCs/>
        </w:rPr>
        <w:t xml:space="preserve"> </w:t>
      </w:r>
      <w:r w:rsidRPr="00BB4EFA">
        <w:rPr>
          <w:rFonts w:cs="Arial"/>
          <w:iCs/>
        </w:rPr>
        <w:t>C.F.R.</w:t>
      </w:r>
      <w:r w:rsidRPr="00BB4EFA" w:rsidR="000405A6">
        <w:rPr>
          <w:rFonts w:cs="Arial"/>
          <w:iCs/>
        </w:rPr>
        <w:t xml:space="preserve"> </w:t>
      </w:r>
      <w:r w:rsidR="0054775C">
        <w:rPr>
          <w:rFonts w:cs="Arial"/>
        </w:rPr>
        <w:t>§§</w:t>
      </w:r>
      <w:r w:rsidRPr="00BB4EFA">
        <w:rPr>
          <w:rFonts w:cs="Arial"/>
          <w:iCs/>
        </w:rPr>
        <w:t xml:space="preserve">122.41(h), 122.41(j)-(l), 122.449(i), and 122.48 require that all NPDES permits specify monitoring and reporting requirements. </w:t>
      </w:r>
      <w:r w:rsidRPr="00BB4EFA" w:rsidR="001C28F8">
        <w:rPr>
          <w:rFonts w:cs="Arial"/>
          <w:lang w:eastAsia="en-US"/>
        </w:rPr>
        <w:t>California Water Code</w:t>
      </w:r>
      <w:r w:rsidRPr="00BB4EFA" w:rsidR="000405A6">
        <w:rPr>
          <w:rFonts w:cs="Arial"/>
          <w:lang w:eastAsia="en-US"/>
        </w:rPr>
        <w:t xml:space="preserve"> </w:t>
      </w:r>
      <w:r w:rsidRPr="00BB4EFA">
        <w:rPr>
          <w:rFonts w:cs="Arial"/>
          <w:lang w:eastAsia="en-US"/>
        </w:rPr>
        <w:t>section</w:t>
      </w:r>
      <w:r w:rsidRPr="00BB4EFA" w:rsidR="000405A6">
        <w:rPr>
          <w:rFonts w:cs="Arial"/>
          <w:lang w:eastAsia="en-US"/>
        </w:rPr>
        <w:t xml:space="preserve"> </w:t>
      </w:r>
      <w:r w:rsidRPr="00BB4EFA">
        <w:rPr>
          <w:rFonts w:cs="Arial"/>
          <w:iCs/>
        </w:rPr>
        <w:t>13383 authorizes the State Water Board to establish monitoring, inspection, entry, reporting, and recordkeeping requirements. Attachment</w:t>
      </w:r>
      <w:r w:rsidR="00471690">
        <w:rPr>
          <w:rFonts w:cs="Arial"/>
          <w:iCs/>
        </w:rPr>
        <w:t xml:space="preserve">s D, E, </w:t>
      </w:r>
      <w:r w:rsidR="004D53E2">
        <w:rPr>
          <w:rFonts w:cs="Arial"/>
          <w:iCs/>
        </w:rPr>
        <w:t>F, G,</w:t>
      </w:r>
      <w:r w:rsidR="005A0069">
        <w:rPr>
          <w:rFonts w:cs="Arial"/>
          <w:iCs/>
        </w:rPr>
        <w:t xml:space="preserve"> </w:t>
      </w:r>
      <w:r w:rsidR="004D53E2">
        <w:rPr>
          <w:rFonts w:cs="Arial"/>
          <w:iCs/>
        </w:rPr>
        <w:t>H</w:t>
      </w:r>
      <w:r w:rsidR="0058164D">
        <w:rPr>
          <w:rFonts w:cs="Arial"/>
          <w:iCs/>
        </w:rPr>
        <w:t xml:space="preserve">, and </w:t>
      </w:r>
      <w:r w:rsidR="003A7AB2">
        <w:rPr>
          <w:rFonts w:cs="Arial"/>
          <w:iCs/>
        </w:rPr>
        <w:t>I</w:t>
      </w:r>
      <w:r w:rsidRPr="00BB4EFA" w:rsidR="003A7AB2">
        <w:rPr>
          <w:rFonts w:cs="Arial"/>
          <w:iCs/>
        </w:rPr>
        <w:t xml:space="preserve"> establish</w:t>
      </w:r>
      <w:r w:rsidRPr="00BB4EFA">
        <w:rPr>
          <w:rFonts w:cs="Arial"/>
          <w:iCs/>
        </w:rPr>
        <w:t xml:space="preserve"> monitoring requirements that implement federal and State laws and regulations.</w:t>
      </w:r>
      <w:r w:rsidRPr="00BB4EFA" w:rsidR="00E60519">
        <w:rPr>
          <w:rFonts w:cs="Arial"/>
          <w:iCs/>
        </w:rPr>
        <w:t xml:space="preserve"> </w:t>
      </w:r>
      <w:r w:rsidRPr="00BB4EFA" w:rsidR="001D5458">
        <w:rPr>
          <w:rFonts w:cs="Arial"/>
        </w:rPr>
        <w:t xml:space="preserve">The State Water Board Executive Director may amend the monitoring and reporting requirements in this Order </w:t>
      </w:r>
      <w:r w:rsidRPr="00BB4EFA" w:rsidR="00C64CAF">
        <w:rPr>
          <w:rFonts w:cs="Arial"/>
        </w:rPr>
        <w:t xml:space="preserve">pursuant to </w:t>
      </w:r>
      <w:r w:rsidRPr="00BB4EFA" w:rsidR="00565EDD">
        <w:rPr>
          <w:rFonts w:cs="Arial"/>
        </w:rPr>
        <w:t xml:space="preserve">40 </w:t>
      </w:r>
      <w:r w:rsidR="000561B6">
        <w:rPr>
          <w:rFonts w:cs="Arial"/>
        </w:rPr>
        <w:t>C.F.R.</w:t>
      </w:r>
      <w:r w:rsidRPr="00BB4EFA" w:rsidR="00565EDD">
        <w:rPr>
          <w:rFonts w:cs="Arial"/>
        </w:rPr>
        <w:t xml:space="preserve"> section 122.63</w:t>
      </w:r>
      <w:r w:rsidRPr="00BB4EFA" w:rsidR="001D5458">
        <w:rPr>
          <w:rFonts w:cs="Arial"/>
        </w:rPr>
        <w:t>.</w:t>
      </w:r>
    </w:p>
    <w:p w:rsidRPr="00BB4EFA" w:rsidR="004C2644" w:rsidP="000874ED" w:rsidRDefault="004C2644" w14:paraId="725201CA" w14:textId="51E39BF7">
      <w:pPr>
        <w:snapToGrid w:val="0"/>
        <w:ind w:left="1080"/>
        <w:rPr>
          <w:rFonts w:cs="Arial"/>
          <w:iCs/>
        </w:rPr>
      </w:pPr>
      <w:r w:rsidRPr="00BB4EFA">
        <w:rPr>
          <w:rFonts w:cs="Arial"/>
          <w:iCs/>
        </w:rPr>
        <w:t>This Order includes monitoring requirements in accordance with the federal Sufficiently Sensitive Methods Rule, requiring NPDES</w:t>
      </w:r>
      <w:r w:rsidRPr="00BB4EFA" w:rsidR="000E1B01">
        <w:rPr>
          <w:rFonts w:cs="Arial"/>
          <w:iCs/>
        </w:rPr>
        <w:t xml:space="preserve"> Permittees </w:t>
      </w:r>
      <w:r w:rsidRPr="00BB4EFA">
        <w:rPr>
          <w:rFonts w:cs="Arial"/>
          <w:iCs/>
        </w:rPr>
        <w:t xml:space="preserve">to use analytical test methods with minimum levels that are at least as sensitive as effluent limitations or action levels in accordance with applicable permit requirements and corresponding </w:t>
      </w:r>
      <w:r w:rsidRPr="00BB4EFA" w:rsidR="000A2877">
        <w:rPr>
          <w:rFonts w:cs="Arial"/>
          <w:iCs/>
        </w:rPr>
        <w:t>BMPs</w:t>
      </w:r>
      <w:r w:rsidRPr="00BB4EFA">
        <w:rPr>
          <w:rFonts w:cs="Arial"/>
          <w:iCs/>
        </w:rPr>
        <w:t>. The Sufficiently Sensitive Methods requirements are in accordance with 40</w:t>
      </w:r>
      <w:r w:rsidRPr="00BB4EFA" w:rsidR="000405A6">
        <w:rPr>
          <w:rFonts w:cs="Arial"/>
          <w:iCs/>
        </w:rPr>
        <w:t xml:space="preserve"> </w:t>
      </w:r>
      <w:r w:rsidRPr="00BB4EFA">
        <w:rPr>
          <w:rFonts w:cs="Arial"/>
          <w:iCs/>
        </w:rPr>
        <w:t>C.F.R.</w:t>
      </w:r>
      <w:r w:rsidRPr="00BB4EFA" w:rsidR="000405A6">
        <w:rPr>
          <w:rFonts w:cs="Arial"/>
          <w:iCs/>
        </w:rPr>
        <w:t xml:space="preserve"> </w:t>
      </w:r>
      <w:r w:rsidR="0054775C">
        <w:rPr>
          <w:rFonts w:cs="Arial"/>
        </w:rPr>
        <w:t>§§</w:t>
      </w:r>
      <w:r w:rsidRPr="00BB4EFA">
        <w:rPr>
          <w:rFonts w:cs="Arial"/>
        </w:rPr>
        <w:t>122.41(j)(4) and 122.44(i)(1)(iv).</w:t>
      </w:r>
    </w:p>
    <w:p w:rsidRPr="00BB4EFA" w:rsidR="00A41F64" w:rsidP="000874ED" w:rsidRDefault="000F6B50" w14:paraId="0C33A750" w14:textId="41C2221E">
      <w:pPr>
        <w:pStyle w:val="Heading3"/>
        <w:tabs>
          <w:tab w:val="clear" w:pos="720"/>
        </w:tabs>
        <w:spacing w:before="120"/>
        <w:ind w:left="1080" w:hanging="1080"/>
        <w:rPr>
          <w:i/>
          <w:iCs/>
        </w:rPr>
      </w:pPr>
      <w:bookmarkStart w:name="_Toc74912556" w:id="77"/>
      <w:r w:rsidRPr="00BB4EFA">
        <w:t>A</w:t>
      </w:r>
      <w:r w:rsidR="00136FDA">
        <w:t>12</w:t>
      </w:r>
      <w:r w:rsidRPr="00BB4EFA" w:rsidR="00BD1AFD">
        <w:t>.</w:t>
      </w:r>
      <w:r w:rsidRPr="00BB4EFA" w:rsidR="00254BF4">
        <w:t>3</w:t>
      </w:r>
      <w:r w:rsidRPr="00BB4EFA" w:rsidR="00A41F64">
        <w:tab/>
      </w:r>
      <w:r w:rsidRPr="00BB4EFA" w:rsidR="00A41F64">
        <w:t>Reporting Requirements</w:t>
      </w:r>
      <w:bookmarkEnd w:id="77"/>
    </w:p>
    <w:p w:rsidRPr="00BB4EFA" w:rsidR="004C2644" w:rsidP="000874ED" w:rsidRDefault="004C2644" w14:paraId="210F890D" w14:textId="5E8A9F31">
      <w:pPr>
        <w:snapToGrid w:val="0"/>
        <w:ind w:left="1080"/>
        <w:rPr>
          <w:rFonts w:cs="Arial"/>
          <w:iCs/>
        </w:rPr>
      </w:pPr>
      <w:r w:rsidRPr="00BB4EFA">
        <w:rPr>
          <w:rFonts w:cs="Arial"/>
          <w:iCs/>
        </w:rPr>
        <w:t>Clean</w:t>
      </w:r>
      <w:r w:rsidRPr="00BB4EFA" w:rsidR="000405A6">
        <w:rPr>
          <w:rFonts w:cs="Arial"/>
          <w:iCs/>
        </w:rPr>
        <w:t xml:space="preserve"> </w:t>
      </w:r>
      <w:r w:rsidRPr="00BB4EFA">
        <w:rPr>
          <w:rFonts w:cs="Arial"/>
          <w:iCs/>
        </w:rPr>
        <w:t>Water</w:t>
      </w:r>
      <w:r w:rsidRPr="00BB4EFA" w:rsidR="000405A6">
        <w:rPr>
          <w:rFonts w:cs="Arial"/>
          <w:iCs/>
        </w:rPr>
        <w:t xml:space="preserve"> </w:t>
      </w:r>
      <w:r w:rsidRPr="00BB4EFA">
        <w:rPr>
          <w:rFonts w:cs="Arial"/>
          <w:iCs/>
        </w:rPr>
        <w:t>Act</w:t>
      </w:r>
      <w:r w:rsidRPr="00BB4EFA" w:rsidR="000405A6">
        <w:rPr>
          <w:rFonts w:cs="Arial"/>
          <w:iCs/>
        </w:rPr>
        <w:t xml:space="preserve"> </w:t>
      </w:r>
      <w:r w:rsidRPr="00BB4EFA">
        <w:rPr>
          <w:rFonts w:cs="Arial"/>
          <w:iCs/>
        </w:rPr>
        <w:t>section</w:t>
      </w:r>
      <w:r w:rsidRPr="00BB4EFA" w:rsidR="000405A6">
        <w:rPr>
          <w:rFonts w:cs="Arial"/>
          <w:iCs/>
        </w:rPr>
        <w:t xml:space="preserve"> </w:t>
      </w:r>
      <w:r w:rsidRPr="00BB4EFA">
        <w:rPr>
          <w:rFonts w:cs="Arial"/>
          <w:iCs/>
        </w:rPr>
        <w:t>308 and 40</w:t>
      </w:r>
      <w:r w:rsidRPr="00BB4EFA" w:rsidR="000405A6">
        <w:rPr>
          <w:rFonts w:cs="Arial"/>
          <w:iCs/>
        </w:rPr>
        <w:t xml:space="preserve"> </w:t>
      </w:r>
      <w:r w:rsidRPr="00BB4EFA">
        <w:rPr>
          <w:rFonts w:cs="Arial"/>
          <w:iCs/>
        </w:rPr>
        <w:t>C.F.R.</w:t>
      </w:r>
      <w:r w:rsidRPr="00BB4EFA" w:rsidR="000405A6">
        <w:rPr>
          <w:rFonts w:cs="Arial"/>
          <w:iCs/>
        </w:rPr>
        <w:t xml:space="preserve"> </w:t>
      </w:r>
      <w:r w:rsidR="0054775C">
        <w:rPr>
          <w:rFonts w:cs="Arial"/>
        </w:rPr>
        <w:t>§§</w:t>
      </w:r>
      <w:r w:rsidRPr="00BB4EFA">
        <w:rPr>
          <w:rFonts w:cs="Arial"/>
          <w:iCs/>
        </w:rPr>
        <w:t xml:space="preserve">122.41(h), 122.41(j)-(l), 122.44(i), and 122.48 require that all NPDES permits specify monitoring and reporting requirements. </w:t>
      </w:r>
      <w:r w:rsidRPr="00BB4EFA" w:rsidR="001C28F8">
        <w:rPr>
          <w:rFonts w:cs="Arial"/>
          <w:lang w:eastAsia="en-US"/>
        </w:rPr>
        <w:t>California Water Code</w:t>
      </w:r>
      <w:r w:rsidRPr="00BB4EFA" w:rsidR="000405A6">
        <w:rPr>
          <w:rFonts w:cs="Arial"/>
          <w:lang w:eastAsia="en-US"/>
        </w:rPr>
        <w:t xml:space="preserve"> </w:t>
      </w:r>
      <w:r w:rsidRPr="00BB4EFA">
        <w:rPr>
          <w:rFonts w:cs="Arial"/>
          <w:lang w:eastAsia="en-US"/>
        </w:rPr>
        <w:t>section</w:t>
      </w:r>
      <w:r w:rsidRPr="00BB4EFA" w:rsidR="000405A6">
        <w:rPr>
          <w:rFonts w:cs="Arial"/>
          <w:lang w:eastAsia="en-US"/>
        </w:rPr>
        <w:t xml:space="preserve"> </w:t>
      </w:r>
      <w:r w:rsidRPr="00BB4EFA">
        <w:rPr>
          <w:rFonts w:cs="Arial"/>
          <w:iCs/>
        </w:rPr>
        <w:t xml:space="preserve">13383 authorizes the State Water Board to establish monitoring, inspection, entry, reporting, and recordkeeping requirements. Attachment G, </w:t>
      </w:r>
      <w:r w:rsidRPr="00BB4EFA" w:rsidR="00065C0F">
        <w:rPr>
          <w:rFonts w:cs="Arial"/>
          <w:iCs/>
        </w:rPr>
        <w:t xml:space="preserve">Summary of </w:t>
      </w:r>
      <w:r w:rsidRPr="00BB4EFA">
        <w:rPr>
          <w:rFonts w:cs="Arial"/>
          <w:iCs/>
        </w:rPr>
        <w:t xml:space="preserve">Reporting Requirements, </w:t>
      </w:r>
      <w:r w:rsidRPr="00BB4EFA" w:rsidR="00065C0F">
        <w:rPr>
          <w:rFonts w:cs="Arial"/>
          <w:iCs/>
        </w:rPr>
        <w:t xml:space="preserve">summarizes the </w:t>
      </w:r>
      <w:r w:rsidRPr="00BB4EFA">
        <w:rPr>
          <w:rFonts w:cs="Arial"/>
          <w:iCs/>
        </w:rPr>
        <w:t xml:space="preserve">reporting, and recordkeeping requirements </w:t>
      </w:r>
      <w:r w:rsidRPr="00BB4EFA" w:rsidR="00240738">
        <w:rPr>
          <w:rFonts w:cs="Arial"/>
          <w:iCs/>
        </w:rPr>
        <w:t xml:space="preserve">in this Order </w:t>
      </w:r>
      <w:r w:rsidRPr="00BB4EFA">
        <w:rPr>
          <w:rFonts w:cs="Arial"/>
          <w:iCs/>
        </w:rPr>
        <w:t>that implement federal and State laws and regulations.</w:t>
      </w:r>
    </w:p>
    <w:p w:rsidRPr="00BB4EFA" w:rsidR="00F1486A" w:rsidP="000874ED" w:rsidRDefault="004C2644" w14:paraId="1517C014" w14:textId="0AFCFB75">
      <w:pPr>
        <w:snapToGrid w:val="0"/>
        <w:ind w:left="1080"/>
        <w:rPr>
          <w:rFonts w:cs="Arial"/>
        </w:rPr>
      </w:pPr>
      <w:r w:rsidRPr="00BB4EFA">
        <w:rPr>
          <w:rFonts w:cs="Arial"/>
        </w:rPr>
        <w:t xml:space="preserve">The electronic reporting requirements in this Order are based on </w:t>
      </w:r>
      <w:r w:rsidR="00841767">
        <w:rPr>
          <w:rFonts w:cs="Arial"/>
        </w:rPr>
        <w:t>USEPA</w:t>
      </w:r>
      <w:r w:rsidRPr="00BB4EFA">
        <w:rPr>
          <w:rFonts w:cs="Arial"/>
        </w:rPr>
        <w:t>’s NPDES Electronic Reporting Rule (40</w:t>
      </w:r>
      <w:r w:rsidRPr="00BB4EFA" w:rsidR="000405A6">
        <w:rPr>
          <w:rFonts w:cs="Arial"/>
        </w:rPr>
        <w:t xml:space="preserve"> </w:t>
      </w:r>
      <w:r w:rsidRPr="00BB4EFA">
        <w:rPr>
          <w:rFonts w:cs="Arial"/>
        </w:rPr>
        <w:t>C.F.R.</w:t>
      </w:r>
      <w:r w:rsidRPr="00BB4EFA" w:rsidR="000405A6">
        <w:rPr>
          <w:rFonts w:cs="Arial"/>
        </w:rPr>
        <w:t xml:space="preserve"> </w:t>
      </w:r>
      <w:r w:rsidR="00FF4D0C">
        <w:rPr>
          <w:rFonts w:cs="Arial"/>
        </w:rPr>
        <w:t>§</w:t>
      </w:r>
      <w:r w:rsidRPr="00BB4EFA">
        <w:rPr>
          <w:rFonts w:cs="Arial"/>
        </w:rPr>
        <w:t>127</w:t>
      </w:r>
      <w:r w:rsidRPr="00BB4EFA" w:rsidR="00333FF4">
        <w:rPr>
          <w:rFonts w:cs="Arial"/>
        </w:rPr>
        <w:t>)</w:t>
      </w:r>
      <w:r w:rsidRPr="00BB4EFA">
        <w:rPr>
          <w:rFonts w:cs="Arial"/>
        </w:rPr>
        <w:t xml:space="preserve">. The </w:t>
      </w:r>
      <w:r w:rsidRPr="00BB4EFA" w:rsidR="00240738">
        <w:rPr>
          <w:rFonts w:cs="Arial"/>
        </w:rPr>
        <w:t>R</w:t>
      </w:r>
      <w:r w:rsidRPr="00BB4EFA">
        <w:rPr>
          <w:rFonts w:cs="Arial"/>
        </w:rPr>
        <w:t>ule requires electronic reporting in lieu of paper-</w:t>
      </w:r>
      <w:r w:rsidRPr="00BB4EFA">
        <w:rPr>
          <w:rFonts w:cs="Arial"/>
          <w:lang w:eastAsia="en-US"/>
        </w:rPr>
        <w:t>based</w:t>
      </w:r>
      <w:r w:rsidRPr="00BB4EFA">
        <w:rPr>
          <w:rFonts w:cs="Arial"/>
        </w:rPr>
        <w:t xml:space="preserve"> reporting. On April 30, 2019, </w:t>
      </w:r>
      <w:r w:rsidR="00841767">
        <w:rPr>
          <w:rFonts w:cs="Arial"/>
        </w:rPr>
        <w:t>USEPA</w:t>
      </w:r>
      <w:r w:rsidRPr="00BB4EFA">
        <w:rPr>
          <w:rFonts w:cs="Arial"/>
        </w:rPr>
        <w:t xml:space="preserve">’s NPDES Electronic Reporting Rule was updated to include electronic reporting consistent with </w:t>
      </w:r>
      <w:r w:rsidR="00427F54">
        <w:rPr>
          <w:rFonts w:cs="Arial"/>
        </w:rPr>
        <w:t>MS4</w:t>
      </w:r>
      <w:r w:rsidRPr="00BB4EFA">
        <w:rPr>
          <w:rFonts w:cs="Arial"/>
        </w:rPr>
        <w:t xml:space="preserve"> regulations. </w:t>
      </w:r>
      <w:r w:rsidRPr="00BB4EFA" w:rsidR="00927BF6">
        <w:rPr>
          <w:rFonts w:cs="Arial"/>
        </w:rPr>
        <w:t>This Order i</w:t>
      </w:r>
      <w:r w:rsidRPr="00BB4EFA">
        <w:rPr>
          <w:rFonts w:cs="Arial"/>
        </w:rPr>
        <w:t>mplement</w:t>
      </w:r>
      <w:r w:rsidRPr="00BB4EFA" w:rsidR="00927BF6">
        <w:rPr>
          <w:rFonts w:cs="Arial"/>
        </w:rPr>
        <w:t>s the</w:t>
      </w:r>
      <w:r w:rsidRPr="00BB4EFA">
        <w:rPr>
          <w:rFonts w:cs="Arial"/>
        </w:rPr>
        <w:t xml:space="preserve"> </w:t>
      </w:r>
      <w:r w:rsidRPr="00BB4EFA" w:rsidR="00927BF6">
        <w:rPr>
          <w:rFonts w:cs="Arial"/>
        </w:rPr>
        <w:t>R</w:t>
      </w:r>
      <w:r w:rsidRPr="00BB4EFA">
        <w:rPr>
          <w:rFonts w:cs="Arial"/>
        </w:rPr>
        <w:t xml:space="preserve">ule </w:t>
      </w:r>
      <w:r w:rsidRPr="00BB4EFA" w:rsidR="00983CF5">
        <w:rPr>
          <w:rFonts w:cs="Arial"/>
        </w:rPr>
        <w:t xml:space="preserve">similar to </w:t>
      </w:r>
      <w:r w:rsidRPr="00BB4EFA" w:rsidR="00D7343E">
        <w:rPr>
          <w:rFonts w:cs="Arial"/>
        </w:rPr>
        <w:t xml:space="preserve">implementation for </w:t>
      </w:r>
      <w:r w:rsidRPr="00BB4EFA" w:rsidR="00983CF5">
        <w:rPr>
          <w:rFonts w:cs="Arial"/>
        </w:rPr>
        <w:t>other</w:t>
      </w:r>
      <w:r w:rsidRPr="00BB4EFA">
        <w:rPr>
          <w:rFonts w:cs="Arial"/>
        </w:rPr>
        <w:t xml:space="preserve"> NPDES</w:t>
      </w:r>
      <w:r w:rsidRPr="00BB4EFA" w:rsidR="000E1B01">
        <w:rPr>
          <w:rFonts w:cs="Arial"/>
        </w:rPr>
        <w:t xml:space="preserve"> Permittees </w:t>
      </w:r>
      <w:r w:rsidRPr="00BB4EFA" w:rsidR="00983CF5">
        <w:rPr>
          <w:rFonts w:cs="Arial"/>
        </w:rPr>
        <w:t>regulated by the State and Regional Water Boards</w:t>
      </w:r>
      <w:r w:rsidRPr="00BB4EFA">
        <w:rPr>
          <w:rFonts w:cs="Arial"/>
        </w:rPr>
        <w:t>.</w:t>
      </w:r>
    </w:p>
    <w:p w:rsidRPr="00BB4EFA" w:rsidR="00A7054B" w:rsidP="00086752" w:rsidRDefault="000F6B50" w14:paraId="0CB0A23D" w14:textId="13C4C18A">
      <w:pPr>
        <w:pStyle w:val="Heading3"/>
        <w:tabs>
          <w:tab w:val="clear" w:pos="720"/>
        </w:tabs>
        <w:spacing w:before="120"/>
        <w:ind w:left="1080" w:hanging="1080"/>
      </w:pPr>
      <w:bookmarkStart w:name="_Toc74912557" w:id="78"/>
      <w:r w:rsidRPr="00BB4EFA">
        <w:t>A1</w:t>
      </w:r>
      <w:r w:rsidR="00136FDA">
        <w:t>2</w:t>
      </w:r>
      <w:r w:rsidRPr="00BB4EFA" w:rsidR="00A7054B">
        <w:t>.4</w:t>
      </w:r>
      <w:r w:rsidRPr="00BB4EFA" w:rsidR="00D86D78">
        <w:tab/>
      </w:r>
      <w:r w:rsidRPr="00BB4EFA" w:rsidR="00A7054B">
        <w:t xml:space="preserve">Alternative Compliance </w:t>
      </w:r>
      <w:r w:rsidRPr="00BB4EFA" w:rsidR="0063157C">
        <w:t>O</w:t>
      </w:r>
      <w:r w:rsidRPr="00BB4EFA" w:rsidR="003B27D5">
        <w:t>ption</w:t>
      </w:r>
      <w:r w:rsidRPr="00BB4EFA" w:rsidR="00710FF0">
        <w:t>s</w:t>
      </w:r>
      <w:r w:rsidRPr="00BB4EFA" w:rsidR="003B27D5">
        <w:t xml:space="preserve"> </w:t>
      </w:r>
      <w:r w:rsidRPr="00BB4EFA" w:rsidR="00A7054B">
        <w:t xml:space="preserve">for Stormwater Capture </w:t>
      </w:r>
    </w:p>
    <w:p w:rsidRPr="00BB4EFA" w:rsidR="00BB739C" w:rsidP="000874ED" w:rsidRDefault="00BB739C" w14:paraId="71442E34" w14:textId="0B92D77E">
      <w:pPr>
        <w:snapToGrid w:val="0"/>
        <w:ind w:left="1080"/>
        <w:rPr>
          <w:rFonts w:cs="Arial"/>
          <w:iCs/>
        </w:rPr>
      </w:pPr>
      <w:r w:rsidRPr="00BB4EFA">
        <w:rPr>
          <w:rFonts w:cs="Arial"/>
          <w:iCs/>
        </w:rPr>
        <w:t xml:space="preserve">The federal Clean Water Act provides that NPDES permits for </w:t>
      </w:r>
      <w:r w:rsidR="00D94536">
        <w:rPr>
          <w:rFonts w:cs="Arial"/>
          <w:iCs/>
        </w:rPr>
        <w:t>MS4</w:t>
      </w:r>
      <w:r w:rsidR="00F93795">
        <w:rPr>
          <w:rFonts w:cs="Arial"/>
          <w:iCs/>
        </w:rPr>
        <w:t>s</w:t>
      </w:r>
      <w:r w:rsidRPr="00BB4EFA">
        <w:rPr>
          <w:rFonts w:cs="Arial"/>
          <w:iCs/>
        </w:rPr>
        <w:t xml:space="preserve"> must require municipalities to reduce pollutants in their </w:t>
      </w:r>
      <w:r w:rsidR="003253DD">
        <w:rPr>
          <w:rFonts w:cs="Arial"/>
          <w:iCs/>
        </w:rPr>
        <w:t>stormwater</w:t>
      </w:r>
      <w:r w:rsidRPr="00BB4EFA">
        <w:rPr>
          <w:rFonts w:cs="Arial"/>
          <w:iCs/>
        </w:rPr>
        <w:t xml:space="preserve"> discharges to the </w:t>
      </w:r>
      <w:r w:rsidR="00DF7CA1">
        <w:rPr>
          <w:rFonts w:cs="Arial"/>
          <w:iCs/>
        </w:rPr>
        <w:t>Maximum Extent Practicable</w:t>
      </w:r>
      <w:r w:rsidRPr="00BB4EFA">
        <w:rPr>
          <w:rFonts w:cs="Arial"/>
          <w:iCs/>
        </w:rPr>
        <w:t xml:space="preserve"> and permits "shall require controls to reduce the discharge of pollutants to the </w:t>
      </w:r>
      <w:r w:rsidR="00DF7CA1">
        <w:rPr>
          <w:rFonts w:cs="Arial"/>
          <w:iCs/>
        </w:rPr>
        <w:t>Maximum Extent Practicable</w:t>
      </w:r>
      <w:r w:rsidRPr="00BB4EFA">
        <w:rPr>
          <w:rFonts w:cs="Arial"/>
          <w:iCs/>
        </w:rPr>
        <w:t xml:space="preserve">, which includes management practices, control techniques and system, design and engineering methods." </w:t>
      </w:r>
    </w:p>
    <w:p w:rsidRPr="00BB4EFA" w:rsidR="00BB739C" w:rsidP="000874ED" w:rsidRDefault="00BB739C" w14:paraId="5FAD8330" w14:textId="1B61BF89">
      <w:pPr>
        <w:snapToGrid w:val="0"/>
        <w:ind w:left="1080"/>
        <w:rPr>
          <w:rFonts w:cs="Arial"/>
          <w:iCs/>
        </w:rPr>
      </w:pPr>
      <w:r w:rsidRPr="00BB4EFA">
        <w:rPr>
          <w:rFonts w:cs="Arial"/>
          <w:iCs/>
        </w:rPr>
        <w:t xml:space="preserve">Attachment I of this Order, the Alternative Compliance Options for Stormwater Capture (capture option), provides two best management capture options that are consistent with the </w:t>
      </w:r>
      <w:r w:rsidR="00DF7CA1">
        <w:rPr>
          <w:rFonts w:cs="Arial"/>
          <w:iCs/>
        </w:rPr>
        <w:t>Maximum Extent Practicable</w:t>
      </w:r>
      <w:r w:rsidRPr="00BB4EFA">
        <w:rPr>
          <w:rFonts w:cs="Arial"/>
          <w:iCs/>
        </w:rPr>
        <w:t xml:space="preserve"> standard</w:t>
      </w:r>
      <w:r w:rsidR="005252F1">
        <w:rPr>
          <w:rFonts w:cs="Arial"/>
          <w:iCs/>
        </w:rPr>
        <w:t xml:space="preserve"> and with State Water Board precedential Order WQ 2015-0075</w:t>
      </w:r>
      <w:r w:rsidRPr="00BB4EFA">
        <w:rPr>
          <w:rFonts w:cs="Arial"/>
          <w:iCs/>
        </w:rPr>
        <w:t>. Permittees are not required to implement either of the two compliance options.</w:t>
      </w:r>
    </w:p>
    <w:p w:rsidR="00BB739C" w:rsidP="000874ED" w:rsidRDefault="00BB739C" w14:paraId="1E8EC3D9" w14:textId="0FFDBE8B">
      <w:pPr>
        <w:snapToGrid w:val="0"/>
        <w:ind w:left="1080"/>
        <w:rPr>
          <w:rFonts w:cs="Arial"/>
          <w:iCs/>
        </w:rPr>
      </w:pPr>
      <w:r w:rsidRPr="00BB4EFA">
        <w:rPr>
          <w:rFonts w:cs="Arial"/>
          <w:iCs/>
        </w:rPr>
        <w:t xml:space="preserve">The Permittee may discharge to a capture option for capture and use, infiltration, and/or evapotranspiration of municipal stormwater and authorized non-stormwater discharges. </w:t>
      </w:r>
      <w:r w:rsidR="00E84CF5">
        <w:rPr>
          <w:rFonts w:cs="Arial"/>
          <w:iCs/>
        </w:rPr>
        <w:t>Capture</w:t>
      </w:r>
      <w:r w:rsidRPr="00BB4EFA" w:rsidR="00E84CF5">
        <w:rPr>
          <w:rFonts w:cs="Arial"/>
          <w:iCs/>
        </w:rPr>
        <w:t xml:space="preserve"> </w:t>
      </w:r>
      <w:r w:rsidRPr="00BB4EFA">
        <w:rPr>
          <w:rFonts w:cs="Arial"/>
          <w:iCs/>
        </w:rPr>
        <w:t xml:space="preserve">options allow for the implementation of best management practices either on-site or off-site. </w:t>
      </w:r>
      <w:r w:rsidR="002E6EE1">
        <w:rPr>
          <w:rFonts w:cs="Arial"/>
          <w:iCs/>
        </w:rPr>
        <w:t xml:space="preserve">If opting to </w:t>
      </w:r>
      <w:r w:rsidR="000C2A27">
        <w:rPr>
          <w:rFonts w:cs="Arial"/>
          <w:iCs/>
        </w:rPr>
        <w:t>utilize an Alternative Compliance Option, t</w:t>
      </w:r>
      <w:r w:rsidRPr="00BB4EFA">
        <w:rPr>
          <w:rFonts w:cs="Arial"/>
          <w:iCs/>
        </w:rPr>
        <w:t>he Permittee must comply with the design, certification, approval, implementation, and reporting criteria.</w:t>
      </w:r>
    </w:p>
    <w:p w:rsidRPr="00BB4EFA" w:rsidR="004B60F2" w:rsidP="000874ED" w:rsidRDefault="004B60F2" w14:paraId="1CCFA408" w14:textId="785E90CF">
      <w:pPr>
        <w:snapToGrid w:val="0"/>
        <w:ind w:left="1080"/>
        <w:rPr>
          <w:rFonts w:cs="Arial"/>
          <w:iCs/>
        </w:rPr>
      </w:pPr>
      <w:r w:rsidRPr="004B60F2">
        <w:rPr>
          <w:rFonts w:cs="Arial"/>
          <w:iCs/>
        </w:rPr>
        <w:t>Some schools have already begun incorporating low-impact development stormwater elements such as </w:t>
      </w:r>
      <w:hyperlink w:tgtFrame="_blank" w:tooltip="https://www.sfpuc.gov/programs/san-franciscos-urban-watersheds/stormwater-schoolyards" w:history="1" r:id="rId28">
        <w:r w:rsidRPr="004B60F2">
          <w:rPr>
            <w:rStyle w:val="Hyperlink"/>
            <w:rFonts w:cs="Arial"/>
            <w:iCs/>
          </w:rPr>
          <w:t>Robert Louis Stevenson Elementary School</w:t>
        </w:r>
      </w:hyperlink>
      <w:r w:rsidRPr="004B60F2">
        <w:rPr>
          <w:rFonts w:cs="Arial"/>
          <w:iCs/>
        </w:rPr>
        <w:t> in San Francisco. If schools have capacity to capture excess stormwater beyond their own, expanded projects on those schools could intake water from neighboring MS4s for watershed-based compliance plans</w:t>
      </w:r>
      <w:r w:rsidR="00D8071C">
        <w:rPr>
          <w:rFonts w:cs="Arial"/>
          <w:iCs/>
        </w:rPr>
        <w:t xml:space="preserve">, serving as off-site </w:t>
      </w:r>
      <w:r w:rsidR="00D36CCD">
        <w:rPr>
          <w:rFonts w:cs="Arial"/>
          <w:iCs/>
        </w:rPr>
        <w:t>compliance</w:t>
      </w:r>
      <w:r w:rsidR="00D8071C">
        <w:rPr>
          <w:rFonts w:cs="Arial"/>
          <w:iCs/>
        </w:rPr>
        <w:t xml:space="preserve"> options.</w:t>
      </w:r>
    </w:p>
    <w:p w:rsidRPr="00BB4EFA" w:rsidR="00D06EC4" w:rsidP="00086752" w:rsidRDefault="000F6B50" w14:paraId="4D8B9ACD" w14:textId="26D1A8A6">
      <w:pPr>
        <w:pStyle w:val="Heading3"/>
        <w:tabs>
          <w:tab w:val="clear" w:pos="720"/>
        </w:tabs>
        <w:spacing w:before="120"/>
        <w:ind w:left="1080" w:hanging="1080"/>
      </w:pPr>
      <w:r w:rsidRPr="00BB4EFA">
        <w:t>A1</w:t>
      </w:r>
      <w:r w:rsidR="00136FDA">
        <w:t>2</w:t>
      </w:r>
      <w:r w:rsidRPr="00BB4EFA" w:rsidR="00D06EC4">
        <w:t>.</w:t>
      </w:r>
      <w:r w:rsidRPr="00BB4EFA" w:rsidR="00A7054B">
        <w:t>5</w:t>
      </w:r>
      <w:r w:rsidRPr="00BB4EFA" w:rsidR="00D06EC4">
        <w:tab/>
      </w:r>
      <w:r w:rsidRPr="00BB4EFA" w:rsidR="00D06EC4">
        <w:t>ASBS Requirements</w:t>
      </w:r>
      <w:r w:rsidR="00FD43C0">
        <w:t xml:space="preserve"> Overview</w:t>
      </w:r>
    </w:p>
    <w:p w:rsidRPr="000874ED" w:rsidR="00D06EC4" w:rsidP="000874ED" w:rsidRDefault="000617D9" w14:paraId="7FBE7CF7" w14:textId="24F17EF6">
      <w:pPr>
        <w:snapToGrid w:val="0"/>
        <w:ind w:left="1080"/>
        <w:rPr>
          <w:rFonts w:cs="Arial"/>
          <w:iCs/>
        </w:rPr>
      </w:pPr>
      <w:r w:rsidRPr="000874ED">
        <w:rPr>
          <w:rFonts w:cs="Arial"/>
          <w:iCs/>
        </w:rPr>
        <w:t xml:space="preserve">This Order requires the applicable Permittees to submit an updated ASBS Compliance Plan to the State Water Board Executive Director for review and consideration of approval. </w:t>
      </w:r>
      <w:r w:rsidRPr="000874ED" w:rsidR="00D06EC4">
        <w:rPr>
          <w:rFonts w:cs="Arial"/>
          <w:iCs/>
        </w:rPr>
        <w:t xml:space="preserve">Permittees </w:t>
      </w:r>
      <w:r w:rsidRPr="000874ED" w:rsidR="00AF1583">
        <w:rPr>
          <w:rFonts w:cs="Arial"/>
          <w:iCs/>
        </w:rPr>
        <w:t xml:space="preserve">discharging into </w:t>
      </w:r>
      <w:r w:rsidRPr="000874ED" w:rsidR="00FC4D5B">
        <w:rPr>
          <w:rFonts w:cs="Arial"/>
          <w:iCs/>
        </w:rPr>
        <w:t xml:space="preserve">ASBS </w:t>
      </w:r>
      <w:r w:rsidRPr="000874ED" w:rsidR="00D06EC4">
        <w:rPr>
          <w:rFonts w:cs="Arial"/>
          <w:iCs/>
        </w:rPr>
        <w:t xml:space="preserve">identified in Attachment </w:t>
      </w:r>
      <w:r w:rsidRPr="000874ED" w:rsidR="004101F0">
        <w:rPr>
          <w:rFonts w:cs="Arial"/>
          <w:iCs/>
        </w:rPr>
        <w:t>F</w:t>
      </w:r>
      <w:r w:rsidRPr="000874ED" w:rsidR="00D06EC4">
        <w:rPr>
          <w:rFonts w:cs="Arial"/>
          <w:iCs/>
        </w:rPr>
        <w:t xml:space="preserve"> are required to submit </w:t>
      </w:r>
      <w:r w:rsidRPr="000874ED" w:rsidR="00232941">
        <w:rPr>
          <w:rFonts w:cs="Arial"/>
          <w:iCs/>
        </w:rPr>
        <w:t xml:space="preserve">and implement </w:t>
      </w:r>
      <w:r w:rsidRPr="000874ED" w:rsidR="00D06EC4">
        <w:rPr>
          <w:rFonts w:cs="Arial"/>
          <w:iCs/>
        </w:rPr>
        <w:t>an updated ASBS Compliance for the applicable ASBS.</w:t>
      </w:r>
    </w:p>
    <w:p w:rsidRPr="00BB4EFA" w:rsidR="0099676B" w:rsidP="00086752" w:rsidRDefault="000F6B50" w14:paraId="62F11450" w14:textId="2A31C48B">
      <w:pPr>
        <w:pStyle w:val="Heading3"/>
        <w:tabs>
          <w:tab w:val="clear" w:pos="720"/>
        </w:tabs>
        <w:spacing w:before="120"/>
        <w:ind w:left="990" w:hanging="990"/>
        <w:rPr>
          <w:i/>
          <w:iCs/>
        </w:rPr>
      </w:pPr>
      <w:r w:rsidRPr="00BB4EFA">
        <w:t>A1</w:t>
      </w:r>
      <w:r w:rsidR="00136FDA">
        <w:t>2</w:t>
      </w:r>
      <w:r w:rsidRPr="00BB4EFA" w:rsidR="00BD1AFD">
        <w:t>.</w:t>
      </w:r>
      <w:r w:rsidR="005207C1">
        <w:t>6</w:t>
      </w:r>
      <w:r w:rsidRPr="00BB4EFA" w:rsidR="006E0451">
        <w:tab/>
      </w:r>
      <w:bookmarkEnd w:id="78"/>
      <w:r w:rsidRPr="00BB4EFA" w:rsidR="00746CAB">
        <w:t>TMDL Requirements</w:t>
      </w:r>
    </w:p>
    <w:p w:rsidR="001C6FC9" w:rsidP="001C6FC9" w:rsidRDefault="001C6FC9" w14:paraId="28CB078A" w14:textId="77777777">
      <w:pPr>
        <w:pStyle w:val="ListParagraph"/>
        <w:numPr>
          <w:ilvl w:val="0"/>
          <w:numId w:val="96"/>
        </w:numPr>
        <w:snapToGrid w:val="0"/>
        <w:rPr>
          <w:rFonts w:cs="Arial"/>
          <w:iCs/>
        </w:rPr>
      </w:pPr>
      <w:r>
        <w:rPr>
          <w:rFonts w:cs="Arial"/>
          <w:iCs/>
        </w:rPr>
        <w:t>Overview</w:t>
      </w:r>
    </w:p>
    <w:p w:rsidRPr="001C6FC9" w:rsidR="0099676B" w:rsidP="001C6FC9" w:rsidRDefault="00402A4B" w14:paraId="55A519ED" w14:textId="5D5A5E01">
      <w:pPr>
        <w:snapToGrid w:val="0"/>
        <w:ind w:left="1080"/>
        <w:rPr>
          <w:rFonts w:cs="Arial"/>
          <w:iCs/>
        </w:rPr>
      </w:pPr>
      <w:r w:rsidRPr="001C6FC9">
        <w:rPr>
          <w:rFonts w:cs="Arial"/>
          <w:iCs/>
        </w:rPr>
        <w:t xml:space="preserve">This Order implements TMDLs through implementation requirements in accordance with 40 C.F.R. </w:t>
      </w:r>
      <w:r w:rsidR="00FF4D0C">
        <w:rPr>
          <w:rFonts w:cs="Arial"/>
        </w:rPr>
        <w:t>§</w:t>
      </w:r>
      <w:r w:rsidRPr="001C6FC9">
        <w:rPr>
          <w:rFonts w:cs="Arial"/>
          <w:iCs/>
        </w:rPr>
        <w:t>122.44(d)(1)(vii)(B)</w:t>
      </w:r>
      <w:r w:rsidRPr="001C6FC9" w:rsidR="004E6E54">
        <w:rPr>
          <w:rFonts w:cs="Arial"/>
          <w:iCs/>
        </w:rPr>
        <w:t xml:space="preserve">. </w:t>
      </w:r>
      <w:r w:rsidRPr="001C6FC9" w:rsidR="008A7DC7">
        <w:rPr>
          <w:rFonts w:cs="Arial"/>
          <w:iCs/>
        </w:rPr>
        <w:t>Clean</w:t>
      </w:r>
      <w:r w:rsidRPr="001C6FC9" w:rsidR="000405A6">
        <w:rPr>
          <w:rFonts w:cs="Arial"/>
          <w:iCs/>
        </w:rPr>
        <w:t xml:space="preserve"> </w:t>
      </w:r>
      <w:r w:rsidRPr="001C6FC9" w:rsidR="008A7DC7">
        <w:rPr>
          <w:rFonts w:cs="Arial"/>
          <w:iCs/>
        </w:rPr>
        <w:t>Water</w:t>
      </w:r>
      <w:r w:rsidRPr="001C6FC9" w:rsidR="000405A6">
        <w:rPr>
          <w:rFonts w:cs="Arial"/>
          <w:iCs/>
        </w:rPr>
        <w:t xml:space="preserve"> </w:t>
      </w:r>
      <w:r w:rsidRPr="001C6FC9" w:rsidR="008A7DC7">
        <w:rPr>
          <w:rFonts w:cs="Arial"/>
          <w:iCs/>
        </w:rPr>
        <w:t>Act</w:t>
      </w:r>
      <w:r w:rsidRPr="001C6FC9" w:rsidR="000405A6">
        <w:rPr>
          <w:rFonts w:cs="Arial"/>
          <w:iCs/>
        </w:rPr>
        <w:t xml:space="preserve"> </w:t>
      </w:r>
      <w:r w:rsidRPr="001C6FC9" w:rsidR="00ED539C">
        <w:rPr>
          <w:rFonts w:cs="Arial"/>
          <w:iCs/>
        </w:rPr>
        <w:t>section</w:t>
      </w:r>
      <w:r w:rsidRPr="001C6FC9" w:rsidR="000405A6">
        <w:rPr>
          <w:rFonts w:cs="Arial"/>
          <w:iCs/>
        </w:rPr>
        <w:t xml:space="preserve"> </w:t>
      </w:r>
      <w:r w:rsidRPr="001C6FC9" w:rsidR="0099676B">
        <w:rPr>
          <w:rFonts w:cs="Arial"/>
          <w:iCs/>
        </w:rPr>
        <w:t xml:space="preserve">303(d) requires States to identify waters that do not </w:t>
      </w:r>
      <w:r w:rsidRPr="001C6FC9" w:rsidR="00754E52">
        <w:rPr>
          <w:rFonts w:cs="Arial"/>
          <w:iCs/>
        </w:rPr>
        <w:t>comply with</w:t>
      </w:r>
      <w:r w:rsidRPr="001C6FC9" w:rsidR="0099676B">
        <w:rPr>
          <w:rFonts w:cs="Arial"/>
          <w:iCs/>
        </w:rPr>
        <w:t xml:space="preserve"> water quality standards </w:t>
      </w:r>
      <w:r w:rsidRPr="001C6FC9" w:rsidR="008D38DF">
        <w:rPr>
          <w:rFonts w:cs="Arial"/>
          <w:iCs/>
        </w:rPr>
        <w:t>(impaired water bodies)</w:t>
      </w:r>
      <w:r w:rsidRPr="001C6FC9" w:rsidR="0099676B">
        <w:rPr>
          <w:rFonts w:cs="Arial"/>
          <w:iCs/>
        </w:rPr>
        <w:t xml:space="preserve">. States are required to compile this information in a list and submit the list to </w:t>
      </w:r>
      <w:r w:rsidRPr="001C6FC9" w:rsidR="00766ACF">
        <w:rPr>
          <w:rFonts w:cs="Arial"/>
          <w:iCs/>
        </w:rPr>
        <w:t>USEPA</w:t>
      </w:r>
      <w:r w:rsidRPr="001C6FC9" w:rsidR="00C56C92">
        <w:rPr>
          <w:rFonts w:cs="Arial"/>
          <w:iCs/>
        </w:rPr>
        <w:t xml:space="preserve"> </w:t>
      </w:r>
      <w:r w:rsidRPr="001C6FC9" w:rsidR="0099676B">
        <w:rPr>
          <w:rFonts w:cs="Arial"/>
          <w:iCs/>
        </w:rPr>
        <w:t xml:space="preserve">for review and approval. This list is known as the </w:t>
      </w:r>
      <w:r w:rsidR="00FF4D0C">
        <w:rPr>
          <w:rFonts w:cs="Arial"/>
          <w:iCs/>
        </w:rPr>
        <w:t>S</w:t>
      </w:r>
      <w:r w:rsidRPr="001C6FC9" w:rsidR="00ED539C">
        <w:rPr>
          <w:rFonts w:cs="Arial"/>
          <w:iCs/>
        </w:rPr>
        <w:t>ection</w:t>
      </w:r>
      <w:r w:rsidRPr="001C6FC9" w:rsidR="000405A6">
        <w:rPr>
          <w:rFonts w:cs="Arial"/>
          <w:iCs/>
        </w:rPr>
        <w:t xml:space="preserve"> </w:t>
      </w:r>
      <w:r w:rsidRPr="001C6FC9" w:rsidR="0099676B">
        <w:rPr>
          <w:rFonts w:cs="Arial"/>
          <w:iCs/>
        </w:rPr>
        <w:t xml:space="preserve">303(d) </w:t>
      </w:r>
      <w:r w:rsidR="00FF4D0C">
        <w:rPr>
          <w:rFonts w:cs="Arial"/>
          <w:iCs/>
        </w:rPr>
        <w:t>L</w:t>
      </w:r>
      <w:r w:rsidRPr="001C6FC9" w:rsidR="0099676B">
        <w:rPr>
          <w:rFonts w:cs="Arial"/>
          <w:iCs/>
        </w:rPr>
        <w:t xml:space="preserve">ist of </w:t>
      </w:r>
      <w:r w:rsidR="00FF4D0C">
        <w:rPr>
          <w:rFonts w:cs="Arial"/>
          <w:iCs/>
        </w:rPr>
        <w:t>I</w:t>
      </w:r>
      <w:r w:rsidRPr="001C6FC9" w:rsidR="0099676B">
        <w:rPr>
          <w:rFonts w:cs="Arial"/>
          <w:iCs/>
        </w:rPr>
        <w:t xml:space="preserve">mpaired </w:t>
      </w:r>
      <w:r w:rsidR="00FF4D0C">
        <w:rPr>
          <w:rFonts w:cs="Arial"/>
          <w:iCs/>
        </w:rPr>
        <w:t>W</w:t>
      </w:r>
      <w:r w:rsidRPr="001C6FC9" w:rsidR="0099676B">
        <w:rPr>
          <w:rFonts w:cs="Arial"/>
          <w:iCs/>
        </w:rPr>
        <w:t>aters.</w:t>
      </w:r>
    </w:p>
    <w:p w:rsidRPr="000874ED" w:rsidR="00150FCE" w:rsidP="000874ED" w:rsidRDefault="00150FCE" w14:paraId="54B30689" w14:textId="0377BB6F">
      <w:pPr>
        <w:snapToGrid w:val="0"/>
        <w:ind w:left="1080"/>
        <w:rPr>
          <w:rFonts w:cs="Arial"/>
          <w:iCs/>
        </w:rPr>
      </w:pPr>
      <w:r w:rsidRPr="000874ED">
        <w:rPr>
          <w:rFonts w:cs="Arial"/>
          <w:iCs/>
        </w:rPr>
        <w:t xml:space="preserve">The State and Regional Water Boards prepare the </w:t>
      </w:r>
      <w:r w:rsidR="00BE4642">
        <w:rPr>
          <w:rFonts w:cs="Arial"/>
          <w:iCs/>
        </w:rPr>
        <w:t>S</w:t>
      </w:r>
      <w:r w:rsidRPr="000874ED">
        <w:rPr>
          <w:rFonts w:cs="Arial"/>
          <w:iCs/>
        </w:rPr>
        <w:t xml:space="preserve">ection 303(d) </w:t>
      </w:r>
      <w:r w:rsidR="00BE4642">
        <w:rPr>
          <w:rFonts w:cs="Arial"/>
          <w:iCs/>
        </w:rPr>
        <w:t>L</w:t>
      </w:r>
      <w:r w:rsidRPr="000874ED">
        <w:rPr>
          <w:rFonts w:cs="Arial"/>
          <w:iCs/>
        </w:rPr>
        <w:t>ist</w:t>
      </w:r>
      <w:r w:rsidR="00BE4642">
        <w:rPr>
          <w:rFonts w:cs="Arial"/>
          <w:iCs/>
        </w:rPr>
        <w:t xml:space="preserve"> of Impaired Waters</w:t>
      </w:r>
      <w:r w:rsidRPr="000874ED">
        <w:rPr>
          <w:rFonts w:cs="Arial"/>
          <w:iCs/>
        </w:rPr>
        <w:t xml:space="preserve">, and subsequently develop TMDLs. TMDLs are developed by either the Regional Water Boards or </w:t>
      </w:r>
      <w:r w:rsidR="00766ACF">
        <w:rPr>
          <w:rFonts w:cs="Arial"/>
          <w:iCs/>
        </w:rPr>
        <w:t>USEPA</w:t>
      </w:r>
      <w:r w:rsidRPr="000874ED">
        <w:rPr>
          <w:rFonts w:cs="Arial"/>
          <w:iCs/>
        </w:rPr>
        <w:t xml:space="preserve"> in response to section 303(d) listings. TMDLs developed by Regional Water Boards include implementation provisions and</w:t>
      </w:r>
      <w:r w:rsidRPr="00BB4EFA">
        <w:rPr>
          <w:rFonts w:cs="Arial"/>
        </w:rPr>
        <w:t xml:space="preserve"> </w:t>
      </w:r>
      <w:r w:rsidRPr="000874ED">
        <w:rPr>
          <w:rFonts w:cs="Arial"/>
          <w:iCs/>
        </w:rPr>
        <w:t xml:space="preserve">can be incorporated as Water Quality Control Plan amendments. TMDLs developed by </w:t>
      </w:r>
      <w:r w:rsidR="00766ACF">
        <w:rPr>
          <w:rFonts w:cs="Arial"/>
          <w:iCs/>
        </w:rPr>
        <w:t>USEPA</w:t>
      </w:r>
      <w:r w:rsidRPr="000874ED">
        <w:rPr>
          <w:rFonts w:cs="Arial"/>
          <w:iCs/>
        </w:rPr>
        <w:t xml:space="preserve"> typically contain the total </w:t>
      </w:r>
      <w:r w:rsidR="00F90EEA">
        <w:rPr>
          <w:rFonts w:cs="Arial"/>
          <w:iCs/>
        </w:rPr>
        <w:t>wasteload</w:t>
      </w:r>
      <w:r w:rsidRPr="000874ED">
        <w:rPr>
          <w:rFonts w:cs="Arial"/>
          <w:iCs/>
        </w:rPr>
        <w:t xml:space="preserve"> and load allocations required by section 303(d), but do not contain comprehensive implementation provisions.</w:t>
      </w:r>
    </w:p>
    <w:p w:rsidR="00B84F16" w:rsidP="000874ED" w:rsidRDefault="007C696F" w14:paraId="56C48C72" w14:textId="235E54FD">
      <w:pPr>
        <w:snapToGrid w:val="0"/>
        <w:ind w:left="1080"/>
        <w:rPr>
          <w:rFonts w:cs="Arial"/>
          <w:iCs/>
        </w:rPr>
      </w:pPr>
      <w:r w:rsidRPr="000874ED">
        <w:rPr>
          <w:rFonts w:cs="Arial"/>
          <w:iCs/>
        </w:rPr>
        <w:t xml:space="preserve">TMDLs are numerical calculations of the maximum amount of a pollutant that a water body can assimilate and still meet water quality standards. </w:t>
      </w:r>
      <w:r w:rsidRPr="000874ED" w:rsidR="00F16ED3">
        <w:rPr>
          <w:rFonts w:cs="Arial"/>
          <w:iCs/>
        </w:rPr>
        <w:t xml:space="preserve">A </w:t>
      </w:r>
      <w:r w:rsidRPr="000874ED" w:rsidR="006042D8">
        <w:rPr>
          <w:rFonts w:cs="Arial"/>
          <w:iCs/>
        </w:rPr>
        <w:t>TMDL</w:t>
      </w:r>
      <w:r w:rsidRPr="000874ED" w:rsidR="00F16ED3">
        <w:rPr>
          <w:rFonts w:cs="Arial"/>
          <w:iCs/>
        </w:rPr>
        <w:t xml:space="preserve"> is defined as the sum of the individual </w:t>
      </w:r>
      <w:r w:rsidR="00F90EEA">
        <w:rPr>
          <w:rFonts w:cs="Arial"/>
          <w:iCs/>
        </w:rPr>
        <w:t>wasteload</w:t>
      </w:r>
      <w:r w:rsidRPr="000874ED" w:rsidR="00F16ED3">
        <w:rPr>
          <w:rFonts w:cs="Arial"/>
          <w:iCs/>
        </w:rPr>
        <w:t xml:space="preserve"> allocations for point sources of pollution, the load allocations for nonpoint sources of </w:t>
      </w:r>
      <w:r w:rsidRPr="000874ED" w:rsidR="00140A93">
        <w:rPr>
          <w:rFonts w:cs="Arial"/>
          <w:iCs/>
        </w:rPr>
        <w:t xml:space="preserve">pollution, the contribution from background sources of pollution, and a margin of safety. </w:t>
      </w:r>
      <w:r w:rsidRPr="000874ED" w:rsidR="002C076D">
        <w:rPr>
          <w:rFonts w:cs="Arial"/>
          <w:iCs/>
        </w:rPr>
        <w:t xml:space="preserve">Discharges from Small MS4s are point source discharges subject to applicable TMDLs. This Order requires Permittees to comply with all applicable TMDLs approved pursuant to 40 </w:t>
      </w:r>
      <w:r w:rsidR="009C0234">
        <w:rPr>
          <w:rFonts w:cs="Arial"/>
          <w:iCs/>
        </w:rPr>
        <w:t>C,F,R.</w:t>
      </w:r>
      <w:r w:rsidRPr="000874ED" w:rsidR="002C076D">
        <w:rPr>
          <w:rFonts w:cs="Arial"/>
          <w:iCs/>
        </w:rPr>
        <w:t xml:space="preserve"> </w:t>
      </w:r>
      <w:r w:rsidR="00E21C2A">
        <w:rPr>
          <w:rFonts w:cs="Arial"/>
        </w:rPr>
        <w:t>§</w:t>
      </w:r>
      <w:r w:rsidRPr="000874ED" w:rsidR="002C076D">
        <w:rPr>
          <w:rFonts w:cs="Arial"/>
          <w:iCs/>
        </w:rPr>
        <w:t xml:space="preserve">130.7 that assign a </w:t>
      </w:r>
      <w:r w:rsidR="00F90EEA">
        <w:rPr>
          <w:rFonts w:cs="Arial"/>
          <w:iCs/>
        </w:rPr>
        <w:t>Wasteload</w:t>
      </w:r>
      <w:r w:rsidRPr="000874ED" w:rsidR="002C076D">
        <w:rPr>
          <w:rFonts w:cs="Arial"/>
          <w:iCs/>
        </w:rPr>
        <w:t xml:space="preserve"> Allocation to Permittee</w:t>
      </w:r>
      <w:r w:rsidRPr="000874ED" w:rsidR="00A317AC">
        <w:rPr>
          <w:rFonts w:cs="Arial"/>
          <w:iCs/>
        </w:rPr>
        <w:t>, as i</w:t>
      </w:r>
      <w:r w:rsidRPr="000874ED" w:rsidR="002C076D">
        <w:rPr>
          <w:rFonts w:cs="Arial"/>
          <w:iCs/>
        </w:rPr>
        <w:t xml:space="preserve">dentified in </w:t>
      </w:r>
      <w:r w:rsidRPr="000874ED" w:rsidR="00A317AC">
        <w:rPr>
          <w:rFonts w:cs="Arial"/>
          <w:iCs/>
        </w:rPr>
        <w:t xml:space="preserve">Order </w:t>
      </w:r>
      <w:r w:rsidRPr="000874ED" w:rsidR="002C076D">
        <w:rPr>
          <w:rFonts w:cs="Arial"/>
          <w:iCs/>
        </w:rPr>
        <w:t>Attachment G.</w:t>
      </w:r>
    </w:p>
    <w:p w:rsidR="001C6FC9" w:rsidP="001C6FC9" w:rsidRDefault="001C6FC9" w14:paraId="0D6757A8" w14:textId="09DCE543">
      <w:pPr>
        <w:pStyle w:val="ListParagraph"/>
        <w:numPr>
          <w:ilvl w:val="0"/>
          <w:numId w:val="96"/>
        </w:numPr>
        <w:snapToGrid w:val="0"/>
        <w:rPr>
          <w:rFonts w:cs="Arial"/>
          <w:iCs/>
        </w:rPr>
      </w:pPr>
      <w:r>
        <w:rPr>
          <w:rFonts w:cs="Arial"/>
          <w:iCs/>
        </w:rPr>
        <w:t>T</w:t>
      </w:r>
      <w:r w:rsidR="007701BE">
        <w:rPr>
          <w:rFonts w:cs="Arial"/>
          <w:iCs/>
        </w:rPr>
        <w:t>oxicity Provisions</w:t>
      </w:r>
    </w:p>
    <w:p w:rsidRPr="00E75CA0" w:rsidR="007701BE" w:rsidP="007701BE" w:rsidRDefault="007701BE" w14:paraId="0A6CD247" w14:textId="5C7AE843">
      <w:pPr>
        <w:snapToGrid w:val="0"/>
        <w:ind w:left="1080"/>
      </w:pPr>
      <w:r w:rsidRPr="007701BE">
        <w:rPr>
          <w:rFonts w:cs="Arial"/>
          <w:iCs/>
        </w:rPr>
        <w:t>On</w:t>
      </w:r>
      <w:r w:rsidRPr="00E75CA0">
        <w:t xml:space="preserve"> December 1, 2020, the State Water Board adopted </w:t>
      </w:r>
      <w:r w:rsidR="00196459">
        <w:t xml:space="preserve">the </w:t>
      </w:r>
      <w:r w:rsidRPr="00E75CA0">
        <w:t xml:space="preserve">State Policy for Water Quality Control: Toxicity Provisions (Toxicity Provisions) which established statewide numeric water quality objectives for both acute and chronic toxicity, using the </w:t>
      </w:r>
      <w:r w:rsidR="00B61EC9">
        <w:t>Test of Significant Toxicity (</w:t>
      </w:r>
      <w:r w:rsidRPr="00E75CA0">
        <w:t>TST</w:t>
      </w:r>
      <w:r w:rsidR="00B61EC9">
        <w:t>)</w:t>
      </w:r>
      <w:r w:rsidRPr="00E75CA0">
        <w:t>, and a program of implementation to control toxicity. On October 5, 2021, the State Water Board adopted a resolution confirming that the Toxicity Provisions were adopted as a State Policy for Water Quality Control, for all inland surface waters, enclosed bays, estuaries, and coastal lagoons of the state, regardless of their status as waters of the United States. The Toxicity Provisions establish a uniform regulatory approach to provide consistent protection of aquatic life beneficial uses and protect aquatic habitats and life from the effects of known and unknown toxicants. The Toxicity Provisions were approved by OAL on April 25, 2022, and by U</w:t>
      </w:r>
      <w:r>
        <w:t>.</w:t>
      </w:r>
      <w:r w:rsidRPr="00E75CA0">
        <w:t>S</w:t>
      </w:r>
      <w:r>
        <w:t>.</w:t>
      </w:r>
      <w:r w:rsidRPr="00E75CA0">
        <w:t>EPA on May 1, 2023.</w:t>
      </w:r>
    </w:p>
    <w:p w:rsidRPr="00E75CA0" w:rsidR="007701BE" w:rsidP="007701BE" w:rsidRDefault="007701BE" w14:paraId="0BCBA88A" w14:textId="461F677A">
      <w:pPr>
        <w:snapToGrid w:val="0"/>
        <w:ind w:left="1080"/>
      </w:pPr>
      <w:r w:rsidRPr="007701BE">
        <w:rPr>
          <w:rFonts w:cs="Arial"/>
          <w:iCs/>
        </w:rPr>
        <w:t>On</w:t>
      </w:r>
      <w:r w:rsidRPr="00E75CA0">
        <w:t xml:space="preserve"> December 14, 2023, the State Water Board applied for </w:t>
      </w:r>
      <w:r w:rsidR="00280F07">
        <w:t>USEPA</w:t>
      </w:r>
      <w:r w:rsidRPr="00E75CA0">
        <w:t xml:space="preserve"> Region IX review and approval of a limited-use alternative test procedure (ATP), for the use of one-effluent concentration when conducting whole effluent toxicity (WET) testing, pursuant to 40 </w:t>
      </w:r>
      <w:r w:rsidR="00E97A74">
        <w:t>C.F.R.</w:t>
      </w:r>
      <w:r w:rsidRPr="00E75CA0">
        <w:t xml:space="preserve"> </w:t>
      </w:r>
      <w:r w:rsidR="00B32C32">
        <w:rPr>
          <w:rFonts w:cs="Arial"/>
        </w:rPr>
        <w:t>§</w:t>
      </w:r>
      <w:r w:rsidRPr="00E75CA0">
        <w:t>136.5 (Aug. 28, 2017). The application is specific to acute or chronic WET tests in Table 1 of the application when using the TST statistical approach (</w:t>
      </w:r>
      <w:r w:rsidR="00280F07">
        <w:t>USEPA</w:t>
      </w:r>
      <w:r w:rsidRPr="00E75CA0">
        <w:t xml:space="preserve">, 2010) for analyzing the data. The </w:t>
      </w:r>
      <w:r>
        <w:t>application</w:t>
      </w:r>
      <w:r w:rsidRPr="00E75CA0">
        <w:t xml:space="preserve"> is being sought for all dischargers or facilities in the State of California and their </w:t>
      </w:r>
      <w:r w:rsidRPr="007701BE">
        <w:rPr>
          <w:rFonts w:cs="Arial"/>
          <w:iCs/>
        </w:rPr>
        <w:t>associated laboratories. The ATP application is still pending</w:t>
      </w:r>
      <w:r>
        <w:t xml:space="preserve"> with </w:t>
      </w:r>
      <w:r w:rsidR="00280F07">
        <w:t>USEPA</w:t>
      </w:r>
      <w:r>
        <w:t>.</w:t>
      </w:r>
    </w:p>
    <w:p w:rsidRPr="007701BE" w:rsidR="007701BE" w:rsidP="007701BE" w:rsidRDefault="007701BE" w14:paraId="1F0D7932" w14:textId="3DD18CA3">
      <w:pPr>
        <w:snapToGrid w:val="0"/>
        <w:ind w:left="1080"/>
        <w:rPr>
          <w:rFonts w:cs="Arial"/>
        </w:rPr>
      </w:pPr>
      <w:r w:rsidRPr="007701BE">
        <w:rPr>
          <w:rFonts w:cs="Arial"/>
          <w:iCs/>
        </w:rPr>
        <w:t>The</w:t>
      </w:r>
      <w:r w:rsidRPr="007701BE">
        <w:rPr>
          <w:rFonts w:cs="Arial"/>
        </w:rPr>
        <w:t xml:space="preserve"> use of the TST ha</w:t>
      </w:r>
      <w:r w:rsidR="002A22FC">
        <w:rPr>
          <w:rFonts w:cs="Arial"/>
        </w:rPr>
        <w:t>s</w:t>
      </w:r>
      <w:r w:rsidRPr="007701BE">
        <w:rPr>
          <w:rFonts w:cs="Arial"/>
        </w:rPr>
        <w:t xml:space="preserve"> been the subject of litigation. In December 2024, the Second District Court of Appeal upheld the use of the TST in an NPDES permit in the case </w:t>
      </w:r>
      <w:r w:rsidRPr="007701BE">
        <w:rPr>
          <w:rFonts w:cs="Arial"/>
          <w:i/>
          <w:iCs/>
        </w:rPr>
        <w:t>Camarillo Sanitary District v. California Regional Water Quality Control Board - Los Angeles Region</w:t>
      </w:r>
      <w:r w:rsidRPr="007701BE">
        <w:rPr>
          <w:rFonts w:cs="Arial"/>
        </w:rPr>
        <w:t xml:space="preserve">. </w:t>
      </w:r>
    </w:p>
    <w:p w:rsidRPr="007701BE" w:rsidR="007701BE" w:rsidP="007701BE" w:rsidRDefault="007701BE" w14:paraId="62EF3C71" w14:textId="2B0D1079">
      <w:pPr>
        <w:snapToGrid w:val="0"/>
        <w:ind w:left="1080"/>
        <w:rPr>
          <w:rFonts w:cs="Arial"/>
          <w:iCs/>
        </w:rPr>
      </w:pPr>
      <w:r w:rsidRPr="007701BE">
        <w:rPr>
          <w:rFonts w:cs="Arial"/>
          <w:iCs/>
        </w:rPr>
        <w:t xml:space="preserve">A separate legal challenge to the State Water Board’s adoption of the Toxicity Provisions originated in Fresno County Superior Court on July 18, 2022, through a petition for writ of mandate filed by Camarillo Sanitary District, City of Simi Valley, City of Thousand Oaks, Central Valley Clean Water Association, and Clean Water SoCal (formerly known as Southern California </w:t>
      </w:r>
      <w:r w:rsidRPr="007701BE">
        <w:rPr>
          <w:rFonts w:cs="Arial"/>
          <w:iCs/>
        </w:rPr>
        <w:t>Alliance of Publicly Owned Treatment Works) (Petitioners) . One of the claims was that the Toxicity Provisions w</w:t>
      </w:r>
      <w:r w:rsidR="00D54F3A">
        <w:rPr>
          <w:rFonts w:cs="Arial"/>
          <w:iCs/>
        </w:rPr>
        <w:t>ere</w:t>
      </w:r>
      <w:r w:rsidRPr="007701BE">
        <w:rPr>
          <w:rFonts w:cs="Arial"/>
          <w:iCs/>
        </w:rPr>
        <w:t xml:space="preserve"> inconsistent with the Clean Water Act. On October 9, 2023, the superior court denied the petition in its entirety. </w:t>
      </w:r>
    </w:p>
    <w:p w:rsidRPr="007701BE" w:rsidR="007701BE" w:rsidP="007701BE" w:rsidRDefault="007701BE" w14:paraId="0EEEAD9F" w14:textId="4B82382C">
      <w:pPr>
        <w:snapToGrid w:val="0"/>
        <w:ind w:left="1080"/>
        <w:rPr>
          <w:rFonts w:cs="Arial"/>
          <w:iCs/>
        </w:rPr>
      </w:pPr>
      <w:r w:rsidRPr="007701BE">
        <w:rPr>
          <w:rFonts w:cs="Arial"/>
          <w:iCs/>
        </w:rPr>
        <w:t xml:space="preserve">On December 19, 2023, three of the Petitioners filed a notice of appeal of the Fresno Superior Court’s decision upholding the Toxicity Provisions. On August 5, 2025, the Fifth District Court of Appeal issued a published opinion holding that the TST statistical approach, which is an integral component of the Toxicity Provisions, cannot be utilized in NPDES permitting to evaluate WET data because the TST is not an approved method under 40 </w:t>
      </w:r>
      <w:r w:rsidR="0045266D">
        <w:rPr>
          <w:rFonts w:cs="Arial"/>
          <w:iCs/>
        </w:rPr>
        <w:t>C.F.R.</w:t>
      </w:r>
      <w:r w:rsidRPr="007701BE">
        <w:rPr>
          <w:rFonts w:cs="Arial"/>
          <w:iCs/>
        </w:rPr>
        <w:t xml:space="preserve"> Part 136. The Court of Appeal did not, however, disturb the Toxicity Provisions’ use of the TST as a part of its water quality objectives. The State Water Board prevailed on all other claims in the litigation. The Court of Appeal’s decision became final on September 4, 2025.</w:t>
      </w:r>
    </w:p>
    <w:p w:rsidRPr="007701BE" w:rsidR="007701BE" w:rsidP="007701BE" w:rsidRDefault="007701BE" w14:paraId="758755D2" w14:textId="77777777">
      <w:pPr>
        <w:snapToGrid w:val="0"/>
        <w:ind w:left="1080"/>
        <w:rPr>
          <w:rFonts w:cs="Arial"/>
          <w:iCs/>
        </w:rPr>
      </w:pPr>
      <w:r w:rsidRPr="007701BE">
        <w:rPr>
          <w:rFonts w:cs="Arial"/>
          <w:iCs/>
        </w:rPr>
        <w:t xml:space="preserve">On September 15, 2025, the State Water Board filed a petition for review of the Fifth Circuit Court of Appeal’s decision with the California Supreme Court.  On November 12, 2025, the California Supreme Court granted review. The issues to be briefed and argued are limited to the issues raised in the State Water Board’s petition for review.  </w:t>
      </w:r>
    </w:p>
    <w:p w:rsidR="007701BE" w:rsidP="007701BE" w:rsidRDefault="007701BE" w14:paraId="63F447CE" w14:textId="77777777">
      <w:pPr>
        <w:snapToGrid w:val="0"/>
        <w:ind w:left="1080"/>
      </w:pPr>
      <w:r w:rsidRPr="009F0A59">
        <w:t xml:space="preserve">Pending </w:t>
      </w:r>
      <w:r>
        <w:t>the California Supreme Court’s</w:t>
      </w:r>
      <w:r w:rsidRPr="009F0A59">
        <w:t xml:space="preserve"> review, the opinion of the </w:t>
      </w:r>
      <w:r>
        <w:t xml:space="preserve">Fifth Circuit </w:t>
      </w:r>
      <w:r w:rsidRPr="009F0A59">
        <w:t xml:space="preserve">Court of Appeal </w:t>
      </w:r>
      <w:r w:rsidRPr="00E75CA0">
        <w:t xml:space="preserve">is not binding on the Water Boards. However, </w:t>
      </w:r>
      <w:r>
        <w:t xml:space="preserve">the opinion </w:t>
      </w:r>
      <w:r w:rsidRPr="009F0A59">
        <w:t>may be cited, not only for its persuasive value, but also for the limited purpose of establishing the existence of a conflict in authority</w:t>
      </w:r>
      <w:r>
        <w:t xml:space="preserve">. </w:t>
      </w:r>
    </w:p>
    <w:p w:rsidRPr="00E75CA0" w:rsidR="007701BE" w:rsidP="007701BE" w:rsidRDefault="007701BE" w14:paraId="2D73A70B" w14:textId="2F3DC1D5">
      <w:pPr>
        <w:snapToGrid w:val="0"/>
        <w:ind w:left="1080"/>
      </w:pPr>
      <w:r>
        <w:t xml:space="preserve">In accordance with Water Code </w:t>
      </w:r>
      <w:r w:rsidR="0058466E">
        <w:rPr>
          <w:rFonts w:cs="Arial"/>
        </w:rPr>
        <w:t>§§</w:t>
      </w:r>
      <w:r>
        <w:t xml:space="preserve">13146 and 13247, the Regional Board must </w:t>
      </w:r>
      <w:r w:rsidRPr="007701BE">
        <w:rPr>
          <w:rFonts w:cs="Arial"/>
          <w:iCs/>
        </w:rPr>
        <w:t>fully</w:t>
      </w:r>
      <w:r>
        <w:t xml:space="preserve"> implement the water quality objectives and their implementation procedures in the Toxicity Provisions</w:t>
      </w:r>
      <w:r w:rsidRPr="00C72597">
        <w:t>. The numeric water quality objectives for chronic</w:t>
      </w:r>
      <w:r w:rsidRPr="00E75CA0">
        <w:t xml:space="preserve"> </w:t>
      </w:r>
      <w:r w:rsidRPr="00C72597">
        <w:t xml:space="preserve">and acute toxicity established by the Toxicity Provisions, which are based on the TST, were approved by </w:t>
      </w:r>
      <w:r w:rsidR="00280F07">
        <w:t>USEPA</w:t>
      </w:r>
      <w:r w:rsidRPr="00C72597">
        <w:t xml:space="preserve"> and remain in effect. As such, the numeric</w:t>
      </w:r>
      <w:r w:rsidRPr="00E75CA0">
        <w:t xml:space="preserve"> </w:t>
      </w:r>
      <w:r w:rsidRPr="00C72597">
        <w:t>water quality objectives continue to serve as the applicable federal water quality</w:t>
      </w:r>
      <w:r w:rsidRPr="00E75CA0">
        <w:t xml:space="preserve"> standards in California.</w:t>
      </w:r>
    </w:p>
    <w:p w:rsidRPr="007701BE" w:rsidR="007701BE" w:rsidP="005C00D1" w:rsidRDefault="007701BE" w14:paraId="6E643AEC" w14:textId="32E332F9">
      <w:pPr>
        <w:spacing w:line="276" w:lineRule="auto"/>
        <w:ind w:left="1080"/>
        <w:rPr>
          <w:rFonts w:cs="Arial"/>
          <w:iCs/>
        </w:rPr>
      </w:pPr>
      <w:r w:rsidRPr="002B6AAA">
        <w:t>The Water Boards must also continue to comply with federal Clean Water Act</w:t>
      </w:r>
      <w:r w:rsidRPr="00E75CA0">
        <w:t xml:space="preserve"> </w:t>
      </w:r>
      <w:r w:rsidRPr="002B6AAA">
        <w:t>NPDES regulations for determining reasonable potential and establishing applicable water quality-based effluent limitations (WQBELs). NPDES regulations</w:t>
      </w:r>
      <w:r w:rsidRPr="00E75CA0">
        <w:t xml:space="preserve"> </w:t>
      </w:r>
      <w:r w:rsidRPr="002B6AAA">
        <w:t xml:space="preserve">(40 </w:t>
      </w:r>
      <w:r w:rsidR="000561B6">
        <w:t>C.F.R.</w:t>
      </w:r>
      <w:r w:rsidRPr="002B6AAA">
        <w:t xml:space="preserve"> § 122.44(d)(1)(vii)(A)) require that all WQBELs be derived from and comply with all applicable water quality standards. Moreover, although the Toxicity Provisions left in place narrative water quality objectives for aquatic</w:t>
      </w:r>
      <w:r w:rsidRPr="00E75CA0">
        <w:t xml:space="preserve"> </w:t>
      </w:r>
      <w:r w:rsidRPr="002B6AAA">
        <w:t>toxicity in regional water board water quality control plans (basin plans), the Toxicity Provisions did supersede basin plan provisions and portions of the Policy</w:t>
      </w:r>
      <w:r w:rsidRPr="00E75CA0">
        <w:t xml:space="preserve"> </w:t>
      </w:r>
      <w:r w:rsidRPr="002B6AAA">
        <w:t>for Implementation of Toxics Standards for Inland Surface Waters, Enclosed Bays, and Estuaries of California (SIP) for implementing narrative water quality</w:t>
      </w:r>
      <w:r w:rsidRPr="00E75CA0">
        <w:t xml:space="preserve"> </w:t>
      </w:r>
      <w:r w:rsidRPr="002B6AAA">
        <w:t xml:space="preserve">objectives. As such, there are </w:t>
      </w:r>
      <w:r w:rsidRPr="002B6AAA">
        <w:t>currently no basin plan or SIP procedures in effect</w:t>
      </w:r>
      <w:r w:rsidRPr="00E75CA0">
        <w:t xml:space="preserve"> </w:t>
      </w:r>
      <w:r w:rsidRPr="002B6AAA">
        <w:t>for implementing narrative water quality objectives to determine reasonable</w:t>
      </w:r>
      <w:r w:rsidRPr="00E75CA0">
        <w:t xml:space="preserve"> potential as required by 40 </w:t>
      </w:r>
      <w:r w:rsidR="000561B6">
        <w:t>C.F.R.</w:t>
      </w:r>
      <w:r w:rsidRPr="00E75CA0">
        <w:t xml:space="preserve"> § 122.44(d)(1)(ii)</w:t>
      </w:r>
      <w:r>
        <w:t>. As a result, the Regional Board must fully implement all of the Toxicity Provisions</w:t>
      </w:r>
      <w:r w:rsidRPr="00E75CA0">
        <w:t>.</w:t>
      </w:r>
      <w:r>
        <w:t xml:space="preserve"> </w:t>
      </w:r>
    </w:p>
    <w:p w:rsidR="00C87F8B" w:rsidP="008F1541" w:rsidRDefault="00C87F8B" w14:paraId="7867335D" w14:textId="4F02D4E7">
      <w:pPr>
        <w:pStyle w:val="Heading3"/>
        <w:tabs>
          <w:tab w:val="clear" w:pos="720"/>
        </w:tabs>
        <w:spacing w:before="120"/>
        <w:ind w:left="1080" w:hanging="1080"/>
      </w:pPr>
      <w:r>
        <w:t>A1</w:t>
      </w:r>
      <w:r w:rsidR="000710FF">
        <w:t>2</w:t>
      </w:r>
      <w:r>
        <w:t>.7</w:t>
      </w:r>
      <w:r>
        <w:tab/>
      </w:r>
      <w:r>
        <w:t>Trash Requirements – Overview</w:t>
      </w:r>
    </w:p>
    <w:p w:rsidR="00045DC8" w:rsidP="00045DC8" w:rsidRDefault="00045DC8" w14:paraId="4C73737E" w14:textId="5F4C27C9">
      <w:pPr>
        <w:snapToGrid w:val="0"/>
        <w:ind w:left="1080"/>
        <w:rPr>
          <w:rFonts w:cs="Arial"/>
          <w:iCs/>
        </w:rPr>
      </w:pPr>
      <w:r w:rsidRPr="001453CE">
        <w:rPr>
          <w:rFonts w:cs="Arial"/>
        </w:rPr>
        <w:t>In 2015, the State Water Board adopted</w:t>
      </w:r>
      <w:r w:rsidR="00BE3777">
        <w:rPr>
          <w:rFonts w:cs="Arial"/>
        </w:rPr>
        <w:t xml:space="preserve"> the</w:t>
      </w:r>
      <w:r w:rsidRPr="001453CE">
        <w:rPr>
          <w:rFonts w:cs="Arial"/>
        </w:rPr>
        <w:t xml:space="preserve"> statewide </w:t>
      </w:r>
      <w:r w:rsidRPr="001453CE">
        <w:rPr>
          <w:rStyle w:val="Emphasis"/>
          <w:rFonts w:cs="Arial"/>
        </w:rPr>
        <w:t>Trash Provisions</w:t>
      </w:r>
      <w:r w:rsidRPr="002C269C" w:rsidR="00C8609D">
        <w:rPr>
          <w:rStyle w:val="FootnoteReference"/>
          <w:rFonts w:cs="Arial"/>
          <w:iCs/>
        </w:rPr>
        <w:footnoteReference w:id="11"/>
      </w:r>
      <w:r w:rsidRPr="1751922C" w:rsidR="2BB3AE2E">
        <w:rPr>
          <w:rFonts w:cs="Arial"/>
        </w:rPr>
        <w:t>,</w:t>
      </w:r>
      <w:r w:rsidRPr="1751922C" w:rsidR="27724AF5">
        <w:rPr>
          <w:rFonts w:cs="Arial"/>
        </w:rPr>
        <w:t xml:space="preserve"> which </w:t>
      </w:r>
      <w:r w:rsidRPr="001453CE">
        <w:rPr>
          <w:rFonts w:cs="Arial"/>
        </w:rPr>
        <w:t>became effective on December 2, 2015</w:t>
      </w:r>
      <w:r w:rsidRPr="1751922C" w:rsidR="27724AF5">
        <w:rPr>
          <w:rFonts w:cs="Arial"/>
        </w:rPr>
        <w:t>.</w:t>
      </w:r>
      <w:r w:rsidR="005A0069">
        <w:rPr>
          <w:rFonts w:cs="Arial"/>
        </w:rPr>
        <w:t xml:space="preserve"> </w:t>
      </w:r>
      <w:r w:rsidRPr="1751922C" w:rsidR="27724AF5">
        <w:rPr>
          <w:rFonts w:cs="Arial"/>
        </w:rPr>
        <w:t>The Trash Provisions</w:t>
      </w:r>
      <w:r w:rsidRPr="1751922C" w:rsidR="2BB3AE2E">
        <w:rPr>
          <w:rFonts w:cs="Arial"/>
        </w:rPr>
        <w:t xml:space="preserve"> establish a narrative water quality objective for trash and </w:t>
      </w:r>
      <w:r w:rsidRPr="001453CE" w:rsidR="2BB3AE2E">
        <w:rPr>
          <w:rFonts w:cs="Arial"/>
        </w:rPr>
        <w:t xml:space="preserve">a prohibition on </w:t>
      </w:r>
      <w:r w:rsidRPr="001453CE">
        <w:rPr>
          <w:rFonts w:cs="Arial"/>
        </w:rPr>
        <w:t>trash discharges to California waters</w:t>
      </w:r>
      <w:r w:rsidRPr="001453CE" w:rsidR="737EC6F3">
        <w:rPr>
          <w:rFonts w:cs="Arial"/>
        </w:rPr>
        <w:t xml:space="preserve"> to be implemented through Water Board-issued permits for certain dischargers</w:t>
      </w:r>
      <w:r w:rsidRPr="001453CE">
        <w:rPr>
          <w:rFonts w:cs="Arial"/>
        </w:rPr>
        <w:t xml:space="preserve">. </w:t>
      </w:r>
      <w:r w:rsidRPr="001453CE" w:rsidR="538E0BCD">
        <w:rPr>
          <w:rFonts w:cs="Arial"/>
        </w:rPr>
        <w:t>As applied to municipal stormwater discharges, t</w:t>
      </w:r>
      <w:r w:rsidRPr="001453CE">
        <w:rPr>
          <w:rFonts w:cs="Arial"/>
        </w:rPr>
        <w:t xml:space="preserve">he </w:t>
      </w:r>
      <w:r>
        <w:rPr>
          <w:rFonts w:cs="Arial"/>
        </w:rPr>
        <w:t>Trash P</w:t>
      </w:r>
      <w:r w:rsidRPr="001453CE">
        <w:rPr>
          <w:rFonts w:cs="Arial"/>
        </w:rPr>
        <w:t>rovisions</w:t>
      </w:r>
      <w:r w:rsidRPr="1751922C">
        <w:rPr>
          <w:rFonts w:cs="Arial"/>
        </w:rPr>
        <w:t>:</w:t>
      </w:r>
    </w:p>
    <w:p w:rsidR="2B3B5B76" w:rsidP="0079327A" w:rsidRDefault="2B3B5B76" w14:paraId="10D00738" w14:textId="6D268750">
      <w:pPr>
        <w:pStyle w:val="ListParagraph"/>
        <w:numPr>
          <w:ilvl w:val="0"/>
          <w:numId w:val="95"/>
        </w:numPr>
        <w:contextualSpacing w:val="0"/>
        <w:rPr>
          <w:rFonts w:cs="Arial"/>
        </w:rPr>
      </w:pPr>
      <w:r w:rsidRPr="1751922C">
        <w:rPr>
          <w:rFonts w:cs="Arial"/>
        </w:rPr>
        <w:t>Set a compliance deadline for existing permitted dischargers and a schedule for new permitted dischargers,</w:t>
      </w:r>
    </w:p>
    <w:p w:rsidR="031AF199" w:rsidP="0079327A" w:rsidRDefault="031AF199" w14:paraId="2FAE04B2" w14:textId="00BCC8D3">
      <w:pPr>
        <w:pStyle w:val="ListParagraph"/>
        <w:numPr>
          <w:ilvl w:val="0"/>
          <w:numId w:val="95"/>
        </w:numPr>
        <w:contextualSpacing w:val="0"/>
        <w:rPr>
          <w:rFonts w:cs="Arial"/>
          <w:szCs w:val="24"/>
        </w:rPr>
      </w:pPr>
      <w:r w:rsidRPr="1751922C">
        <w:rPr>
          <w:rFonts w:cs="Arial"/>
        </w:rPr>
        <w:t>Require compliance with the prohibition of discharge through selection and implementation of Track 1 or Track 2 measures,</w:t>
      </w:r>
    </w:p>
    <w:p w:rsidR="0011372E" w:rsidP="0079327A" w:rsidRDefault="00E1078F" w14:paraId="0D23C71B" w14:textId="3CC3B43F">
      <w:pPr>
        <w:pStyle w:val="ListParagraph"/>
        <w:numPr>
          <w:ilvl w:val="0"/>
          <w:numId w:val="95"/>
        </w:numPr>
        <w:snapToGrid w:val="0"/>
        <w:contextualSpacing w:val="0"/>
        <w:rPr>
          <w:rFonts w:cs="Arial"/>
          <w:iCs/>
        </w:rPr>
      </w:pPr>
      <w:r w:rsidRPr="1751922C">
        <w:rPr>
          <w:rFonts w:cs="Arial"/>
        </w:rPr>
        <w:t>Requir</w:t>
      </w:r>
      <w:r w:rsidRPr="1751922C" w:rsidR="237AC8FA">
        <w:rPr>
          <w:rFonts w:cs="Arial"/>
        </w:rPr>
        <w:t>e</w:t>
      </w:r>
      <w:r w:rsidRPr="1751922C">
        <w:rPr>
          <w:rFonts w:cs="Arial"/>
        </w:rPr>
        <w:t xml:space="preserve"> milestones to </w:t>
      </w:r>
      <w:r w:rsidRPr="1751922C" w:rsidR="2E0D4310">
        <w:rPr>
          <w:rFonts w:cs="Arial"/>
        </w:rPr>
        <w:t>evaluate</w:t>
      </w:r>
      <w:r w:rsidRPr="1751922C" w:rsidR="33157C38">
        <w:rPr>
          <w:rFonts w:cs="Arial"/>
        </w:rPr>
        <w:t xml:space="preserve"> </w:t>
      </w:r>
      <w:r w:rsidRPr="1751922C">
        <w:rPr>
          <w:rFonts w:cs="Arial"/>
        </w:rPr>
        <w:t>progress</w:t>
      </w:r>
      <w:r w:rsidRPr="1751922C" w:rsidR="2B1FF87D">
        <w:rPr>
          <w:rFonts w:cs="Arial"/>
        </w:rPr>
        <w:t xml:space="preserve"> towards final compliance</w:t>
      </w:r>
      <w:r w:rsidRPr="1751922C">
        <w:rPr>
          <w:rFonts w:cs="Arial"/>
        </w:rPr>
        <w:t xml:space="preserve">, </w:t>
      </w:r>
    </w:p>
    <w:p w:rsidRPr="000468EC" w:rsidR="000468EC" w:rsidP="0079327A" w:rsidRDefault="00045DC8" w14:paraId="52C62ED0" w14:textId="6DB271F8">
      <w:pPr>
        <w:pStyle w:val="ListParagraph"/>
        <w:numPr>
          <w:ilvl w:val="0"/>
          <w:numId w:val="95"/>
        </w:numPr>
        <w:contextualSpacing w:val="0"/>
        <w:rPr>
          <w:rFonts w:cs="Arial"/>
        </w:rPr>
      </w:pPr>
      <w:r w:rsidRPr="1751922C">
        <w:rPr>
          <w:rFonts w:cs="Arial"/>
        </w:rPr>
        <w:t>Provid</w:t>
      </w:r>
      <w:r w:rsidRPr="1751922C" w:rsidR="191A32DD">
        <w:rPr>
          <w:rFonts w:cs="Arial"/>
        </w:rPr>
        <w:t>e</w:t>
      </w:r>
      <w:r w:rsidRPr="007F6F2A">
        <w:rPr>
          <w:rFonts w:cs="Arial"/>
          <w:iCs/>
        </w:rPr>
        <w:t xml:space="preserve"> a framework for monitoring</w:t>
      </w:r>
      <w:r w:rsidR="00627725">
        <w:rPr>
          <w:rFonts w:cs="Arial"/>
          <w:iCs/>
        </w:rPr>
        <w:t>, maintenance,</w:t>
      </w:r>
      <w:r w:rsidRPr="007F6F2A">
        <w:rPr>
          <w:rFonts w:cs="Arial"/>
          <w:iCs/>
        </w:rPr>
        <w:t xml:space="preserve"> and reporting requirements</w:t>
      </w:r>
      <w:r w:rsidR="000468EC">
        <w:rPr>
          <w:rFonts w:cs="Arial"/>
          <w:iCs/>
        </w:rPr>
        <w:t>,</w:t>
      </w:r>
      <w:r w:rsidRPr="1751922C" w:rsidR="52FAF098">
        <w:rPr>
          <w:rFonts w:cs="Arial"/>
        </w:rPr>
        <w:t xml:space="preserve"> and</w:t>
      </w:r>
    </w:p>
    <w:p w:rsidRPr="00B92B69" w:rsidR="00B92B69" w:rsidP="00962E42" w:rsidRDefault="005960D6" w14:paraId="70614FDC" w14:textId="0AA9DC7F">
      <w:pPr>
        <w:pStyle w:val="ListParagraph"/>
        <w:numPr>
          <w:ilvl w:val="0"/>
          <w:numId w:val="95"/>
        </w:numPr>
        <w:contextualSpacing w:val="0"/>
        <w:rPr>
          <w:rFonts w:cs="Arial"/>
        </w:rPr>
      </w:pPr>
      <w:r w:rsidRPr="1751922C">
        <w:rPr>
          <w:rFonts w:cs="Arial"/>
        </w:rPr>
        <w:t>Provid</w:t>
      </w:r>
      <w:r w:rsidRPr="1751922C" w:rsidR="37417ADA">
        <w:rPr>
          <w:rFonts w:cs="Arial"/>
        </w:rPr>
        <w:t>e</w:t>
      </w:r>
      <w:r>
        <w:rPr>
          <w:rFonts w:cs="Arial"/>
          <w:iCs/>
        </w:rPr>
        <w:t xml:space="preserve"> a g</w:t>
      </w:r>
      <w:r w:rsidR="00291DE4">
        <w:rPr>
          <w:rFonts w:cs="Arial"/>
          <w:iCs/>
        </w:rPr>
        <w:t>lossary</w:t>
      </w:r>
      <w:r w:rsidR="004541EC">
        <w:rPr>
          <w:rFonts w:cs="Arial"/>
          <w:iCs/>
        </w:rPr>
        <w:t xml:space="preserve"> </w:t>
      </w:r>
      <w:r w:rsidR="00426DDB">
        <w:rPr>
          <w:rFonts w:cs="Arial"/>
          <w:iCs/>
        </w:rPr>
        <w:t xml:space="preserve">with </w:t>
      </w:r>
      <w:r w:rsidRPr="1751922C" w:rsidR="00426DDB">
        <w:rPr>
          <w:rFonts w:cs="Arial"/>
        </w:rPr>
        <w:t>definition</w:t>
      </w:r>
      <w:r w:rsidRPr="1751922C" w:rsidR="49E3E0C6">
        <w:rPr>
          <w:rFonts w:cs="Arial"/>
        </w:rPr>
        <w:t>s</w:t>
      </w:r>
      <w:r w:rsidR="00426DDB">
        <w:rPr>
          <w:rFonts w:cs="Arial"/>
          <w:iCs/>
        </w:rPr>
        <w:t xml:space="preserve"> of </w:t>
      </w:r>
      <w:r w:rsidRPr="1751922C" w:rsidR="49E3E0C6">
        <w:rPr>
          <w:rFonts w:cs="Arial"/>
        </w:rPr>
        <w:t>key</w:t>
      </w:r>
      <w:r w:rsidR="004541EC">
        <w:rPr>
          <w:rFonts w:cs="Arial"/>
          <w:iCs/>
        </w:rPr>
        <w:t xml:space="preserve"> terms</w:t>
      </w:r>
      <w:r w:rsidRPr="1751922C" w:rsidR="218F3A79">
        <w:rPr>
          <w:rFonts w:cs="Arial"/>
        </w:rPr>
        <w:t>.</w:t>
      </w:r>
    </w:p>
    <w:p w:rsidR="00B365C7" w:rsidP="00045DC8" w:rsidRDefault="00290639" w14:paraId="007059D5" w14:textId="305A0453">
      <w:pPr>
        <w:ind w:left="1080"/>
        <w:rPr>
          <w:rFonts w:cs="Arial"/>
          <w:iCs/>
        </w:rPr>
      </w:pPr>
      <w:r>
        <w:rPr>
          <w:rFonts w:cs="Arial"/>
          <w:iCs/>
        </w:rPr>
        <w:t xml:space="preserve">This Order </w:t>
      </w:r>
      <w:r w:rsidRPr="1751922C" w:rsidR="781F30D4">
        <w:rPr>
          <w:rFonts w:cs="Arial"/>
        </w:rPr>
        <w:t>incorporates</w:t>
      </w:r>
      <w:r>
        <w:rPr>
          <w:rFonts w:cs="Arial"/>
          <w:iCs/>
        </w:rPr>
        <w:t xml:space="preserve"> the </w:t>
      </w:r>
      <w:r w:rsidR="004B1891">
        <w:rPr>
          <w:rFonts w:cs="Arial"/>
          <w:iCs/>
        </w:rPr>
        <w:t xml:space="preserve">Trash </w:t>
      </w:r>
      <w:r w:rsidRPr="1751922C" w:rsidR="2789B0A4">
        <w:rPr>
          <w:rFonts w:cs="Arial"/>
        </w:rPr>
        <w:t>w</w:t>
      </w:r>
      <w:r w:rsidRPr="1751922C" w:rsidR="004B1891">
        <w:rPr>
          <w:rFonts w:cs="Arial"/>
        </w:rPr>
        <w:t xml:space="preserve">ater </w:t>
      </w:r>
      <w:r w:rsidRPr="1751922C" w:rsidR="28783BC4">
        <w:rPr>
          <w:rFonts w:cs="Arial"/>
        </w:rPr>
        <w:t>q</w:t>
      </w:r>
      <w:r w:rsidRPr="1751922C" w:rsidR="004B1891">
        <w:rPr>
          <w:rFonts w:cs="Arial"/>
        </w:rPr>
        <w:t xml:space="preserve">uality </w:t>
      </w:r>
      <w:r w:rsidRPr="1751922C" w:rsidR="3001DCFE">
        <w:rPr>
          <w:rFonts w:cs="Arial"/>
        </w:rPr>
        <w:t>o</w:t>
      </w:r>
      <w:r w:rsidRPr="1751922C" w:rsidR="004B1891">
        <w:rPr>
          <w:rFonts w:cs="Arial"/>
        </w:rPr>
        <w:t>bjective</w:t>
      </w:r>
      <w:r w:rsidR="004B1891">
        <w:rPr>
          <w:rFonts w:cs="Arial"/>
          <w:iCs/>
        </w:rPr>
        <w:t xml:space="preserve"> and </w:t>
      </w:r>
      <w:r w:rsidRPr="1751922C" w:rsidR="2874E919">
        <w:rPr>
          <w:rFonts w:cs="Arial"/>
        </w:rPr>
        <w:t>p</w:t>
      </w:r>
      <w:r w:rsidRPr="1751922C" w:rsidR="00144470">
        <w:rPr>
          <w:rFonts w:cs="Arial"/>
        </w:rPr>
        <w:t>rohibition</w:t>
      </w:r>
      <w:r w:rsidR="00144470">
        <w:rPr>
          <w:rFonts w:cs="Arial"/>
          <w:iCs/>
        </w:rPr>
        <w:t xml:space="preserve"> of </w:t>
      </w:r>
      <w:r w:rsidRPr="1751922C" w:rsidR="5F0315EA">
        <w:rPr>
          <w:rFonts w:cs="Arial"/>
        </w:rPr>
        <w:t>d</w:t>
      </w:r>
      <w:r w:rsidRPr="1751922C" w:rsidR="00144470">
        <w:rPr>
          <w:rFonts w:cs="Arial"/>
        </w:rPr>
        <w:t>ischarge</w:t>
      </w:r>
      <w:r>
        <w:rPr>
          <w:rFonts w:cs="Arial"/>
          <w:iCs/>
        </w:rPr>
        <w:t xml:space="preserve"> in </w:t>
      </w:r>
      <w:r w:rsidR="00B365C7">
        <w:rPr>
          <w:rFonts w:cs="Arial"/>
          <w:iCs/>
        </w:rPr>
        <w:t>Order section 5.3</w:t>
      </w:r>
      <w:r w:rsidR="001274E7">
        <w:rPr>
          <w:rFonts w:cs="Arial"/>
          <w:iCs/>
        </w:rPr>
        <w:t xml:space="preserve">. </w:t>
      </w:r>
      <w:r w:rsidR="008A6833">
        <w:rPr>
          <w:rFonts w:cs="Arial"/>
          <w:iCs/>
        </w:rPr>
        <w:t xml:space="preserve">Attachment H specifies </w:t>
      </w:r>
      <w:r w:rsidR="007F5729">
        <w:rPr>
          <w:rFonts w:cs="Arial"/>
          <w:iCs/>
        </w:rPr>
        <w:t>how</w:t>
      </w:r>
      <w:r w:rsidR="008A6833">
        <w:rPr>
          <w:rFonts w:cs="Arial"/>
          <w:iCs/>
        </w:rPr>
        <w:t xml:space="preserve"> </w:t>
      </w:r>
      <w:r w:rsidR="005E20E0">
        <w:rPr>
          <w:rFonts w:cs="Arial"/>
          <w:iCs/>
        </w:rPr>
        <w:t>compliance with the</w:t>
      </w:r>
      <w:r w:rsidR="002B6874">
        <w:rPr>
          <w:rFonts w:cs="Arial"/>
          <w:iCs/>
        </w:rPr>
        <w:t xml:space="preserve"> </w:t>
      </w:r>
      <w:r w:rsidRPr="1751922C" w:rsidR="3855344D">
        <w:rPr>
          <w:rFonts w:cs="Arial"/>
        </w:rPr>
        <w:t>p</w:t>
      </w:r>
      <w:r w:rsidRPr="1751922C" w:rsidR="002B6874">
        <w:rPr>
          <w:rFonts w:cs="Arial"/>
        </w:rPr>
        <w:t>rohibition</w:t>
      </w:r>
      <w:r w:rsidR="002B6874">
        <w:rPr>
          <w:rFonts w:cs="Arial"/>
          <w:iCs/>
        </w:rPr>
        <w:t xml:space="preserve"> of </w:t>
      </w:r>
      <w:r w:rsidRPr="1751922C" w:rsidR="5A422F77">
        <w:rPr>
          <w:rFonts w:cs="Arial"/>
        </w:rPr>
        <w:t>d</w:t>
      </w:r>
      <w:r w:rsidRPr="1751922C" w:rsidR="002B6874">
        <w:rPr>
          <w:rFonts w:cs="Arial"/>
        </w:rPr>
        <w:t>ischarge</w:t>
      </w:r>
      <w:r w:rsidR="002B6874">
        <w:rPr>
          <w:rFonts w:cs="Arial"/>
          <w:iCs/>
        </w:rPr>
        <w:t xml:space="preserve"> </w:t>
      </w:r>
      <w:r w:rsidR="007F5729">
        <w:rPr>
          <w:rFonts w:cs="Arial"/>
          <w:iCs/>
        </w:rPr>
        <w:t>is met</w:t>
      </w:r>
      <w:r w:rsidR="00187DA4">
        <w:rPr>
          <w:rFonts w:cs="Arial"/>
          <w:iCs/>
        </w:rPr>
        <w:t>.</w:t>
      </w:r>
    </w:p>
    <w:p w:rsidR="00CB24B0" w:rsidP="00045DC8" w:rsidRDefault="00D27C27" w14:paraId="031CA97E" w14:textId="4124B3A1">
      <w:pPr>
        <w:ind w:left="1080"/>
        <w:rPr>
          <w:rFonts w:cs="Arial"/>
          <w:iCs/>
        </w:rPr>
      </w:pPr>
      <w:r>
        <w:rPr>
          <w:rFonts w:cs="Arial"/>
          <w:iCs/>
        </w:rPr>
        <w:t xml:space="preserve">Attachment H </w:t>
      </w:r>
      <w:r w:rsidRPr="1751922C" w:rsidR="7C2D8E01">
        <w:rPr>
          <w:rFonts w:cs="Arial"/>
        </w:rPr>
        <w:t>incorporates</w:t>
      </w:r>
      <w:r>
        <w:rPr>
          <w:rFonts w:cs="Arial"/>
          <w:iCs/>
        </w:rPr>
        <w:t xml:space="preserve"> t</w:t>
      </w:r>
      <w:r w:rsidR="00394AFC">
        <w:rPr>
          <w:rFonts w:cs="Arial"/>
          <w:iCs/>
        </w:rPr>
        <w:t>he Trash Provisions</w:t>
      </w:r>
      <w:r w:rsidR="00291DE4">
        <w:rPr>
          <w:rFonts w:cs="Arial"/>
          <w:iCs/>
        </w:rPr>
        <w:t>’</w:t>
      </w:r>
      <w:r w:rsidR="00394AFC">
        <w:rPr>
          <w:rFonts w:cs="Arial"/>
          <w:iCs/>
        </w:rPr>
        <w:t xml:space="preserve"> </w:t>
      </w:r>
      <w:r w:rsidR="00291DE4">
        <w:rPr>
          <w:rFonts w:cs="Arial"/>
          <w:iCs/>
        </w:rPr>
        <w:t xml:space="preserve">definitions </w:t>
      </w:r>
      <w:r>
        <w:rPr>
          <w:rFonts w:cs="Arial"/>
          <w:iCs/>
        </w:rPr>
        <w:t>of</w:t>
      </w:r>
      <w:r w:rsidR="00291DE4">
        <w:rPr>
          <w:rFonts w:cs="Arial"/>
          <w:iCs/>
        </w:rPr>
        <w:t xml:space="preserve"> terms</w:t>
      </w:r>
      <w:r w:rsidR="007409A2">
        <w:rPr>
          <w:rFonts w:cs="Arial"/>
          <w:iCs/>
        </w:rPr>
        <w:t>, which</w:t>
      </w:r>
      <w:r w:rsidR="00BA760B">
        <w:rPr>
          <w:rFonts w:cs="Arial"/>
          <w:iCs/>
        </w:rPr>
        <w:t xml:space="preserve"> </w:t>
      </w:r>
      <w:r w:rsidR="00394AFC">
        <w:rPr>
          <w:rFonts w:cs="Arial"/>
          <w:iCs/>
        </w:rPr>
        <w:t xml:space="preserve">are used throughout </w:t>
      </w:r>
      <w:r w:rsidR="007F6CC1">
        <w:rPr>
          <w:rFonts w:cs="Arial"/>
          <w:iCs/>
        </w:rPr>
        <w:t>the attachment</w:t>
      </w:r>
      <w:r w:rsidR="00394AFC">
        <w:rPr>
          <w:rFonts w:cs="Arial"/>
          <w:iCs/>
        </w:rPr>
        <w:t>.</w:t>
      </w:r>
      <w:r w:rsidR="005A72F4">
        <w:rPr>
          <w:rFonts w:cs="Arial"/>
          <w:iCs/>
        </w:rPr>
        <w:t xml:space="preserve"> </w:t>
      </w:r>
    </w:p>
    <w:p w:rsidR="001801B6" w:rsidP="00045DC8" w:rsidRDefault="00500F18" w14:paraId="2F066976" w14:textId="6FE707BE">
      <w:pPr>
        <w:ind w:left="1080"/>
      </w:pPr>
      <w:r>
        <w:rPr>
          <w:rFonts w:cs="Arial"/>
        </w:rPr>
        <w:t>Track 2 Permittees are required to annually report the yearly decrease in trash. Attachment H provides the formula to calculate th</w:t>
      </w:r>
      <w:r w:rsidR="00A10D1F">
        <w:rPr>
          <w:rFonts w:cs="Arial"/>
        </w:rPr>
        <w:t>is</w:t>
      </w:r>
      <w:r>
        <w:rPr>
          <w:rFonts w:cs="Arial"/>
        </w:rPr>
        <w:t xml:space="preserve"> decrease.</w:t>
      </w:r>
      <w:r>
        <w:rPr>
          <w:rStyle w:val="FootnoteReference"/>
          <w:rFonts w:cs="Arial"/>
        </w:rPr>
        <w:footnoteReference w:id="12"/>
      </w:r>
      <w:r>
        <w:rPr>
          <w:rFonts w:cs="Arial"/>
        </w:rPr>
        <w:t xml:space="preserve"> </w:t>
      </w:r>
      <w:r>
        <w:t>T</w:t>
      </w:r>
      <w:r w:rsidRPr="00322614">
        <w:t xml:space="preserve">he </w:t>
      </w:r>
      <w:r>
        <w:t xml:space="preserve">formula includes </w:t>
      </w:r>
      <w:r w:rsidRPr="00322614">
        <w:t xml:space="preserve">ratios of the approximate midpoints of the categorical trash generation ranges </w:t>
      </w:r>
      <w:r w:rsidR="00202DF0">
        <w:t>which</w:t>
      </w:r>
      <w:r w:rsidR="00D4633E">
        <w:t xml:space="preserve"> </w:t>
      </w:r>
      <w:r w:rsidRPr="00322614">
        <w:t>provides a means of weighing relative benefit to actions in</w:t>
      </w:r>
      <w:r>
        <w:t xml:space="preserve"> </w:t>
      </w:r>
      <w:r w:rsidRPr="00322614">
        <w:t xml:space="preserve">Very High and High areas compared to actions in Moderate areas. </w:t>
      </w:r>
    </w:p>
    <w:p w:rsidR="001801B6" w:rsidP="00931C9C" w:rsidRDefault="00500F18" w14:paraId="713E5482" w14:textId="77777777">
      <w:pPr>
        <w:pStyle w:val="ListParagraph"/>
        <w:numPr>
          <w:ilvl w:val="0"/>
          <w:numId w:val="88"/>
        </w:numPr>
        <w:contextualSpacing w:val="0"/>
      </w:pPr>
      <w:r w:rsidRPr="00322614">
        <w:t>The Moderate range is 5-10 gal</w:t>
      </w:r>
      <w:r>
        <w:t>lons</w:t>
      </w:r>
      <w:r w:rsidRPr="00322614">
        <w:t>/acre/y</w:t>
      </w:r>
      <w:r>
        <w:t>ear</w:t>
      </w:r>
      <w:r w:rsidRPr="00322614">
        <w:t>, with a midpoint of 7.5 gal</w:t>
      </w:r>
      <w:r>
        <w:t>lons</w:t>
      </w:r>
      <w:r w:rsidRPr="00322614">
        <w:t>/acre/y</w:t>
      </w:r>
      <w:r>
        <w:t xml:space="preserve">ear. </w:t>
      </w:r>
    </w:p>
    <w:p w:rsidR="001801B6" w:rsidP="00931C9C" w:rsidRDefault="00500F18" w14:paraId="5BE46B01" w14:textId="77777777">
      <w:pPr>
        <w:pStyle w:val="ListParagraph"/>
        <w:numPr>
          <w:ilvl w:val="0"/>
          <w:numId w:val="88"/>
        </w:numPr>
        <w:contextualSpacing w:val="0"/>
      </w:pPr>
      <w:r w:rsidRPr="00322614">
        <w:t>The High range is 10-50 gal</w:t>
      </w:r>
      <w:r>
        <w:t>lons</w:t>
      </w:r>
      <w:r w:rsidRPr="00322614">
        <w:t>/acre/y</w:t>
      </w:r>
      <w:r>
        <w:t>ear</w:t>
      </w:r>
      <w:r w:rsidRPr="00322614">
        <w:t xml:space="preserve"> with a midpoint of 30 gal</w:t>
      </w:r>
      <w:r>
        <w:t>lons</w:t>
      </w:r>
      <w:r w:rsidRPr="00322614">
        <w:t>/acre/y</w:t>
      </w:r>
      <w:r>
        <w:t>ear</w:t>
      </w:r>
      <w:r w:rsidRPr="00322614">
        <w:t xml:space="preserve">. </w:t>
      </w:r>
    </w:p>
    <w:p w:rsidR="001801B6" w:rsidP="00931C9C" w:rsidRDefault="00500F18" w14:paraId="607DCEA3" w14:textId="77777777">
      <w:pPr>
        <w:pStyle w:val="ListParagraph"/>
        <w:numPr>
          <w:ilvl w:val="0"/>
          <w:numId w:val="88"/>
        </w:numPr>
        <w:contextualSpacing w:val="0"/>
      </w:pPr>
      <w:r w:rsidRPr="00322614">
        <w:t xml:space="preserve">Therefore, the weighed ratio of High to Moderate is 30/7.5 = 4. </w:t>
      </w:r>
    </w:p>
    <w:p w:rsidR="008A66D1" w:rsidP="00931C9C" w:rsidRDefault="00500F18" w14:paraId="4E553535" w14:textId="286C5ECE">
      <w:pPr>
        <w:pStyle w:val="ListParagraph"/>
        <w:numPr>
          <w:ilvl w:val="0"/>
          <w:numId w:val="88"/>
        </w:numPr>
        <w:contextualSpacing w:val="0"/>
      </w:pPr>
      <w:r w:rsidRPr="00322614">
        <w:t>The Very High range, greater than 50 gal</w:t>
      </w:r>
      <w:r>
        <w:t>lons</w:t>
      </w:r>
      <w:r w:rsidRPr="00322614">
        <w:t>/acre/y</w:t>
      </w:r>
      <w:r>
        <w:t>ea</w:t>
      </w:r>
      <w:r w:rsidRPr="00322614">
        <w:t>r, does not have a specified upper bound that allows calculation of a midpoint. An alternative that provides reasonable weighing of Very High is 90 ga</w:t>
      </w:r>
      <w:r>
        <w:t>l</w:t>
      </w:r>
      <w:r w:rsidRPr="00322614">
        <w:t>l</w:t>
      </w:r>
      <w:r>
        <w:t>ons</w:t>
      </w:r>
      <w:r w:rsidRPr="00322614">
        <w:t>/acre/y</w:t>
      </w:r>
      <w:r>
        <w:t>ea</w:t>
      </w:r>
      <w:r w:rsidRPr="00322614">
        <w:t>r, which is 40 percent higher than the low end of the Very High range. This results in a weighed ratio of Very High to Moderate of 90/7.5</w:t>
      </w:r>
      <w:r>
        <w:t> </w:t>
      </w:r>
      <w:r w:rsidRPr="00322614">
        <w:t>= 12.</w:t>
      </w:r>
      <w:r w:rsidR="008A66D1">
        <w:t xml:space="preserve"> </w:t>
      </w:r>
    </w:p>
    <w:p w:rsidR="00F0424F" w:rsidP="00105580" w:rsidRDefault="008E35D3" w14:paraId="1A2A986C" w14:textId="4B6E2896">
      <w:pPr>
        <w:ind w:left="1080"/>
        <w:rPr>
          <w:rFonts w:cs="Arial"/>
          <w:iCs/>
        </w:rPr>
      </w:pPr>
      <w:r>
        <w:rPr>
          <w:rFonts w:cs="Arial"/>
          <w:iCs/>
        </w:rPr>
        <w:t xml:space="preserve">For Track 1 Permittees, </w:t>
      </w:r>
      <w:r w:rsidR="00A22191">
        <w:rPr>
          <w:rFonts w:cs="Arial"/>
          <w:iCs/>
        </w:rPr>
        <w:t xml:space="preserve">the Trash Provisions mandate </w:t>
      </w:r>
      <w:r>
        <w:rPr>
          <w:rFonts w:cs="Arial"/>
          <w:iCs/>
        </w:rPr>
        <w:t>annual reporting demonstrati</w:t>
      </w:r>
      <w:r w:rsidR="00F9229D">
        <w:rPr>
          <w:rFonts w:cs="Arial"/>
          <w:iCs/>
        </w:rPr>
        <w:t>ng the</w:t>
      </w:r>
      <w:r>
        <w:rPr>
          <w:rFonts w:cs="Arial"/>
          <w:iCs/>
        </w:rPr>
        <w:t xml:space="preserve"> installation, operation, maintenance, </w:t>
      </w:r>
      <w:r w:rsidR="00E047AD">
        <w:rPr>
          <w:rFonts w:cs="Arial"/>
          <w:iCs/>
        </w:rPr>
        <w:t xml:space="preserve">and </w:t>
      </w:r>
      <w:r>
        <w:rPr>
          <w:rFonts w:cs="Arial"/>
          <w:iCs/>
        </w:rPr>
        <w:t xml:space="preserve">GIS-mapped locations and drainage areas </w:t>
      </w:r>
      <w:r w:rsidR="00BE7C49">
        <w:rPr>
          <w:rFonts w:cs="Arial"/>
          <w:iCs/>
        </w:rPr>
        <w:t xml:space="preserve">for all </w:t>
      </w:r>
      <w:r>
        <w:rPr>
          <w:rFonts w:cs="Arial"/>
          <w:iCs/>
        </w:rPr>
        <w:t>full capture systems.</w:t>
      </w:r>
    </w:p>
    <w:p w:rsidR="00CE4839" w:rsidP="00105580" w:rsidRDefault="008E35D3" w14:paraId="5C12BC72" w14:textId="7DA5DA9F">
      <w:pPr>
        <w:ind w:left="1080"/>
        <w:rPr>
          <w:rFonts w:cs="Arial"/>
          <w:iCs/>
        </w:rPr>
      </w:pPr>
      <w:r>
        <w:rPr>
          <w:rFonts w:cs="Arial"/>
          <w:iCs/>
        </w:rPr>
        <w:t xml:space="preserve">For Track 2 Permittees, the Trash Provisions </w:t>
      </w:r>
      <w:r w:rsidR="00F0424F">
        <w:rPr>
          <w:rFonts w:cs="Arial"/>
          <w:iCs/>
        </w:rPr>
        <w:t>mandate</w:t>
      </w:r>
      <w:r w:rsidR="00B10FA4">
        <w:rPr>
          <w:rFonts w:cs="Arial"/>
          <w:iCs/>
        </w:rPr>
        <w:t xml:space="preserve"> implementation of monitoring plan</w:t>
      </w:r>
      <w:r w:rsidR="009803E2">
        <w:rPr>
          <w:rFonts w:cs="Arial"/>
          <w:iCs/>
        </w:rPr>
        <w:t xml:space="preserve">s that demonstrate the effectiveness </w:t>
      </w:r>
      <w:r w:rsidR="0075521A">
        <w:rPr>
          <w:rFonts w:cs="Arial"/>
          <w:iCs/>
        </w:rPr>
        <w:t>o</w:t>
      </w:r>
      <w:r w:rsidR="00141368">
        <w:rPr>
          <w:rFonts w:cs="Arial"/>
          <w:iCs/>
        </w:rPr>
        <w:t xml:space="preserve">f the full capture systems, multi-benefit projects, </w:t>
      </w:r>
      <w:r w:rsidR="00D01821">
        <w:rPr>
          <w:rFonts w:cs="Arial"/>
          <w:iCs/>
        </w:rPr>
        <w:t xml:space="preserve">other treatment controls, </w:t>
      </w:r>
      <w:r w:rsidR="00250B26">
        <w:rPr>
          <w:rFonts w:cs="Arial"/>
          <w:iCs/>
        </w:rPr>
        <w:t xml:space="preserve">institutional </w:t>
      </w:r>
      <w:r w:rsidR="00113EB0">
        <w:rPr>
          <w:rFonts w:cs="Arial"/>
          <w:iCs/>
        </w:rPr>
        <w:t>control</w:t>
      </w:r>
      <w:r w:rsidR="00043457">
        <w:rPr>
          <w:rFonts w:cs="Arial"/>
          <w:iCs/>
        </w:rPr>
        <w:t>,</w:t>
      </w:r>
      <w:r w:rsidR="00622037">
        <w:rPr>
          <w:rFonts w:cs="Arial"/>
          <w:iCs/>
        </w:rPr>
        <w:t xml:space="preserve"> </w:t>
      </w:r>
      <w:r w:rsidR="00777A18">
        <w:rPr>
          <w:rFonts w:cs="Arial"/>
          <w:iCs/>
        </w:rPr>
        <w:t>and compliance with full cap</w:t>
      </w:r>
      <w:r w:rsidR="002C192B">
        <w:rPr>
          <w:rFonts w:cs="Arial"/>
          <w:iCs/>
        </w:rPr>
        <w:t>tur</w:t>
      </w:r>
      <w:r w:rsidR="00777A18">
        <w:rPr>
          <w:rFonts w:cs="Arial"/>
          <w:iCs/>
        </w:rPr>
        <w:t xml:space="preserve">e system equivalency. </w:t>
      </w:r>
      <w:r w:rsidR="005A63F0">
        <w:rPr>
          <w:rFonts w:cs="Arial"/>
          <w:iCs/>
        </w:rPr>
        <w:t xml:space="preserve">The Trash Provisions require </w:t>
      </w:r>
      <w:r w:rsidR="00043457">
        <w:rPr>
          <w:rFonts w:cs="Arial"/>
          <w:iCs/>
        </w:rPr>
        <w:t xml:space="preserve">that </w:t>
      </w:r>
      <w:r w:rsidR="007D5FC4">
        <w:rPr>
          <w:rFonts w:cs="Arial"/>
          <w:iCs/>
        </w:rPr>
        <w:t>a</w:t>
      </w:r>
      <w:r>
        <w:rPr>
          <w:rFonts w:cs="Arial"/>
          <w:iCs/>
        </w:rPr>
        <w:t xml:space="preserve">nnual reporting </w:t>
      </w:r>
      <w:r w:rsidR="00D8614B">
        <w:rPr>
          <w:rFonts w:cs="Arial"/>
          <w:iCs/>
        </w:rPr>
        <w:t>must</w:t>
      </w:r>
      <w:r w:rsidR="0086490B">
        <w:rPr>
          <w:rFonts w:cs="Arial"/>
          <w:iCs/>
        </w:rPr>
        <w:t xml:space="preserve"> include</w:t>
      </w:r>
      <w:r>
        <w:rPr>
          <w:rFonts w:cs="Arial"/>
          <w:iCs/>
        </w:rPr>
        <w:t xml:space="preserve"> </w:t>
      </w:r>
      <w:r w:rsidRPr="004973B3">
        <w:rPr>
          <w:rFonts w:cs="Arial"/>
          <w:iCs/>
        </w:rPr>
        <w:t>GIS</w:t>
      </w:r>
      <w:r>
        <w:rPr>
          <w:rFonts w:cs="Arial"/>
          <w:iCs/>
        </w:rPr>
        <w:t>-</w:t>
      </w:r>
      <w:r w:rsidRPr="004973B3">
        <w:rPr>
          <w:rFonts w:cs="Arial"/>
          <w:iCs/>
        </w:rPr>
        <w:t>mapped locations and drainage area</w:t>
      </w:r>
      <w:r w:rsidR="00D65492">
        <w:rPr>
          <w:rFonts w:cs="Arial"/>
          <w:iCs/>
        </w:rPr>
        <w:t>s</w:t>
      </w:r>
      <w:r w:rsidRPr="004973B3">
        <w:rPr>
          <w:rFonts w:cs="Arial"/>
          <w:iCs/>
        </w:rPr>
        <w:t xml:space="preserve"> served </w:t>
      </w:r>
      <w:r w:rsidR="003C5F30">
        <w:rPr>
          <w:rFonts w:cs="Arial"/>
          <w:iCs/>
        </w:rPr>
        <w:t>by</w:t>
      </w:r>
      <w:r w:rsidRPr="004973B3" w:rsidR="003C5F30">
        <w:rPr>
          <w:rFonts w:cs="Arial"/>
          <w:iCs/>
        </w:rPr>
        <w:t xml:space="preserve"> </w:t>
      </w:r>
      <w:r w:rsidR="0055600E">
        <w:rPr>
          <w:rFonts w:cs="Arial"/>
          <w:iCs/>
        </w:rPr>
        <w:t>trash controls</w:t>
      </w:r>
      <w:r w:rsidR="003F5EE5">
        <w:rPr>
          <w:rFonts w:cs="Arial"/>
          <w:iCs/>
        </w:rPr>
        <w:t xml:space="preserve">, and </w:t>
      </w:r>
      <w:r w:rsidR="00847AB6">
        <w:rPr>
          <w:rFonts w:cs="Arial"/>
          <w:iCs/>
        </w:rPr>
        <w:t xml:space="preserve">must </w:t>
      </w:r>
      <w:r w:rsidR="007F3B7F">
        <w:rPr>
          <w:rFonts w:cs="Arial"/>
          <w:iCs/>
        </w:rPr>
        <w:t xml:space="preserve">demonstrate the </w:t>
      </w:r>
      <w:r w:rsidR="00BE2524">
        <w:rPr>
          <w:rFonts w:cs="Arial"/>
          <w:iCs/>
        </w:rPr>
        <w:t>effective</w:t>
      </w:r>
      <w:r w:rsidR="006A7346">
        <w:rPr>
          <w:rFonts w:cs="Arial"/>
          <w:iCs/>
        </w:rPr>
        <w:t>ness</w:t>
      </w:r>
      <w:r w:rsidR="00097536">
        <w:rPr>
          <w:rFonts w:cs="Arial"/>
          <w:iCs/>
        </w:rPr>
        <w:t xml:space="preserve"> of the total combination of treatment controls. </w:t>
      </w:r>
      <w:r w:rsidR="00D849CA">
        <w:rPr>
          <w:rFonts w:cs="Arial"/>
          <w:iCs/>
        </w:rPr>
        <w:t>In addition, t</w:t>
      </w:r>
      <w:r w:rsidR="00097536">
        <w:rPr>
          <w:rFonts w:cs="Arial"/>
          <w:iCs/>
        </w:rPr>
        <w:t xml:space="preserve">he Permittee must </w:t>
      </w:r>
      <w:r w:rsidR="00C81981">
        <w:rPr>
          <w:rFonts w:cs="Arial"/>
          <w:iCs/>
        </w:rPr>
        <w:t>address</w:t>
      </w:r>
      <w:r w:rsidR="00E2027C">
        <w:rPr>
          <w:rFonts w:cs="Arial"/>
          <w:iCs/>
        </w:rPr>
        <w:t xml:space="preserve"> the</w:t>
      </w:r>
      <w:r>
        <w:rPr>
          <w:rFonts w:cs="Arial"/>
          <w:iCs/>
        </w:rPr>
        <w:t xml:space="preserve"> following </w:t>
      </w:r>
      <w:r w:rsidR="006E4F38">
        <w:rPr>
          <w:rFonts w:cs="Arial"/>
          <w:iCs/>
        </w:rPr>
        <w:t xml:space="preserve">topics </w:t>
      </w:r>
      <w:r w:rsidR="00B45354">
        <w:rPr>
          <w:rFonts w:cs="Arial"/>
          <w:iCs/>
        </w:rPr>
        <w:t>when developing its annual report</w:t>
      </w:r>
      <w:r>
        <w:rPr>
          <w:rFonts w:cs="Arial"/>
          <w:iCs/>
        </w:rPr>
        <w:t>:</w:t>
      </w:r>
      <w:r w:rsidR="00105580">
        <w:rPr>
          <w:rFonts w:cs="Arial"/>
          <w:iCs/>
        </w:rPr>
        <w:t xml:space="preserve"> (1) t</w:t>
      </w:r>
      <w:r w:rsidRPr="00F72DBB" w:rsidR="00CE4839">
        <w:rPr>
          <w:rFonts w:cs="Arial"/>
          <w:iCs/>
        </w:rPr>
        <w:t>ype</w:t>
      </w:r>
      <w:r w:rsidR="00CE4839">
        <w:rPr>
          <w:rFonts w:cs="Arial"/>
          <w:iCs/>
        </w:rPr>
        <w:t>,</w:t>
      </w:r>
      <w:r w:rsidRPr="00F72DBB" w:rsidR="00CE4839">
        <w:rPr>
          <w:rFonts w:cs="Arial"/>
          <w:iCs/>
        </w:rPr>
        <w:t xml:space="preserve"> quantity</w:t>
      </w:r>
      <w:r w:rsidR="00CE4839">
        <w:rPr>
          <w:rFonts w:cs="Arial"/>
          <w:iCs/>
        </w:rPr>
        <w:t xml:space="preserve">, and location </w:t>
      </w:r>
      <w:r w:rsidRPr="00F72DBB" w:rsidR="00CE4839">
        <w:rPr>
          <w:rFonts w:cs="Arial"/>
          <w:iCs/>
        </w:rPr>
        <w:t>of treatment controls</w:t>
      </w:r>
      <w:r w:rsidR="00CE4839">
        <w:rPr>
          <w:rFonts w:cs="Arial"/>
          <w:iCs/>
        </w:rPr>
        <w:t>, institutional controls, and/or multi-benefit projects</w:t>
      </w:r>
      <w:r w:rsidR="00AA00B3">
        <w:rPr>
          <w:rFonts w:cs="Arial"/>
          <w:iCs/>
        </w:rPr>
        <w:t xml:space="preserve"> installed</w:t>
      </w:r>
      <w:r w:rsidR="009109FF">
        <w:rPr>
          <w:rFonts w:cs="Arial"/>
          <w:iCs/>
        </w:rPr>
        <w:t xml:space="preserve"> over the </w:t>
      </w:r>
      <w:r w:rsidR="00B84E0D">
        <w:rPr>
          <w:rFonts w:cs="Arial"/>
          <w:iCs/>
        </w:rPr>
        <w:t xml:space="preserve">reporting </w:t>
      </w:r>
      <w:r w:rsidR="009109FF">
        <w:rPr>
          <w:rFonts w:cs="Arial"/>
          <w:iCs/>
        </w:rPr>
        <w:t>year</w:t>
      </w:r>
      <w:r w:rsidR="00B538C8">
        <w:rPr>
          <w:rFonts w:cs="Arial"/>
          <w:iCs/>
        </w:rPr>
        <w:t>;</w:t>
      </w:r>
      <w:r w:rsidR="001619BD">
        <w:rPr>
          <w:rFonts w:cs="Arial"/>
          <w:iCs/>
        </w:rPr>
        <w:t xml:space="preserve"> </w:t>
      </w:r>
      <w:r w:rsidR="00105580">
        <w:rPr>
          <w:rFonts w:cs="Arial"/>
          <w:iCs/>
        </w:rPr>
        <w:t>(2) e</w:t>
      </w:r>
      <w:r w:rsidR="0051418E">
        <w:rPr>
          <w:rFonts w:cs="Arial"/>
          <w:iCs/>
        </w:rPr>
        <w:t>ffectiveness, q</w:t>
      </w:r>
      <w:r w:rsidR="006C4C3C">
        <w:rPr>
          <w:rFonts w:cs="Arial"/>
          <w:iCs/>
        </w:rPr>
        <w:t>uantity, location</w:t>
      </w:r>
      <w:r w:rsidR="001619BD">
        <w:rPr>
          <w:rFonts w:cs="Arial"/>
          <w:iCs/>
        </w:rPr>
        <w:t>s</w:t>
      </w:r>
      <w:r w:rsidR="006C4C3C">
        <w:rPr>
          <w:rFonts w:cs="Arial"/>
          <w:iCs/>
        </w:rPr>
        <w:t xml:space="preserve"> and individual area served by installed full capture systems</w:t>
      </w:r>
      <w:r w:rsidR="00B84E0D">
        <w:rPr>
          <w:rFonts w:cs="Arial"/>
          <w:iCs/>
        </w:rPr>
        <w:t xml:space="preserve"> installed over the reporting year</w:t>
      </w:r>
      <w:r w:rsidR="00B538C8">
        <w:rPr>
          <w:rFonts w:cs="Arial"/>
          <w:iCs/>
        </w:rPr>
        <w:t xml:space="preserve">; (3) </w:t>
      </w:r>
      <w:r w:rsidR="00A61D1F">
        <w:rPr>
          <w:rFonts w:cs="Arial"/>
          <w:iCs/>
        </w:rPr>
        <w:t xml:space="preserve">the effectiveness of the total </w:t>
      </w:r>
      <w:r w:rsidR="0056406E">
        <w:rPr>
          <w:rFonts w:cs="Arial"/>
          <w:iCs/>
        </w:rPr>
        <w:t>combination</w:t>
      </w:r>
      <w:r w:rsidR="00A61D1F">
        <w:rPr>
          <w:rFonts w:cs="Arial"/>
          <w:iCs/>
        </w:rPr>
        <w:t xml:space="preserve"> of treatment controls, </w:t>
      </w:r>
      <w:r w:rsidR="00196244">
        <w:rPr>
          <w:rFonts w:cs="Arial"/>
          <w:iCs/>
        </w:rPr>
        <w:t>inst</w:t>
      </w:r>
      <w:r w:rsidR="00E4001A">
        <w:rPr>
          <w:rFonts w:cs="Arial"/>
          <w:iCs/>
        </w:rPr>
        <w:t>itutional controls, and multi</w:t>
      </w:r>
      <w:r w:rsidR="0056406E">
        <w:rPr>
          <w:rFonts w:cs="Arial"/>
          <w:iCs/>
        </w:rPr>
        <w:t>-</w:t>
      </w:r>
      <w:r w:rsidR="00E4001A">
        <w:rPr>
          <w:rFonts w:cs="Arial"/>
          <w:iCs/>
        </w:rPr>
        <w:t xml:space="preserve">benefit projects </w:t>
      </w:r>
      <w:r w:rsidR="0056406E">
        <w:rPr>
          <w:rFonts w:cs="Arial"/>
          <w:iCs/>
        </w:rPr>
        <w:t>employed by the Permittees, (4) has the amount of trash discharged from the MS4 decreased from the previous year</w:t>
      </w:r>
      <w:r w:rsidR="00C84AAE">
        <w:rPr>
          <w:rFonts w:cs="Arial"/>
          <w:iCs/>
        </w:rPr>
        <w:t>?</w:t>
      </w:r>
      <w:r w:rsidR="008C621D">
        <w:rPr>
          <w:rFonts w:cs="Arial"/>
          <w:iCs/>
        </w:rPr>
        <w:t>;</w:t>
      </w:r>
      <w:r w:rsidR="00C84AAE">
        <w:rPr>
          <w:rFonts w:cs="Arial"/>
          <w:iCs/>
        </w:rPr>
        <w:t xml:space="preserve">  </w:t>
      </w:r>
      <w:r w:rsidR="008C621D">
        <w:rPr>
          <w:rFonts w:cs="Arial"/>
          <w:iCs/>
        </w:rPr>
        <w:t xml:space="preserve">and (5) </w:t>
      </w:r>
      <w:r w:rsidR="009B54E8">
        <w:rPr>
          <w:rFonts w:cs="Arial"/>
          <w:iCs/>
        </w:rPr>
        <w:t xml:space="preserve">has the amount of </w:t>
      </w:r>
      <w:r w:rsidR="003B72B2">
        <w:rPr>
          <w:rFonts w:cs="Arial"/>
          <w:iCs/>
        </w:rPr>
        <w:t xml:space="preserve">trash in the </w:t>
      </w:r>
      <w:r w:rsidR="00483717">
        <w:rPr>
          <w:rFonts w:cs="Arial"/>
          <w:iCs/>
        </w:rPr>
        <w:t>Permittee’s receiving water decreased from the previous year?</w:t>
      </w:r>
    </w:p>
    <w:p w:rsidR="0051418E" w:rsidP="00CB3E40" w:rsidRDefault="005C1E9A" w14:paraId="1EACA7AD" w14:textId="0767CDAA">
      <w:pPr>
        <w:ind w:left="1080"/>
        <w:rPr>
          <w:rFonts w:cs="Arial"/>
          <w:iCs/>
        </w:rPr>
      </w:pPr>
      <w:r>
        <w:rPr>
          <w:rFonts w:cs="Arial"/>
          <w:iCs/>
        </w:rPr>
        <w:t xml:space="preserve">Order Attachment H addresses the </w:t>
      </w:r>
      <w:r w:rsidR="00856858">
        <w:rPr>
          <w:rFonts w:cs="Arial"/>
          <w:iCs/>
        </w:rPr>
        <w:t xml:space="preserve">above </w:t>
      </w:r>
      <w:r w:rsidR="00D42597">
        <w:rPr>
          <w:rFonts w:cs="Arial"/>
          <w:iCs/>
        </w:rPr>
        <w:t>mandate</w:t>
      </w:r>
      <w:r w:rsidR="009A05D9">
        <w:rPr>
          <w:rFonts w:cs="Arial"/>
          <w:iCs/>
        </w:rPr>
        <w:t>s.</w:t>
      </w:r>
      <w:r w:rsidR="00D42597">
        <w:rPr>
          <w:rFonts w:cs="Arial"/>
          <w:iCs/>
        </w:rPr>
        <w:t xml:space="preserve"> </w:t>
      </w:r>
      <w:r w:rsidR="006946BA">
        <w:rPr>
          <w:rFonts w:cs="Arial"/>
          <w:iCs/>
        </w:rPr>
        <w:t xml:space="preserve">The </w:t>
      </w:r>
      <w:r w:rsidR="005865AF">
        <w:rPr>
          <w:rFonts w:cs="Arial"/>
          <w:iCs/>
        </w:rPr>
        <w:t>following</w:t>
      </w:r>
      <w:r w:rsidR="003070B4">
        <w:rPr>
          <w:rFonts w:cs="Arial"/>
          <w:iCs/>
        </w:rPr>
        <w:t xml:space="preserve"> reports are not specifically named in the Trash Provisions, but </w:t>
      </w:r>
      <w:r w:rsidR="009C13C6">
        <w:rPr>
          <w:rFonts w:cs="Arial"/>
          <w:iCs/>
        </w:rPr>
        <w:t>as a whole</w:t>
      </w:r>
      <w:r w:rsidR="00D97606">
        <w:rPr>
          <w:rFonts w:cs="Arial"/>
          <w:iCs/>
        </w:rPr>
        <w:t>,</w:t>
      </w:r>
      <w:r w:rsidR="009C13C6">
        <w:rPr>
          <w:rFonts w:cs="Arial"/>
          <w:iCs/>
        </w:rPr>
        <w:t xml:space="preserve"> </w:t>
      </w:r>
      <w:r w:rsidR="003070B4">
        <w:rPr>
          <w:rFonts w:cs="Arial"/>
          <w:iCs/>
        </w:rPr>
        <w:t xml:space="preserve">address the </w:t>
      </w:r>
      <w:r w:rsidR="00CB3E40">
        <w:rPr>
          <w:rFonts w:cs="Arial"/>
          <w:iCs/>
        </w:rPr>
        <w:t xml:space="preserve">Trash Provisions mandates for </w:t>
      </w:r>
      <w:r w:rsidR="00C45298">
        <w:rPr>
          <w:rFonts w:cs="Arial"/>
          <w:iCs/>
        </w:rPr>
        <w:t xml:space="preserve">installation, </w:t>
      </w:r>
      <w:r w:rsidR="00CB3E40">
        <w:rPr>
          <w:rFonts w:cs="Arial"/>
          <w:iCs/>
        </w:rPr>
        <w:t>operation, maintenance, monitoring, mapping, and reporting:</w:t>
      </w:r>
    </w:p>
    <w:p w:rsidR="00696CDE" w:rsidP="00931C9C" w:rsidRDefault="00655958" w14:paraId="2F36DE41" w14:textId="67143851">
      <w:pPr>
        <w:pStyle w:val="ListParagraph"/>
        <w:numPr>
          <w:ilvl w:val="0"/>
          <w:numId w:val="89"/>
        </w:numPr>
        <w:ind w:left="1440"/>
        <w:contextualSpacing w:val="0"/>
        <w:rPr>
          <w:rFonts w:cs="Arial"/>
          <w:iCs/>
        </w:rPr>
      </w:pPr>
      <w:r>
        <w:rPr>
          <w:rFonts w:cs="Arial"/>
          <w:iCs/>
        </w:rPr>
        <w:t>T</w:t>
      </w:r>
      <w:r w:rsidRPr="00655958" w:rsidR="00696CDE">
        <w:rPr>
          <w:rFonts w:cs="Arial"/>
          <w:iCs/>
        </w:rPr>
        <w:t>rash</w:t>
      </w:r>
      <w:r w:rsidR="00696CDE">
        <w:rPr>
          <w:rFonts w:cs="Arial"/>
          <w:iCs/>
        </w:rPr>
        <w:t xml:space="preserve"> Implementation Inventory</w:t>
      </w:r>
      <w:r w:rsidR="00E50E43">
        <w:rPr>
          <w:rFonts w:cs="Arial"/>
          <w:iCs/>
        </w:rPr>
        <w:t>: A</w:t>
      </w:r>
      <w:r w:rsidR="00FA0072">
        <w:rPr>
          <w:rFonts w:cs="Arial"/>
          <w:iCs/>
        </w:rPr>
        <w:t>r</w:t>
      </w:r>
      <w:r w:rsidR="00E50E43">
        <w:rPr>
          <w:rFonts w:cs="Arial"/>
          <w:iCs/>
        </w:rPr>
        <w:t>e</w:t>
      </w:r>
      <w:r w:rsidR="0007315F">
        <w:rPr>
          <w:rFonts w:cs="Arial"/>
          <w:iCs/>
        </w:rPr>
        <w:t>a</w:t>
      </w:r>
      <w:r w:rsidR="00E50E43">
        <w:rPr>
          <w:rFonts w:cs="Arial"/>
          <w:iCs/>
        </w:rPr>
        <w:t xml:space="preserve"> Treated and </w:t>
      </w:r>
      <w:r w:rsidR="0007315F">
        <w:rPr>
          <w:rFonts w:cs="Arial"/>
          <w:iCs/>
        </w:rPr>
        <w:t>Area</w:t>
      </w:r>
      <w:r w:rsidR="00E50E43">
        <w:rPr>
          <w:rFonts w:cs="Arial"/>
          <w:iCs/>
        </w:rPr>
        <w:t xml:space="preserve"> Remaining</w:t>
      </w:r>
      <w:r w:rsidR="000F5602">
        <w:rPr>
          <w:rFonts w:cs="Arial"/>
          <w:iCs/>
        </w:rPr>
        <w:t xml:space="preserve"> </w:t>
      </w:r>
      <w:r w:rsidR="00E50E43">
        <w:rPr>
          <w:rFonts w:cs="Arial"/>
          <w:iCs/>
        </w:rPr>
        <w:t>–</w:t>
      </w:r>
      <w:r w:rsidR="00AC14C7">
        <w:rPr>
          <w:rFonts w:cs="Arial"/>
          <w:iCs/>
        </w:rPr>
        <w:t xml:space="preserve"> </w:t>
      </w:r>
      <w:r w:rsidR="00E50E43">
        <w:rPr>
          <w:rFonts w:cs="Arial"/>
          <w:szCs w:val="24"/>
        </w:rPr>
        <w:t>Permittees prepare an</w:t>
      </w:r>
      <w:r w:rsidR="00BD06F6">
        <w:rPr>
          <w:rFonts w:cs="Arial"/>
          <w:szCs w:val="24"/>
        </w:rPr>
        <w:t xml:space="preserve">d annually update an </w:t>
      </w:r>
      <w:r w:rsidR="00E50E43">
        <w:rPr>
          <w:rFonts w:cs="Arial"/>
          <w:szCs w:val="24"/>
        </w:rPr>
        <w:t xml:space="preserve">inventory </w:t>
      </w:r>
      <w:r w:rsidR="00393B8D">
        <w:rPr>
          <w:rFonts w:cs="Arial"/>
          <w:szCs w:val="24"/>
        </w:rPr>
        <w:t xml:space="preserve">of treated </w:t>
      </w:r>
      <w:r w:rsidR="00BD06F6">
        <w:rPr>
          <w:rFonts w:cs="Arial"/>
          <w:szCs w:val="24"/>
        </w:rPr>
        <w:t>areas and</w:t>
      </w:r>
      <w:r w:rsidR="00393B8D">
        <w:rPr>
          <w:rFonts w:cs="Arial"/>
          <w:szCs w:val="24"/>
        </w:rPr>
        <w:t xml:space="preserve"> areas requiring treatment.</w:t>
      </w:r>
    </w:p>
    <w:p w:rsidR="00696CDE" w:rsidP="00931C9C" w:rsidRDefault="00696CDE" w14:paraId="4A5A286C" w14:textId="1F7FDDFE">
      <w:pPr>
        <w:pStyle w:val="ListParagraph"/>
        <w:numPr>
          <w:ilvl w:val="0"/>
          <w:numId w:val="89"/>
        </w:numPr>
        <w:ind w:left="1440"/>
        <w:contextualSpacing w:val="0"/>
        <w:rPr>
          <w:rFonts w:cs="Arial"/>
          <w:iCs/>
        </w:rPr>
      </w:pPr>
      <w:r>
        <w:rPr>
          <w:rFonts w:cs="Arial"/>
          <w:iCs/>
        </w:rPr>
        <w:t xml:space="preserve">Trash </w:t>
      </w:r>
      <w:r w:rsidR="00D221A0">
        <w:rPr>
          <w:rFonts w:cs="Arial"/>
          <w:iCs/>
        </w:rPr>
        <w:t>G</w:t>
      </w:r>
      <w:r>
        <w:rPr>
          <w:rFonts w:cs="Arial"/>
          <w:iCs/>
        </w:rPr>
        <w:t xml:space="preserve">eneration </w:t>
      </w:r>
      <w:r w:rsidR="00D221A0">
        <w:rPr>
          <w:rFonts w:cs="Arial"/>
          <w:iCs/>
        </w:rPr>
        <w:t>M</w:t>
      </w:r>
      <w:r>
        <w:rPr>
          <w:rFonts w:cs="Arial"/>
          <w:iCs/>
        </w:rPr>
        <w:t>ap</w:t>
      </w:r>
      <w:r w:rsidR="001614F7">
        <w:rPr>
          <w:rFonts w:cs="Arial"/>
          <w:iCs/>
        </w:rPr>
        <w:t xml:space="preserve"> – Submitted to SMARTS</w:t>
      </w:r>
      <w:r w:rsidR="00287AE4">
        <w:rPr>
          <w:rFonts w:cs="Arial"/>
          <w:iCs/>
        </w:rPr>
        <w:t xml:space="preserve"> initially</w:t>
      </w:r>
      <w:r w:rsidR="0035267F">
        <w:rPr>
          <w:rFonts w:cs="Arial"/>
          <w:iCs/>
        </w:rPr>
        <w:t xml:space="preserve">, upon </w:t>
      </w:r>
      <w:r w:rsidR="00CD5FE0">
        <w:rPr>
          <w:rFonts w:cs="Arial"/>
          <w:iCs/>
        </w:rPr>
        <w:t xml:space="preserve">selecting or </w:t>
      </w:r>
      <w:r w:rsidR="0035267F">
        <w:rPr>
          <w:rFonts w:cs="Arial"/>
          <w:iCs/>
        </w:rPr>
        <w:t>changing tracks,</w:t>
      </w:r>
      <w:r w:rsidR="00287AE4">
        <w:rPr>
          <w:rFonts w:cs="Arial"/>
          <w:iCs/>
        </w:rPr>
        <w:t xml:space="preserve"> and then </w:t>
      </w:r>
      <w:r w:rsidR="001614F7">
        <w:rPr>
          <w:rFonts w:cs="Arial"/>
          <w:iCs/>
        </w:rPr>
        <w:t>annually</w:t>
      </w:r>
      <w:r w:rsidR="00287AE4">
        <w:rPr>
          <w:rFonts w:cs="Arial"/>
          <w:iCs/>
        </w:rPr>
        <w:t>, thereafter</w:t>
      </w:r>
      <w:r w:rsidR="001614F7">
        <w:rPr>
          <w:rFonts w:cs="Arial"/>
          <w:iCs/>
        </w:rPr>
        <w:t>.</w:t>
      </w:r>
    </w:p>
    <w:p w:rsidR="00696CDE" w:rsidP="00931C9C" w:rsidRDefault="00696CDE" w14:paraId="14004A33" w14:textId="4DBDC370">
      <w:pPr>
        <w:pStyle w:val="ListParagraph"/>
        <w:numPr>
          <w:ilvl w:val="0"/>
          <w:numId w:val="89"/>
        </w:numPr>
        <w:ind w:left="1440"/>
        <w:contextualSpacing w:val="0"/>
        <w:rPr>
          <w:rFonts w:cs="Arial"/>
          <w:iCs/>
        </w:rPr>
      </w:pPr>
      <w:r>
        <w:rPr>
          <w:rFonts w:cs="Arial"/>
          <w:iCs/>
        </w:rPr>
        <w:t>Trash Assessment Plan</w:t>
      </w:r>
      <w:r w:rsidR="0007416C">
        <w:rPr>
          <w:rFonts w:cs="Arial"/>
          <w:iCs/>
        </w:rPr>
        <w:t xml:space="preserve">: Track 2 and Non-Traditional Track 1 </w:t>
      </w:r>
      <w:r w:rsidR="00D56535">
        <w:rPr>
          <w:rFonts w:cs="Arial"/>
          <w:iCs/>
        </w:rPr>
        <w:t>–</w:t>
      </w:r>
      <w:r w:rsidR="009A4796">
        <w:rPr>
          <w:rFonts w:cs="Arial"/>
          <w:iCs/>
        </w:rPr>
        <w:t xml:space="preserve">The </w:t>
      </w:r>
      <w:r w:rsidRPr="00746CB4" w:rsidR="009A4796">
        <w:rPr>
          <w:lang w:eastAsia="zh-CN"/>
        </w:rPr>
        <w:t xml:space="preserve">assessment is </w:t>
      </w:r>
      <w:r w:rsidR="009A4796">
        <w:rPr>
          <w:lang w:eastAsia="zh-CN"/>
        </w:rPr>
        <w:t xml:space="preserve">only </w:t>
      </w:r>
      <w:r w:rsidRPr="00746CB4" w:rsidR="009A4796">
        <w:rPr>
          <w:lang w:eastAsia="zh-CN"/>
        </w:rPr>
        <w:t xml:space="preserve">required to demonstrate Full Capture System Equivalency for areas where </w:t>
      </w:r>
      <w:r w:rsidR="009A4796">
        <w:rPr>
          <w:lang w:eastAsia="zh-CN"/>
        </w:rPr>
        <w:t>o</w:t>
      </w:r>
      <w:r w:rsidRPr="00746CB4" w:rsidR="009A4796">
        <w:rPr>
          <w:lang w:eastAsia="zh-CN"/>
        </w:rPr>
        <w:t xml:space="preserve">ther </w:t>
      </w:r>
      <w:r w:rsidR="009A4796">
        <w:rPr>
          <w:lang w:eastAsia="zh-CN"/>
        </w:rPr>
        <w:t>trash t</w:t>
      </w:r>
      <w:r w:rsidRPr="00746CB4" w:rsidR="009A4796">
        <w:rPr>
          <w:lang w:eastAsia="zh-CN"/>
        </w:rPr>
        <w:t>reatm</w:t>
      </w:r>
      <w:r w:rsidR="009A4796">
        <w:rPr>
          <w:lang w:eastAsia="zh-CN"/>
        </w:rPr>
        <w:t>ent</w:t>
      </w:r>
      <w:r w:rsidRPr="00746CB4" w:rsidR="009A4796">
        <w:rPr>
          <w:lang w:eastAsia="zh-CN"/>
        </w:rPr>
        <w:t xml:space="preserve"> </w:t>
      </w:r>
      <w:r w:rsidR="009A4796">
        <w:rPr>
          <w:lang w:eastAsia="zh-CN"/>
        </w:rPr>
        <w:t>c</w:t>
      </w:r>
      <w:r w:rsidRPr="00746CB4" w:rsidR="009A4796">
        <w:rPr>
          <w:lang w:eastAsia="zh-CN"/>
        </w:rPr>
        <w:t xml:space="preserve">ontrols and/or </w:t>
      </w:r>
      <w:r w:rsidR="009A4796">
        <w:rPr>
          <w:lang w:eastAsia="zh-CN"/>
        </w:rPr>
        <w:t>i</w:t>
      </w:r>
      <w:r w:rsidRPr="00746CB4" w:rsidR="009A4796">
        <w:rPr>
          <w:lang w:eastAsia="zh-CN"/>
        </w:rPr>
        <w:t xml:space="preserve">nstitutional </w:t>
      </w:r>
      <w:r w:rsidR="009A4796">
        <w:rPr>
          <w:lang w:eastAsia="zh-CN"/>
        </w:rPr>
        <w:t>c</w:t>
      </w:r>
      <w:r w:rsidRPr="00746CB4" w:rsidR="009A4796">
        <w:rPr>
          <w:lang w:eastAsia="zh-CN"/>
        </w:rPr>
        <w:t>ontrols have been implemented.</w:t>
      </w:r>
    </w:p>
    <w:p w:rsidR="00696CDE" w:rsidP="00931C9C" w:rsidRDefault="00696CDE" w14:paraId="2A17FB25" w14:textId="0EC62A89">
      <w:pPr>
        <w:pStyle w:val="ListParagraph"/>
        <w:numPr>
          <w:ilvl w:val="0"/>
          <w:numId w:val="89"/>
        </w:numPr>
        <w:ind w:left="1440"/>
        <w:contextualSpacing w:val="0"/>
        <w:rPr>
          <w:rFonts w:cs="Arial"/>
          <w:iCs/>
        </w:rPr>
      </w:pPr>
      <w:r>
        <w:rPr>
          <w:rFonts w:cs="Arial"/>
          <w:iCs/>
        </w:rPr>
        <w:t>Trash Implementation Plan</w:t>
      </w:r>
      <w:r w:rsidR="009E487A">
        <w:rPr>
          <w:rFonts w:cs="Arial"/>
          <w:iCs/>
        </w:rPr>
        <w:t xml:space="preserve">: </w:t>
      </w:r>
      <w:r w:rsidR="009A06F0">
        <w:rPr>
          <w:rFonts w:cs="Arial"/>
          <w:iCs/>
        </w:rPr>
        <w:t xml:space="preserve">Track 2 - </w:t>
      </w:r>
      <w:r w:rsidR="009E487A">
        <w:rPr>
          <w:rFonts w:cs="Arial"/>
          <w:iCs/>
        </w:rPr>
        <w:t>Acres Treated and Acres Remaining</w:t>
      </w:r>
      <w:r w:rsidR="00D03554">
        <w:rPr>
          <w:rFonts w:cs="Arial"/>
          <w:iCs/>
        </w:rPr>
        <w:t xml:space="preserve"> - </w:t>
      </w:r>
      <w:r w:rsidR="00864E78">
        <w:rPr>
          <w:rFonts w:cs="Arial"/>
          <w:iCs/>
        </w:rPr>
        <w:t>P</w:t>
      </w:r>
      <w:r w:rsidR="00D03554">
        <w:t xml:space="preserve">repare and </w:t>
      </w:r>
      <w:r w:rsidR="00864E78">
        <w:t xml:space="preserve">then </w:t>
      </w:r>
      <w:r w:rsidR="00D03554">
        <w:t>update annually as necessary</w:t>
      </w:r>
      <w:r w:rsidR="00E15DE7">
        <w:t xml:space="preserve"> a detailed plan for implementation of BMPs to achieve </w:t>
      </w:r>
      <w:r w:rsidR="00361D34">
        <w:t>F</w:t>
      </w:r>
      <w:r w:rsidR="00E15DE7">
        <w:t xml:space="preserve">ull </w:t>
      </w:r>
      <w:r w:rsidR="00361D34">
        <w:t>C</w:t>
      </w:r>
      <w:r w:rsidR="00E15DE7">
        <w:t xml:space="preserve">apture </w:t>
      </w:r>
      <w:r w:rsidR="00361D34">
        <w:t>System E</w:t>
      </w:r>
      <w:r w:rsidR="00E15DE7">
        <w:t>quivalenc</w:t>
      </w:r>
      <w:r w:rsidR="00361D34">
        <w:t>y</w:t>
      </w:r>
      <w:r w:rsidR="00D03554">
        <w:t xml:space="preserve">. </w:t>
      </w:r>
    </w:p>
    <w:p w:rsidR="009C783E" w:rsidP="00045DC8" w:rsidRDefault="21AA7E16" w14:paraId="6EFADBA4" w14:textId="521B7A7E">
      <w:pPr>
        <w:ind w:left="1080"/>
        <w:rPr>
          <w:rFonts w:cs="Arial"/>
        </w:rPr>
      </w:pPr>
      <w:r w:rsidRPr="1751922C">
        <w:rPr>
          <w:rFonts w:cs="Arial"/>
        </w:rPr>
        <w:t xml:space="preserve">The reports, maps, and plans, where not directly required by the Trash Provisions, </w:t>
      </w:r>
      <w:r w:rsidRPr="1751922C" w:rsidR="582D2F6A">
        <w:rPr>
          <w:rFonts w:cs="Arial"/>
        </w:rPr>
        <w:t xml:space="preserve">were determined to be necessary to </w:t>
      </w:r>
      <w:r w:rsidRPr="1751922C">
        <w:rPr>
          <w:rFonts w:cs="Arial"/>
        </w:rPr>
        <w:t xml:space="preserve">facilitate implementation </w:t>
      </w:r>
      <w:r w:rsidRPr="1751922C" w:rsidR="283A5766">
        <w:rPr>
          <w:rFonts w:cs="Arial"/>
        </w:rPr>
        <w:t>or</w:t>
      </w:r>
      <w:r w:rsidR="001F3974">
        <w:rPr>
          <w:rFonts w:cs="Arial"/>
        </w:rPr>
        <w:t xml:space="preserve"> to</w:t>
      </w:r>
      <w:r w:rsidRPr="1751922C" w:rsidR="283A5766">
        <w:rPr>
          <w:rFonts w:cs="Arial"/>
        </w:rPr>
        <w:t xml:space="preserve"> evaluate compliance with </w:t>
      </w:r>
      <w:r w:rsidRPr="1751922C" w:rsidR="14FEBE6F">
        <w:rPr>
          <w:rFonts w:cs="Arial"/>
        </w:rPr>
        <w:t xml:space="preserve">the Trash Provisions. </w:t>
      </w:r>
    </w:p>
    <w:p w:rsidR="003969B1" w:rsidP="00045DC8" w:rsidRDefault="00DF6DA3" w14:paraId="15B19D57" w14:textId="3EC63858">
      <w:pPr>
        <w:ind w:left="1080"/>
        <w:rPr>
          <w:rFonts w:cs="Arial"/>
        </w:rPr>
      </w:pPr>
      <w:r>
        <w:rPr>
          <w:rFonts w:cs="Arial"/>
        </w:rPr>
        <w:t xml:space="preserve">The Trash Provisions state that </w:t>
      </w:r>
      <w:r w:rsidR="005E2D2C">
        <w:rPr>
          <w:rFonts w:cs="Arial"/>
        </w:rPr>
        <w:t xml:space="preserve">full capture trash </w:t>
      </w:r>
      <w:r w:rsidR="001920AA">
        <w:rPr>
          <w:rFonts w:cs="Arial"/>
        </w:rPr>
        <w:t xml:space="preserve">systems </w:t>
      </w:r>
      <w:r w:rsidR="004C6E1E">
        <w:rPr>
          <w:rFonts w:cs="Arial"/>
        </w:rPr>
        <w:t>must have a design treatment capacity that</w:t>
      </w:r>
      <w:r w:rsidR="006921CD">
        <w:rPr>
          <w:rFonts w:cs="Arial"/>
        </w:rPr>
        <w:t xml:space="preserve"> is either: </w:t>
      </w:r>
      <w:r w:rsidRPr="006921CD" w:rsidR="006921CD">
        <w:rPr>
          <w:rFonts w:cs="Arial"/>
        </w:rPr>
        <w:t>a) of not less than the peak flow rate, Q, resulting from a one-year, one-hour, storm in the subdrainage area, or b) appropriately sized to, and designed to carry at least the same flows as, the corresponding storm drain</w:t>
      </w:r>
      <w:r w:rsidR="00763C74">
        <w:rPr>
          <w:rFonts w:cs="Arial"/>
        </w:rPr>
        <w:t xml:space="preserve">. </w:t>
      </w:r>
      <w:r w:rsidR="001C6230">
        <w:rPr>
          <w:rFonts w:cs="Arial"/>
        </w:rPr>
        <w:t>The Trash Provisions provide</w:t>
      </w:r>
      <w:r w:rsidR="00E80A81">
        <w:rPr>
          <w:rFonts w:cs="Arial"/>
        </w:rPr>
        <w:t xml:space="preserve"> the Rational Equation to compute the perk flow rate</w:t>
      </w:r>
      <w:r w:rsidR="00F4187F">
        <w:rPr>
          <w:rFonts w:cs="Arial"/>
        </w:rPr>
        <w:t xml:space="preserve">. </w:t>
      </w:r>
      <w:r w:rsidRPr="00D306D5" w:rsidR="00D00A65">
        <w:t xml:space="preserve">Rational </w:t>
      </w:r>
      <w:r w:rsidR="00D00A65">
        <w:t>Equation</w:t>
      </w:r>
      <w:r w:rsidRPr="00D306D5" w:rsidR="00D00A65">
        <w:t xml:space="preserve"> is most accurate for runoff estimates from small drainages with large amounts of impervious area</w:t>
      </w:r>
      <w:r w:rsidR="00D00A65">
        <w:t>, such as</w:t>
      </w:r>
      <w:r w:rsidRPr="00D306D5" w:rsidR="00D00A65">
        <w:t xml:space="preserve"> housing developments, industrial areas, parking lots, etc.</w:t>
      </w:r>
      <w:r w:rsidR="00E676ED">
        <w:t xml:space="preserve"> </w:t>
      </w:r>
      <w:r w:rsidR="0008206C">
        <w:rPr>
          <w:rFonts w:cs="Arial"/>
        </w:rPr>
        <w:t>For larger</w:t>
      </w:r>
      <w:r w:rsidR="00946C1C">
        <w:rPr>
          <w:rFonts w:cs="Arial"/>
        </w:rPr>
        <w:t xml:space="preserve"> or complex</w:t>
      </w:r>
      <w:r w:rsidR="0008206C">
        <w:rPr>
          <w:rFonts w:cs="Arial"/>
        </w:rPr>
        <w:t xml:space="preserve"> basins, </w:t>
      </w:r>
      <w:r w:rsidR="001C6230">
        <w:rPr>
          <w:rFonts w:cs="Arial"/>
        </w:rPr>
        <w:t xml:space="preserve">Order Attachment H provides an </w:t>
      </w:r>
      <w:r w:rsidR="00657361">
        <w:rPr>
          <w:rFonts w:cs="Arial"/>
        </w:rPr>
        <w:t xml:space="preserve">opportunity for the Permittee to </w:t>
      </w:r>
      <w:r w:rsidR="00CC01D6">
        <w:rPr>
          <w:rFonts w:cs="Arial"/>
        </w:rPr>
        <w:t>propose</w:t>
      </w:r>
      <w:r w:rsidR="00657361">
        <w:rPr>
          <w:rFonts w:cs="Arial"/>
        </w:rPr>
        <w:t xml:space="preserve"> an </w:t>
      </w:r>
      <w:r w:rsidR="000A58BC">
        <w:rPr>
          <w:rFonts w:cs="Arial"/>
        </w:rPr>
        <w:t xml:space="preserve">alternative to the Rational </w:t>
      </w:r>
      <w:r w:rsidR="004B0F32">
        <w:rPr>
          <w:rFonts w:cs="Arial"/>
        </w:rPr>
        <w:t>Equation.</w:t>
      </w:r>
    </w:p>
    <w:p w:rsidR="00FB3F4C" w:rsidP="00B40DE9" w:rsidRDefault="00CC169C" w14:paraId="5F15F897" w14:textId="01FB7651">
      <w:pPr>
        <w:pStyle w:val="Heading3"/>
        <w:tabs>
          <w:tab w:val="clear" w:pos="720"/>
        </w:tabs>
        <w:spacing w:before="120"/>
        <w:ind w:left="1080" w:hanging="1080"/>
      </w:pPr>
      <w:r>
        <w:t>A</w:t>
      </w:r>
      <w:r w:rsidRPr="008F1541" w:rsidR="00FB3F4C">
        <w:t>1</w:t>
      </w:r>
      <w:r w:rsidR="00204BBD">
        <w:t>2</w:t>
      </w:r>
      <w:r w:rsidRPr="008F1541" w:rsidR="00FB3F4C">
        <w:t>.</w:t>
      </w:r>
      <w:r w:rsidR="00BC03FD">
        <w:t>8</w:t>
      </w:r>
      <w:r w:rsidRPr="008F1541" w:rsidR="00FB3F4C">
        <w:tab/>
      </w:r>
      <w:r w:rsidRPr="008F1541" w:rsidR="00FB3F4C">
        <w:t>Utility Vaults</w:t>
      </w:r>
    </w:p>
    <w:p w:rsidR="00A04061" w:rsidP="00A04061" w:rsidRDefault="00A04061" w14:paraId="13EB78F6" w14:textId="635A88DB">
      <w:pPr>
        <w:ind w:left="1080"/>
      </w:pPr>
      <w:r w:rsidRPr="001F282D">
        <w:t xml:space="preserve">Utility vaults that are part of </w:t>
      </w:r>
      <w:r>
        <w:t>a</w:t>
      </w:r>
      <w:r w:rsidRPr="001F282D">
        <w:t xml:space="preserve"> </w:t>
      </w:r>
      <w:r w:rsidR="00124437">
        <w:t>Small MS4</w:t>
      </w:r>
      <w:r>
        <w:t xml:space="preserve"> </w:t>
      </w:r>
      <w:r w:rsidR="00EE0416">
        <w:t>P</w:t>
      </w:r>
      <w:r>
        <w:t xml:space="preserve">ermittee’s </w:t>
      </w:r>
      <w:r w:rsidRPr="001F282D">
        <w:t xml:space="preserve">stormwater system </w:t>
      </w:r>
      <w:r>
        <w:t>are</w:t>
      </w:r>
      <w:r w:rsidRPr="001F282D">
        <w:t xml:space="preserve"> covered </w:t>
      </w:r>
      <w:r>
        <w:t>under</w:t>
      </w:r>
      <w:r w:rsidRPr="001F282D">
        <w:t xml:space="preserve"> th</w:t>
      </w:r>
      <w:r>
        <w:t>is Order, the</w:t>
      </w:r>
      <w:r w:rsidRPr="001F282D">
        <w:t xml:space="preserve"> </w:t>
      </w:r>
      <w:r w:rsidR="00124437">
        <w:t>Small MS4</w:t>
      </w:r>
      <w:r w:rsidRPr="001F282D">
        <w:t xml:space="preserve"> </w:t>
      </w:r>
      <w:r>
        <w:t xml:space="preserve">general </w:t>
      </w:r>
      <w:r w:rsidRPr="001F282D">
        <w:t>permit</w:t>
      </w:r>
      <w:r>
        <w:t xml:space="preserve">, </w:t>
      </w:r>
      <w:r w:rsidRPr="00D75E97">
        <w:rPr>
          <w:rFonts w:cs="Arial"/>
          <w:bCs/>
        </w:rPr>
        <w:t>NPDES No. CAS000004</w:t>
      </w:r>
      <w:r>
        <w:rPr>
          <w:rFonts w:cs="Arial"/>
          <w:bCs/>
        </w:rPr>
        <w:t>.</w:t>
      </w:r>
      <w:r w:rsidRPr="001F282D">
        <w:t xml:space="preserve"> This Order allows utility vault discharges to a</w:t>
      </w:r>
      <w:r>
        <w:t xml:space="preserve"> </w:t>
      </w:r>
      <w:r w:rsidR="00124437">
        <w:t>Small MS4</w:t>
      </w:r>
      <w:r w:rsidRPr="001F282D">
        <w:t xml:space="preserve"> </w:t>
      </w:r>
      <w:r>
        <w:t>that have</w:t>
      </w:r>
      <w:r w:rsidRPr="001F282D">
        <w:t xml:space="preserve"> a direct discharge to an ASBS, provided the discharge is authorized by the General NPDES Permit for Discharges from Utility Vaults and Underground Structures to Surface Water (Utility Vaults General Permit), NPDES No. CAG990002. </w:t>
      </w:r>
    </w:p>
    <w:p w:rsidR="008F1541" w:rsidP="00A04061" w:rsidRDefault="00A04061" w14:paraId="6118E642" w14:textId="27D04632">
      <w:pPr>
        <w:ind w:left="1080"/>
      </w:pPr>
      <w:r w:rsidRPr="001F282D">
        <w:t>The State Water Board is in the process of reissuing the Utility Vaults General Permit. As part of the renewal, the State Water Board will review</w:t>
      </w:r>
      <w:r w:rsidR="005A0069">
        <w:t xml:space="preserve"> </w:t>
      </w:r>
      <w:r w:rsidRPr="001F282D">
        <w:t xml:space="preserve">the results of the study to characterize representative utility vault discharges to an MS4 with a direct discharge to an ASBS and will impose conditions on such discharges to ensure the discharges do not alter natural ocean water quality in the ASBS. Given the limited number and intermittent nature of utility vault discharges to </w:t>
      </w:r>
      <w:r w:rsidR="00124437">
        <w:t>Small MS4</w:t>
      </w:r>
      <w:r w:rsidRPr="001F282D">
        <w:t>s that discharge directly to an ASBS, the State Water Board finds that discharges from utility vaults and underground structures to a</w:t>
      </w:r>
      <w:r>
        <w:t xml:space="preserve"> </w:t>
      </w:r>
      <w:r w:rsidR="00124437">
        <w:t>Small MS4</w:t>
      </w:r>
      <w:r w:rsidRPr="001F282D">
        <w:t xml:space="preserve"> with a direct discharge to an ASBS are not expected to result in a substantial alteration of natural ocean water quality in the ASBS in the interim period while the Utility Vaults General Permit is renewed incorporating the results of the study.</w:t>
      </w:r>
    </w:p>
    <w:p w:rsidR="007A7CAA" w:rsidP="003F029A" w:rsidRDefault="007A7CAA" w14:paraId="0BFD090D" w14:textId="4D5762C2">
      <w:pPr>
        <w:pStyle w:val="Heading3"/>
        <w:tabs>
          <w:tab w:val="clear" w:pos="720"/>
        </w:tabs>
        <w:spacing w:before="120"/>
        <w:ind w:left="1080" w:hanging="1080"/>
      </w:pPr>
      <w:r>
        <w:t>A</w:t>
      </w:r>
      <w:r w:rsidR="003F029A">
        <w:t>12.9</w:t>
      </w:r>
      <w:r w:rsidR="003F029A">
        <w:tab/>
      </w:r>
      <w:r w:rsidR="003F029A">
        <w:t>Cost Reporting</w:t>
      </w:r>
    </w:p>
    <w:p w:rsidR="003F029A" w:rsidP="00195E70" w:rsidRDefault="00443A06" w14:paraId="309967D5" w14:textId="26EC7543">
      <w:pPr>
        <w:ind w:left="1080"/>
        <w:rPr>
          <w:lang w:eastAsia="en-US"/>
        </w:rPr>
      </w:pPr>
      <w:r>
        <w:t>On</w:t>
      </w:r>
      <w:r>
        <w:rPr>
          <w:lang w:eastAsia="en-US"/>
        </w:rPr>
        <w:t xml:space="preserve"> January 22, 2025, the State Water Board </w:t>
      </w:r>
      <w:r w:rsidR="00F11672">
        <w:rPr>
          <w:lang w:eastAsia="en-US"/>
        </w:rPr>
        <w:t>passed</w:t>
      </w:r>
      <w:r>
        <w:rPr>
          <w:lang w:eastAsia="en-US"/>
        </w:rPr>
        <w:t xml:space="preserve"> </w:t>
      </w:r>
      <w:hyperlink w:history="1" r:id="rId29">
        <w:r w:rsidRPr="00C025BB" w:rsidR="00C025BB">
          <w:rPr>
            <w:rStyle w:val="Hyperlink"/>
            <w:lang w:eastAsia="en-US"/>
          </w:rPr>
          <w:t>Resolution No. 2025-0005</w:t>
        </w:r>
      </w:hyperlink>
      <w:r w:rsidR="00195E70">
        <w:rPr>
          <w:lang w:eastAsia="en-US"/>
        </w:rPr>
        <w:t xml:space="preserve"> which </w:t>
      </w:r>
      <w:r w:rsidR="00F11672">
        <w:rPr>
          <w:lang w:eastAsia="en-US"/>
        </w:rPr>
        <w:t xml:space="preserve">adopted the </w:t>
      </w:r>
      <w:r w:rsidR="00731E47">
        <w:rPr>
          <w:lang w:eastAsia="en-US"/>
        </w:rPr>
        <w:t>Municipal Stormwater Cost Policy</w:t>
      </w:r>
      <w:r w:rsidR="00731E47">
        <w:rPr>
          <w:rStyle w:val="FootnoteReference"/>
          <w:lang w:eastAsia="en-US"/>
        </w:rPr>
        <w:footnoteReference w:id="13"/>
      </w:r>
      <w:r w:rsidR="00731E47">
        <w:rPr>
          <w:lang w:eastAsia="en-US"/>
        </w:rPr>
        <w:t>.</w:t>
      </w:r>
      <w:r w:rsidR="00F11672">
        <w:rPr>
          <w:lang w:eastAsia="en-US"/>
        </w:rPr>
        <w:t xml:space="preserve"> Section D11 of this Order</w:t>
      </w:r>
      <w:r w:rsidR="00B40015">
        <w:rPr>
          <w:lang w:eastAsia="en-US"/>
        </w:rPr>
        <w:t xml:space="preserve"> applies the </w:t>
      </w:r>
      <w:r w:rsidR="00D73243">
        <w:rPr>
          <w:lang w:eastAsia="en-US"/>
        </w:rPr>
        <w:t>P</w:t>
      </w:r>
      <w:r w:rsidR="00B40015">
        <w:rPr>
          <w:lang w:eastAsia="en-US"/>
        </w:rPr>
        <w:t xml:space="preserve">olicy to traditional permittees as required by the </w:t>
      </w:r>
      <w:r w:rsidR="00D52E37">
        <w:rPr>
          <w:lang w:eastAsia="en-US"/>
        </w:rPr>
        <w:t>P</w:t>
      </w:r>
      <w:r w:rsidR="00B40015">
        <w:rPr>
          <w:lang w:eastAsia="en-US"/>
        </w:rPr>
        <w:t>olicy.</w:t>
      </w:r>
      <w:r w:rsidR="00851B48">
        <w:rPr>
          <w:lang w:eastAsia="en-US"/>
        </w:rPr>
        <w:t xml:space="preserve"> </w:t>
      </w:r>
      <w:r w:rsidRPr="00851B48" w:rsidR="00851B48">
        <w:rPr>
          <w:lang w:eastAsia="en-US"/>
        </w:rPr>
        <w:t>The purpose of the Municipal Stormwater Cost Policy</w:t>
      </w:r>
      <w:r w:rsidR="00851B48">
        <w:rPr>
          <w:lang w:eastAsia="en-US"/>
        </w:rPr>
        <w:t xml:space="preserve"> </w:t>
      </w:r>
      <w:r w:rsidRPr="00851B48" w:rsidR="00851B48">
        <w:rPr>
          <w:lang w:eastAsia="en-US"/>
        </w:rPr>
        <w:t>is to ensure that MS4</w:t>
      </w:r>
      <w:r w:rsidR="00851B48">
        <w:rPr>
          <w:lang w:eastAsia="en-US"/>
        </w:rPr>
        <w:t xml:space="preserve"> </w:t>
      </w:r>
      <w:r w:rsidRPr="00851B48" w:rsidR="00851B48">
        <w:rPr>
          <w:lang w:eastAsia="en-US"/>
        </w:rPr>
        <w:t>permittees in California estimate, track, and report annual expenditures in a consistent manner. The State Water Boar</w:t>
      </w:r>
      <w:r w:rsidR="0094549A">
        <w:rPr>
          <w:lang w:eastAsia="en-US"/>
        </w:rPr>
        <w:t>d</w:t>
      </w:r>
      <w:r w:rsidRPr="00851B48" w:rsidR="00851B48">
        <w:rPr>
          <w:lang w:eastAsia="en-US"/>
        </w:rPr>
        <w:t xml:space="preserve"> and the regional water boards intend to use this information to a) determine what it costs to implement each Permittee’s municipal stormwater program as required by the applicable permit; and b) gather adequate levels of data with appropriate details to inform cost</w:t>
      </w:r>
      <w:r w:rsidR="00F67443">
        <w:rPr>
          <w:lang w:eastAsia="en-US"/>
        </w:rPr>
        <w:t>-</w:t>
      </w:r>
      <w:r w:rsidRPr="00851B48" w:rsidR="00851B48">
        <w:rPr>
          <w:lang w:eastAsia="en-US"/>
        </w:rPr>
        <w:t>effective permit development and equitable investment in municipal stormwater programs around the State.</w:t>
      </w:r>
    </w:p>
    <w:p w:rsidRPr="003F029A" w:rsidR="00FE3436" w:rsidP="00FE3436" w:rsidRDefault="00154122" w14:paraId="26852369" w14:textId="585B4E53">
      <w:pPr>
        <w:ind w:left="1080"/>
        <w:rPr>
          <w:lang w:eastAsia="en-US"/>
        </w:rPr>
      </w:pPr>
      <w:r w:rsidRPr="00154122">
        <w:rPr>
          <w:lang w:eastAsia="en-US"/>
        </w:rPr>
        <w:t xml:space="preserve">The standardized cost reporting requirement for the traditional </w:t>
      </w:r>
      <w:r>
        <w:rPr>
          <w:lang w:eastAsia="en-US"/>
        </w:rPr>
        <w:t>p</w:t>
      </w:r>
      <w:r w:rsidRPr="00154122">
        <w:rPr>
          <w:lang w:eastAsia="en-US"/>
        </w:rPr>
        <w:t>ermittees is consistent with California Water</w:t>
      </w:r>
      <w:r>
        <w:rPr>
          <w:lang w:eastAsia="en-US"/>
        </w:rPr>
        <w:t xml:space="preserve"> c</w:t>
      </w:r>
      <w:r w:rsidRPr="00154122">
        <w:rPr>
          <w:lang w:eastAsia="en-US"/>
        </w:rPr>
        <w:t xml:space="preserve">ode section 13383 which gives the State Water Board authority to impose additional reporting requirements to </w:t>
      </w:r>
      <w:r w:rsidR="00AE0F82">
        <w:rPr>
          <w:lang w:eastAsia="en-US"/>
        </w:rPr>
        <w:t>Permittees</w:t>
      </w:r>
      <w:r w:rsidRPr="00154122">
        <w:rPr>
          <w:lang w:eastAsia="en-US"/>
        </w:rPr>
        <w:t>.</w:t>
      </w:r>
    </w:p>
    <w:p w:rsidR="002146A6" w:rsidP="001A1BAA" w:rsidRDefault="00D15EB4" w14:paraId="1FF01307" w14:textId="11E66FEE">
      <w:pPr>
        <w:pStyle w:val="Heading2"/>
      </w:pPr>
      <w:bookmarkStart w:name="_Toc226536090" w:id="79"/>
      <w:r>
        <w:t>A1</w:t>
      </w:r>
      <w:r w:rsidR="00204BBD">
        <w:t>3</w:t>
      </w:r>
      <w:r w:rsidR="0009737D">
        <w:tab/>
      </w:r>
      <w:r w:rsidR="00111C0E">
        <w:t xml:space="preserve">REGION-SPECIFIC TMDL </w:t>
      </w:r>
      <w:r w:rsidR="00B617D8">
        <w:t>INFORMATION</w:t>
      </w:r>
      <w:bookmarkEnd w:id="79"/>
      <w:r w:rsidR="00B617D8">
        <w:t xml:space="preserve"> </w:t>
      </w:r>
    </w:p>
    <w:p w:rsidR="009F34E1" w:rsidP="002337AF" w:rsidRDefault="008E5A9E" w14:paraId="5FE2397E" w14:textId="005F6C72">
      <w:pPr>
        <w:snapToGrid w:val="0"/>
        <w:rPr>
          <w:rFonts w:cs="Arial"/>
        </w:rPr>
      </w:pPr>
      <w:r>
        <w:rPr>
          <w:rFonts w:cs="Arial"/>
        </w:rPr>
        <w:t>The following section</w:t>
      </w:r>
      <w:r w:rsidR="001C1EE6">
        <w:rPr>
          <w:rFonts w:cs="Arial"/>
        </w:rPr>
        <w:t>s</w:t>
      </w:r>
      <w:r>
        <w:rPr>
          <w:rFonts w:cs="Arial"/>
        </w:rPr>
        <w:t xml:space="preserve"> summarize </w:t>
      </w:r>
      <w:r w:rsidR="001C1EE6">
        <w:rPr>
          <w:rFonts w:cs="Arial"/>
        </w:rPr>
        <w:t xml:space="preserve">the pertinent </w:t>
      </w:r>
      <w:r>
        <w:rPr>
          <w:rFonts w:cs="Arial"/>
        </w:rPr>
        <w:t xml:space="preserve">information </w:t>
      </w:r>
      <w:r w:rsidR="009B348B">
        <w:rPr>
          <w:rFonts w:cs="Arial"/>
        </w:rPr>
        <w:t>extracted from the adopted TMDLs</w:t>
      </w:r>
      <w:r w:rsidR="00297987">
        <w:rPr>
          <w:rFonts w:cs="Arial"/>
        </w:rPr>
        <w:t xml:space="preserve">, which </w:t>
      </w:r>
      <w:r w:rsidR="008964F1">
        <w:rPr>
          <w:rFonts w:cs="Arial"/>
        </w:rPr>
        <w:t>inc</w:t>
      </w:r>
      <w:r w:rsidR="004F6FAE">
        <w:rPr>
          <w:rFonts w:cs="Arial"/>
        </w:rPr>
        <w:t>l</w:t>
      </w:r>
      <w:r w:rsidR="008964F1">
        <w:rPr>
          <w:rFonts w:cs="Arial"/>
        </w:rPr>
        <w:t>ud</w:t>
      </w:r>
      <w:r w:rsidR="007029CA">
        <w:rPr>
          <w:rFonts w:cs="Arial"/>
        </w:rPr>
        <w:t>es</w:t>
      </w:r>
      <w:r w:rsidR="009B348B">
        <w:rPr>
          <w:rFonts w:cs="Arial"/>
        </w:rPr>
        <w:t xml:space="preserve"> </w:t>
      </w:r>
      <w:r w:rsidR="007037BF">
        <w:rPr>
          <w:rFonts w:cs="Arial"/>
        </w:rPr>
        <w:t>responsible permittees</w:t>
      </w:r>
      <w:r w:rsidR="009B348B">
        <w:rPr>
          <w:rFonts w:cs="Arial"/>
        </w:rPr>
        <w:t xml:space="preserve">, </w:t>
      </w:r>
      <w:r w:rsidR="000C7843">
        <w:rPr>
          <w:rFonts w:cs="Arial"/>
        </w:rPr>
        <w:t>the</w:t>
      </w:r>
      <w:r w:rsidR="00B13EC7">
        <w:rPr>
          <w:rFonts w:cs="Arial"/>
        </w:rPr>
        <w:t xml:space="preserve"> pollutant</w:t>
      </w:r>
      <w:r w:rsidR="007037BF">
        <w:rPr>
          <w:rFonts w:cs="Arial"/>
        </w:rPr>
        <w:t>, wasteload allocations</w:t>
      </w:r>
      <w:r w:rsidR="0025456C">
        <w:rPr>
          <w:rFonts w:cs="Arial"/>
        </w:rPr>
        <w:t>, and final deadlines</w:t>
      </w:r>
      <w:r w:rsidR="001C7E29">
        <w:rPr>
          <w:rFonts w:cs="Arial"/>
        </w:rPr>
        <w:t xml:space="preserve">. </w:t>
      </w:r>
    </w:p>
    <w:p w:rsidR="0022751E" w:rsidP="001A1BAA" w:rsidRDefault="00836361" w14:paraId="5214462E" w14:textId="55C53B2E">
      <w:pPr>
        <w:pStyle w:val="Heading2"/>
      </w:pPr>
      <w:bookmarkStart w:name="_Toc226536091" w:id="80"/>
      <w:r>
        <w:t>A13</w:t>
      </w:r>
      <w:r w:rsidR="00223BEC">
        <w:t>.1</w:t>
      </w:r>
      <w:r w:rsidRPr="00D52F4F" w:rsidR="0022751E">
        <w:tab/>
      </w:r>
      <w:r w:rsidRPr="00D52F4F" w:rsidR="0022751E">
        <w:t>NORTH COAST WATER BOARD TMDLs</w:t>
      </w:r>
      <w:bookmarkEnd w:id="80"/>
    </w:p>
    <w:p w:rsidRPr="002D7D37" w:rsidR="002D7D37" w:rsidP="002D7D37" w:rsidRDefault="005D7B84" w14:paraId="2B652E16" w14:textId="059EA018">
      <w:pPr>
        <w:rPr>
          <w:lang w:eastAsia="en-US"/>
        </w:rPr>
      </w:pPr>
      <w:r>
        <w:rPr>
          <w:lang w:eastAsia="en-US"/>
        </w:rPr>
        <w:t xml:space="preserve">Information in the following </w:t>
      </w:r>
      <w:r w:rsidR="00552228">
        <w:rPr>
          <w:lang w:eastAsia="en-US"/>
        </w:rPr>
        <w:t>sub</w:t>
      </w:r>
      <w:r>
        <w:rPr>
          <w:lang w:eastAsia="en-US"/>
        </w:rPr>
        <w:t xml:space="preserve">sections has been </w:t>
      </w:r>
      <w:r w:rsidR="00326B2C">
        <w:rPr>
          <w:lang w:eastAsia="en-US"/>
        </w:rPr>
        <w:t xml:space="preserve">summarized from the </w:t>
      </w:r>
      <w:hyperlink w:history="1" r:id="rId30">
        <w:r w:rsidRPr="00E60BB4" w:rsidR="00326B2C">
          <w:rPr>
            <w:rStyle w:val="Hyperlink"/>
            <w:lang w:eastAsia="en-US"/>
          </w:rPr>
          <w:t>North Coast Water Board’s Basin Plan</w:t>
        </w:r>
      </w:hyperlink>
      <w:r w:rsidR="00326B2C">
        <w:rPr>
          <w:lang w:eastAsia="en-US"/>
        </w:rPr>
        <w:t xml:space="preserve"> </w:t>
      </w:r>
      <w:r w:rsidR="00C141CA">
        <w:rPr>
          <w:lang w:eastAsia="en-US"/>
        </w:rPr>
        <w:t>and</w:t>
      </w:r>
      <w:r w:rsidR="00326B2C">
        <w:rPr>
          <w:lang w:eastAsia="en-US"/>
        </w:rPr>
        <w:t xml:space="preserve"> </w:t>
      </w:r>
      <w:hyperlink w:history="1" r:id="rId31">
        <w:r w:rsidR="00CC169C">
          <w:rPr>
            <w:rStyle w:val="Hyperlink"/>
            <w:lang w:eastAsia="en-US"/>
          </w:rPr>
          <w:t>USEPA</w:t>
        </w:r>
        <w:r w:rsidRPr="007076A2" w:rsidR="00326B2C">
          <w:rPr>
            <w:rStyle w:val="Hyperlink"/>
            <w:lang w:eastAsia="en-US"/>
          </w:rPr>
          <w:t>-est</w:t>
        </w:r>
        <w:r w:rsidRPr="007076A2" w:rsidR="005E7764">
          <w:rPr>
            <w:rStyle w:val="Hyperlink"/>
            <w:lang w:eastAsia="en-US"/>
          </w:rPr>
          <w:t>ablished TMDL</w:t>
        </w:r>
        <w:r w:rsidRPr="007076A2" w:rsidR="00E60BB4">
          <w:rPr>
            <w:rStyle w:val="Hyperlink"/>
            <w:lang w:eastAsia="en-US"/>
          </w:rPr>
          <w:t>s</w:t>
        </w:r>
      </w:hyperlink>
      <w:r w:rsidR="005E7764">
        <w:rPr>
          <w:lang w:eastAsia="en-US"/>
        </w:rPr>
        <w:t>.</w:t>
      </w:r>
    </w:p>
    <w:p w:rsidRPr="00F33B01" w:rsidR="0022751E" w:rsidP="00295220" w:rsidRDefault="00836361" w14:paraId="0293D4FA" w14:textId="13CE9B64">
      <w:pPr>
        <w:pStyle w:val="Heading4-ish"/>
      </w:pPr>
      <w:r>
        <w:t>A13</w:t>
      </w:r>
      <w:r w:rsidRPr="00F33B01" w:rsidR="007B005A">
        <w:t>.1</w:t>
      </w:r>
      <w:r w:rsidRPr="00F33B01" w:rsidR="00223BEC">
        <w:t>.1</w:t>
      </w:r>
      <w:r w:rsidRPr="00F33B01" w:rsidR="0022751E">
        <w:tab/>
      </w:r>
      <w:r w:rsidRPr="00F33B01" w:rsidR="0022751E">
        <w:t xml:space="preserve">Shasta River </w:t>
      </w:r>
      <w:r w:rsidRPr="00F33B01" w:rsidR="0027475B">
        <w:t xml:space="preserve">Watershed </w:t>
      </w:r>
      <w:r w:rsidRPr="00F33B01" w:rsidR="0022751E">
        <w:t>Temperature and Dissolved Oxygen TMDL</w:t>
      </w:r>
    </w:p>
    <w:p w:rsidRPr="00D52F4F" w:rsidR="0022751E" w:rsidP="0022751E" w:rsidRDefault="0022751E" w14:paraId="7C5E2FCB" w14:textId="31706CB8">
      <w:pPr>
        <w:ind w:left="1260"/>
        <w:rPr>
          <w:rFonts w:cs="Arial"/>
        </w:rPr>
      </w:pPr>
      <w:r w:rsidRPr="00D52F4F">
        <w:rPr>
          <w:rFonts w:cs="Arial"/>
          <w:b/>
        </w:rPr>
        <w:t>Description:</w:t>
      </w:r>
      <w:r w:rsidRPr="00D52F4F">
        <w:rPr>
          <w:rFonts w:cs="Arial"/>
        </w:rPr>
        <w:t xml:space="preserve"> The Shasta River watershed is impaired </w:t>
      </w:r>
      <w:r w:rsidR="00423099">
        <w:rPr>
          <w:rFonts w:cs="Arial"/>
        </w:rPr>
        <w:t xml:space="preserve">for </w:t>
      </w:r>
      <w:r w:rsidR="00793A9A">
        <w:t>beneficial uses</w:t>
      </w:r>
      <w:r w:rsidR="00423099">
        <w:t xml:space="preserve">, </w:t>
      </w:r>
      <w:r w:rsidR="001318DA">
        <w:t>including</w:t>
      </w:r>
      <w:r w:rsidR="00793A9A">
        <w:t xml:space="preserve"> cold freshwater habitat and sport fishing</w:t>
      </w:r>
      <w:r w:rsidRPr="00D52F4F" w:rsidR="00793A9A">
        <w:rPr>
          <w:rFonts w:cs="Arial"/>
        </w:rPr>
        <w:t xml:space="preserve"> </w:t>
      </w:r>
      <w:r w:rsidR="00423099">
        <w:rPr>
          <w:rFonts w:cs="Arial"/>
        </w:rPr>
        <w:t>due to</w:t>
      </w:r>
      <w:r w:rsidRPr="00D52F4F">
        <w:rPr>
          <w:rFonts w:cs="Arial"/>
        </w:rPr>
        <w:t xml:space="preserve"> </w:t>
      </w:r>
      <w:r w:rsidR="00775D18">
        <w:rPr>
          <w:rFonts w:cs="Arial"/>
        </w:rPr>
        <w:t xml:space="preserve">low </w:t>
      </w:r>
      <w:r w:rsidRPr="00D52F4F">
        <w:rPr>
          <w:rFonts w:cs="Arial"/>
        </w:rPr>
        <w:t xml:space="preserve">dissolved oxygen and </w:t>
      </w:r>
      <w:r w:rsidR="00775D18">
        <w:rPr>
          <w:rFonts w:cs="Arial"/>
        </w:rPr>
        <w:t xml:space="preserve">increased </w:t>
      </w:r>
      <w:r w:rsidRPr="00D52F4F">
        <w:rPr>
          <w:rFonts w:cs="Arial"/>
        </w:rPr>
        <w:t>temperature</w:t>
      </w:r>
      <w:r w:rsidR="001318DA">
        <w:rPr>
          <w:rFonts w:cs="Arial"/>
        </w:rPr>
        <w:t>.</w:t>
      </w:r>
      <w:r w:rsidR="00ED41CE">
        <w:rPr>
          <w:rFonts w:cs="Arial"/>
        </w:rPr>
        <w:t xml:space="preserve"> </w:t>
      </w:r>
      <w:r w:rsidRPr="00D52F4F">
        <w:rPr>
          <w:rFonts w:cs="Arial"/>
        </w:rPr>
        <w:t>The TMDL identifies urban and suburban runoff as a pollutant source and specifies implementation actions.</w:t>
      </w:r>
      <w:r w:rsidR="00F07DCF">
        <w:rPr>
          <w:rFonts w:cs="Arial"/>
        </w:rPr>
        <w:t xml:space="preserve"> </w:t>
      </w:r>
      <w:r w:rsidR="0060658A">
        <w:t>The</w:t>
      </w:r>
      <w:r w:rsidR="00AC766D">
        <w:t xml:space="preserve"> TMDL was adopted by the North Coast Water Board, which was subsequently approved by </w:t>
      </w:r>
      <w:r w:rsidR="00CC169C">
        <w:t>USEPA</w:t>
      </w:r>
      <w:r w:rsidR="00C56C92">
        <w:t xml:space="preserve"> </w:t>
      </w:r>
      <w:r w:rsidR="00AC766D">
        <w:t>on December 26, 2007.</w:t>
      </w:r>
    </w:p>
    <w:p w:rsidRPr="00D52F4F" w:rsidR="0022751E" w:rsidP="0022751E" w:rsidRDefault="0022751E" w14:paraId="445C68B2" w14:textId="1D4A4284">
      <w:pPr>
        <w:ind w:left="1260"/>
        <w:rPr>
          <w:rFonts w:cs="Arial"/>
        </w:rPr>
      </w:pPr>
      <w:r>
        <w:rPr>
          <w:rFonts w:cs="Arial" w:eastAsiaTheme="minorHAnsi"/>
          <w:b/>
        </w:rPr>
        <w:t>Responsible Permittee:</w:t>
      </w:r>
      <w:r w:rsidRPr="00D52F4F">
        <w:rPr>
          <w:rFonts w:cs="Arial"/>
        </w:rPr>
        <w:t xml:space="preserve"> The TMDL identifies the City of Yreka as a source </w:t>
      </w:r>
      <w:r w:rsidR="007E04EC">
        <w:rPr>
          <w:rFonts w:cs="Arial"/>
        </w:rPr>
        <w:t>from</w:t>
      </w:r>
      <w:r w:rsidRPr="00D52F4F">
        <w:rPr>
          <w:rFonts w:cs="Arial"/>
        </w:rPr>
        <w:t xml:space="preserve"> </w:t>
      </w:r>
      <w:r w:rsidR="00B5245F">
        <w:rPr>
          <w:rFonts w:cs="Arial"/>
        </w:rPr>
        <w:t xml:space="preserve">urban and </w:t>
      </w:r>
      <w:r w:rsidRPr="00D52F4F">
        <w:rPr>
          <w:rFonts w:cs="Arial"/>
        </w:rPr>
        <w:t>suburban runoff</w:t>
      </w:r>
      <w:r w:rsidR="007E04EC">
        <w:rPr>
          <w:rFonts w:cs="Arial"/>
        </w:rPr>
        <w:t>,</w:t>
      </w:r>
      <w:r w:rsidRPr="00D52F4F">
        <w:rPr>
          <w:rFonts w:cs="Arial"/>
        </w:rPr>
        <w:t xml:space="preserve"> and as an implementing party for control measures</w:t>
      </w:r>
      <w:r w:rsidR="0049381C">
        <w:rPr>
          <w:rFonts w:cs="Arial"/>
        </w:rPr>
        <w:t xml:space="preserve"> of </w:t>
      </w:r>
      <w:r w:rsidR="001028F6">
        <w:rPr>
          <w:rFonts w:cs="Arial"/>
        </w:rPr>
        <w:t>fine sediment</w:t>
      </w:r>
      <w:r w:rsidR="00AC7009">
        <w:rPr>
          <w:rFonts w:cs="Arial"/>
        </w:rPr>
        <w:t xml:space="preserve">, nutrients, and other oxygen consuming materials and elevated </w:t>
      </w:r>
      <w:r w:rsidR="00B5245F">
        <w:rPr>
          <w:rFonts w:cs="Arial"/>
        </w:rPr>
        <w:t>temperature waste</w:t>
      </w:r>
      <w:r w:rsidRPr="00D52F4F">
        <w:rPr>
          <w:rFonts w:cs="Arial"/>
        </w:rPr>
        <w:t>.</w:t>
      </w:r>
    </w:p>
    <w:p w:rsidRPr="00D52F4F" w:rsidR="0022751E" w:rsidP="0022751E" w:rsidRDefault="0022751E" w14:paraId="28295F70" w14:textId="77777777">
      <w:pPr>
        <w:ind w:left="1260"/>
        <w:rPr>
          <w:rFonts w:cs="Arial"/>
        </w:rPr>
      </w:pPr>
      <w:r>
        <w:rPr>
          <w:rFonts w:cs="Arial" w:eastAsiaTheme="minorHAnsi"/>
          <w:b/>
        </w:rPr>
        <w:t>Wasteload</w:t>
      </w:r>
      <w:r w:rsidRPr="00D52F4F">
        <w:rPr>
          <w:rFonts w:cs="Arial" w:eastAsiaTheme="minorHAnsi"/>
          <w:b/>
        </w:rPr>
        <w:t xml:space="preserve"> Allocations</w:t>
      </w:r>
      <w:r w:rsidRPr="00D52F4F">
        <w:rPr>
          <w:rFonts w:cs="Arial"/>
        </w:rPr>
        <w:t xml:space="preserve">: The TMDL does not specify </w:t>
      </w:r>
      <w:r>
        <w:rPr>
          <w:rFonts w:cs="Arial"/>
        </w:rPr>
        <w:t>wasteload</w:t>
      </w:r>
      <w:r w:rsidRPr="00D52F4F">
        <w:rPr>
          <w:rFonts w:cs="Arial"/>
        </w:rPr>
        <w:t xml:space="preserve"> allocations for the City of Yreka.</w:t>
      </w:r>
    </w:p>
    <w:p w:rsidR="0022751E" w:rsidP="0022751E" w:rsidRDefault="0022751E" w14:paraId="563F1F4E" w14:textId="27AA511A">
      <w:pPr>
        <w:ind w:left="1260"/>
        <w:rPr>
          <w:rFonts w:cs="Arial"/>
        </w:rPr>
      </w:pPr>
      <w:r w:rsidRPr="00D52F4F">
        <w:rPr>
          <w:b/>
        </w:rPr>
        <w:t>Final Compliance Deadline:</w:t>
      </w:r>
      <w:r w:rsidR="00B7271E">
        <w:rPr>
          <w:b/>
        </w:rPr>
        <w:t xml:space="preserve"> </w:t>
      </w:r>
      <w:r w:rsidRPr="000B7111">
        <w:rPr>
          <w:bCs/>
        </w:rPr>
        <w:t>The effective date is January 26, 2007.</w:t>
      </w:r>
      <w:r w:rsidRPr="00D52F4F">
        <w:rPr>
          <w:b/>
        </w:rPr>
        <w:t xml:space="preserve"> </w:t>
      </w:r>
      <w:r w:rsidRPr="00D52F4F">
        <w:rPr>
          <w:bCs/>
        </w:rPr>
        <w:t xml:space="preserve">The TMDL does not specify a final compliance deadline for dissolved oxygen and temperature. </w:t>
      </w:r>
      <w:r w:rsidR="008D3D72">
        <w:rPr>
          <w:bCs/>
        </w:rPr>
        <w:t>As required by the TMDL, t</w:t>
      </w:r>
      <w:r w:rsidR="0042452B">
        <w:rPr>
          <w:bCs/>
        </w:rPr>
        <w:t xml:space="preserve">he City of Yreka submitted its plan to control </w:t>
      </w:r>
      <w:r w:rsidR="00453B57">
        <w:rPr>
          <w:bCs/>
        </w:rPr>
        <w:t>sources</w:t>
      </w:r>
      <w:r w:rsidR="008D3D72">
        <w:rPr>
          <w:bCs/>
        </w:rPr>
        <w:t>.</w:t>
      </w:r>
      <w:r w:rsidR="00453B57">
        <w:rPr>
          <w:bCs/>
        </w:rPr>
        <w:t xml:space="preserve"> </w:t>
      </w:r>
      <w:r w:rsidRPr="00D52F4F">
        <w:rPr>
          <w:bCs/>
        </w:rPr>
        <w:t>Therefore, over the term of this Order, the Permittee shall implement the on-going actions in its plan to minimize and control pollutants.</w:t>
      </w:r>
      <w:r w:rsidRPr="00D52F4F">
        <w:rPr>
          <w:rFonts w:cs="Arial"/>
        </w:rPr>
        <w:t xml:space="preserve"> </w:t>
      </w:r>
    </w:p>
    <w:p w:rsidRPr="00A933B9" w:rsidR="0022751E" w:rsidP="00A933B9" w:rsidRDefault="00836361" w14:paraId="4EA0E873" w14:textId="151AFC16">
      <w:pPr>
        <w:pStyle w:val="Heading4-ish"/>
      </w:pPr>
      <w:r>
        <w:t>A13</w:t>
      </w:r>
      <w:r w:rsidRPr="00F33B01" w:rsidR="00145EE6">
        <w:t>.</w:t>
      </w:r>
      <w:r w:rsidRPr="00F33B01" w:rsidR="00EA5587">
        <w:t>1</w:t>
      </w:r>
      <w:r w:rsidRPr="00F33B01" w:rsidR="0022751E">
        <w:t>.2</w:t>
      </w:r>
      <w:r w:rsidRPr="00F33B01" w:rsidR="0022751E">
        <w:tab/>
      </w:r>
      <w:r w:rsidRPr="00F33B01" w:rsidR="0022751E">
        <w:t>Lower Eel River Temperature</w:t>
      </w:r>
      <w:r w:rsidR="00307DEC">
        <w:t xml:space="preserve"> </w:t>
      </w:r>
      <w:r w:rsidR="00526012">
        <w:t>and Sediment</w:t>
      </w:r>
      <w:r w:rsidRPr="00F33B01" w:rsidR="00526012">
        <w:t xml:space="preserve"> </w:t>
      </w:r>
      <w:r w:rsidRPr="00F33B01" w:rsidR="0022751E">
        <w:t>TMDL</w:t>
      </w:r>
    </w:p>
    <w:p w:rsidRPr="00E97DAE" w:rsidR="004A57BD" w:rsidP="0093122F" w:rsidRDefault="0022751E" w14:paraId="6D99CC57" w14:textId="4107AAEE">
      <w:pPr>
        <w:ind w:left="1260"/>
        <w:rPr>
          <w:rFonts w:cs="Arial" w:eastAsiaTheme="minorHAnsi"/>
        </w:rPr>
      </w:pPr>
      <w:r w:rsidRPr="00D52F4F">
        <w:rPr>
          <w:rFonts w:cs="Arial"/>
          <w:b/>
        </w:rPr>
        <w:t>Description</w:t>
      </w:r>
      <w:r w:rsidRPr="000D3731">
        <w:rPr>
          <w:rFonts w:cs="Arial"/>
          <w:bCs/>
        </w:rPr>
        <w:t xml:space="preserve">: </w:t>
      </w:r>
      <w:r w:rsidR="00CC169C">
        <w:rPr>
          <w:rFonts w:cs="Arial"/>
          <w:bCs/>
        </w:rPr>
        <w:t>USEPA</w:t>
      </w:r>
      <w:r w:rsidR="00B82DAF">
        <w:rPr>
          <w:rFonts w:cs="Arial"/>
          <w:bCs/>
        </w:rPr>
        <w:t xml:space="preserve"> </w:t>
      </w:r>
      <w:r w:rsidR="001031D4">
        <w:rPr>
          <w:rFonts w:cs="Arial"/>
          <w:bCs/>
        </w:rPr>
        <w:t>established t</w:t>
      </w:r>
      <w:r w:rsidRPr="000D3731">
        <w:rPr>
          <w:rFonts w:cs="Arial"/>
          <w:bCs/>
        </w:rPr>
        <w:t xml:space="preserve">he </w:t>
      </w:r>
      <w:r w:rsidR="00FE5EEF">
        <w:rPr>
          <w:rFonts w:cs="Arial"/>
          <w:bCs/>
        </w:rPr>
        <w:t>L</w:t>
      </w:r>
      <w:r w:rsidRPr="000D3731">
        <w:rPr>
          <w:rFonts w:cs="Arial"/>
          <w:bCs/>
        </w:rPr>
        <w:t>ower Eel River</w:t>
      </w:r>
      <w:r w:rsidR="00BB5E47">
        <w:rPr>
          <w:rFonts w:cs="Arial"/>
          <w:bCs/>
        </w:rPr>
        <w:t xml:space="preserve"> Temperature and Sediment TMDL on December 18, 2007</w:t>
      </w:r>
      <w:r w:rsidR="00973D34">
        <w:rPr>
          <w:rFonts w:cs="Arial"/>
          <w:bCs/>
        </w:rPr>
        <w:t xml:space="preserve">. The </w:t>
      </w:r>
      <w:r w:rsidR="00EC7DFE">
        <w:rPr>
          <w:rFonts w:cs="Arial"/>
          <w:bCs/>
        </w:rPr>
        <w:t>L</w:t>
      </w:r>
      <w:r w:rsidR="00973D34">
        <w:rPr>
          <w:rFonts w:cs="Arial"/>
          <w:bCs/>
        </w:rPr>
        <w:t xml:space="preserve">ower Eel River </w:t>
      </w:r>
      <w:r w:rsidRPr="000D3731">
        <w:rPr>
          <w:rFonts w:cs="Arial"/>
          <w:bCs/>
        </w:rPr>
        <w:t>is impaired for temperature</w:t>
      </w:r>
      <w:r w:rsidR="00713150">
        <w:rPr>
          <w:rFonts w:cs="Arial"/>
          <w:bCs/>
        </w:rPr>
        <w:t xml:space="preserve"> and sediment</w:t>
      </w:r>
      <w:r>
        <w:rPr>
          <w:rFonts w:cs="Arial"/>
          <w:bCs/>
        </w:rPr>
        <w:t>, which adverse</w:t>
      </w:r>
      <w:r w:rsidR="00713150">
        <w:rPr>
          <w:rFonts w:cs="Arial"/>
          <w:bCs/>
        </w:rPr>
        <w:t>ly</w:t>
      </w:r>
      <w:r>
        <w:rPr>
          <w:rFonts w:cs="Arial"/>
          <w:bCs/>
        </w:rPr>
        <w:t xml:space="preserve"> </w:t>
      </w:r>
      <w:r w:rsidR="005F2EC7">
        <w:rPr>
          <w:rFonts w:cs="Arial"/>
          <w:bCs/>
        </w:rPr>
        <w:t>impacts cold freshwater habitat</w:t>
      </w:r>
      <w:r>
        <w:rPr>
          <w:rFonts w:cs="Arial"/>
          <w:bCs/>
        </w:rPr>
        <w:t xml:space="preserve">. </w:t>
      </w:r>
      <w:r w:rsidR="00101871">
        <w:rPr>
          <w:rFonts w:cs="Arial"/>
          <w:bCs/>
        </w:rPr>
        <w:t>These TMD</w:t>
      </w:r>
      <w:r w:rsidR="00F0283E">
        <w:rPr>
          <w:rFonts w:cs="Arial"/>
          <w:bCs/>
        </w:rPr>
        <w:t>L</w:t>
      </w:r>
      <w:r w:rsidR="00101871">
        <w:rPr>
          <w:rFonts w:cs="Arial"/>
          <w:bCs/>
        </w:rPr>
        <w:t>S focus on salmon</w:t>
      </w:r>
      <w:r w:rsidR="00CB3FA6">
        <w:rPr>
          <w:rFonts w:cs="Arial"/>
          <w:bCs/>
        </w:rPr>
        <w:t xml:space="preserve">ids </w:t>
      </w:r>
      <w:r w:rsidRPr="00F0283E" w:rsidR="00F0283E">
        <w:rPr>
          <w:rFonts w:cs="Arial"/>
          <w:bCs/>
        </w:rPr>
        <w:t>as the aquatic species that are most sensitive to elevated sediment and temperature conditions, and for which data are available.</w:t>
      </w:r>
      <w:r w:rsidR="00F0283E">
        <w:rPr>
          <w:rFonts w:cs="Arial"/>
          <w:bCs/>
        </w:rPr>
        <w:t xml:space="preserve"> </w:t>
      </w:r>
      <w:r w:rsidR="00F20B01">
        <w:rPr>
          <w:rFonts w:cs="Arial"/>
          <w:bCs/>
        </w:rPr>
        <w:t xml:space="preserve">Urban </w:t>
      </w:r>
      <w:r w:rsidR="002D0710">
        <w:rPr>
          <w:rFonts w:cs="Arial"/>
          <w:bCs/>
        </w:rPr>
        <w:t>s</w:t>
      </w:r>
      <w:r>
        <w:t>tormwater runoff are sources of potential heat</w:t>
      </w:r>
      <w:r w:rsidR="004B6915">
        <w:t xml:space="preserve"> and sediment</w:t>
      </w:r>
      <w:r>
        <w:t>.</w:t>
      </w:r>
      <w:r w:rsidR="004D05C4">
        <w:t xml:space="preserve"> </w:t>
      </w:r>
      <w:r w:rsidRPr="004D05C4" w:rsidR="004D05C4">
        <w:t>Salmon can be adversely affected by stream conditions related to sedimen</w:t>
      </w:r>
      <w:r w:rsidR="004D05C4">
        <w:t xml:space="preserve">t. </w:t>
      </w:r>
      <w:r w:rsidR="007F7606">
        <w:t>For temperature, t</w:t>
      </w:r>
      <w:r w:rsidR="00A0674C">
        <w:t>he most sensitive period in the Lower Eel River is the summer, when stream temperatures are hottest and young salmonids rear for several summers before migrating to the ocean</w:t>
      </w:r>
      <w:r w:rsidRPr="00E97DAE" w:rsidR="00A0674C">
        <w:t>.</w:t>
      </w:r>
      <w:r w:rsidRPr="00E97DAE" w:rsidR="00A0674C">
        <w:rPr>
          <w:rFonts w:cs="Arial" w:eastAsiaTheme="minorHAnsi"/>
        </w:rPr>
        <w:t xml:space="preserve"> </w:t>
      </w:r>
      <w:r w:rsidR="009E734A">
        <w:rPr>
          <w:rFonts w:cs="Arial" w:eastAsiaTheme="minorHAnsi"/>
        </w:rPr>
        <w:t>P</w:t>
      </w:r>
      <w:r w:rsidRPr="00E97DAE" w:rsidR="00E97DAE">
        <w:rPr>
          <w:rFonts w:cs="Arial" w:eastAsiaTheme="minorHAnsi"/>
        </w:rPr>
        <w:t>oint sources may discharge some sediment</w:t>
      </w:r>
      <w:r w:rsidR="009E734A">
        <w:rPr>
          <w:rFonts w:cs="Arial" w:eastAsiaTheme="minorHAnsi"/>
        </w:rPr>
        <w:t>, but d</w:t>
      </w:r>
      <w:r w:rsidRPr="00E97DAE" w:rsidR="009E734A">
        <w:rPr>
          <w:rFonts w:cs="Arial" w:eastAsiaTheme="minorHAnsi"/>
        </w:rPr>
        <w:t>iffuse nonpoint sources are responsible for most sediment loading in the watershed</w:t>
      </w:r>
      <w:r w:rsidRPr="00E97DAE" w:rsidR="00E97DAE">
        <w:rPr>
          <w:rFonts w:cs="Arial" w:eastAsiaTheme="minorHAnsi"/>
        </w:rPr>
        <w:t>.</w:t>
      </w:r>
    </w:p>
    <w:p w:rsidRPr="00D106FD" w:rsidR="0022751E" w:rsidP="00A0674C" w:rsidRDefault="0022751E" w14:paraId="0B416E69" w14:textId="69034F7E">
      <w:pPr>
        <w:ind w:left="1260"/>
        <w:rPr>
          <w:rFonts w:cs="Arial" w:eastAsiaTheme="minorHAnsi"/>
          <w:bCs/>
        </w:rPr>
      </w:pPr>
      <w:r>
        <w:rPr>
          <w:rFonts w:cs="Arial" w:eastAsiaTheme="minorHAnsi"/>
          <w:b/>
        </w:rPr>
        <w:t xml:space="preserve">Responsible Permittee: </w:t>
      </w:r>
      <w:r w:rsidRPr="00AC63DE" w:rsidR="00AC63DE">
        <w:rPr>
          <w:rFonts w:cs="Arial" w:eastAsiaTheme="minorHAnsi"/>
          <w:bCs/>
        </w:rPr>
        <w:t>City</w:t>
      </w:r>
      <w:r>
        <w:rPr>
          <w:rFonts w:cs="Arial" w:eastAsiaTheme="minorHAnsi"/>
          <w:bCs/>
        </w:rPr>
        <w:t xml:space="preserve"> of Fortuna</w:t>
      </w:r>
    </w:p>
    <w:p w:rsidR="00C618E7" w:rsidP="0022751E" w:rsidRDefault="0022751E" w14:paraId="344D858A" w14:textId="21B460A7">
      <w:pPr>
        <w:ind w:left="1260"/>
        <w:rPr>
          <w:rFonts w:cs="Arial" w:eastAsiaTheme="minorHAnsi"/>
          <w:bCs/>
        </w:rPr>
      </w:pPr>
      <w:r>
        <w:rPr>
          <w:rFonts w:cs="Arial" w:eastAsiaTheme="minorHAnsi"/>
          <w:b/>
        </w:rPr>
        <w:t>Wasteload</w:t>
      </w:r>
      <w:r w:rsidRPr="00D52F4F">
        <w:rPr>
          <w:rFonts w:cs="Arial" w:eastAsiaTheme="minorHAnsi"/>
          <w:b/>
        </w:rPr>
        <w:t xml:space="preserve"> Allocations</w:t>
      </w:r>
      <w:r>
        <w:rPr>
          <w:rFonts w:cs="Arial" w:eastAsiaTheme="minorHAnsi"/>
          <w:b/>
        </w:rPr>
        <w:t>:</w:t>
      </w:r>
      <w:r>
        <w:rPr>
          <w:rFonts w:cs="Arial" w:eastAsiaTheme="minorHAnsi"/>
          <w:bCs/>
        </w:rPr>
        <w:t xml:space="preserve"> </w:t>
      </w:r>
      <w:r w:rsidR="006D14FE">
        <w:rPr>
          <w:rFonts w:cs="Arial" w:eastAsiaTheme="minorHAnsi"/>
          <w:bCs/>
        </w:rPr>
        <w:t xml:space="preserve">The TMDL provides wasteload allocations for temperature and sediment. </w:t>
      </w:r>
      <w:r>
        <w:rPr>
          <w:rFonts w:cs="Arial" w:eastAsiaTheme="minorHAnsi"/>
          <w:bCs/>
        </w:rPr>
        <w:t xml:space="preserve">The </w:t>
      </w:r>
      <w:r w:rsidR="00AC63DE">
        <w:rPr>
          <w:rFonts w:cs="Arial" w:eastAsiaTheme="minorHAnsi"/>
          <w:bCs/>
        </w:rPr>
        <w:t xml:space="preserve">temperature </w:t>
      </w:r>
      <w:r>
        <w:rPr>
          <w:rFonts w:cs="Arial" w:eastAsiaTheme="minorHAnsi"/>
          <w:bCs/>
        </w:rPr>
        <w:t>wasteload allocation is zero net increase in receiving water temperatures.</w:t>
      </w:r>
      <w:r>
        <w:rPr>
          <w:rStyle w:val="FootnoteReference"/>
          <w:rFonts w:cs="Arial" w:eastAsiaTheme="minorHAnsi"/>
          <w:bCs/>
        </w:rPr>
        <w:footnoteReference w:id="14"/>
      </w:r>
      <w:r>
        <w:rPr>
          <w:rFonts w:cs="Arial" w:eastAsiaTheme="minorHAnsi"/>
          <w:bCs/>
        </w:rPr>
        <w:t xml:space="preserve"> </w:t>
      </w:r>
    </w:p>
    <w:p w:rsidRPr="001517ED" w:rsidR="0022751E" w:rsidP="0022751E" w:rsidRDefault="00286C31" w14:paraId="68356F49" w14:textId="43193024">
      <w:pPr>
        <w:ind w:left="1260"/>
        <w:rPr>
          <w:rFonts w:cs="Arial"/>
          <w:bCs/>
        </w:rPr>
      </w:pPr>
      <w:r>
        <w:rPr>
          <w:rFonts w:cs="Arial" w:eastAsiaTheme="minorHAnsi"/>
          <w:bCs/>
        </w:rPr>
        <w:t>The annual sediment wasteload allocation for human-related sources is 180 tons per mile square per year. The average daily wasteload allocation is 2.5 tons per mile square per day.</w:t>
      </w:r>
      <w:r w:rsidR="00CA01BC">
        <w:rPr>
          <w:rStyle w:val="FootnoteReference"/>
          <w:rFonts w:cs="Arial" w:eastAsiaTheme="minorHAnsi"/>
          <w:bCs/>
        </w:rPr>
        <w:footnoteReference w:id="15"/>
      </w:r>
      <w:r w:rsidR="00A0174E">
        <w:rPr>
          <w:rFonts w:cs="Arial" w:eastAsiaTheme="minorHAnsi"/>
          <w:bCs/>
        </w:rPr>
        <w:t xml:space="preserve"> </w:t>
      </w:r>
    </w:p>
    <w:p w:rsidRPr="00D52F4F" w:rsidR="0022751E" w:rsidP="00D24B15" w:rsidRDefault="0022751E" w14:paraId="11E4159D" w14:textId="296BDE76">
      <w:pPr>
        <w:ind w:left="1260"/>
      </w:pPr>
      <w:r w:rsidRPr="00D24B15">
        <w:rPr>
          <w:b/>
          <w:bCs/>
        </w:rPr>
        <w:t>Final Compliance Deadlines</w:t>
      </w:r>
      <w:r w:rsidRPr="00FA5319">
        <w:t xml:space="preserve">: </w:t>
      </w:r>
      <w:r>
        <w:t xml:space="preserve">An implementation </w:t>
      </w:r>
      <w:r w:rsidR="00AD3FD3">
        <w:t xml:space="preserve">plan and </w:t>
      </w:r>
      <w:r>
        <w:t>schedule w</w:t>
      </w:r>
      <w:r w:rsidR="00AD3FD3">
        <w:t>ere</w:t>
      </w:r>
      <w:r>
        <w:t xml:space="preserve"> not included; t</w:t>
      </w:r>
      <w:r w:rsidRPr="00D52F4F">
        <w:t xml:space="preserve">herefore, over the term of this Order, the Permittee shall implement </w:t>
      </w:r>
      <w:r>
        <w:t>actions to comply with this Order</w:t>
      </w:r>
      <w:r w:rsidRPr="00D52F4F">
        <w:t>.</w:t>
      </w:r>
      <w:r w:rsidR="008774AF">
        <w:t xml:space="preserve"> </w:t>
      </w:r>
      <w:r w:rsidRPr="00D52F4F">
        <w:br w:type="page"/>
      </w:r>
    </w:p>
    <w:p w:rsidR="0022751E" w:rsidP="001A1BAA" w:rsidRDefault="00836361" w14:paraId="761DD9DC" w14:textId="6CD027CC">
      <w:pPr>
        <w:pStyle w:val="Heading2"/>
      </w:pPr>
      <w:bookmarkStart w:name="_Toc226536092" w:id="81"/>
      <w:r>
        <w:t>A13</w:t>
      </w:r>
      <w:r w:rsidR="00145EE6">
        <w:t>.</w:t>
      </w:r>
      <w:r w:rsidR="00A23F6B">
        <w:t>2</w:t>
      </w:r>
      <w:r w:rsidRPr="00D52F4F" w:rsidR="0022751E">
        <w:tab/>
      </w:r>
      <w:r w:rsidRPr="00D52F4F" w:rsidR="0022751E">
        <w:t>SAN FRANCISCO BAY WATER BOARD TMDLs</w:t>
      </w:r>
      <w:bookmarkEnd w:id="81"/>
    </w:p>
    <w:p w:rsidRPr="002D7D37" w:rsidR="003E4B25" w:rsidP="003E4B25" w:rsidRDefault="003E4B25" w14:paraId="4539ACE9" w14:textId="18B22A72">
      <w:pPr>
        <w:rPr>
          <w:lang w:eastAsia="en-US"/>
        </w:rPr>
      </w:pPr>
      <w:r>
        <w:rPr>
          <w:lang w:eastAsia="en-US"/>
        </w:rPr>
        <w:t xml:space="preserve">Information in the following subsections has been summarized from </w:t>
      </w:r>
      <w:r w:rsidR="00AC166F">
        <w:rPr>
          <w:lang w:eastAsia="en-US"/>
        </w:rPr>
        <w:t xml:space="preserve">Chapter 7 </w:t>
      </w:r>
      <w:r>
        <w:rPr>
          <w:lang w:eastAsia="en-US"/>
        </w:rPr>
        <w:t xml:space="preserve">the </w:t>
      </w:r>
      <w:hyperlink w:history="1" r:id="rId32">
        <w:r w:rsidRPr="00CF5CF9" w:rsidR="005F1A10">
          <w:rPr>
            <w:rStyle w:val="Hyperlink"/>
            <w:lang w:eastAsia="en-US"/>
          </w:rPr>
          <w:t>San Francisco Bay Water Board’s Basin Plan</w:t>
        </w:r>
      </w:hyperlink>
      <w:r w:rsidR="005F1A10">
        <w:rPr>
          <w:lang w:eastAsia="en-US"/>
        </w:rPr>
        <w:t xml:space="preserve"> </w:t>
      </w:r>
      <w:r>
        <w:rPr>
          <w:lang w:eastAsia="en-US"/>
        </w:rPr>
        <w:t xml:space="preserve">and from </w:t>
      </w:r>
      <w:hyperlink w:history="1" r:id="rId33">
        <w:r w:rsidR="00CC169C">
          <w:rPr>
            <w:rStyle w:val="Hyperlink"/>
            <w:color w:val="0066FF"/>
            <w:lang w:eastAsia="en-US"/>
          </w:rPr>
          <w:t>USEPA</w:t>
        </w:r>
        <w:r w:rsidRPr="000D6313">
          <w:rPr>
            <w:rStyle w:val="Hyperlink"/>
            <w:color w:val="0066FF"/>
            <w:lang w:eastAsia="en-US"/>
          </w:rPr>
          <w:t>-established TMDLs</w:t>
        </w:r>
      </w:hyperlink>
      <w:r w:rsidRPr="000D6313">
        <w:rPr>
          <w:color w:val="0066FF"/>
          <w:lang w:eastAsia="en-US"/>
        </w:rPr>
        <w:t>.</w:t>
      </w:r>
    </w:p>
    <w:p w:rsidRPr="00A933B9" w:rsidR="0022751E" w:rsidP="00A933B9" w:rsidRDefault="00836361" w14:paraId="7A058422" w14:textId="601A34D2">
      <w:pPr>
        <w:pStyle w:val="Heading4-ish"/>
      </w:pPr>
      <w:r>
        <w:t>A13</w:t>
      </w:r>
      <w:r w:rsidRPr="00F33B01" w:rsidR="00145EE6">
        <w:t>.</w:t>
      </w:r>
      <w:r w:rsidRPr="00F33B01" w:rsidR="003E15DA">
        <w:t>2</w:t>
      </w:r>
      <w:r w:rsidRPr="00F33B01" w:rsidR="0022751E">
        <w:t>.1</w:t>
      </w:r>
      <w:r w:rsidRPr="00F33B01" w:rsidR="0022751E">
        <w:tab/>
      </w:r>
      <w:r w:rsidRPr="00F33B01" w:rsidR="0022751E">
        <w:t>TMDL for Diazinon and Pesticide-Related Toxicity in Urban Creeks</w:t>
      </w:r>
    </w:p>
    <w:p w:rsidRPr="00C41546" w:rsidR="0022751E" w:rsidP="0022751E" w:rsidRDefault="0022751E" w14:paraId="40AAF8C6" w14:textId="77777777">
      <w:pPr>
        <w:ind w:left="1260"/>
      </w:pPr>
      <w:r w:rsidRPr="00C41546">
        <w:rPr>
          <w:b/>
        </w:rPr>
        <w:t xml:space="preserve">Description: </w:t>
      </w:r>
      <w:r w:rsidRPr="00C41546">
        <w:rPr>
          <w:bCs/>
        </w:rPr>
        <w:t xml:space="preserve">In 1998, a number of urban creeks were listed as impaired due to toxicity, which was attributed to pesticides, and particularly diazinon. </w:t>
      </w:r>
      <w:r w:rsidRPr="00C41546">
        <w:t>The term “urban creeks” refers to freshwater streams that flow through urban areas, including incorporated cities and towns and unincorporated areas with similar land use intensities. Urban creeks within the San Francisco Bay Water Board’s region do not meet the narrative toxicity objective and the narrative sediment objective. Urban stormwater runoff is identified as a source of pesticides to urban creeks. Pesticides, including diazinon, enter urban creeks through urban runoff. Most urban runoff flows through storm drains owned and operated by the municipalities and other sources. Urban runoff contains pesticides as a result of pesticides being manufactured, formulated into products, and sold through distributors and retailers to businesses and individuals who apply them for structural pest control, landscape maintenance, agricultural, and other pest management purposes.</w:t>
      </w:r>
    </w:p>
    <w:p w:rsidRPr="001A6E56" w:rsidR="0022751E" w:rsidP="00811754" w:rsidRDefault="0022751E" w14:paraId="7A169779" w14:textId="3BFC33A8">
      <w:pPr>
        <w:ind w:left="1260"/>
        <w:rPr>
          <w:rFonts w:cs="Arial"/>
        </w:rPr>
      </w:pPr>
      <w:r w:rsidRPr="006A53D3">
        <w:rPr>
          <w:b/>
        </w:rPr>
        <w:t>Responsible Permit</w:t>
      </w:r>
      <w:r w:rsidR="0091593F">
        <w:rPr>
          <w:b/>
        </w:rPr>
        <w:t>t</w:t>
      </w:r>
      <w:r w:rsidRPr="006A53D3">
        <w:rPr>
          <w:b/>
        </w:rPr>
        <w:t>ees</w:t>
      </w:r>
      <w:r w:rsidRPr="001A6E56">
        <w:rPr>
          <w:b/>
        </w:rPr>
        <w:t xml:space="preserve">: </w:t>
      </w:r>
      <w:r w:rsidRPr="001A6E56">
        <w:rPr>
          <w:rFonts w:cs="Arial"/>
        </w:rPr>
        <w:t>The TMDL identifies the following Small Phase II MS4 Permittees as a source of urban runoff and implementing permittees: the</w:t>
      </w:r>
      <w:r w:rsidR="00FA2BD2">
        <w:rPr>
          <w:rFonts w:cs="Arial"/>
        </w:rPr>
        <w:t xml:space="preserve"> City of American Canyon,</w:t>
      </w:r>
      <w:r w:rsidRPr="001A6E56">
        <w:rPr>
          <w:rFonts w:cs="Arial"/>
        </w:rPr>
        <w:t xml:space="preserve"> City of Belvedere, </w:t>
      </w:r>
      <w:r w:rsidR="00567D44">
        <w:rPr>
          <w:rFonts w:cs="Arial"/>
        </w:rPr>
        <w:t xml:space="preserve">City of Benicia, City of Calistoga, </w:t>
      </w:r>
      <w:r w:rsidRPr="001A6E56">
        <w:rPr>
          <w:rFonts w:cs="Arial"/>
        </w:rPr>
        <w:t xml:space="preserve">City of Larkspur, City of Mill Valley, </w:t>
      </w:r>
      <w:r w:rsidR="00567D44">
        <w:rPr>
          <w:rFonts w:cs="Arial"/>
        </w:rPr>
        <w:t xml:space="preserve">City of Napa, </w:t>
      </w:r>
      <w:r w:rsidRPr="001A6E56">
        <w:rPr>
          <w:rFonts w:cs="Arial"/>
        </w:rPr>
        <w:t>City of Novato, City of Petaluma,</w:t>
      </w:r>
      <w:r w:rsidR="00567D44">
        <w:rPr>
          <w:rFonts w:cs="Arial"/>
        </w:rPr>
        <w:t xml:space="preserve"> City of San Anselmo,</w:t>
      </w:r>
      <w:r w:rsidRPr="001A6E56">
        <w:rPr>
          <w:rFonts w:cs="Arial"/>
        </w:rPr>
        <w:t xml:space="preserve"> City of San Rafael, City of Sausalito, City of Sonoma</w:t>
      </w:r>
      <w:r w:rsidR="00567D44">
        <w:rPr>
          <w:rFonts w:cs="Arial"/>
        </w:rPr>
        <w:t xml:space="preserve">, City of St. Helena, </w:t>
      </w:r>
      <w:r w:rsidRPr="00F711E3" w:rsidR="00811754">
        <w:rPr>
          <w:rFonts w:cs="Arial"/>
        </w:rPr>
        <w:t>County of Marin</w:t>
      </w:r>
      <w:r w:rsidR="00811754">
        <w:rPr>
          <w:rFonts w:cs="Arial"/>
        </w:rPr>
        <w:t>,</w:t>
      </w:r>
      <w:r w:rsidRPr="00F711E3" w:rsidR="00811754">
        <w:rPr>
          <w:rFonts w:cs="Arial"/>
        </w:rPr>
        <w:t xml:space="preserve"> </w:t>
      </w:r>
      <w:r w:rsidR="00811754">
        <w:rPr>
          <w:rFonts w:cs="Arial"/>
        </w:rPr>
        <w:t>County of Napa,</w:t>
      </w:r>
      <w:r w:rsidRPr="00F711E3" w:rsidR="00811754">
        <w:rPr>
          <w:rFonts w:cs="Arial"/>
        </w:rPr>
        <w:t xml:space="preserve"> County of Sonoma</w:t>
      </w:r>
      <w:r w:rsidR="00811754">
        <w:rPr>
          <w:rFonts w:cs="Arial"/>
        </w:rPr>
        <w:t xml:space="preserve">, </w:t>
      </w:r>
      <w:r w:rsidRPr="00F711E3" w:rsidR="00811754">
        <w:rPr>
          <w:rFonts w:cs="Arial"/>
        </w:rPr>
        <w:t>Town of Corte Madera</w:t>
      </w:r>
      <w:r w:rsidR="00811754">
        <w:rPr>
          <w:rFonts w:cs="Arial"/>
        </w:rPr>
        <w:t xml:space="preserve">, </w:t>
      </w:r>
      <w:r w:rsidRPr="00F711E3" w:rsidR="00811754">
        <w:rPr>
          <w:rFonts w:cs="Arial"/>
        </w:rPr>
        <w:t>Town of Fairfax</w:t>
      </w:r>
      <w:r w:rsidR="00811754">
        <w:rPr>
          <w:rFonts w:cs="Arial"/>
        </w:rPr>
        <w:t xml:space="preserve">, </w:t>
      </w:r>
      <w:r w:rsidRPr="00F711E3" w:rsidR="00811754">
        <w:rPr>
          <w:rFonts w:cs="Arial"/>
        </w:rPr>
        <w:t>Town of Ross</w:t>
      </w:r>
      <w:r w:rsidR="00811754">
        <w:rPr>
          <w:rFonts w:cs="Arial"/>
        </w:rPr>
        <w:t xml:space="preserve">, </w:t>
      </w:r>
      <w:r w:rsidRPr="00F711E3" w:rsidR="00811754">
        <w:rPr>
          <w:rFonts w:cs="Arial"/>
        </w:rPr>
        <w:t>Town of Tiburon</w:t>
      </w:r>
      <w:r w:rsidR="00811754">
        <w:rPr>
          <w:rFonts w:cs="Arial"/>
        </w:rPr>
        <w:t>, Town of Yountville</w:t>
      </w:r>
      <w:r w:rsidRPr="001A6E56">
        <w:rPr>
          <w:rFonts w:cs="Arial"/>
        </w:rPr>
        <w:t>.</w:t>
      </w:r>
    </w:p>
    <w:p w:rsidRPr="00AE4E82" w:rsidR="0022751E" w:rsidP="0022751E" w:rsidRDefault="0022751E" w14:paraId="4FBDEB1A" w14:textId="77777777">
      <w:pPr>
        <w:ind w:left="1260"/>
        <w:rPr>
          <w:rFonts w:cs="Arial"/>
        </w:rPr>
      </w:pPr>
      <w:r w:rsidRPr="001A6E56">
        <w:rPr>
          <w:b/>
        </w:rPr>
        <w:t>Wasteload Allocations</w:t>
      </w:r>
      <w:r w:rsidRPr="001A6E56">
        <w:rPr>
          <w:rFonts w:cs="Arial"/>
        </w:rPr>
        <w:t xml:space="preserve">: </w:t>
      </w:r>
      <w:r>
        <w:t xml:space="preserve">The TMDL is allocated to all urban runoff, including urban runoff associated with municipal separate storm sewer systems. </w:t>
      </w:r>
      <w:r w:rsidRPr="00AE4E82">
        <w:t>The allocations are expressed in terms of toxic units and diazinon concentrations in urban creek water</w:t>
      </w:r>
      <w:r>
        <w:t>, and are the same as the numeric targets</w:t>
      </w:r>
      <w:r w:rsidRPr="00AE4E82">
        <w:t xml:space="preserve">. </w:t>
      </w:r>
      <w:r w:rsidRPr="00AE4E82">
        <w:rPr>
          <w:rFonts w:cs="Arial"/>
        </w:rPr>
        <w:t xml:space="preserve">The </w:t>
      </w:r>
      <w:r>
        <w:rPr>
          <w:rFonts w:cs="Arial"/>
        </w:rPr>
        <w:t>wasteload</w:t>
      </w:r>
      <w:r w:rsidRPr="00AE4E82">
        <w:rPr>
          <w:rFonts w:cs="Arial"/>
        </w:rPr>
        <w:t xml:space="preserve"> allocation for diazinon is 100 nanograms per liter as a one-hour average, which addresses both acute and chronic diazinon-related toxicity. The </w:t>
      </w:r>
      <w:r>
        <w:rPr>
          <w:rFonts w:cs="Arial"/>
        </w:rPr>
        <w:t>wasteload</w:t>
      </w:r>
      <w:r w:rsidRPr="00AE4E82">
        <w:rPr>
          <w:rFonts w:cs="Arial"/>
        </w:rPr>
        <w:t xml:space="preserve"> allocation for toxicity is 1.0 Acute Toxicity Unit (TUa) and 1.0 Chronic Toxicity Unit (TUc).</w:t>
      </w:r>
      <w:r>
        <w:rPr>
          <w:rFonts w:cs="Arial"/>
        </w:rPr>
        <w:t xml:space="preserve"> </w:t>
      </w:r>
      <w:r>
        <w:t>Although the allocations apply to all urban runoff, responsibility for attaining the allocations is not the sole responsibility of urban runoff management agencies, whose authority to regulate pesticide use is constrained.</w:t>
      </w:r>
    </w:p>
    <w:p w:rsidRPr="00D52F4F" w:rsidR="0022751E" w:rsidP="00AA444E" w:rsidRDefault="0022751E" w14:paraId="43F11EE2" w14:textId="4A13D5B1">
      <w:pPr>
        <w:ind w:left="1260"/>
        <w:rPr>
          <w:b/>
        </w:rPr>
      </w:pPr>
      <w:r w:rsidRPr="00111C73">
        <w:rPr>
          <w:b/>
        </w:rPr>
        <w:t xml:space="preserve">Final Compliance Deadline: </w:t>
      </w:r>
      <w:r w:rsidR="00E92E9E">
        <w:rPr>
          <w:bCs/>
        </w:rPr>
        <w:t xml:space="preserve">The TMDL does not specify a final compliance deadline. </w:t>
      </w:r>
      <w:r w:rsidR="00E727CF">
        <w:rPr>
          <w:bCs/>
        </w:rPr>
        <w:t xml:space="preserve">The San Francisco Bay Water Board </w:t>
      </w:r>
      <w:r w:rsidR="0022345F">
        <w:rPr>
          <w:bCs/>
        </w:rPr>
        <w:t xml:space="preserve">will periodically </w:t>
      </w:r>
      <w:r w:rsidR="0022345F">
        <w:rPr>
          <w:bCs/>
        </w:rPr>
        <w:t>review</w:t>
      </w:r>
      <w:r w:rsidRPr="0022345F" w:rsidR="0022345F">
        <w:rPr>
          <w:bCs/>
        </w:rPr>
        <w:t xml:space="preserve"> effectiveness of the implementation actions, the monitoring undertaken to track progress toward meeting the targets, and the most current scientific understanding pertaining to pesticide-related toxicity, and the strategy will be adapted as necessary to reflect changing conditions and information.</w:t>
      </w:r>
    </w:p>
    <w:p w:rsidRPr="00F33B01" w:rsidR="0022751E" w:rsidP="00F33B01" w:rsidRDefault="00836361" w14:paraId="143AA729" w14:textId="2DDE52A1">
      <w:pPr>
        <w:pStyle w:val="Heading3"/>
        <w:tabs>
          <w:tab w:val="clear" w:pos="720"/>
          <w:tab w:val="left" w:pos="1260"/>
        </w:tabs>
        <w:ind w:left="1260" w:hanging="1260"/>
        <w:rPr>
          <w:i/>
          <w:iCs/>
        </w:rPr>
      </w:pPr>
      <w:r>
        <w:rPr>
          <w:i/>
          <w:iCs/>
        </w:rPr>
        <w:t>A13</w:t>
      </w:r>
      <w:r w:rsidRPr="00F33B01" w:rsidR="00145EE6">
        <w:rPr>
          <w:i/>
          <w:iCs/>
        </w:rPr>
        <w:t>.</w:t>
      </w:r>
      <w:r w:rsidRPr="00F33B01" w:rsidR="003E15DA">
        <w:rPr>
          <w:i/>
          <w:iCs/>
        </w:rPr>
        <w:t>2</w:t>
      </w:r>
      <w:r w:rsidRPr="00F33B01" w:rsidR="0022751E">
        <w:rPr>
          <w:i/>
          <w:iCs/>
        </w:rPr>
        <w:t>.2</w:t>
      </w:r>
      <w:r w:rsidRPr="00F33B01" w:rsidR="0022751E">
        <w:rPr>
          <w:i/>
          <w:iCs/>
        </w:rPr>
        <w:tab/>
      </w:r>
      <w:r w:rsidRPr="00F33B01" w:rsidR="0022751E">
        <w:rPr>
          <w:i/>
          <w:iCs/>
        </w:rPr>
        <w:t>Napa River Pathogens TMDL</w:t>
      </w:r>
    </w:p>
    <w:p w:rsidRPr="005C1A8C" w:rsidR="0022751E" w:rsidP="0022751E" w:rsidRDefault="0022751E" w14:paraId="292B8851" w14:textId="6EB089E9">
      <w:pPr>
        <w:ind w:left="1260"/>
        <w:rPr>
          <w:bCs/>
        </w:rPr>
      </w:pPr>
      <w:r w:rsidRPr="005C1A8C">
        <w:rPr>
          <w:b/>
        </w:rPr>
        <w:t xml:space="preserve">Description: </w:t>
      </w:r>
      <w:r w:rsidRPr="005C1A8C">
        <w:rPr>
          <w:bCs/>
        </w:rPr>
        <w:t xml:space="preserve">Napa River </w:t>
      </w:r>
      <w:r w:rsidRPr="00E67021">
        <w:rPr>
          <w:bCs/>
        </w:rPr>
        <w:t>and its tributaries are impaired by pathogens.</w:t>
      </w:r>
      <w:r w:rsidRPr="005C1A8C">
        <w:rPr>
          <w:bCs/>
        </w:rPr>
        <w:t xml:space="preserve"> The listing was made in response to elevated bacteria in the river, which indicate the presence of fecal contamination and health risks to recreational users from water-borne pathogens. </w:t>
      </w:r>
      <w:r w:rsidRPr="00E7123E">
        <w:rPr>
          <w:bCs/>
        </w:rPr>
        <w:t>The overall goal of this TMDL is to</w:t>
      </w:r>
      <w:r>
        <w:rPr>
          <w:bCs/>
        </w:rPr>
        <w:t xml:space="preserve"> </w:t>
      </w:r>
      <w:r w:rsidRPr="00E7123E">
        <w:rPr>
          <w:bCs/>
        </w:rPr>
        <w:t>minimize human exposure to waterborne disease-causing pathogens and to protect uses of water</w:t>
      </w:r>
      <w:r>
        <w:rPr>
          <w:bCs/>
        </w:rPr>
        <w:t xml:space="preserve"> </w:t>
      </w:r>
      <w:r w:rsidRPr="00E7123E">
        <w:rPr>
          <w:bCs/>
        </w:rPr>
        <w:t>for recreational activities such as wading, swimming, fishing, and rafting.</w:t>
      </w:r>
      <w:r>
        <w:rPr>
          <w:bCs/>
        </w:rPr>
        <w:t xml:space="preserve"> </w:t>
      </w:r>
      <w:r>
        <w:t xml:space="preserve">The most common sources of pathogens are wastes from warm-blooded animals, including humans, livestock, domestic pets, and wildlife. </w:t>
      </w:r>
      <w:r w:rsidRPr="005C1A8C">
        <w:rPr>
          <w:bCs/>
        </w:rPr>
        <w:t>Potential pathogen sources in the watershed include municipal stormwater runoff.</w:t>
      </w:r>
    </w:p>
    <w:p w:rsidRPr="001C4543" w:rsidR="0022751E" w:rsidP="0022751E" w:rsidRDefault="0022751E" w14:paraId="06195CA7" w14:textId="5DDBF621">
      <w:pPr>
        <w:ind w:left="1260"/>
        <w:rPr>
          <w:rFonts w:cs="Arial"/>
        </w:rPr>
      </w:pPr>
      <w:r w:rsidRPr="006A53D3">
        <w:rPr>
          <w:rFonts w:cs="Arial" w:eastAsiaTheme="minorHAnsi"/>
          <w:b/>
        </w:rPr>
        <w:t>Responsible Permit</w:t>
      </w:r>
      <w:r w:rsidR="00A84C66">
        <w:rPr>
          <w:rFonts w:cs="Arial" w:eastAsiaTheme="minorHAnsi"/>
          <w:b/>
        </w:rPr>
        <w:t>t</w:t>
      </w:r>
      <w:r w:rsidRPr="006A53D3">
        <w:rPr>
          <w:rFonts w:cs="Arial" w:eastAsiaTheme="minorHAnsi"/>
          <w:b/>
        </w:rPr>
        <w:t>ees</w:t>
      </w:r>
      <w:r w:rsidRPr="001C4543">
        <w:rPr>
          <w:rFonts w:cs="Arial" w:eastAsiaTheme="minorHAnsi"/>
          <w:b/>
        </w:rPr>
        <w:t>:</w:t>
      </w:r>
      <w:r w:rsidRPr="001C4543">
        <w:rPr>
          <w:rFonts w:cs="Arial" w:eastAsiaTheme="minorHAnsi"/>
        </w:rPr>
        <w:t xml:space="preserve"> </w:t>
      </w:r>
      <w:r w:rsidRPr="001C4543">
        <w:rPr>
          <w:rFonts w:cs="Arial"/>
        </w:rPr>
        <w:t>The TMDL identifies the Cities of American Canyon, Calistoga, St. Helena and Napa, the Town of Yountville and the County of Napa as responsible parties for implementing the stormwater runoff requirements of this TMDL.</w:t>
      </w:r>
    </w:p>
    <w:p w:rsidRPr="00D264C5" w:rsidR="0022751E" w:rsidP="0022751E" w:rsidRDefault="0022751E" w14:paraId="16042240" w14:textId="77777777">
      <w:pPr>
        <w:spacing w:before="240"/>
        <w:ind w:left="1267"/>
        <w:rPr>
          <w:rFonts w:cs="Arial"/>
        </w:rPr>
      </w:pPr>
      <w:r>
        <w:rPr>
          <w:rFonts w:cs="Arial" w:eastAsiaTheme="minorHAnsi"/>
          <w:b/>
        </w:rPr>
        <w:t>Wasteload</w:t>
      </w:r>
      <w:r w:rsidRPr="00D264C5">
        <w:rPr>
          <w:rFonts w:cs="Arial" w:eastAsiaTheme="minorHAnsi"/>
          <w:b/>
        </w:rPr>
        <w:t xml:space="preserve"> Allocations</w:t>
      </w:r>
      <w:r w:rsidRPr="00D264C5">
        <w:rPr>
          <w:rFonts w:cs="Arial" w:eastAsiaTheme="minorHAnsi"/>
        </w:rPr>
        <w:t xml:space="preserve">: </w:t>
      </w:r>
      <w:r w:rsidRPr="00221F81">
        <w:t xml:space="preserve">San Francisco Bay Water Board staff, in collaboration with </w:t>
      </w:r>
      <w:r>
        <w:t>Permittees</w:t>
      </w:r>
      <w:r w:rsidRPr="00221F81">
        <w:t xml:space="preserve">, will conduct water quality monitoring to evaluate </w:t>
      </w:r>
      <w:r w:rsidRPr="00221F81">
        <w:rPr>
          <w:i/>
          <w:iCs/>
        </w:rPr>
        <w:t xml:space="preserve">E. coli </w:t>
      </w:r>
      <w:r w:rsidRPr="00221F81">
        <w:t>concentration trends in the Napa River and its tributaries.</w:t>
      </w:r>
      <w:r>
        <w:t xml:space="preserve"> </w:t>
      </w:r>
      <w:r>
        <w:rPr>
          <w:rFonts w:cs="Arial" w:eastAsiaTheme="minorHAnsi"/>
        </w:rPr>
        <w:t>Napa River pathogen w</w:t>
      </w:r>
      <w:r w:rsidRPr="00491A81">
        <w:rPr>
          <w:rFonts w:cs="Arial"/>
        </w:rPr>
        <w:t>asteload allocations are based on a minimum of five consecutive samples collected at equal intervals over a 30-day period. These allocations are applicable year-round.</w:t>
      </w:r>
      <w:r>
        <w:rPr>
          <w:rFonts w:cs="Arial"/>
        </w:rPr>
        <w:t xml:space="preserve"> </w:t>
      </w:r>
      <w:r w:rsidRPr="00D264C5">
        <w:rPr>
          <w:rFonts w:cs="Arial"/>
        </w:rPr>
        <w:t xml:space="preserve">The Napa River pathogens TMDL </w:t>
      </w:r>
      <w:bookmarkStart w:name="_Hlk80708630" w:id="82"/>
      <w:r w:rsidRPr="00D264C5">
        <w:rPr>
          <w:rFonts w:cs="Arial"/>
        </w:rPr>
        <w:t xml:space="preserve">assigns a group </w:t>
      </w:r>
      <w:r>
        <w:rPr>
          <w:rFonts w:cs="Arial"/>
        </w:rPr>
        <w:t>wasteload</w:t>
      </w:r>
      <w:r w:rsidRPr="00D264C5">
        <w:rPr>
          <w:rFonts w:cs="Arial"/>
        </w:rPr>
        <w:t xml:space="preserve"> allocation to municipal stormwater sources in units of colony-forming units, as follows:</w:t>
      </w:r>
      <w:bookmarkEnd w:id="82"/>
    </w:p>
    <w:p w:rsidR="0022751E" w:rsidP="003F7839" w:rsidRDefault="0022751E" w14:paraId="37A2B1D7" w14:textId="5A41BCCA">
      <w:pPr>
        <w:spacing w:before="240" w:after="0" w:line="240" w:lineRule="auto"/>
        <w:ind w:left="3060" w:hanging="1800"/>
        <w:rPr>
          <w:b/>
          <w:bCs/>
          <w:sz w:val="22"/>
          <w:szCs w:val="22"/>
        </w:rPr>
      </w:pPr>
      <w:r w:rsidRPr="00AF13B3">
        <w:rPr>
          <w:rFonts w:cs="Arial" w:eastAsiaTheme="minorHAnsi"/>
          <w:b/>
          <w:sz w:val="22"/>
          <w:szCs w:val="22"/>
        </w:rPr>
        <w:t xml:space="preserve">Napa River Pathogens Municipal Runoff Group Wasteload Allocations </w:t>
      </w:r>
      <w:r w:rsidRPr="00AF13B3">
        <w:rPr>
          <w:rFonts w:cs="Arial"/>
          <w:b/>
          <w:bCs/>
          <w:sz w:val="22"/>
          <w:szCs w:val="22"/>
        </w:rPr>
        <w:t>(colony-forming units</w:t>
      </w:r>
      <w:r w:rsidRPr="00AF13B3">
        <w:rPr>
          <w:b/>
          <w:bCs/>
          <w:sz w:val="22"/>
          <w:szCs w:val="22"/>
        </w:rPr>
        <w:t>/100 mL)</w:t>
      </w:r>
    </w:p>
    <w:p w:rsidRPr="00210E76" w:rsidR="00210E76" w:rsidP="00595D58" w:rsidRDefault="00210E76" w14:paraId="091AE403" w14:textId="77777777">
      <w:pPr>
        <w:tabs>
          <w:tab w:val="left" w:pos="6030"/>
        </w:tabs>
        <w:ind w:left="1710"/>
        <w:rPr>
          <w:rFonts w:eastAsia="Aptos"/>
          <w:szCs w:val="22"/>
          <w:lang w:eastAsia="en-US"/>
        </w:rPr>
      </w:pPr>
      <w:r w:rsidRPr="00651BA2">
        <w:rPr>
          <w:rFonts w:eastAsia="Aptos"/>
          <w:i/>
          <w:iCs/>
          <w:szCs w:val="22"/>
          <w:lang w:eastAsia="en-US"/>
        </w:rPr>
        <w:t>E. coli</w:t>
      </w:r>
      <w:r w:rsidRPr="00210E76">
        <w:rPr>
          <w:rFonts w:eastAsia="Aptos"/>
          <w:szCs w:val="22"/>
          <w:lang w:eastAsia="en-US"/>
        </w:rPr>
        <w:t xml:space="preserve"> Geometric Mean</w:t>
      </w:r>
      <w:r w:rsidRPr="00210E76">
        <w:rPr>
          <w:rFonts w:eastAsia="Aptos"/>
          <w:szCs w:val="22"/>
          <w:lang w:eastAsia="en-US"/>
        </w:rPr>
        <w:tab/>
      </w:r>
      <w:r w:rsidRPr="00210E76">
        <w:rPr>
          <w:rFonts w:eastAsia="Aptos"/>
          <w:szCs w:val="22"/>
          <w:lang w:eastAsia="en-US"/>
        </w:rPr>
        <w:t>&lt;113</w:t>
      </w:r>
    </w:p>
    <w:p w:rsidRPr="00210E76" w:rsidR="00210E76" w:rsidP="00595D58" w:rsidRDefault="00210E76" w14:paraId="67A9EDFA" w14:textId="77777777">
      <w:pPr>
        <w:tabs>
          <w:tab w:val="left" w:pos="6030"/>
        </w:tabs>
        <w:ind w:left="1710"/>
        <w:rPr>
          <w:rFonts w:eastAsia="Aptos"/>
          <w:szCs w:val="22"/>
          <w:lang w:eastAsia="en-US"/>
        </w:rPr>
      </w:pPr>
      <w:r w:rsidRPr="00651BA2">
        <w:rPr>
          <w:rFonts w:eastAsia="Aptos"/>
          <w:i/>
          <w:iCs/>
          <w:szCs w:val="22"/>
          <w:lang w:eastAsia="en-US"/>
        </w:rPr>
        <w:t>E. coli</w:t>
      </w:r>
      <w:r w:rsidRPr="00210E76">
        <w:rPr>
          <w:rFonts w:eastAsia="Aptos"/>
          <w:szCs w:val="22"/>
          <w:lang w:eastAsia="en-US"/>
        </w:rPr>
        <w:t xml:space="preserve"> 90th percentile</w:t>
      </w:r>
      <w:r w:rsidRPr="00210E76">
        <w:rPr>
          <w:rFonts w:eastAsia="Aptos"/>
          <w:szCs w:val="22"/>
          <w:lang w:eastAsia="en-US"/>
        </w:rPr>
        <w:tab/>
      </w:r>
      <w:r w:rsidRPr="00210E76">
        <w:rPr>
          <w:rFonts w:eastAsia="Aptos"/>
          <w:szCs w:val="22"/>
          <w:lang w:eastAsia="en-US"/>
        </w:rPr>
        <w:t>&lt;368</w:t>
      </w:r>
    </w:p>
    <w:p w:rsidRPr="00210E76" w:rsidR="00210E76" w:rsidP="00595D58" w:rsidRDefault="00210E76" w14:paraId="7D1B7412" w14:textId="77777777">
      <w:pPr>
        <w:tabs>
          <w:tab w:val="left" w:pos="6030"/>
        </w:tabs>
        <w:ind w:left="1710"/>
        <w:rPr>
          <w:rFonts w:eastAsia="Aptos"/>
          <w:szCs w:val="22"/>
          <w:lang w:eastAsia="en-US"/>
        </w:rPr>
      </w:pPr>
      <w:r w:rsidRPr="00210E76">
        <w:rPr>
          <w:rFonts w:eastAsia="Aptos"/>
          <w:szCs w:val="22"/>
          <w:lang w:eastAsia="en-US"/>
        </w:rPr>
        <w:t>Fecal Coliform Geometric Mean</w:t>
      </w:r>
      <w:r w:rsidRPr="00210E76">
        <w:rPr>
          <w:rFonts w:eastAsia="Aptos"/>
          <w:szCs w:val="22"/>
          <w:lang w:eastAsia="en-US"/>
        </w:rPr>
        <w:tab/>
      </w:r>
      <w:r w:rsidRPr="00210E76">
        <w:rPr>
          <w:rFonts w:eastAsia="Aptos"/>
          <w:szCs w:val="22"/>
          <w:lang w:eastAsia="en-US"/>
        </w:rPr>
        <w:t>&lt;180</w:t>
      </w:r>
    </w:p>
    <w:p w:rsidRPr="00210E76" w:rsidR="00210E76" w:rsidP="00595D58" w:rsidRDefault="00210E76" w14:paraId="2140D818" w14:textId="77777777">
      <w:pPr>
        <w:tabs>
          <w:tab w:val="left" w:pos="6030"/>
        </w:tabs>
        <w:ind w:left="1710"/>
        <w:rPr>
          <w:rFonts w:eastAsia="Aptos"/>
          <w:szCs w:val="22"/>
          <w:lang w:eastAsia="en-US"/>
        </w:rPr>
      </w:pPr>
      <w:r w:rsidRPr="00210E76">
        <w:rPr>
          <w:rFonts w:eastAsia="Aptos"/>
          <w:szCs w:val="22"/>
          <w:lang w:eastAsia="en-US"/>
        </w:rPr>
        <w:t>Fecal Coliform 90th percentile</w:t>
      </w:r>
      <w:r w:rsidRPr="00210E76">
        <w:rPr>
          <w:rFonts w:eastAsia="Aptos"/>
          <w:szCs w:val="22"/>
          <w:lang w:eastAsia="en-US"/>
        </w:rPr>
        <w:tab/>
      </w:r>
      <w:r w:rsidRPr="00210E76">
        <w:rPr>
          <w:rFonts w:eastAsia="Aptos"/>
          <w:szCs w:val="22"/>
          <w:lang w:eastAsia="en-US"/>
        </w:rPr>
        <w:t>&lt;360</w:t>
      </w:r>
    </w:p>
    <w:p w:rsidRPr="00210E76" w:rsidR="00210E76" w:rsidP="00595D58" w:rsidRDefault="00210E76" w14:paraId="4FAEC671" w14:textId="77777777">
      <w:pPr>
        <w:tabs>
          <w:tab w:val="left" w:pos="6030"/>
        </w:tabs>
        <w:ind w:left="1710"/>
        <w:rPr>
          <w:rFonts w:eastAsia="Aptos"/>
          <w:szCs w:val="22"/>
          <w:lang w:eastAsia="en-US"/>
        </w:rPr>
      </w:pPr>
      <w:r w:rsidRPr="00210E76">
        <w:rPr>
          <w:rFonts w:eastAsia="Aptos"/>
          <w:szCs w:val="22"/>
          <w:lang w:eastAsia="en-US"/>
        </w:rPr>
        <w:t>Total Coliform Median</w:t>
      </w:r>
      <w:r w:rsidRPr="00210E76">
        <w:rPr>
          <w:rFonts w:eastAsia="Aptos"/>
          <w:szCs w:val="22"/>
          <w:lang w:eastAsia="en-US"/>
        </w:rPr>
        <w:tab/>
      </w:r>
      <w:r w:rsidRPr="00210E76">
        <w:rPr>
          <w:rFonts w:eastAsia="Aptos"/>
          <w:szCs w:val="22"/>
          <w:lang w:eastAsia="en-US"/>
        </w:rPr>
        <w:t>&lt;216</w:t>
      </w:r>
    </w:p>
    <w:p w:rsidRPr="00210E76" w:rsidR="00210E76" w:rsidP="00595D58" w:rsidRDefault="00210E76" w14:paraId="7EFFBFF4" w14:textId="77777777">
      <w:pPr>
        <w:tabs>
          <w:tab w:val="left" w:pos="6030"/>
        </w:tabs>
        <w:ind w:left="1710"/>
        <w:rPr>
          <w:rFonts w:eastAsia="Aptos"/>
          <w:szCs w:val="22"/>
          <w:lang w:eastAsia="en-US"/>
        </w:rPr>
      </w:pPr>
      <w:r w:rsidRPr="00210E76">
        <w:rPr>
          <w:rFonts w:eastAsia="Aptos"/>
          <w:szCs w:val="22"/>
          <w:lang w:eastAsia="en-US"/>
        </w:rPr>
        <w:t>Total Coliform Single Sample Maximum</w:t>
      </w:r>
      <w:r w:rsidRPr="00210E76">
        <w:rPr>
          <w:rFonts w:eastAsia="Aptos"/>
          <w:szCs w:val="22"/>
          <w:lang w:eastAsia="en-US"/>
        </w:rPr>
        <w:tab/>
      </w:r>
      <w:r w:rsidRPr="00210E76">
        <w:rPr>
          <w:rFonts w:eastAsia="Aptos"/>
          <w:szCs w:val="22"/>
          <w:lang w:eastAsia="en-US"/>
        </w:rPr>
        <w:t>9,000</w:t>
      </w:r>
    </w:p>
    <w:p w:rsidRPr="00221F81" w:rsidR="0022751E" w:rsidP="0022751E" w:rsidRDefault="0022751E" w14:paraId="3CAF4B6A" w14:textId="77777777">
      <w:pPr>
        <w:ind w:left="1260"/>
        <w:rPr>
          <w:bCs/>
        </w:rPr>
      </w:pPr>
      <w:r w:rsidRPr="00221F81">
        <w:rPr>
          <w:b/>
        </w:rPr>
        <w:t xml:space="preserve">Final Compliance Deadlines: </w:t>
      </w:r>
      <w:r w:rsidRPr="00221F81">
        <w:rPr>
          <w:bCs/>
        </w:rPr>
        <w:t>The TMDL does not include a final compliance deadline. This is an on-going effort that is implemented throughout the term of this Order.</w:t>
      </w:r>
    </w:p>
    <w:p w:rsidRPr="00F33B01" w:rsidR="0022751E" w:rsidP="00F33B01" w:rsidRDefault="00836361" w14:paraId="2BECF50E" w14:textId="0C90870F">
      <w:pPr>
        <w:pStyle w:val="Heading3"/>
        <w:tabs>
          <w:tab w:val="clear" w:pos="720"/>
          <w:tab w:val="left" w:pos="1260"/>
        </w:tabs>
        <w:ind w:left="1260" w:hanging="1260"/>
        <w:rPr>
          <w:i/>
          <w:iCs/>
        </w:rPr>
      </w:pPr>
      <w:r>
        <w:rPr>
          <w:i/>
          <w:iCs/>
        </w:rPr>
        <w:t>A13</w:t>
      </w:r>
      <w:r w:rsidRPr="00F33B01" w:rsidR="00145EE6">
        <w:rPr>
          <w:i/>
          <w:iCs/>
        </w:rPr>
        <w:t>.</w:t>
      </w:r>
      <w:r w:rsidRPr="00F33B01" w:rsidR="003E15DA">
        <w:rPr>
          <w:i/>
          <w:iCs/>
        </w:rPr>
        <w:t>2</w:t>
      </w:r>
      <w:r w:rsidRPr="00F33B01" w:rsidR="0022751E">
        <w:rPr>
          <w:i/>
          <w:iCs/>
        </w:rPr>
        <w:t>.3</w:t>
      </w:r>
      <w:r w:rsidRPr="00F33B01" w:rsidR="0022751E">
        <w:rPr>
          <w:i/>
          <w:iCs/>
        </w:rPr>
        <w:tab/>
      </w:r>
      <w:r w:rsidRPr="00F33B01" w:rsidR="0022751E">
        <w:rPr>
          <w:i/>
          <w:iCs/>
        </w:rPr>
        <w:t>Sonoma Creek Pathogens TMDL</w:t>
      </w:r>
    </w:p>
    <w:p w:rsidRPr="00610D5E" w:rsidR="0022751E" w:rsidP="0022751E" w:rsidRDefault="0022751E" w14:paraId="3C81E1DE" w14:textId="77777777">
      <w:pPr>
        <w:ind w:left="1260"/>
        <w:rPr>
          <w:rFonts w:cs="Arial"/>
        </w:rPr>
      </w:pPr>
      <w:r w:rsidRPr="00610D5E">
        <w:rPr>
          <w:rFonts w:cs="Arial"/>
          <w:b/>
        </w:rPr>
        <w:t>Description</w:t>
      </w:r>
      <w:r w:rsidRPr="00610D5E">
        <w:rPr>
          <w:rFonts w:cs="Arial"/>
        </w:rPr>
        <w:t xml:space="preserve">: Sonoma Creek and its tributaries are impaired by pathogens, which impairs water contact and non-contact recreation beneficial uses. </w:t>
      </w:r>
      <w:r>
        <w:t>W</w:t>
      </w:r>
      <w:r w:rsidRPr="00610D5E">
        <w:t>astes from warm-blooded animals, including humans, livestock, domestic pets, and wildlife</w:t>
      </w:r>
      <w:r>
        <w:t xml:space="preserve"> pollutes stormwater runoff with pathogens</w:t>
      </w:r>
      <w:r w:rsidRPr="00610D5E">
        <w:t xml:space="preserve">. </w:t>
      </w:r>
      <w:r w:rsidRPr="00610D5E">
        <w:rPr>
          <w:rFonts w:cs="Arial"/>
        </w:rPr>
        <w:t>The TMDL identifies municipal stormwater runoff as a source of pathogens.</w:t>
      </w:r>
    </w:p>
    <w:p w:rsidRPr="00672330" w:rsidR="0022751E" w:rsidP="0022751E" w:rsidRDefault="0022751E" w14:paraId="5DC2DBEF" w14:textId="4EF964DB">
      <w:pPr>
        <w:ind w:left="1260"/>
        <w:rPr>
          <w:rFonts w:cs="Arial"/>
        </w:rPr>
      </w:pPr>
      <w:r w:rsidRPr="006A53D3">
        <w:rPr>
          <w:rFonts w:cs="Arial"/>
          <w:b/>
        </w:rPr>
        <w:t>Responsible Permit</w:t>
      </w:r>
      <w:r w:rsidR="0091593F">
        <w:rPr>
          <w:rFonts w:cs="Arial"/>
          <w:b/>
        </w:rPr>
        <w:t>t</w:t>
      </w:r>
      <w:r w:rsidRPr="006A53D3">
        <w:rPr>
          <w:rFonts w:cs="Arial"/>
          <w:b/>
        </w:rPr>
        <w:t>ees</w:t>
      </w:r>
      <w:r w:rsidRPr="00ED4AFC">
        <w:rPr>
          <w:rFonts w:cs="Arial"/>
          <w:b/>
        </w:rPr>
        <w:t xml:space="preserve">: </w:t>
      </w:r>
      <w:r w:rsidRPr="00ED4AFC">
        <w:t>T</w:t>
      </w:r>
      <w:r w:rsidRPr="00672330">
        <w:t xml:space="preserve">he TMDL identifies the City of Sonoma, the County of Sonoma, and </w:t>
      </w:r>
      <w:r w:rsidR="00651BA2">
        <w:t>Sonoma Water</w:t>
      </w:r>
      <w:r w:rsidRPr="00672330">
        <w:t xml:space="preserve"> as municipal stormwater sources are responsible for implementing</w:t>
      </w:r>
      <w:r w:rsidRPr="00672330">
        <w:rPr>
          <w:rFonts w:cs="Arial"/>
        </w:rPr>
        <w:t xml:space="preserve"> the requirements of this TMDL.</w:t>
      </w:r>
    </w:p>
    <w:p w:rsidRPr="00B6200E" w:rsidR="0022751E" w:rsidP="0022751E" w:rsidRDefault="0022751E" w14:paraId="177C5B4F" w14:textId="77777777">
      <w:pPr>
        <w:ind w:left="1267"/>
        <w:rPr>
          <w:rFonts w:cs="Arial"/>
        </w:rPr>
      </w:pPr>
      <w:r w:rsidRPr="00672330">
        <w:rPr>
          <w:b/>
        </w:rPr>
        <w:t xml:space="preserve">Wasteload Allocations: </w:t>
      </w:r>
      <w:r w:rsidRPr="00B6200E">
        <w:rPr>
          <w:rFonts w:cs="Arial"/>
        </w:rPr>
        <w:t xml:space="preserve">The Sonoma Creek Pathogens TMDL assigns a group </w:t>
      </w:r>
      <w:r>
        <w:rPr>
          <w:rFonts w:cs="Arial"/>
        </w:rPr>
        <w:t>wasteload</w:t>
      </w:r>
      <w:r w:rsidRPr="00B6200E">
        <w:rPr>
          <w:rFonts w:cs="Arial"/>
        </w:rPr>
        <w:t xml:space="preserve"> allocation to municipal stormwater permittees. The wasteload allocations are based on a minimum of five consecutive samples collected at equal intervals over a 30-day period. These allocations are applicable year-round:</w:t>
      </w:r>
    </w:p>
    <w:p w:rsidR="0022751E" w:rsidP="003724E1" w:rsidRDefault="0022751E" w14:paraId="18C7A65D" w14:textId="3B39A0EA">
      <w:pPr>
        <w:pStyle w:val="TableHead"/>
        <w:ind w:left="2430" w:hanging="1170"/>
      </w:pPr>
      <w:r w:rsidRPr="00AF13B3">
        <w:t>Sonoma Creek Pathogens Group Wasteload Allocations</w:t>
      </w:r>
      <w:r w:rsidR="00AF13B3">
        <w:t xml:space="preserve"> </w:t>
      </w:r>
      <w:r w:rsidR="003724E1">
        <w:br/>
      </w:r>
      <w:r w:rsidRPr="00AF13B3">
        <w:t>(colony-forming units)</w:t>
      </w:r>
    </w:p>
    <w:p w:rsidR="00177030" w:rsidP="00177030" w:rsidRDefault="00177030" w14:paraId="30685463" w14:textId="77777777">
      <w:pPr>
        <w:tabs>
          <w:tab w:val="left" w:pos="5760"/>
        </w:tabs>
        <w:ind w:firstLine="1260"/>
      </w:pPr>
      <w:r w:rsidRPr="00D52634">
        <w:rPr>
          <w:i/>
          <w:iCs/>
        </w:rPr>
        <w:t>E. coli</w:t>
      </w:r>
      <w:r>
        <w:t xml:space="preserve"> Geometric Mean</w:t>
      </w:r>
      <w:r>
        <w:tab/>
      </w:r>
      <w:r>
        <w:t>&lt;113</w:t>
      </w:r>
    </w:p>
    <w:p w:rsidR="00177030" w:rsidP="00177030" w:rsidRDefault="00177030" w14:paraId="2D7A1935" w14:textId="77777777">
      <w:pPr>
        <w:tabs>
          <w:tab w:val="left" w:pos="5760"/>
        </w:tabs>
        <w:ind w:firstLine="1260"/>
      </w:pPr>
      <w:r w:rsidRPr="00D52634">
        <w:rPr>
          <w:i/>
          <w:iCs/>
        </w:rPr>
        <w:t>E. coli</w:t>
      </w:r>
      <w:r>
        <w:t xml:space="preserve"> 90th percentile</w:t>
      </w:r>
      <w:r>
        <w:tab/>
      </w:r>
      <w:r>
        <w:t>&lt;368</w:t>
      </w:r>
    </w:p>
    <w:p w:rsidR="00177030" w:rsidP="00177030" w:rsidRDefault="00177030" w14:paraId="4025C56B" w14:textId="77777777">
      <w:pPr>
        <w:tabs>
          <w:tab w:val="left" w:pos="5760"/>
        </w:tabs>
        <w:ind w:firstLine="1260"/>
      </w:pPr>
      <w:r>
        <w:t>Fecal Coliform Geometric Mean</w:t>
      </w:r>
      <w:r>
        <w:tab/>
      </w:r>
      <w:r>
        <w:t>&lt;180</w:t>
      </w:r>
    </w:p>
    <w:p w:rsidR="00177030" w:rsidP="00177030" w:rsidRDefault="00177030" w14:paraId="0413786F" w14:textId="77777777">
      <w:pPr>
        <w:tabs>
          <w:tab w:val="left" w:pos="5760"/>
        </w:tabs>
        <w:ind w:firstLine="1260"/>
      </w:pPr>
      <w:r>
        <w:t>Fecal Coliform 90th percentile</w:t>
      </w:r>
      <w:r>
        <w:tab/>
      </w:r>
      <w:r>
        <w:t>&lt;360</w:t>
      </w:r>
    </w:p>
    <w:p w:rsidR="00177030" w:rsidP="00177030" w:rsidRDefault="00177030" w14:paraId="79FFF6A3" w14:textId="77777777">
      <w:pPr>
        <w:tabs>
          <w:tab w:val="left" w:pos="5760"/>
        </w:tabs>
        <w:ind w:firstLine="1260"/>
      </w:pPr>
      <w:r>
        <w:t>Total Coliform Median</w:t>
      </w:r>
      <w:r>
        <w:tab/>
      </w:r>
      <w:r>
        <w:t>&lt;216</w:t>
      </w:r>
    </w:p>
    <w:p w:rsidR="00177030" w:rsidP="00177030" w:rsidRDefault="00177030" w14:paraId="6BA5D3E2" w14:textId="77777777">
      <w:pPr>
        <w:tabs>
          <w:tab w:val="left" w:pos="4590"/>
        </w:tabs>
        <w:ind w:firstLine="1260"/>
      </w:pPr>
      <w:r>
        <w:t>Total Coliform Single Sample Maximum</w:t>
      </w:r>
      <w:r>
        <w:tab/>
      </w:r>
      <w:r>
        <w:t>9,000</w:t>
      </w:r>
    </w:p>
    <w:p w:rsidRPr="00770888" w:rsidR="0022751E" w:rsidP="0022751E" w:rsidRDefault="0022751E" w14:paraId="67D088BF" w14:textId="77777777">
      <w:pPr>
        <w:spacing w:before="240"/>
        <w:ind w:left="1267"/>
        <w:rPr>
          <w:b/>
        </w:rPr>
      </w:pPr>
      <w:r w:rsidRPr="00770888">
        <w:rPr>
          <w:b/>
        </w:rPr>
        <w:t xml:space="preserve">Final Compliance Deadlines: </w:t>
      </w:r>
      <w:r w:rsidRPr="00770888">
        <w:rPr>
          <w:bCs/>
        </w:rPr>
        <w:t>The TMDL does not include a final compliance deadline. Therefore, this is an on-going effort that is implemented throughout the term of this Order.</w:t>
      </w:r>
    </w:p>
    <w:p w:rsidRPr="00F33B01" w:rsidR="0022751E" w:rsidP="00F33B01" w:rsidRDefault="00836361" w14:paraId="461AE4AC" w14:textId="6F387AA1">
      <w:pPr>
        <w:pStyle w:val="Heading3"/>
        <w:tabs>
          <w:tab w:val="clear" w:pos="720"/>
          <w:tab w:val="left" w:pos="1260"/>
        </w:tabs>
        <w:ind w:left="1260" w:hanging="1260"/>
        <w:rPr>
          <w:i/>
          <w:iCs/>
        </w:rPr>
      </w:pPr>
      <w:r>
        <w:rPr>
          <w:i/>
          <w:iCs/>
        </w:rPr>
        <w:t>A13</w:t>
      </w:r>
      <w:r w:rsidRPr="00F33B01" w:rsidR="00145EE6">
        <w:rPr>
          <w:i/>
          <w:iCs/>
        </w:rPr>
        <w:t>.</w:t>
      </w:r>
      <w:r w:rsidRPr="00F33B01" w:rsidR="003E15DA">
        <w:rPr>
          <w:i/>
          <w:iCs/>
        </w:rPr>
        <w:t>2</w:t>
      </w:r>
      <w:r w:rsidRPr="00F33B01" w:rsidR="0022751E">
        <w:rPr>
          <w:i/>
          <w:iCs/>
        </w:rPr>
        <w:t>.4</w:t>
      </w:r>
      <w:r w:rsidRPr="00F33B01" w:rsidR="0022751E">
        <w:rPr>
          <w:i/>
          <w:iCs/>
        </w:rPr>
        <w:tab/>
      </w:r>
      <w:r w:rsidRPr="00F33B01" w:rsidR="0022751E">
        <w:rPr>
          <w:i/>
          <w:iCs/>
        </w:rPr>
        <w:t>Tomales Bay Watershed Pathogens TMDL</w:t>
      </w:r>
    </w:p>
    <w:p w:rsidRPr="0084127C" w:rsidR="0022751E" w:rsidP="0022751E" w:rsidRDefault="0022751E" w14:paraId="10C379CC" w14:textId="77777777">
      <w:pPr>
        <w:ind w:left="1260"/>
      </w:pPr>
      <w:r w:rsidRPr="0084127C">
        <w:rPr>
          <w:rFonts w:cs="Arial"/>
          <w:b/>
        </w:rPr>
        <w:t>Description:</w:t>
      </w:r>
      <w:r w:rsidRPr="0084127C">
        <w:rPr>
          <w:rFonts w:cs="Arial"/>
        </w:rPr>
        <w:t xml:space="preserve"> Tomales Bay</w:t>
      </w:r>
      <w:r>
        <w:rPr>
          <w:rFonts w:cs="Arial"/>
        </w:rPr>
        <w:t xml:space="preserve"> </w:t>
      </w:r>
      <w:r w:rsidRPr="0027792E">
        <w:t>and its main tributaries (Lagunitas, Walker, and Olema creeks)</w:t>
      </w:r>
      <w:r w:rsidRPr="0027792E">
        <w:rPr>
          <w:rFonts w:cs="Arial"/>
        </w:rPr>
        <w:t xml:space="preserve"> </w:t>
      </w:r>
      <w:r>
        <w:rPr>
          <w:rFonts w:cs="Arial"/>
        </w:rPr>
        <w:t>are</w:t>
      </w:r>
      <w:r w:rsidRPr="0027792E">
        <w:rPr>
          <w:rFonts w:cs="Arial"/>
        </w:rPr>
        <w:t xml:space="preserve"> impaired by pathoge</w:t>
      </w:r>
      <w:r w:rsidRPr="0084127C">
        <w:rPr>
          <w:rFonts w:cs="Arial"/>
        </w:rPr>
        <w:t xml:space="preserve">ns that effect beneficial uses that includes shellfish harvesting, </w:t>
      </w:r>
      <w:r w:rsidRPr="0084127C">
        <w:rPr>
          <w:sz w:val="22"/>
          <w:szCs w:val="22"/>
        </w:rPr>
        <w:t>(i.e., sport and commercial oyster, clam, and mussel harvesting), water contact recreation (i.e., swimming, fishing) and non-contact water recreation (i.e., boating, kayaking).</w:t>
      </w:r>
      <w:r w:rsidRPr="0084127C">
        <w:rPr>
          <w:rFonts w:cs="Arial"/>
        </w:rPr>
        <w:t xml:space="preserve"> </w:t>
      </w:r>
      <w:r w:rsidRPr="0084127C">
        <w:t xml:space="preserve">Municipal stormwater runoff is identified as a source of pathogens. </w:t>
      </w:r>
    </w:p>
    <w:p w:rsidRPr="0087778E" w:rsidR="0022751E" w:rsidP="0022751E" w:rsidRDefault="0022751E" w14:paraId="36243C62" w14:textId="4DF09E56">
      <w:pPr>
        <w:ind w:left="1260"/>
        <w:rPr>
          <w:rFonts w:cs="Arial"/>
        </w:rPr>
      </w:pPr>
      <w:r w:rsidRPr="006A53D3">
        <w:rPr>
          <w:b/>
        </w:rPr>
        <w:t>Responsible Permi</w:t>
      </w:r>
      <w:r w:rsidR="0091593F">
        <w:rPr>
          <w:b/>
        </w:rPr>
        <w:t>t</w:t>
      </w:r>
      <w:r w:rsidRPr="006A53D3">
        <w:rPr>
          <w:b/>
        </w:rPr>
        <w:t>tees</w:t>
      </w:r>
      <w:r w:rsidRPr="0087778E">
        <w:rPr>
          <w:b/>
        </w:rPr>
        <w:t xml:space="preserve">: </w:t>
      </w:r>
      <w:r w:rsidRPr="0087778E">
        <w:rPr>
          <w:rFonts w:cs="Arial"/>
        </w:rPr>
        <w:t>The TMDL identifies the Marin County Stormwater Pollution Prevention Program as the implementing Permittee for municipal runoff. This program provides collective stormwater management services to all cities and the County of Marin.</w:t>
      </w:r>
    </w:p>
    <w:p w:rsidRPr="0079733A" w:rsidR="0022751E" w:rsidP="0022751E" w:rsidRDefault="0022751E" w14:paraId="272D5B10" w14:textId="77777777">
      <w:pPr>
        <w:ind w:left="1260"/>
        <w:rPr>
          <w:rFonts w:cs="Arial"/>
        </w:rPr>
      </w:pPr>
      <w:r w:rsidRPr="0079733A">
        <w:rPr>
          <w:b/>
        </w:rPr>
        <w:t xml:space="preserve">Wasteload Allocations: </w:t>
      </w:r>
      <w:r w:rsidRPr="0079733A">
        <w:rPr>
          <w:rFonts w:cs="Arial"/>
        </w:rPr>
        <w:t xml:space="preserve">The TMDL assigns </w:t>
      </w:r>
      <w:r>
        <w:rPr>
          <w:rFonts w:cs="Arial"/>
        </w:rPr>
        <w:t>wasteload</w:t>
      </w:r>
      <w:r w:rsidRPr="0079733A">
        <w:rPr>
          <w:rFonts w:cs="Arial"/>
        </w:rPr>
        <w:t xml:space="preserve"> allocations to municipal runoff sources, including direct discharges to Tomales Bay and d</w:t>
      </w:r>
      <w:r w:rsidRPr="0079733A">
        <w:t xml:space="preserve">ischarges to major tributaries of Tomales Bay, as shown in the following two tables. The wasteload allocations are applicable year-round. </w:t>
      </w:r>
    </w:p>
    <w:p w:rsidRPr="008660C6" w:rsidR="0022751E" w:rsidP="000D5B00" w:rsidRDefault="0022751E" w14:paraId="120B3807" w14:textId="77777777">
      <w:pPr>
        <w:pStyle w:val="TableHead"/>
      </w:pPr>
      <w:r w:rsidRPr="008660C6">
        <w:t>Fecal Coliform Wasteload Allocations for Municipal Direct Discharges to Tomales Bay (Most Probable Number per 100 milliliters)</w:t>
      </w:r>
    </w:p>
    <w:tbl>
      <w:tblPr>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4984"/>
        <w:gridCol w:w="4370"/>
      </w:tblGrid>
      <w:tr w:rsidRPr="008660C6" w:rsidR="0022751E" w:rsidTr="005B538C" w14:paraId="49769FA0" w14:textId="77777777">
        <w:trPr>
          <w:cantSplit/>
          <w:tblHeader/>
        </w:trPr>
        <w:tc>
          <w:tcPr>
            <w:tcW w:w="5015" w:type="dxa"/>
            <w:shd w:val="clear" w:color="auto" w:fill="D6E3BC" w:themeFill="accent3" w:themeFillTint="66"/>
            <w:vAlign w:val="center"/>
          </w:tcPr>
          <w:p w:rsidRPr="008660C6" w:rsidR="0022751E" w:rsidP="005B538C" w:rsidRDefault="0022751E" w14:paraId="53711565" w14:textId="77777777">
            <w:pPr>
              <w:keepNext/>
              <w:keepLines/>
              <w:spacing w:before="40" w:after="40" w:line="240" w:lineRule="auto"/>
              <w:jc w:val="center"/>
              <w:rPr>
                <w:rFonts w:cs="Arial"/>
                <w:b/>
                <w:sz w:val="22"/>
                <w:szCs w:val="22"/>
              </w:rPr>
            </w:pPr>
            <w:r w:rsidRPr="008660C6">
              <w:rPr>
                <w:rFonts w:cs="Arial"/>
                <w:b/>
                <w:sz w:val="22"/>
                <w:szCs w:val="22"/>
              </w:rPr>
              <w:t>Median</w:t>
            </w:r>
            <w:r w:rsidRPr="008660C6">
              <w:rPr>
                <w:rFonts w:cs="Arial"/>
                <w:b/>
                <w:sz w:val="22"/>
                <w:szCs w:val="22"/>
              </w:rPr>
              <w:br/>
            </w:r>
            <w:r w:rsidRPr="00D077FE">
              <w:rPr>
                <w:rFonts w:cs="Arial"/>
                <w:bCs/>
                <w:sz w:val="22"/>
                <w:szCs w:val="22"/>
              </w:rPr>
              <w:t>(minimum of 5 consecutive samples equally spaced over a 30-day period)</w:t>
            </w:r>
          </w:p>
        </w:tc>
        <w:tc>
          <w:tcPr>
            <w:tcW w:w="4397" w:type="dxa"/>
            <w:shd w:val="clear" w:color="auto" w:fill="D6E3BC" w:themeFill="accent3" w:themeFillTint="66"/>
            <w:vAlign w:val="center"/>
          </w:tcPr>
          <w:p w:rsidRPr="008660C6" w:rsidR="0022751E" w:rsidP="005B538C" w:rsidRDefault="0022751E" w14:paraId="344EAE04" w14:textId="77777777">
            <w:pPr>
              <w:keepNext/>
              <w:keepLines/>
              <w:spacing w:before="40" w:after="40" w:line="240" w:lineRule="auto"/>
              <w:jc w:val="center"/>
              <w:rPr>
                <w:rFonts w:cs="Arial"/>
                <w:b/>
                <w:sz w:val="22"/>
                <w:szCs w:val="22"/>
              </w:rPr>
            </w:pPr>
            <w:r w:rsidRPr="008660C6">
              <w:rPr>
                <w:rFonts w:cs="Arial"/>
                <w:b/>
                <w:sz w:val="22"/>
                <w:szCs w:val="22"/>
              </w:rPr>
              <w:t>90th Percentile</w:t>
            </w:r>
            <w:r w:rsidRPr="008660C6">
              <w:rPr>
                <w:rFonts w:cs="Arial"/>
                <w:b/>
                <w:sz w:val="22"/>
                <w:szCs w:val="22"/>
              </w:rPr>
              <w:br/>
            </w:r>
            <w:r w:rsidRPr="00D077FE">
              <w:rPr>
                <w:rFonts w:cs="Arial"/>
                <w:bCs/>
                <w:sz w:val="22"/>
                <w:szCs w:val="22"/>
              </w:rPr>
              <w:t>(no more than 10% of total samples during any 30-day period may exceed this number)</w:t>
            </w:r>
          </w:p>
        </w:tc>
      </w:tr>
      <w:tr w:rsidRPr="008660C6" w:rsidR="0022751E" w:rsidTr="005B538C" w14:paraId="5D1DB7E8" w14:textId="77777777">
        <w:trPr>
          <w:cantSplit/>
        </w:trPr>
        <w:tc>
          <w:tcPr>
            <w:tcW w:w="5015" w:type="dxa"/>
            <w:vAlign w:val="center"/>
          </w:tcPr>
          <w:p w:rsidRPr="008660C6" w:rsidR="0022751E" w:rsidP="005B538C" w:rsidRDefault="0022751E" w14:paraId="66D6A499" w14:textId="77777777">
            <w:pPr>
              <w:spacing w:before="40" w:after="40" w:line="240" w:lineRule="auto"/>
              <w:jc w:val="center"/>
              <w:rPr>
                <w:rFonts w:cs="Arial"/>
                <w:sz w:val="22"/>
                <w:szCs w:val="22"/>
              </w:rPr>
            </w:pPr>
            <w:r w:rsidRPr="008660C6">
              <w:rPr>
                <w:rFonts w:cs="Arial"/>
                <w:sz w:val="22"/>
                <w:szCs w:val="22"/>
              </w:rPr>
              <w:t>&lt;14</w:t>
            </w:r>
          </w:p>
        </w:tc>
        <w:tc>
          <w:tcPr>
            <w:tcW w:w="4397" w:type="dxa"/>
            <w:vAlign w:val="center"/>
          </w:tcPr>
          <w:p w:rsidRPr="008660C6" w:rsidR="0022751E" w:rsidP="005B538C" w:rsidRDefault="0022751E" w14:paraId="53757BDD" w14:textId="77777777">
            <w:pPr>
              <w:spacing w:before="40" w:after="40" w:line="240" w:lineRule="auto"/>
              <w:jc w:val="center"/>
              <w:rPr>
                <w:rFonts w:cs="Arial"/>
                <w:sz w:val="22"/>
                <w:szCs w:val="22"/>
              </w:rPr>
            </w:pPr>
            <w:r w:rsidRPr="008660C6">
              <w:rPr>
                <w:rFonts w:cs="Arial"/>
                <w:sz w:val="22"/>
                <w:szCs w:val="22"/>
              </w:rPr>
              <w:t>&lt;43</w:t>
            </w:r>
          </w:p>
        </w:tc>
      </w:tr>
    </w:tbl>
    <w:p w:rsidRPr="008660C6" w:rsidR="0022751E" w:rsidP="000D5B00" w:rsidRDefault="0022751E" w14:paraId="58252B54" w14:textId="77777777">
      <w:pPr>
        <w:pStyle w:val="TableHead"/>
      </w:pPr>
      <w:r w:rsidRPr="008660C6">
        <w:t>Fecal Coliform Wasteload Allocations for Discharges to Major Tomales Bay Tributaries (Most Probable Number per 100 milliliters)</w:t>
      </w:r>
    </w:p>
    <w:tbl>
      <w:tblPr>
        <w:tblW w:w="5000" w:type="pct"/>
        <w:tblInd w:w="8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2888"/>
        <w:gridCol w:w="6466"/>
      </w:tblGrid>
      <w:tr w:rsidRPr="008660C6" w:rsidR="0022751E" w:rsidTr="005B538C" w14:paraId="5484127A" w14:textId="77777777">
        <w:trPr>
          <w:cantSplit/>
          <w:tblHeader/>
        </w:trPr>
        <w:tc>
          <w:tcPr>
            <w:tcW w:w="2890" w:type="dxa"/>
            <w:shd w:val="clear" w:color="auto" w:fill="D6E3BC" w:themeFill="accent3" w:themeFillTint="66"/>
            <w:vAlign w:val="center"/>
          </w:tcPr>
          <w:p w:rsidRPr="008660C6" w:rsidR="0022751E" w:rsidP="005B538C" w:rsidRDefault="0022751E" w14:paraId="24FC0C82" w14:textId="77777777">
            <w:pPr>
              <w:keepNext/>
              <w:keepLines/>
              <w:spacing w:before="40" w:after="40" w:line="240" w:lineRule="auto"/>
              <w:ind w:left="14"/>
              <w:jc w:val="center"/>
              <w:rPr>
                <w:rFonts w:cs="Arial"/>
                <w:b/>
                <w:sz w:val="22"/>
                <w:szCs w:val="22"/>
              </w:rPr>
            </w:pPr>
            <w:r w:rsidRPr="008660C6">
              <w:rPr>
                <w:rFonts w:cs="Arial"/>
                <w:b/>
                <w:sz w:val="22"/>
                <w:szCs w:val="22"/>
              </w:rPr>
              <w:t>Source</w:t>
            </w:r>
          </w:p>
        </w:tc>
        <w:tc>
          <w:tcPr>
            <w:tcW w:w="6469" w:type="dxa"/>
            <w:shd w:val="clear" w:color="auto" w:fill="D6E3BC" w:themeFill="accent3" w:themeFillTint="66"/>
            <w:vAlign w:val="center"/>
          </w:tcPr>
          <w:p w:rsidRPr="008660C6" w:rsidR="0022751E" w:rsidP="005B538C" w:rsidRDefault="0022751E" w14:paraId="7478ACA4" w14:textId="09B9EB5A">
            <w:pPr>
              <w:keepNext/>
              <w:keepLines/>
              <w:spacing w:before="40" w:after="40" w:line="240" w:lineRule="auto"/>
              <w:ind w:left="14"/>
              <w:jc w:val="center"/>
              <w:rPr>
                <w:rFonts w:cs="Arial"/>
                <w:b/>
                <w:sz w:val="22"/>
                <w:szCs w:val="22"/>
              </w:rPr>
            </w:pPr>
            <w:r w:rsidRPr="008660C6">
              <w:rPr>
                <w:rFonts w:cs="Arial"/>
                <w:b/>
                <w:sz w:val="22"/>
                <w:szCs w:val="22"/>
              </w:rPr>
              <w:t xml:space="preserve">Log Mean </w:t>
            </w:r>
            <w:r w:rsidR="00D077FE">
              <w:rPr>
                <w:rFonts w:cs="Arial"/>
                <w:b/>
                <w:sz w:val="22"/>
                <w:szCs w:val="22"/>
              </w:rPr>
              <w:br/>
            </w:r>
            <w:r w:rsidRPr="008660C6">
              <w:rPr>
                <w:rFonts w:cs="Arial"/>
                <w:b/>
                <w:sz w:val="22"/>
                <w:szCs w:val="22"/>
              </w:rPr>
              <w:t>(</w:t>
            </w:r>
            <w:r w:rsidRPr="00D077FE">
              <w:rPr>
                <w:rFonts w:cs="Arial"/>
                <w:bCs/>
                <w:sz w:val="22"/>
                <w:szCs w:val="22"/>
              </w:rPr>
              <w:t>minimum of 5 consecutive samples equally spaced over a 30-day period)</w:t>
            </w:r>
          </w:p>
        </w:tc>
      </w:tr>
      <w:tr w:rsidRPr="008660C6" w:rsidR="0022751E" w:rsidTr="005B538C" w14:paraId="6FEF7BB2" w14:textId="77777777">
        <w:trPr>
          <w:cantSplit/>
        </w:trPr>
        <w:tc>
          <w:tcPr>
            <w:tcW w:w="2890" w:type="dxa"/>
            <w:vAlign w:val="center"/>
          </w:tcPr>
          <w:p w:rsidRPr="008660C6" w:rsidR="0022751E" w:rsidP="005B538C" w:rsidRDefault="0022751E" w14:paraId="69C5B8BF" w14:textId="77777777">
            <w:pPr>
              <w:spacing w:before="40" w:after="40" w:line="240" w:lineRule="auto"/>
              <w:ind w:left="14"/>
              <w:jc w:val="center"/>
              <w:rPr>
                <w:rFonts w:cs="Arial"/>
                <w:sz w:val="22"/>
                <w:szCs w:val="22"/>
              </w:rPr>
            </w:pPr>
            <w:r w:rsidRPr="008660C6">
              <w:rPr>
                <w:rFonts w:cs="Arial"/>
                <w:sz w:val="22"/>
                <w:szCs w:val="22"/>
              </w:rPr>
              <w:t>Municipal Runoff</w:t>
            </w:r>
          </w:p>
        </w:tc>
        <w:tc>
          <w:tcPr>
            <w:tcW w:w="6469" w:type="dxa"/>
            <w:vAlign w:val="center"/>
          </w:tcPr>
          <w:p w:rsidRPr="008660C6" w:rsidR="0022751E" w:rsidP="005B538C" w:rsidRDefault="0022751E" w14:paraId="614D5CD7" w14:textId="77777777">
            <w:pPr>
              <w:spacing w:before="40" w:after="40" w:line="240" w:lineRule="auto"/>
              <w:ind w:left="14"/>
              <w:jc w:val="center"/>
              <w:rPr>
                <w:rFonts w:cs="Arial"/>
                <w:sz w:val="22"/>
                <w:szCs w:val="22"/>
              </w:rPr>
            </w:pPr>
            <w:r w:rsidRPr="008660C6">
              <w:rPr>
                <w:rFonts w:cs="Arial"/>
                <w:sz w:val="22"/>
                <w:szCs w:val="22"/>
              </w:rPr>
              <w:t>&lt;200</w:t>
            </w:r>
          </w:p>
        </w:tc>
      </w:tr>
    </w:tbl>
    <w:p w:rsidRPr="0081570E" w:rsidR="0022751E" w:rsidP="0022751E" w:rsidRDefault="0022751E" w14:paraId="51694277" w14:textId="77777777">
      <w:pPr>
        <w:spacing w:before="240"/>
        <w:ind w:left="1267"/>
        <w:rPr>
          <w:b/>
        </w:rPr>
      </w:pPr>
      <w:r w:rsidRPr="0081570E">
        <w:rPr>
          <w:b/>
        </w:rPr>
        <w:t xml:space="preserve">Final Compliance Deadlines: </w:t>
      </w:r>
      <w:r w:rsidRPr="0081570E">
        <w:rPr>
          <w:bCs/>
        </w:rPr>
        <w:t>The TMDL does not specify a compliance deadline. Instead, a</w:t>
      </w:r>
      <w:r w:rsidRPr="0081570E">
        <w:t xml:space="preserve">pproximately every five years, the San Francisco Bay Water Board will evaluate new and relevant information from monitoring, special studies, and scientific literature. Any necessary modifications to the targets, allocations, or implementation plan will be incorporated into the San Francisco Water Board Bay Basin Plan. </w:t>
      </w:r>
    </w:p>
    <w:p w:rsidRPr="00F33B01" w:rsidR="0022751E" w:rsidP="00F33B01" w:rsidRDefault="00836361" w14:paraId="4E27B129" w14:textId="37BE2A23">
      <w:pPr>
        <w:pStyle w:val="Heading3"/>
        <w:tabs>
          <w:tab w:val="clear" w:pos="720"/>
          <w:tab w:val="left" w:pos="1260"/>
        </w:tabs>
        <w:ind w:left="1260" w:hanging="1260"/>
        <w:rPr>
          <w:i/>
          <w:iCs/>
        </w:rPr>
      </w:pPr>
      <w:r>
        <w:rPr>
          <w:i/>
          <w:iCs/>
        </w:rPr>
        <w:t>A13</w:t>
      </w:r>
      <w:r w:rsidRPr="00F33B01" w:rsidR="00145EE6">
        <w:rPr>
          <w:i/>
          <w:iCs/>
        </w:rPr>
        <w:t>.</w:t>
      </w:r>
      <w:r w:rsidRPr="00F33B01" w:rsidR="003E15DA">
        <w:rPr>
          <w:i/>
          <w:iCs/>
        </w:rPr>
        <w:t>2</w:t>
      </w:r>
      <w:r w:rsidRPr="00F33B01" w:rsidR="0022751E">
        <w:rPr>
          <w:i/>
          <w:iCs/>
        </w:rPr>
        <w:t>.5</w:t>
      </w:r>
      <w:r w:rsidRPr="00F33B01" w:rsidR="0022751E">
        <w:rPr>
          <w:i/>
          <w:iCs/>
        </w:rPr>
        <w:tab/>
      </w:r>
      <w:r w:rsidRPr="00F33B01" w:rsidR="0022751E">
        <w:rPr>
          <w:i/>
          <w:iCs/>
        </w:rPr>
        <w:t>Richardson Bay Pathogens TMDL</w:t>
      </w:r>
    </w:p>
    <w:p w:rsidRPr="00E66E78" w:rsidR="0022751E" w:rsidP="0022751E" w:rsidRDefault="0022751E" w14:paraId="63C45B3E" w14:textId="77777777">
      <w:pPr>
        <w:ind w:left="1260"/>
      </w:pPr>
      <w:r w:rsidRPr="00E66E78">
        <w:rPr>
          <w:b/>
        </w:rPr>
        <w:t xml:space="preserve">Description: </w:t>
      </w:r>
      <w:r w:rsidRPr="00E66E78">
        <w:rPr>
          <w:bCs/>
        </w:rPr>
        <w:t>The TMDL states that</w:t>
      </w:r>
      <w:r w:rsidRPr="00E66E78">
        <w:rPr>
          <w:b/>
        </w:rPr>
        <w:t xml:space="preserve"> </w:t>
      </w:r>
      <w:r w:rsidRPr="00E66E78">
        <w:t>Richardson Bay is impaired by pathogens. Monitoring results indicate that the Bay exceeds bacteria water quality objectives for shellfish harvesting (e.g., clam, mussel, and oyster harvesting), and water contact recreation (swimming, fishing). The presence of pathogens is inferred from high concentrations of fecal coliform bacteria, a commonly used indicator of human pathogenic organisms. Municipal stormwater runoff is identified as a source of pathogens.</w:t>
      </w:r>
    </w:p>
    <w:p w:rsidRPr="00CB44D8" w:rsidR="0022751E" w:rsidP="0022751E" w:rsidRDefault="0022751E" w14:paraId="7EED4232" w14:textId="22F71599">
      <w:pPr>
        <w:ind w:left="1260"/>
      </w:pPr>
      <w:r w:rsidRPr="006A53D3">
        <w:rPr>
          <w:b/>
        </w:rPr>
        <w:t>Responsible Permit</w:t>
      </w:r>
      <w:r w:rsidR="0091593F">
        <w:rPr>
          <w:b/>
        </w:rPr>
        <w:t>t</w:t>
      </w:r>
      <w:r w:rsidRPr="006A53D3">
        <w:rPr>
          <w:b/>
        </w:rPr>
        <w:t>ees</w:t>
      </w:r>
      <w:r w:rsidRPr="00CB44D8">
        <w:rPr>
          <w:b/>
        </w:rPr>
        <w:t>:</w:t>
      </w:r>
      <w:r w:rsidRPr="00CB44D8">
        <w:t xml:space="preserve"> The TMDL identifies the City of Belvedere, City of Mill Valley, City of Sausalito, Town of Tiburon, and the County of Marin in the stormwater runoff source category.</w:t>
      </w:r>
    </w:p>
    <w:p w:rsidRPr="007C56C8" w:rsidR="0022751E" w:rsidP="0022751E" w:rsidRDefault="0022751E" w14:paraId="6F116ED9" w14:textId="77777777">
      <w:pPr>
        <w:ind w:left="1260"/>
        <w:rPr>
          <w:rFonts w:cs="Arial"/>
        </w:rPr>
      </w:pPr>
      <w:r w:rsidRPr="007C56C8">
        <w:rPr>
          <w:rFonts w:cs="Arial" w:eastAsiaTheme="minorHAnsi"/>
          <w:b/>
        </w:rPr>
        <w:t>Wasteload Allocations</w:t>
      </w:r>
      <w:r w:rsidRPr="007C56C8">
        <w:rPr>
          <w:rFonts w:cs="Arial" w:eastAsiaTheme="minorHAnsi"/>
        </w:rPr>
        <w:t xml:space="preserve">: </w:t>
      </w:r>
      <w:r w:rsidRPr="007C56C8">
        <w:rPr>
          <w:rFonts w:cs="Arial"/>
        </w:rPr>
        <w:t xml:space="preserve">The Richardson Bay Pathogens TMDL assigns a </w:t>
      </w:r>
      <w:r>
        <w:rPr>
          <w:rFonts w:cs="Arial"/>
        </w:rPr>
        <w:t>wasteload</w:t>
      </w:r>
      <w:r w:rsidRPr="007C56C8">
        <w:rPr>
          <w:rFonts w:cs="Arial"/>
        </w:rPr>
        <w:t xml:space="preserve"> allocation to municipal stormwater as follows:</w:t>
      </w:r>
    </w:p>
    <w:p w:rsidRPr="00434D88" w:rsidR="0022751E" w:rsidP="000D5B00" w:rsidRDefault="0022751E" w14:paraId="0AD67040" w14:textId="77777777">
      <w:pPr>
        <w:pStyle w:val="TableHead"/>
      </w:pPr>
      <w:r w:rsidRPr="00434D88">
        <w:t>Fecal Coliform Wasteload Allocations for Municipal Sources Direct Discharges to Richardson Bay (Most Probable Number per 100 milliliters)</w:t>
      </w:r>
    </w:p>
    <w:tbl>
      <w:tblPr>
        <w:tblW w:w="4968" w:type="pct"/>
        <w:tblInd w:w="-6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4799"/>
        <w:gridCol w:w="4495"/>
      </w:tblGrid>
      <w:tr w:rsidRPr="00434D88" w:rsidR="0022751E" w:rsidTr="0039147C" w14:paraId="0440F779" w14:textId="77777777">
        <w:trPr>
          <w:cantSplit/>
          <w:tblHeader/>
        </w:trPr>
        <w:tc>
          <w:tcPr>
            <w:tcW w:w="4799" w:type="dxa"/>
            <w:shd w:val="clear" w:color="auto" w:fill="D6E3BC" w:themeFill="accent3" w:themeFillTint="66"/>
            <w:vAlign w:val="center"/>
          </w:tcPr>
          <w:p w:rsidRPr="00434D88" w:rsidR="0022751E" w:rsidP="007B486E" w:rsidRDefault="0022751E" w14:paraId="5F9CECA3" w14:textId="77777777">
            <w:pPr>
              <w:keepNext/>
              <w:keepLines/>
              <w:spacing w:before="40" w:after="40" w:line="240" w:lineRule="auto"/>
              <w:jc w:val="center"/>
              <w:rPr>
                <w:rFonts w:cs="Arial"/>
                <w:b/>
                <w:sz w:val="22"/>
                <w:szCs w:val="22"/>
              </w:rPr>
            </w:pPr>
            <w:r w:rsidRPr="00434D88">
              <w:rPr>
                <w:rFonts w:cs="Arial"/>
                <w:b/>
                <w:sz w:val="22"/>
                <w:szCs w:val="22"/>
              </w:rPr>
              <w:t>Median</w:t>
            </w:r>
            <w:r w:rsidRPr="00434D88">
              <w:rPr>
                <w:rFonts w:cs="Arial"/>
                <w:b/>
                <w:sz w:val="22"/>
                <w:szCs w:val="22"/>
              </w:rPr>
              <w:br/>
            </w:r>
            <w:r w:rsidRPr="00D077FE">
              <w:rPr>
                <w:rFonts w:cs="Arial"/>
                <w:bCs/>
                <w:sz w:val="22"/>
                <w:szCs w:val="22"/>
              </w:rPr>
              <w:t>(minimum of 5 consecutive samples equally spaced over a 30-day period)</w:t>
            </w:r>
          </w:p>
        </w:tc>
        <w:tc>
          <w:tcPr>
            <w:tcW w:w="4495" w:type="dxa"/>
            <w:shd w:val="clear" w:color="auto" w:fill="D6E3BC" w:themeFill="accent3" w:themeFillTint="66"/>
            <w:vAlign w:val="center"/>
          </w:tcPr>
          <w:p w:rsidRPr="00434D88" w:rsidR="0022751E" w:rsidP="007B486E" w:rsidRDefault="0022751E" w14:paraId="222F1B8F" w14:textId="77777777">
            <w:pPr>
              <w:keepNext/>
              <w:keepLines/>
              <w:spacing w:before="40" w:after="40" w:line="240" w:lineRule="auto"/>
              <w:jc w:val="center"/>
              <w:rPr>
                <w:rFonts w:cs="Arial"/>
                <w:b/>
                <w:sz w:val="22"/>
                <w:szCs w:val="22"/>
              </w:rPr>
            </w:pPr>
            <w:r w:rsidRPr="00434D88">
              <w:rPr>
                <w:rFonts w:cs="Arial"/>
                <w:b/>
                <w:sz w:val="22"/>
                <w:szCs w:val="22"/>
              </w:rPr>
              <w:t>90</w:t>
            </w:r>
            <w:r w:rsidRPr="00434D88">
              <w:rPr>
                <w:rFonts w:cs="Arial"/>
                <w:b/>
                <w:sz w:val="22"/>
                <w:szCs w:val="22"/>
                <w:vertAlign w:val="superscript"/>
              </w:rPr>
              <w:t>th</w:t>
            </w:r>
            <w:r w:rsidRPr="00434D88">
              <w:rPr>
                <w:rFonts w:cs="Arial"/>
                <w:b/>
                <w:sz w:val="22"/>
                <w:szCs w:val="22"/>
              </w:rPr>
              <w:t xml:space="preserve"> Percentile </w:t>
            </w:r>
            <w:r w:rsidRPr="00434D88">
              <w:rPr>
                <w:rFonts w:cs="Arial"/>
                <w:b/>
                <w:sz w:val="22"/>
                <w:szCs w:val="22"/>
              </w:rPr>
              <w:br/>
            </w:r>
            <w:r w:rsidRPr="00D077FE">
              <w:rPr>
                <w:sz w:val="22"/>
                <w:szCs w:val="22"/>
              </w:rPr>
              <w:t>(no more than 10% of total samples during any 30-day period may exceed this number)</w:t>
            </w:r>
          </w:p>
        </w:tc>
      </w:tr>
      <w:tr w:rsidRPr="00434D88" w:rsidR="0022751E" w:rsidTr="0039147C" w14:paraId="232388CB" w14:textId="77777777">
        <w:trPr>
          <w:cantSplit/>
        </w:trPr>
        <w:tc>
          <w:tcPr>
            <w:tcW w:w="4799" w:type="dxa"/>
            <w:vAlign w:val="center"/>
          </w:tcPr>
          <w:p w:rsidRPr="00434D88" w:rsidR="0022751E" w:rsidP="007B486E" w:rsidRDefault="0022751E" w14:paraId="4B628B1D" w14:textId="77777777">
            <w:pPr>
              <w:spacing w:before="40" w:after="40" w:line="240" w:lineRule="auto"/>
              <w:jc w:val="center"/>
              <w:rPr>
                <w:rFonts w:cs="Arial"/>
                <w:sz w:val="22"/>
                <w:szCs w:val="22"/>
              </w:rPr>
            </w:pPr>
            <w:r w:rsidRPr="00434D88">
              <w:rPr>
                <w:rFonts w:cs="Arial"/>
                <w:sz w:val="22"/>
                <w:szCs w:val="22"/>
              </w:rPr>
              <w:t>&lt;14</w:t>
            </w:r>
          </w:p>
        </w:tc>
        <w:tc>
          <w:tcPr>
            <w:tcW w:w="4495" w:type="dxa"/>
            <w:vAlign w:val="center"/>
          </w:tcPr>
          <w:p w:rsidRPr="00434D88" w:rsidR="0022751E" w:rsidP="007B486E" w:rsidRDefault="0022751E" w14:paraId="1E7FAD2E" w14:textId="77777777">
            <w:pPr>
              <w:spacing w:before="40" w:after="40" w:line="240" w:lineRule="auto"/>
              <w:jc w:val="center"/>
              <w:rPr>
                <w:rFonts w:cs="Arial"/>
                <w:sz w:val="22"/>
                <w:szCs w:val="22"/>
              </w:rPr>
            </w:pPr>
            <w:r w:rsidRPr="00434D88">
              <w:rPr>
                <w:rFonts w:cs="Arial"/>
                <w:sz w:val="22"/>
                <w:szCs w:val="22"/>
              </w:rPr>
              <w:t>&lt;43</w:t>
            </w:r>
          </w:p>
        </w:tc>
      </w:tr>
    </w:tbl>
    <w:p w:rsidR="0022751E" w:rsidP="0022751E" w:rsidRDefault="0022751E" w14:paraId="25438760" w14:textId="77777777">
      <w:pPr>
        <w:ind w:left="1260"/>
      </w:pPr>
      <w:r w:rsidRPr="006C6641">
        <w:rPr>
          <w:b/>
        </w:rPr>
        <w:t>Final Compliance Deadlines:</w:t>
      </w:r>
      <w:r w:rsidRPr="006C6641">
        <w:rPr>
          <w:bCs/>
        </w:rPr>
        <w:t xml:space="preserve"> A final compliance deadline is not specified. The implementing Permittees are required to continue implementation of pathogen reduction measures and monitoring for the term of this Order. The </w:t>
      </w:r>
      <w:r w:rsidRPr="006C6641">
        <w:t xml:space="preserve">San Francisco Bay Water Board will evaluate new and relevant information from monitoring, special studies, and scientific literature for future revisions to the TMDL. </w:t>
      </w:r>
    </w:p>
    <w:p w:rsidRPr="001C33D4" w:rsidR="00D50ED9" w:rsidP="00D50ED9" w:rsidRDefault="00836361" w14:paraId="3E424BF8" w14:textId="346BBDEC">
      <w:pPr>
        <w:pStyle w:val="Heading3"/>
        <w:tabs>
          <w:tab w:val="clear" w:pos="720"/>
          <w:tab w:val="left" w:pos="1260"/>
        </w:tabs>
        <w:ind w:left="1260" w:hanging="1260"/>
        <w:rPr>
          <w:i/>
          <w:iCs/>
        </w:rPr>
      </w:pPr>
      <w:r>
        <w:rPr>
          <w:i/>
          <w:iCs/>
        </w:rPr>
        <w:t>A13</w:t>
      </w:r>
      <w:r w:rsidRPr="001C33D4" w:rsidR="00D50ED9">
        <w:rPr>
          <w:i/>
          <w:iCs/>
        </w:rPr>
        <w:t>.2.6</w:t>
      </w:r>
      <w:r w:rsidRPr="001C33D4" w:rsidR="00D50ED9">
        <w:rPr>
          <w:i/>
          <w:iCs/>
        </w:rPr>
        <w:tab/>
      </w:r>
      <w:r w:rsidRPr="001C33D4" w:rsidR="00D50ED9">
        <w:rPr>
          <w:i/>
          <w:iCs/>
        </w:rPr>
        <w:t>San Francisco Bay Beaches Bacteria TMDL</w:t>
      </w:r>
    </w:p>
    <w:p w:rsidR="00765AEB" w:rsidP="00B43696" w:rsidRDefault="00917594" w14:paraId="0EAF4D8D" w14:textId="3B1272B9">
      <w:pPr>
        <w:pStyle w:val="H3Normal"/>
      </w:pPr>
      <w:r w:rsidRPr="008D03AC">
        <w:rPr>
          <w:b/>
          <w:bCs w:val="0"/>
        </w:rPr>
        <w:t>Description</w:t>
      </w:r>
      <w:r>
        <w:t xml:space="preserve">: </w:t>
      </w:r>
      <w:r w:rsidR="00AE5C36">
        <w:t>W</w:t>
      </w:r>
      <w:r w:rsidRPr="00F130DA" w:rsidR="00F130DA">
        <w:t xml:space="preserve">aters adjacent to several San Francisco Bay beaches are impaired by </w:t>
      </w:r>
      <w:r w:rsidR="009807E9">
        <w:t xml:space="preserve">indicator </w:t>
      </w:r>
      <w:r w:rsidRPr="00F130DA" w:rsidR="00F130DA">
        <w:t>bacteria</w:t>
      </w:r>
      <w:r w:rsidR="00CC29FD">
        <w:t>. B</w:t>
      </w:r>
      <w:r w:rsidRPr="00F130DA" w:rsidR="00F130DA">
        <w:t>acteriological water quality objectives are exceeded</w:t>
      </w:r>
      <w:r w:rsidR="007A3AAD">
        <w:t>,</w:t>
      </w:r>
      <w:r w:rsidRPr="00F130DA" w:rsidR="00F130DA">
        <w:t xml:space="preserve"> and there is impairment of the water contact recreation beneficial use</w:t>
      </w:r>
      <w:r w:rsidR="00727496">
        <w:t>.</w:t>
      </w:r>
      <w:r w:rsidRPr="00F130DA" w:rsidR="00F130DA">
        <w:t xml:space="preserve"> Recreating in waters with elevated indicator bacteria has been associated with adverse health effects. </w:t>
      </w:r>
      <w:r w:rsidR="00874BFD">
        <w:t xml:space="preserve">Urban runoff to the beaches is </w:t>
      </w:r>
      <w:r w:rsidR="00E35C4D">
        <w:t xml:space="preserve">an identified source. </w:t>
      </w:r>
    </w:p>
    <w:p w:rsidRPr="008535E5" w:rsidR="00B43696" w:rsidP="000A0CCB" w:rsidRDefault="00917594" w14:paraId="51438611" w14:textId="70FC5886">
      <w:pPr>
        <w:ind w:left="1267"/>
        <w:rPr>
          <w:rFonts w:cs="Arial"/>
        </w:rPr>
      </w:pPr>
      <w:r w:rsidRPr="008D03AC">
        <w:rPr>
          <w:b/>
          <w:bCs/>
        </w:rPr>
        <w:t>Responsible Permittees</w:t>
      </w:r>
      <w:r>
        <w:t>:</w:t>
      </w:r>
      <w:r w:rsidR="00C52234">
        <w:t xml:space="preserve"> </w:t>
      </w:r>
      <w:r w:rsidRPr="008535E5" w:rsidR="00B43696">
        <w:rPr>
          <w:rFonts w:cs="Arial"/>
        </w:rPr>
        <w:t>Candlestick Point State Recreation Area, California State Parks</w:t>
      </w:r>
      <w:r w:rsidR="003A71DC">
        <w:rPr>
          <w:rFonts w:cs="Arial"/>
        </w:rPr>
        <w:t xml:space="preserve"> and Recreation</w:t>
      </w:r>
      <w:r w:rsidRPr="008535E5" w:rsidR="00B43696">
        <w:rPr>
          <w:rFonts w:cs="Arial"/>
        </w:rPr>
        <w:t xml:space="preserve">; </w:t>
      </w:r>
      <w:r w:rsidRPr="000C272B" w:rsidR="000C272B">
        <w:rPr>
          <w:rFonts w:cs="Arial"/>
        </w:rPr>
        <w:t xml:space="preserve">County of Marin; Presidio of San Francisco; </w:t>
      </w:r>
      <w:r w:rsidR="000A0CCB">
        <w:rPr>
          <w:rFonts w:cs="Arial"/>
        </w:rPr>
        <w:t xml:space="preserve">and </w:t>
      </w:r>
      <w:r w:rsidRPr="000C272B" w:rsidR="000C272B">
        <w:rPr>
          <w:rFonts w:cs="Arial"/>
        </w:rPr>
        <w:t>City of San Francisco (San Francisco Public Utilities Commission)</w:t>
      </w:r>
      <w:r w:rsidR="008C623B">
        <w:rPr>
          <w:rFonts w:cs="Arial"/>
        </w:rPr>
        <w:t xml:space="preserve"> as responsible permittees.</w:t>
      </w:r>
    </w:p>
    <w:p w:rsidR="00917594" w:rsidP="00D50ED9" w:rsidRDefault="00917594" w14:paraId="35F8377A" w14:textId="29395368">
      <w:pPr>
        <w:pStyle w:val="H3Normal"/>
      </w:pPr>
      <w:r w:rsidRPr="000110EA">
        <w:rPr>
          <w:b/>
          <w:bCs w:val="0"/>
        </w:rPr>
        <w:t>Wasteload Allocations</w:t>
      </w:r>
      <w:r>
        <w:t>:</w:t>
      </w:r>
      <w:r w:rsidR="00A229E1">
        <w:t xml:space="preserve"> Wasteload allocations for </w:t>
      </w:r>
      <w:r w:rsidR="005E7936">
        <w:t>urban runoff are provided in the following table.</w:t>
      </w:r>
    </w:p>
    <w:p w:rsidR="00E94E70" w:rsidP="000A76D1" w:rsidRDefault="005A4D48" w14:paraId="73F51085" w14:textId="78746FBF">
      <w:pPr>
        <w:pStyle w:val="H3Normal"/>
      </w:pPr>
      <w:r>
        <w:rPr>
          <w:b/>
          <w:sz w:val="22"/>
          <w:szCs w:val="22"/>
        </w:rPr>
        <w:t xml:space="preserve">Small MS4 </w:t>
      </w:r>
      <w:r w:rsidRPr="00831488" w:rsidR="00E94E70">
        <w:rPr>
          <w:b/>
          <w:sz w:val="22"/>
          <w:szCs w:val="22"/>
        </w:rPr>
        <w:t>Urban Runoff Wasteload Allocations for San Francisco Bay Beaches</w:t>
      </w:r>
      <w:r w:rsidR="00001A13">
        <w:rPr>
          <w:b/>
          <w:sz w:val="22"/>
          <w:szCs w:val="22"/>
        </w:rPr>
        <w:t xml:space="preserve"> TMDL</w:t>
      </w:r>
    </w:p>
    <w:tbl>
      <w:tblPr>
        <w:tblW w:w="7832" w:type="dxa"/>
        <w:tblInd w:w="125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965"/>
        <w:gridCol w:w="4867"/>
      </w:tblGrid>
      <w:tr w:rsidRPr="00831488" w:rsidR="00831488" w:rsidTr="008D7D92" w14:paraId="7517525C" w14:textId="77777777">
        <w:trPr>
          <w:trHeight w:val="697"/>
        </w:trPr>
        <w:tc>
          <w:tcPr>
            <w:tcW w:w="2965" w:type="dxa"/>
            <w:tcBorders>
              <w:top w:val="single" w:color="000000" w:sz="2" w:space="0"/>
              <w:bottom w:val="single" w:color="000000" w:sz="6" w:space="0"/>
            </w:tcBorders>
            <w:shd w:val="clear" w:color="auto" w:fill="D6E3BC" w:themeFill="accent3" w:themeFillTint="66"/>
          </w:tcPr>
          <w:p w:rsidRPr="00EE52BE" w:rsidR="00831488" w:rsidP="000A76D1" w:rsidRDefault="00831488" w14:paraId="39340D04" w14:textId="0D3B2FCC">
            <w:pPr>
              <w:pStyle w:val="TableParagraph"/>
              <w:widowControl/>
              <w:ind w:left="181" w:right="125"/>
              <w:jc w:val="center"/>
              <w:rPr>
                <w:b/>
                <w:vertAlign w:val="superscript"/>
              </w:rPr>
            </w:pPr>
            <w:r w:rsidRPr="000A0CCB">
              <w:rPr>
                <w:b/>
                <w:i/>
                <w:iCs/>
              </w:rPr>
              <w:t>Enterococcus</w:t>
            </w:r>
            <w:r w:rsidRPr="00E94E70">
              <w:rPr>
                <w:b/>
                <w:spacing w:val="-16"/>
              </w:rPr>
              <w:t xml:space="preserve"> </w:t>
            </w:r>
            <w:r w:rsidRPr="00E94E70">
              <w:rPr>
                <w:b/>
              </w:rPr>
              <w:t>Geometric Mean</w:t>
            </w:r>
            <w:r w:rsidRPr="00E94E70">
              <w:rPr>
                <w:b/>
                <w:vertAlign w:val="superscript"/>
              </w:rPr>
              <w:t>a</w:t>
            </w:r>
            <w:r w:rsidRPr="00E94E70">
              <w:rPr>
                <w:b/>
              </w:rPr>
              <w:t xml:space="preserve"> (MPN/100 mL)</w:t>
            </w:r>
            <w:r w:rsidR="00BC0D01">
              <w:rPr>
                <w:b/>
                <w:vertAlign w:val="superscript"/>
              </w:rPr>
              <w:t>a</w:t>
            </w:r>
          </w:p>
        </w:tc>
        <w:tc>
          <w:tcPr>
            <w:tcW w:w="4867" w:type="dxa"/>
            <w:tcBorders>
              <w:top w:val="single" w:color="000000" w:sz="2" w:space="0"/>
              <w:bottom w:val="single" w:color="000000" w:sz="6" w:space="0"/>
            </w:tcBorders>
            <w:shd w:val="clear" w:color="auto" w:fill="D6E3BC" w:themeFill="accent3" w:themeFillTint="66"/>
          </w:tcPr>
          <w:p w:rsidRPr="00E94E70" w:rsidR="00831488" w:rsidP="000A76D1" w:rsidRDefault="00831488" w14:paraId="1CE41571" w14:textId="77777777">
            <w:pPr>
              <w:pStyle w:val="TableParagraph"/>
              <w:widowControl/>
              <w:ind w:left="192"/>
              <w:jc w:val="center"/>
              <w:rPr>
                <w:b/>
              </w:rPr>
            </w:pPr>
            <w:r w:rsidRPr="000A0CCB">
              <w:rPr>
                <w:b/>
                <w:i/>
                <w:iCs/>
              </w:rPr>
              <w:t>Enterococcus</w:t>
            </w:r>
            <w:r w:rsidRPr="00E94E70">
              <w:rPr>
                <w:b/>
                <w:spacing w:val="-16"/>
              </w:rPr>
              <w:t xml:space="preserve"> </w:t>
            </w:r>
            <w:r w:rsidRPr="00E94E70">
              <w:rPr>
                <w:b/>
              </w:rPr>
              <w:t>Single</w:t>
            </w:r>
            <w:r w:rsidRPr="00E94E70">
              <w:rPr>
                <w:b/>
                <w:spacing w:val="-15"/>
              </w:rPr>
              <w:t xml:space="preserve"> </w:t>
            </w:r>
            <w:r w:rsidRPr="00E94E70">
              <w:rPr>
                <w:b/>
              </w:rPr>
              <w:t>Sample Maximum (MPN/100 mL)</w:t>
            </w:r>
          </w:p>
        </w:tc>
      </w:tr>
      <w:tr w:rsidRPr="00831488" w:rsidR="00831488" w:rsidTr="008D7D92" w14:paraId="55AE0D62" w14:textId="77777777">
        <w:trPr>
          <w:trHeight w:val="421"/>
        </w:trPr>
        <w:tc>
          <w:tcPr>
            <w:tcW w:w="2965" w:type="dxa"/>
            <w:tcBorders>
              <w:top w:val="single" w:color="000000" w:sz="6" w:space="0"/>
            </w:tcBorders>
          </w:tcPr>
          <w:p w:rsidRPr="00831488" w:rsidR="00831488" w:rsidP="00283132" w:rsidRDefault="00831488" w14:paraId="1ABF8A1C" w14:textId="77777777">
            <w:pPr>
              <w:pStyle w:val="TableParagraph"/>
              <w:widowControl/>
              <w:ind w:firstLine="1"/>
              <w:jc w:val="center"/>
            </w:pPr>
            <w:r w:rsidRPr="00831488">
              <w:t>&lt;</w:t>
            </w:r>
            <w:r w:rsidRPr="00831488">
              <w:rPr>
                <w:spacing w:val="-17"/>
              </w:rPr>
              <w:t xml:space="preserve"> </w:t>
            </w:r>
            <w:r w:rsidRPr="00831488">
              <w:rPr>
                <w:spacing w:val="-5"/>
              </w:rPr>
              <w:t>35</w:t>
            </w:r>
          </w:p>
        </w:tc>
        <w:tc>
          <w:tcPr>
            <w:tcW w:w="4867" w:type="dxa"/>
            <w:tcBorders>
              <w:top w:val="single" w:color="000000" w:sz="6" w:space="0"/>
            </w:tcBorders>
          </w:tcPr>
          <w:p w:rsidRPr="00831488" w:rsidR="00831488" w:rsidP="00283132" w:rsidRDefault="00831488" w14:paraId="41222339" w14:textId="77777777">
            <w:pPr>
              <w:pStyle w:val="TableParagraph"/>
              <w:widowControl/>
              <w:ind w:firstLine="12"/>
              <w:jc w:val="center"/>
            </w:pPr>
            <w:r w:rsidRPr="00831488">
              <w:t>No</w:t>
            </w:r>
            <w:r w:rsidRPr="00831488">
              <w:rPr>
                <w:spacing w:val="-3"/>
              </w:rPr>
              <w:t xml:space="preserve"> </w:t>
            </w:r>
            <w:r w:rsidRPr="00831488">
              <w:t>sample</w:t>
            </w:r>
            <w:r w:rsidRPr="00831488">
              <w:rPr>
                <w:spacing w:val="-2"/>
              </w:rPr>
              <w:t xml:space="preserve"> </w:t>
            </w:r>
            <w:r w:rsidRPr="00831488">
              <w:t>&gt;</w:t>
            </w:r>
            <w:r w:rsidRPr="00831488">
              <w:rPr>
                <w:spacing w:val="-19"/>
              </w:rPr>
              <w:t xml:space="preserve"> </w:t>
            </w:r>
            <w:r w:rsidRPr="00831488">
              <w:rPr>
                <w:spacing w:val="-5"/>
              </w:rPr>
              <w:t>104</w:t>
            </w:r>
          </w:p>
        </w:tc>
      </w:tr>
      <w:tr w:rsidRPr="00831488" w:rsidR="00831488" w:rsidTr="00E00608" w14:paraId="05565C77" w14:textId="77777777">
        <w:trPr>
          <w:trHeight w:val="751"/>
        </w:trPr>
        <w:tc>
          <w:tcPr>
            <w:tcW w:w="7832" w:type="dxa"/>
            <w:gridSpan w:val="2"/>
          </w:tcPr>
          <w:p w:rsidRPr="00831488" w:rsidR="00831488" w:rsidP="00E8254E" w:rsidRDefault="00BC0D01" w14:paraId="114453FA" w14:textId="7E94966C">
            <w:pPr>
              <w:pStyle w:val="TableParagraph"/>
              <w:widowControl/>
              <w:numPr>
                <w:ilvl w:val="0"/>
                <w:numId w:val="68"/>
              </w:numPr>
              <w:autoSpaceDE w:val="0"/>
              <w:autoSpaceDN w:val="0"/>
              <w:spacing w:after="0"/>
              <w:ind w:left="271" w:right="437" w:hanging="180"/>
            </w:pPr>
            <w:r w:rsidRPr="00BC0D01">
              <w:t>Based on a minimum of five consecutive samples equally spaced over a 30-day period.</w:t>
            </w:r>
          </w:p>
        </w:tc>
      </w:tr>
    </w:tbl>
    <w:p w:rsidR="00CA7EF5" w:rsidP="000A76D1" w:rsidRDefault="00917594" w14:paraId="1327A575" w14:textId="37AD3A53">
      <w:pPr>
        <w:pStyle w:val="Default"/>
        <w:keepNext/>
        <w:keepLines/>
        <w:spacing w:before="120" w:line="259" w:lineRule="auto"/>
        <w:ind w:left="1267"/>
      </w:pPr>
      <w:r w:rsidRPr="008D03AC">
        <w:rPr>
          <w:b/>
          <w:bCs/>
        </w:rPr>
        <w:t>Final Compliance Deadlin</w:t>
      </w:r>
      <w:r w:rsidRPr="008D03AC" w:rsidR="00DD5DB7">
        <w:rPr>
          <w:b/>
          <w:bCs/>
        </w:rPr>
        <w:t>e</w:t>
      </w:r>
      <w:r w:rsidR="00A32B3D">
        <w:t>:</w:t>
      </w:r>
      <w:r w:rsidR="00AC316B">
        <w:t xml:space="preserve"> </w:t>
      </w:r>
      <w:r w:rsidR="000A2D0F">
        <w:t>The TMDL d</w:t>
      </w:r>
      <w:r w:rsidR="008D03AC">
        <w:t>oes</w:t>
      </w:r>
      <w:r w:rsidR="000A2D0F">
        <w:t xml:space="preserve"> not specify a final deadline. The responsible</w:t>
      </w:r>
      <w:r w:rsidR="000E1B01">
        <w:t xml:space="preserve"> Permittees </w:t>
      </w:r>
      <w:r w:rsidR="000A2D0F">
        <w:t xml:space="preserve">are required to continue </w:t>
      </w:r>
      <w:r w:rsidR="00EB6A3B">
        <w:t xml:space="preserve">the </w:t>
      </w:r>
      <w:r w:rsidRPr="00A26EE5" w:rsidR="00EB6A3B">
        <w:rPr>
          <w:i/>
          <w:iCs/>
        </w:rPr>
        <w:t>General Approach for Controlling Bacteria in Permittee Discharges, San Francisco Bay Water Board Bacteria and Pathogen TMDLs</w:t>
      </w:r>
      <w:r w:rsidR="00EB6A3B">
        <w:t xml:space="preserve">, as </w:t>
      </w:r>
      <w:r w:rsidR="00A26EE5">
        <w:t>required in Attachment G.</w:t>
      </w:r>
      <w:r w:rsidR="00EB6A3B">
        <w:t xml:space="preserve"> </w:t>
      </w:r>
    </w:p>
    <w:p w:rsidRPr="00F33B01" w:rsidR="00FE6C44" w:rsidP="00FE6C44" w:rsidRDefault="00836361" w14:paraId="6F074593" w14:textId="40D62DC3">
      <w:pPr>
        <w:pStyle w:val="Heading3"/>
        <w:tabs>
          <w:tab w:val="clear" w:pos="720"/>
          <w:tab w:val="left" w:pos="1260"/>
        </w:tabs>
        <w:ind w:left="1260" w:hanging="1260"/>
        <w:rPr>
          <w:i/>
          <w:iCs/>
        </w:rPr>
      </w:pPr>
      <w:r>
        <w:rPr>
          <w:i/>
          <w:iCs/>
        </w:rPr>
        <w:t>A13</w:t>
      </w:r>
      <w:r w:rsidRPr="00F33B01" w:rsidR="00FE6C44">
        <w:rPr>
          <w:i/>
          <w:iCs/>
        </w:rPr>
        <w:t>.2.</w:t>
      </w:r>
      <w:r w:rsidR="009D6225">
        <w:rPr>
          <w:i/>
          <w:iCs/>
        </w:rPr>
        <w:t>7</w:t>
      </w:r>
      <w:r w:rsidRPr="00F33B01" w:rsidR="00FE6C44">
        <w:rPr>
          <w:i/>
          <w:iCs/>
        </w:rPr>
        <w:tab/>
      </w:r>
      <w:r w:rsidRPr="00F33B01" w:rsidR="00FE6C44">
        <w:rPr>
          <w:i/>
          <w:iCs/>
        </w:rPr>
        <w:t xml:space="preserve">Petaluma River Bacteria TMDL </w:t>
      </w:r>
    </w:p>
    <w:p w:rsidRPr="000A0CCB" w:rsidR="00FE6C44" w:rsidP="00FE6C44" w:rsidRDefault="00FE6C44" w14:paraId="050511A4" w14:textId="77777777">
      <w:pPr>
        <w:ind w:left="1260"/>
        <w:rPr>
          <w:rFonts w:cs="Arial"/>
        </w:rPr>
      </w:pPr>
      <w:r w:rsidRPr="001C542D">
        <w:rPr>
          <w:rFonts w:cs="Arial"/>
          <w:b/>
        </w:rPr>
        <w:t>Description:</w:t>
      </w:r>
      <w:r w:rsidRPr="001C542D">
        <w:rPr>
          <w:rFonts w:cs="Arial"/>
        </w:rPr>
        <w:t xml:space="preserve"> Petaluma River and its tributaries are impaired by bacteria. Bacteriological water quality objectives are </w:t>
      </w:r>
      <w:r w:rsidRPr="000A0CCB">
        <w:rPr>
          <w:rFonts w:cs="Arial"/>
        </w:rPr>
        <w:t xml:space="preserve">exceeded based on elevated indicator bacteria densities, and, thus, there is impairment of the water contact recreation beneficial use. Recreating in waters with elevated indicator bacteria densities has long been associated with adverse health effects. </w:t>
      </w:r>
      <w:r w:rsidRPr="000A0CCB">
        <w:t xml:space="preserve">Impaired segments include the entire Petaluma River, San Antonio Creek, Lichau Creek, Willow Brook, Lynch Creek, Adobe Creek, Ellis Creek, as well as other named and unnamed tributaries. If not properly managed, municipal stormwater has the potential to discharge bacteria to Petaluma River and its tributaries. </w:t>
      </w:r>
    </w:p>
    <w:p w:rsidRPr="00211919" w:rsidR="00FE6C44" w:rsidP="00FE6C44" w:rsidRDefault="00FE6C44" w14:paraId="2E827029" w14:textId="7C044593">
      <w:pPr>
        <w:ind w:left="1260"/>
        <w:rPr>
          <w:rFonts w:cs="Arial"/>
          <w:highlight w:val="yellow"/>
        </w:rPr>
      </w:pPr>
      <w:r w:rsidRPr="001C542D">
        <w:rPr>
          <w:rFonts w:ascii="Arial Bold" w:hAnsi="Arial Bold"/>
          <w:b/>
        </w:rPr>
        <w:t>Responsible Permit</w:t>
      </w:r>
      <w:r w:rsidR="0091593F">
        <w:rPr>
          <w:rFonts w:ascii="Arial Bold" w:hAnsi="Arial Bold"/>
          <w:b/>
        </w:rPr>
        <w:t>t</w:t>
      </w:r>
      <w:r w:rsidRPr="001C542D">
        <w:rPr>
          <w:rFonts w:ascii="Arial Bold" w:hAnsi="Arial Bold"/>
          <w:b/>
        </w:rPr>
        <w:t>ees:</w:t>
      </w:r>
      <w:r w:rsidRPr="001C542D">
        <w:rPr>
          <w:rFonts w:cs="Arial"/>
        </w:rPr>
        <w:t xml:space="preserve"> City</w:t>
      </w:r>
      <w:r w:rsidRPr="008535E5">
        <w:rPr>
          <w:rFonts w:cs="Arial"/>
        </w:rPr>
        <w:t xml:space="preserve"> of Petaluma, City of Novato, County of Sonoma, County of Marin</w:t>
      </w:r>
    </w:p>
    <w:p w:rsidR="00FE6C44" w:rsidP="00FE6C44" w:rsidRDefault="00FE6C44" w14:paraId="5D15957B" w14:textId="77777777">
      <w:pPr>
        <w:ind w:left="1260"/>
        <w:rPr>
          <w:rFonts w:cs="Arial"/>
        </w:rPr>
      </w:pPr>
      <w:r w:rsidRPr="00EE73FF">
        <w:rPr>
          <w:b/>
        </w:rPr>
        <w:t>Wasteload</w:t>
      </w:r>
      <w:r w:rsidRPr="00EE73FF">
        <w:rPr>
          <w:rFonts w:cs="Arial"/>
        </w:rPr>
        <w:t xml:space="preserve"> </w:t>
      </w:r>
      <w:r w:rsidRPr="00EE73FF">
        <w:rPr>
          <w:b/>
        </w:rPr>
        <w:t>Allocations</w:t>
      </w:r>
      <w:r w:rsidRPr="00EE73FF">
        <w:rPr>
          <w:rFonts w:cs="Arial"/>
        </w:rPr>
        <w:t>: To determine the attainment of the bacteria water quality standards, the geometric mean values shall be applied based on a statistically sufficient number of samples, which is generally not less than five samples equally spaced over a six-week period. However, if a statistically sufficient number of samples is not available to calculate the geometric mean, then attainment of the water quality standard shall be determined based only on the statistical threshold value. Municipal stormwater wasteload allocations for fecal indicator bacteria are provided below</w:t>
      </w:r>
      <w:r>
        <w:rPr>
          <w:rStyle w:val="FootnoteReference"/>
          <w:rFonts w:cs="Arial"/>
        </w:rPr>
        <w:footnoteReference w:id="16"/>
      </w:r>
      <w:r w:rsidRPr="00EE73FF">
        <w:rPr>
          <w:rFonts w:cs="Arial"/>
        </w:rPr>
        <w:t>:</w:t>
      </w:r>
    </w:p>
    <w:p w:rsidRPr="007062FB" w:rsidR="00FE6C44" w:rsidP="00691D64" w:rsidRDefault="00FE6C44" w14:paraId="20147F8E" w14:textId="77777777">
      <w:pPr>
        <w:pStyle w:val="TableHead"/>
        <w:widowControl w:val="0"/>
        <w:spacing w:before="120"/>
        <w:ind w:left="1260"/>
      </w:pPr>
      <w:r w:rsidRPr="007062FB">
        <w:t>Municipal Stormwater</w:t>
      </w:r>
      <w:r w:rsidRPr="007062FB">
        <w:rPr>
          <w:spacing w:val="-6"/>
        </w:rPr>
        <w:t xml:space="preserve"> Runoff </w:t>
      </w:r>
      <w:r w:rsidRPr="007062FB">
        <w:t>Wasteload</w:t>
      </w:r>
      <w:r w:rsidRPr="007062FB">
        <w:rPr>
          <w:spacing w:val="-6"/>
        </w:rPr>
        <w:t xml:space="preserve"> </w:t>
      </w:r>
      <w:r w:rsidRPr="007062FB">
        <w:t>Allocations</w:t>
      </w:r>
      <w:r w:rsidRPr="007062FB">
        <w:rPr>
          <w:spacing w:val="-4"/>
        </w:rPr>
        <w:t xml:space="preserve"> </w:t>
      </w:r>
      <w:r w:rsidRPr="007062FB">
        <w:t>of</w:t>
      </w:r>
      <w:r w:rsidRPr="007062FB">
        <w:rPr>
          <w:spacing w:val="-4"/>
        </w:rPr>
        <w:t xml:space="preserve"> </w:t>
      </w:r>
      <w:r w:rsidRPr="007062FB">
        <w:t>Fecal</w:t>
      </w:r>
      <w:r w:rsidRPr="007062FB">
        <w:rPr>
          <w:spacing w:val="-4"/>
        </w:rPr>
        <w:t xml:space="preserve"> </w:t>
      </w:r>
      <w:r w:rsidRPr="007062FB">
        <w:t>Indicator</w:t>
      </w:r>
      <w:r w:rsidRPr="007062FB">
        <w:rPr>
          <w:spacing w:val="-3"/>
        </w:rPr>
        <w:t xml:space="preserve"> </w:t>
      </w:r>
      <w:r w:rsidRPr="007062FB">
        <w:t>Bacteria</w:t>
      </w:r>
      <w:r w:rsidRPr="007062FB">
        <w:rPr>
          <w:spacing w:val="-6"/>
        </w:rPr>
        <w:t xml:space="preserve"> </w:t>
      </w:r>
      <w:r w:rsidRPr="007062FB">
        <w:t>for Petaluma River</w:t>
      </w:r>
    </w:p>
    <w:tbl>
      <w:tblPr>
        <w:tblW w:w="8100" w:type="dxa"/>
        <w:tblInd w:w="1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4140"/>
        <w:gridCol w:w="3960"/>
      </w:tblGrid>
      <w:tr w:rsidRPr="007062FB" w:rsidR="00FE6C44" w:rsidTr="00691D64" w14:paraId="27EAB595" w14:textId="77777777">
        <w:trPr>
          <w:trHeight w:val="967"/>
        </w:trPr>
        <w:tc>
          <w:tcPr>
            <w:tcW w:w="4140" w:type="dxa"/>
            <w:shd w:val="clear" w:color="auto" w:fill="D6E3BC" w:themeFill="accent3" w:themeFillTint="66"/>
          </w:tcPr>
          <w:p w:rsidRPr="007062FB" w:rsidR="00FE6C44" w:rsidP="009D6225" w:rsidRDefault="00FE6C44" w14:paraId="4D6E2554" w14:textId="157A6235">
            <w:pPr>
              <w:pStyle w:val="TableParagraph"/>
              <w:spacing w:before="40" w:after="40"/>
              <w:ind w:left="339" w:right="329"/>
              <w:jc w:val="center"/>
              <w:rPr>
                <w:b/>
              </w:rPr>
            </w:pPr>
            <w:r w:rsidRPr="007062FB">
              <w:rPr>
                <w:b/>
              </w:rPr>
              <w:t>Estuarine</w:t>
            </w:r>
            <w:r w:rsidRPr="007062FB">
              <w:rPr>
                <w:b/>
                <w:spacing w:val="-16"/>
              </w:rPr>
              <w:t xml:space="preserve"> W</w:t>
            </w:r>
            <w:r w:rsidRPr="007062FB">
              <w:rPr>
                <w:b/>
              </w:rPr>
              <w:t xml:space="preserve">aters </w:t>
            </w:r>
            <w:r w:rsidRPr="007062FB">
              <w:rPr>
                <w:b/>
                <w:i/>
                <w:spacing w:val="-2"/>
              </w:rPr>
              <w:t xml:space="preserve">Enterococcus </w:t>
            </w:r>
            <w:r w:rsidRPr="00242A2E">
              <w:rPr>
                <w:bCs/>
              </w:rPr>
              <w:t>(colony</w:t>
            </w:r>
            <w:r w:rsidRPr="00242A2E">
              <w:rPr>
                <w:bCs/>
                <w:spacing w:val="-3"/>
              </w:rPr>
              <w:t xml:space="preserve"> </w:t>
            </w:r>
            <w:r w:rsidRPr="00242A2E">
              <w:rPr>
                <w:bCs/>
              </w:rPr>
              <w:t>forming</w:t>
            </w:r>
            <w:r w:rsidRPr="00242A2E">
              <w:rPr>
                <w:bCs/>
                <w:spacing w:val="-2"/>
              </w:rPr>
              <w:t xml:space="preserve"> </w:t>
            </w:r>
            <w:r w:rsidRPr="00242A2E">
              <w:rPr>
                <w:bCs/>
              </w:rPr>
              <w:t>unit</w:t>
            </w:r>
            <w:r w:rsidRPr="00242A2E">
              <w:rPr>
                <w:bCs/>
                <w:spacing w:val="-4"/>
              </w:rPr>
              <w:t xml:space="preserve"> </w:t>
            </w:r>
            <w:r w:rsidRPr="00242A2E">
              <w:rPr>
                <w:bCs/>
              </w:rPr>
              <w:t>per</w:t>
            </w:r>
            <w:r w:rsidRPr="00242A2E">
              <w:rPr>
                <w:bCs/>
                <w:spacing w:val="-3"/>
              </w:rPr>
              <w:t xml:space="preserve"> </w:t>
            </w:r>
            <w:r w:rsidRPr="00242A2E">
              <w:rPr>
                <w:bCs/>
              </w:rPr>
              <w:t>100</w:t>
            </w:r>
            <w:r w:rsidR="00242A2E">
              <w:rPr>
                <w:bCs/>
                <w:spacing w:val="-4"/>
              </w:rPr>
              <w:t> </w:t>
            </w:r>
            <w:r w:rsidRPr="00242A2E">
              <w:rPr>
                <w:bCs/>
              </w:rPr>
              <w:t>milliliters</w:t>
            </w:r>
            <w:r w:rsidRPr="00242A2E">
              <w:rPr>
                <w:bCs/>
                <w:spacing w:val="-3"/>
              </w:rPr>
              <w:t xml:space="preserve"> </w:t>
            </w:r>
            <w:r w:rsidRPr="00242A2E">
              <w:rPr>
                <w:bCs/>
              </w:rPr>
              <w:t>of</w:t>
            </w:r>
            <w:r w:rsidRPr="00242A2E">
              <w:rPr>
                <w:bCs/>
                <w:spacing w:val="-4"/>
              </w:rPr>
              <w:t xml:space="preserve"> </w:t>
            </w:r>
            <w:r w:rsidRPr="00242A2E">
              <w:rPr>
                <w:bCs/>
              </w:rPr>
              <w:t>sample)</w:t>
            </w:r>
          </w:p>
        </w:tc>
        <w:tc>
          <w:tcPr>
            <w:tcW w:w="3960" w:type="dxa"/>
            <w:shd w:val="clear" w:color="auto" w:fill="D6E3BC" w:themeFill="accent3" w:themeFillTint="66"/>
          </w:tcPr>
          <w:p w:rsidRPr="007062FB" w:rsidR="00FE6C44" w:rsidP="009D6225" w:rsidRDefault="00FE6C44" w14:paraId="159AF0F1" w14:textId="77777777">
            <w:pPr>
              <w:pStyle w:val="TableParagraph"/>
              <w:spacing w:before="40" w:after="40"/>
              <w:ind w:left="268" w:right="265"/>
              <w:jc w:val="center"/>
              <w:rPr>
                <w:b/>
                <w:i/>
              </w:rPr>
            </w:pPr>
            <w:r w:rsidRPr="007062FB">
              <w:rPr>
                <w:b/>
              </w:rPr>
              <w:t>Fresh</w:t>
            </w:r>
            <w:r w:rsidRPr="007062FB">
              <w:rPr>
                <w:b/>
                <w:spacing w:val="-7"/>
              </w:rPr>
              <w:t xml:space="preserve"> W</w:t>
            </w:r>
            <w:r w:rsidRPr="007062FB">
              <w:rPr>
                <w:b/>
                <w:spacing w:val="-2"/>
              </w:rPr>
              <w:t>aters</w:t>
            </w:r>
            <w:r w:rsidRPr="00A55D0B">
              <w:rPr>
                <w:b/>
                <w:spacing w:val="-2"/>
              </w:rPr>
              <w:t xml:space="preserve"> </w:t>
            </w:r>
            <w:r w:rsidRPr="007062FB">
              <w:rPr>
                <w:b/>
                <w:i/>
              </w:rPr>
              <w:t>E.</w:t>
            </w:r>
            <w:r w:rsidRPr="007062FB">
              <w:rPr>
                <w:b/>
                <w:i/>
                <w:spacing w:val="1"/>
              </w:rPr>
              <w:t xml:space="preserve"> </w:t>
            </w:r>
            <w:r w:rsidRPr="007062FB">
              <w:rPr>
                <w:b/>
                <w:i/>
                <w:spacing w:val="-4"/>
              </w:rPr>
              <w:t>coli</w:t>
            </w:r>
          </w:p>
          <w:p w:rsidRPr="007062FB" w:rsidR="00FE6C44" w:rsidP="009D6225" w:rsidRDefault="00FE6C44" w14:paraId="741A16D4" w14:textId="57743D7A">
            <w:pPr>
              <w:pStyle w:val="TableParagraph"/>
              <w:spacing w:before="40" w:after="40"/>
              <w:ind w:left="267" w:right="265"/>
              <w:jc w:val="center"/>
              <w:rPr>
                <w:bCs/>
              </w:rPr>
            </w:pPr>
            <w:r w:rsidRPr="007062FB">
              <w:rPr>
                <w:bCs/>
              </w:rPr>
              <w:t>(colony</w:t>
            </w:r>
            <w:r w:rsidRPr="007062FB">
              <w:rPr>
                <w:bCs/>
                <w:spacing w:val="-3"/>
              </w:rPr>
              <w:t xml:space="preserve"> </w:t>
            </w:r>
            <w:r w:rsidRPr="007062FB">
              <w:rPr>
                <w:bCs/>
              </w:rPr>
              <w:t>forming</w:t>
            </w:r>
            <w:r w:rsidRPr="007062FB">
              <w:rPr>
                <w:bCs/>
                <w:spacing w:val="-2"/>
              </w:rPr>
              <w:t xml:space="preserve"> </w:t>
            </w:r>
            <w:r w:rsidRPr="007062FB">
              <w:rPr>
                <w:bCs/>
              </w:rPr>
              <w:t>unit</w:t>
            </w:r>
            <w:r w:rsidRPr="007062FB">
              <w:rPr>
                <w:bCs/>
                <w:spacing w:val="-4"/>
              </w:rPr>
              <w:t xml:space="preserve"> </w:t>
            </w:r>
            <w:r w:rsidRPr="007062FB">
              <w:rPr>
                <w:bCs/>
              </w:rPr>
              <w:t>per</w:t>
            </w:r>
            <w:r w:rsidRPr="007062FB">
              <w:rPr>
                <w:bCs/>
                <w:spacing w:val="-3"/>
              </w:rPr>
              <w:t xml:space="preserve"> </w:t>
            </w:r>
            <w:r w:rsidRPr="007062FB">
              <w:rPr>
                <w:bCs/>
              </w:rPr>
              <w:t>100</w:t>
            </w:r>
            <w:r w:rsidR="00242A2E">
              <w:rPr>
                <w:bCs/>
                <w:spacing w:val="-4"/>
              </w:rPr>
              <w:t> </w:t>
            </w:r>
            <w:r w:rsidRPr="007062FB">
              <w:rPr>
                <w:bCs/>
              </w:rPr>
              <w:t>milliliters</w:t>
            </w:r>
            <w:r w:rsidRPr="007062FB">
              <w:rPr>
                <w:bCs/>
                <w:spacing w:val="-3"/>
              </w:rPr>
              <w:t xml:space="preserve"> </w:t>
            </w:r>
            <w:r w:rsidRPr="007062FB">
              <w:rPr>
                <w:bCs/>
              </w:rPr>
              <w:t>of</w:t>
            </w:r>
            <w:r w:rsidRPr="007062FB">
              <w:rPr>
                <w:bCs/>
                <w:spacing w:val="-4"/>
              </w:rPr>
              <w:t xml:space="preserve"> </w:t>
            </w:r>
            <w:r w:rsidRPr="007062FB">
              <w:rPr>
                <w:bCs/>
              </w:rPr>
              <w:t>sample</w:t>
            </w:r>
            <w:r w:rsidRPr="007062FB">
              <w:rPr>
                <w:bCs/>
                <w:spacing w:val="-5"/>
              </w:rPr>
              <w:t>)</w:t>
            </w:r>
          </w:p>
        </w:tc>
      </w:tr>
      <w:tr w:rsidRPr="007062FB" w:rsidR="00FE6C44" w:rsidTr="00691D64" w14:paraId="3B7C6A76" w14:textId="77777777">
        <w:trPr>
          <w:trHeight w:val="823"/>
        </w:trPr>
        <w:tc>
          <w:tcPr>
            <w:tcW w:w="4140" w:type="dxa"/>
          </w:tcPr>
          <w:p w:rsidRPr="007062FB" w:rsidR="00FE6C44" w:rsidP="009D6225" w:rsidRDefault="00FE6C44" w14:paraId="7244E4A0" w14:textId="77777777">
            <w:pPr>
              <w:pStyle w:val="TableParagraph"/>
              <w:spacing w:before="40" w:after="40"/>
              <w:ind w:left="716" w:hanging="548"/>
              <w:jc w:val="center"/>
            </w:pPr>
            <w:r w:rsidRPr="007062FB">
              <w:t>Geometric</w:t>
            </w:r>
            <w:r w:rsidRPr="007062FB">
              <w:rPr>
                <w:spacing w:val="-16"/>
              </w:rPr>
              <w:t xml:space="preserve"> </w:t>
            </w:r>
            <w:r w:rsidRPr="007062FB">
              <w:t>mean</w:t>
            </w:r>
            <w:r w:rsidRPr="007062FB">
              <w:rPr>
                <w:spacing w:val="-25"/>
              </w:rPr>
              <w:t xml:space="preserve"> </w:t>
            </w:r>
            <w:r w:rsidRPr="007062FB">
              <w:t>&lt;</w:t>
            </w:r>
            <w:r w:rsidRPr="007062FB">
              <w:rPr>
                <w:spacing w:val="-15"/>
              </w:rPr>
              <w:t xml:space="preserve"> </w:t>
            </w:r>
            <w:r w:rsidRPr="007062FB">
              <w:t xml:space="preserve">30 </w:t>
            </w:r>
            <w:r w:rsidRPr="007062FB">
              <w:br/>
            </w:r>
            <w:r w:rsidRPr="007062FB">
              <w:rPr>
                <w:rFonts w:cs="Arial"/>
              </w:rPr>
              <w:t>Statistical threshold value</w:t>
            </w:r>
            <w:r w:rsidRPr="007062FB">
              <w:t xml:space="preserve"> = 110</w:t>
            </w:r>
          </w:p>
        </w:tc>
        <w:tc>
          <w:tcPr>
            <w:tcW w:w="3960" w:type="dxa"/>
          </w:tcPr>
          <w:p w:rsidRPr="007062FB" w:rsidR="00FE6C44" w:rsidP="009D6225" w:rsidRDefault="00FE6C44" w14:paraId="5803C39D" w14:textId="77777777">
            <w:pPr>
              <w:pStyle w:val="TableParagraph"/>
              <w:spacing w:before="40" w:after="40"/>
              <w:ind w:left="271" w:right="265"/>
              <w:jc w:val="center"/>
              <w:rPr>
                <w:spacing w:val="-4"/>
              </w:rPr>
            </w:pPr>
            <w:r w:rsidRPr="007062FB">
              <w:t>Geometric</w:t>
            </w:r>
            <w:r w:rsidRPr="007062FB">
              <w:rPr>
                <w:spacing w:val="-16"/>
              </w:rPr>
              <w:t xml:space="preserve"> </w:t>
            </w:r>
            <w:r w:rsidRPr="007062FB">
              <w:t>mean</w:t>
            </w:r>
            <w:r w:rsidRPr="007062FB">
              <w:rPr>
                <w:spacing w:val="-23"/>
              </w:rPr>
              <w:t xml:space="preserve"> </w:t>
            </w:r>
            <w:r w:rsidRPr="007062FB">
              <w:t xml:space="preserve">&lt; </w:t>
            </w:r>
            <w:r w:rsidRPr="007062FB">
              <w:rPr>
                <w:spacing w:val="-4"/>
              </w:rPr>
              <w:t xml:space="preserve">100 </w:t>
            </w:r>
          </w:p>
          <w:p w:rsidRPr="007062FB" w:rsidR="00FE6C44" w:rsidP="009D6225" w:rsidRDefault="00FE6C44" w14:paraId="237430AF" w14:textId="77777777">
            <w:pPr>
              <w:pStyle w:val="TableParagraph"/>
              <w:spacing w:before="40" w:after="40"/>
              <w:ind w:left="271" w:right="265"/>
              <w:jc w:val="center"/>
            </w:pPr>
            <w:r w:rsidRPr="007062FB">
              <w:rPr>
                <w:rFonts w:cs="Arial"/>
              </w:rPr>
              <w:t>Statistical threshold value</w:t>
            </w:r>
            <w:r w:rsidRPr="007062FB">
              <w:rPr>
                <w:spacing w:val="-16"/>
              </w:rPr>
              <w:t xml:space="preserve"> </w:t>
            </w:r>
            <w:r w:rsidRPr="007062FB">
              <w:rPr>
                <w:spacing w:val="-2"/>
              </w:rPr>
              <w:t>=</w:t>
            </w:r>
            <w:r w:rsidRPr="007062FB">
              <w:rPr>
                <w:spacing w:val="-17"/>
              </w:rPr>
              <w:t xml:space="preserve"> </w:t>
            </w:r>
            <w:r w:rsidRPr="007062FB">
              <w:rPr>
                <w:spacing w:val="-5"/>
              </w:rPr>
              <w:t>320</w:t>
            </w:r>
          </w:p>
        </w:tc>
      </w:tr>
    </w:tbl>
    <w:p w:rsidR="00FE6C44" w:rsidP="009F205D" w:rsidRDefault="00FE6C44" w14:paraId="2F0D163F" w14:textId="3E3299FF">
      <w:pPr>
        <w:keepNext/>
        <w:keepLines/>
        <w:shd w:val="clear" w:color="auto" w:fill="FFFFFF" w:themeFill="background1"/>
        <w:spacing w:before="240"/>
        <w:ind w:left="1267"/>
        <w:rPr>
          <w:bCs/>
        </w:rPr>
      </w:pPr>
      <w:r w:rsidRPr="005F75C2">
        <w:rPr>
          <w:b/>
        </w:rPr>
        <w:t xml:space="preserve">Final Compliance Deadlines: </w:t>
      </w:r>
      <w:r w:rsidR="00CC169C">
        <w:rPr>
          <w:bCs/>
        </w:rPr>
        <w:t>USEPA</w:t>
      </w:r>
      <w:r w:rsidR="00C56C92">
        <w:rPr>
          <w:bCs/>
        </w:rPr>
        <w:t xml:space="preserve"> </w:t>
      </w:r>
      <w:r w:rsidRPr="005F75C2">
        <w:rPr>
          <w:bCs/>
        </w:rPr>
        <w:t xml:space="preserve">approved </w:t>
      </w:r>
      <w:r>
        <w:rPr>
          <w:bCs/>
        </w:rPr>
        <w:t xml:space="preserve">the TMDL </w:t>
      </w:r>
      <w:r w:rsidRPr="005F75C2">
        <w:rPr>
          <w:bCs/>
        </w:rPr>
        <w:t>on May 10, 2021. Wasteload allocations are required to be met within six years of approval, which is May 10, 2027</w:t>
      </w:r>
      <w:r>
        <w:rPr>
          <w:bCs/>
        </w:rPr>
        <w:t>.</w:t>
      </w:r>
    </w:p>
    <w:p w:rsidRPr="00F33B01" w:rsidR="00756980" w:rsidP="00756980" w:rsidRDefault="00836361" w14:paraId="4FEF8571" w14:textId="6C12839E">
      <w:pPr>
        <w:pStyle w:val="Heading3"/>
        <w:tabs>
          <w:tab w:val="clear" w:pos="720"/>
          <w:tab w:val="left" w:pos="1260"/>
        </w:tabs>
        <w:ind w:left="1260" w:hanging="1260"/>
        <w:rPr>
          <w:i/>
          <w:iCs/>
        </w:rPr>
      </w:pPr>
      <w:r>
        <w:rPr>
          <w:i/>
          <w:iCs/>
        </w:rPr>
        <w:t>A13</w:t>
      </w:r>
      <w:r w:rsidRPr="00F33B01" w:rsidR="00756980">
        <w:rPr>
          <w:i/>
          <w:iCs/>
        </w:rPr>
        <w:t>.2.</w:t>
      </w:r>
      <w:r w:rsidR="00756980">
        <w:rPr>
          <w:i/>
          <w:iCs/>
        </w:rPr>
        <w:t>8</w:t>
      </w:r>
      <w:r w:rsidRPr="00F33B01" w:rsidR="00756980">
        <w:rPr>
          <w:i/>
          <w:iCs/>
        </w:rPr>
        <w:tab/>
      </w:r>
      <w:r w:rsidRPr="00F33B01" w:rsidR="00756980">
        <w:rPr>
          <w:i/>
          <w:iCs/>
        </w:rPr>
        <w:t xml:space="preserve">Napa River Sediment </w:t>
      </w:r>
      <w:r w:rsidR="00756980">
        <w:rPr>
          <w:i/>
          <w:iCs/>
        </w:rPr>
        <w:t>TMDL</w:t>
      </w:r>
    </w:p>
    <w:p w:rsidRPr="003923D1" w:rsidR="00756980" w:rsidP="00756980" w:rsidRDefault="00756980" w14:paraId="32DF147F" w14:textId="77777777">
      <w:pPr>
        <w:ind w:left="1260"/>
        <w:rPr>
          <w:rFonts w:cs="Arial"/>
        </w:rPr>
      </w:pPr>
      <w:r w:rsidRPr="7A608BAE">
        <w:rPr>
          <w:rFonts w:cs="Arial"/>
          <w:b/>
        </w:rPr>
        <w:t>Description:</w:t>
      </w:r>
      <w:r w:rsidRPr="7A608BAE">
        <w:rPr>
          <w:rFonts w:cs="Arial"/>
        </w:rPr>
        <w:t xml:space="preserve"> Napa River and its tributaries are listed as impaired due to excessive sediment and channel incision. </w:t>
      </w:r>
      <w:r>
        <w:t xml:space="preserve">Cold freshwater habitat, wildlife habitat, fish spawning, recreation, and preservation of rare and endangered species beneficial uses are impaired. </w:t>
      </w:r>
      <w:r w:rsidRPr="7A608BAE">
        <w:rPr>
          <w:rFonts w:cs="Arial"/>
        </w:rPr>
        <w:t xml:space="preserve">Habitat for steelhead trout, chinook salmon, and other threatened species have declined substantially in recent decades. The Napa River Sediment TMDL identifies urban stormwater runoff as a source of impairment and identifies implementation measures to control and prevent sediment discharges associated with this runoff. </w:t>
      </w:r>
    </w:p>
    <w:p w:rsidRPr="001B172B" w:rsidR="00756980" w:rsidP="00756980" w:rsidRDefault="00756980" w14:paraId="33221AD0" w14:textId="5A7E464C">
      <w:pPr>
        <w:ind w:left="1260"/>
        <w:rPr>
          <w:rFonts w:cs="Arial"/>
        </w:rPr>
      </w:pPr>
      <w:r w:rsidRPr="006A53D3">
        <w:rPr>
          <w:rFonts w:ascii="Arial Bold" w:hAnsi="Arial Bold"/>
          <w:b/>
        </w:rPr>
        <w:t>Responsible Permi</w:t>
      </w:r>
      <w:r w:rsidR="00A84C66">
        <w:rPr>
          <w:rFonts w:ascii="Arial Bold" w:hAnsi="Arial Bold"/>
          <w:b/>
        </w:rPr>
        <w:t>t</w:t>
      </w:r>
      <w:r w:rsidRPr="006A53D3">
        <w:rPr>
          <w:rFonts w:ascii="Arial Bold" w:hAnsi="Arial Bold"/>
          <w:b/>
        </w:rPr>
        <w:t>tees</w:t>
      </w:r>
      <w:r w:rsidRPr="001B172B">
        <w:rPr>
          <w:rFonts w:ascii="Arial Bold" w:hAnsi="Arial Bold"/>
          <w:b/>
        </w:rPr>
        <w:t>:</w:t>
      </w:r>
      <w:r w:rsidRPr="001B172B">
        <w:rPr>
          <w:b/>
        </w:rPr>
        <w:t xml:space="preserve"> </w:t>
      </w:r>
      <w:r w:rsidRPr="001B172B">
        <w:rPr>
          <w:rFonts w:cs="Arial"/>
        </w:rPr>
        <w:t>The TMDL identifies the following Permittees as sediment sources of urban stormwater runoff and as implementing parties:</w:t>
      </w:r>
      <w:r>
        <w:rPr>
          <w:rFonts w:cs="Arial"/>
        </w:rPr>
        <w:t xml:space="preserve"> </w:t>
      </w:r>
      <w:r w:rsidRPr="001B172B">
        <w:rPr>
          <w:rFonts w:cs="Arial"/>
        </w:rPr>
        <w:t xml:space="preserve">Napa County, City of Napa, Town of Yountville, City of St. Helena, City of Calistoga, and City of American Canyon. </w:t>
      </w:r>
    </w:p>
    <w:p w:rsidRPr="00A5438E" w:rsidR="00756980" w:rsidP="00756980" w:rsidRDefault="00756980" w14:paraId="3E6B6CC3" w14:textId="77777777">
      <w:pPr>
        <w:ind w:left="1260"/>
        <w:rPr>
          <w:rFonts w:cs="Arial"/>
        </w:rPr>
      </w:pPr>
      <w:r w:rsidRPr="00A5438E">
        <w:rPr>
          <w:b/>
        </w:rPr>
        <w:t>Wasteload</w:t>
      </w:r>
      <w:r w:rsidRPr="00A5438E">
        <w:rPr>
          <w:rFonts w:cs="Arial"/>
        </w:rPr>
        <w:t xml:space="preserve"> </w:t>
      </w:r>
      <w:r w:rsidRPr="00A5438E">
        <w:rPr>
          <w:b/>
        </w:rPr>
        <w:t>Allocations</w:t>
      </w:r>
      <w:r w:rsidRPr="00A5438E">
        <w:rPr>
          <w:rFonts w:cs="Arial"/>
        </w:rPr>
        <w:t>: The Napa River Sediment TMDL provides a group wasteload allocation of 800 metric tons per year for urban stormwater runoff discharges for the Small MS4 Permit.</w:t>
      </w:r>
    </w:p>
    <w:p w:rsidR="00756980" w:rsidP="00756980" w:rsidRDefault="00756980" w14:paraId="3A384E74" w14:textId="77777777">
      <w:pPr>
        <w:shd w:val="clear" w:color="auto" w:fill="FFFFFF" w:themeFill="background1"/>
        <w:ind w:left="1260"/>
        <w:rPr>
          <w:bCs/>
        </w:rPr>
      </w:pPr>
      <w:r w:rsidRPr="007B1F6E">
        <w:rPr>
          <w:b/>
        </w:rPr>
        <w:t xml:space="preserve">Final Compliance Deadlines: </w:t>
      </w:r>
      <w:r w:rsidRPr="007B1F6E">
        <w:rPr>
          <w:bCs/>
        </w:rPr>
        <w:t xml:space="preserve">The TMDL does not specify a final compliance deadline. </w:t>
      </w:r>
      <w:r>
        <w:rPr>
          <w:bCs/>
        </w:rPr>
        <w:t xml:space="preserve">The TMDL requires compliance with this Order. </w:t>
      </w:r>
      <w:r w:rsidRPr="007B1F6E">
        <w:rPr>
          <w:bCs/>
        </w:rPr>
        <w:t>The TMDL states that the</w:t>
      </w:r>
      <w:r w:rsidRPr="007B1F6E">
        <w:rPr>
          <w:b/>
        </w:rPr>
        <w:t xml:space="preserve"> </w:t>
      </w:r>
      <w:r w:rsidRPr="007B1F6E">
        <w:rPr>
          <w:bCs/>
        </w:rPr>
        <w:t xml:space="preserve">San Francisco Bay Water Board will evaluate attainment of water quality objectives at five and ten years after the effective date of the TMDL. Therefore, implementation shall continue for the term of this Order. </w:t>
      </w:r>
    </w:p>
    <w:p w:rsidR="00AD0054" w:rsidP="00AD0054" w:rsidRDefault="00AD0054" w14:paraId="7A12044A" w14:textId="382FB15B">
      <w:pPr>
        <w:pStyle w:val="Heading3"/>
        <w:tabs>
          <w:tab w:val="clear" w:pos="720"/>
          <w:tab w:val="left" w:pos="1260"/>
        </w:tabs>
        <w:ind w:left="1260" w:hanging="1260"/>
        <w:rPr>
          <w:i/>
          <w:iCs/>
        </w:rPr>
      </w:pPr>
      <w:r>
        <w:rPr>
          <w:i/>
          <w:iCs/>
        </w:rPr>
        <w:t>A13.2.9</w:t>
      </w:r>
      <w:r>
        <w:rPr>
          <w:i/>
          <w:iCs/>
        </w:rPr>
        <w:tab/>
      </w:r>
      <w:r>
        <w:rPr>
          <w:i/>
          <w:iCs/>
        </w:rPr>
        <w:t>Sonoma Creek Watershed Sediment TMDL</w:t>
      </w:r>
    </w:p>
    <w:p w:rsidRPr="003923D1" w:rsidR="00AD0054" w:rsidP="00AD0054" w:rsidRDefault="00AD0054" w14:paraId="7579756C" w14:textId="63530523">
      <w:pPr>
        <w:ind w:left="1260"/>
        <w:rPr>
          <w:rFonts w:cs="Arial"/>
        </w:rPr>
      </w:pPr>
      <w:r w:rsidRPr="7A608BAE">
        <w:rPr>
          <w:rFonts w:cs="Arial"/>
          <w:b/>
        </w:rPr>
        <w:t>Description:</w:t>
      </w:r>
      <w:r w:rsidRPr="7A608BAE">
        <w:rPr>
          <w:rFonts w:cs="Arial"/>
        </w:rPr>
        <w:t xml:space="preserve"> </w:t>
      </w:r>
      <w:r w:rsidRPr="00190420" w:rsidR="00190420">
        <w:rPr>
          <w:rFonts w:cs="Arial"/>
        </w:rPr>
        <w:t xml:space="preserve">The San Francisco Bay Water Board adopted the Sonoma Creek Sediment TMDL, </w:t>
      </w:r>
      <w:r w:rsidR="00D14991">
        <w:rPr>
          <w:rFonts w:cs="Arial"/>
        </w:rPr>
        <w:t>which</w:t>
      </w:r>
      <w:r w:rsidRPr="00190420" w:rsidR="00190420">
        <w:rPr>
          <w:rFonts w:cs="Arial"/>
        </w:rPr>
        <w:t xml:space="preserve"> was approved by </w:t>
      </w:r>
      <w:r w:rsidR="00280F07">
        <w:rPr>
          <w:rFonts w:cs="Arial"/>
        </w:rPr>
        <w:t>USEPA</w:t>
      </w:r>
      <w:r w:rsidRPr="00190420" w:rsidR="00190420">
        <w:rPr>
          <w:rFonts w:cs="Arial"/>
        </w:rPr>
        <w:t xml:space="preserve"> on September 8, 2010. Sonoma Creek exceeds water quality standards for sediment</w:t>
      </w:r>
      <w:r w:rsidR="00D14991">
        <w:rPr>
          <w:rFonts w:cs="Arial"/>
        </w:rPr>
        <w:t>,</w:t>
      </w:r>
      <w:r w:rsidRPr="00190420" w:rsidR="00190420">
        <w:rPr>
          <w:rFonts w:cs="Arial"/>
        </w:rPr>
        <w:t xml:space="preserve"> and the creek has </w:t>
      </w:r>
      <w:r w:rsidRPr="00190420" w:rsidR="001D1749">
        <w:rPr>
          <w:rFonts w:cs="Arial"/>
        </w:rPr>
        <w:t>declined</w:t>
      </w:r>
      <w:r w:rsidRPr="00190420" w:rsidR="00190420">
        <w:rPr>
          <w:rFonts w:cs="Arial"/>
        </w:rPr>
        <w:t xml:space="preserve"> in native fish populations. </w:t>
      </w:r>
      <w:r w:rsidRPr="00844287" w:rsidR="00844287">
        <w:rPr>
          <w:rFonts w:cs="Arial"/>
        </w:rPr>
        <w:t>Steelhead populations have declined substantially since the late 1940s</w:t>
      </w:r>
      <w:r w:rsidR="00844287">
        <w:rPr>
          <w:rFonts w:cs="Arial"/>
        </w:rPr>
        <w:t xml:space="preserve">. </w:t>
      </w:r>
      <w:r w:rsidRPr="00ED22B3" w:rsidR="00ED22B3">
        <w:rPr>
          <w:rFonts w:cs="Arial"/>
        </w:rPr>
        <w:t xml:space="preserve">Excessive amounts of fine sediment have been deposited in the streambed at potential steelhead spawning and rearing sites. </w:t>
      </w:r>
      <w:r w:rsidRPr="0081190C" w:rsidR="0081190C">
        <w:rPr>
          <w:rFonts w:cs="Arial"/>
        </w:rPr>
        <w:t>Changes in habitat structure</w:t>
      </w:r>
      <w:r w:rsidR="003E634B">
        <w:rPr>
          <w:rFonts w:cs="Arial"/>
        </w:rPr>
        <w:t xml:space="preserve">, </w:t>
      </w:r>
      <w:r w:rsidR="00E22C7B">
        <w:rPr>
          <w:rFonts w:cs="Arial"/>
        </w:rPr>
        <w:t>possibly</w:t>
      </w:r>
      <w:r w:rsidR="003E634B">
        <w:rPr>
          <w:rFonts w:cs="Arial"/>
        </w:rPr>
        <w:t xml:space="preserve"> caused by erosion</w:t>
      </w:r>
      <w:r w:rsidR="00147521">
        <w:rPr>
          <w:rFonts w:cs="Arial"/>
        </w:rPr>
        <w:t>,</w:t>
      </w:r>
      <w:r w:rsidRPr="0081190C" w:rsidR="0081190C">
        <w:rPr>
          <w:rFonts w:cs="Arial"/>
        </w:rPr>
        <w:t xml:space="preserve"> are resulting in significant adverse changes to steelhead habitat. </w:t>
      </w:r>
      <w:r w:rsidRPr="00190420" w:rsidR="00190420">
        <w:rPr>
          <w:rFonts w:cs="Arial"/>
        </w:rPr>
        <w:t xml:space="preserve">The TMDL addresses </w:t>
      </w:r>
      <w:r w:rsidR="00E201C8">
        <w:rPr>
          <w:rFonts w:cs="Arial"/>
        </w:rPr>
        <w:t xml:space="preserve">and </w:t>
      </w:r>
      <w:r w:rsidRPr="00190420" w:rsidR="00190420">
        <w:rPr>
          <w:rFonts w:cs="Arial"/>
        </w:rPr>
        <w:t>identifies pollutant sources.</w:t>
      </w:r>
    </w:p>
    <w:p w:rsidRPr="001B172B" w:rsidR="00AD0054" w:rsidP="00AD0054" w:rsidRDefault="00AD0054" w14:paraId="4F9AB109" w14:textId="4FADD255">
      <w:pPr>
        <w:ind w:left="1260"/>
        <w:rPr>
          <w:rFonts w:cs="Arial"/>
        </w:rPr>
      </w:pPr>
      <w:r w:rsidRPr="006A53D3">
        <w:rPr>
          <w:rFonts w:ascii="Arial Bold" w:hAnsi="Arial Bold"/>
          <w:b/>
        </w:rPr>
        <w:t>Responsible Permi</w:t>
      </w:r>
      <w:r>
        <w:rPr>
          <w:rFonts w:ascii="Arial Bold" w:hAnsi="Arial Bold"/>
          <w:b/>
        </w:rPr>
        <w:t>t</w:t>
      </w:r>
      <w:r w:rsidRPr="006A53D3">
        <w:rPr>
          <w:rFonts w:ascii="Arial Bold" w:hAnsi="Arial Bold"/>
          <w:b/>
        </w:rPr>
        <w:t>tees</w:t>
      </w:r>
      <w:r w:rsidRPr="001B172B">
        <w:rPr>
          <w:rFonts w:ascii="Arial Bold" w:hAnsi="Arial Bold"/>
          <w:b/>
        </w:rPr>
        <w:t>:</w:t>
      </w:r>
      <w:r w:rsidRPr="001B172B">
        <w:rPr>
          <w:rFonts w:cs="Arial"/>
        </w:rPr>
        <w:t xml:space="preserve"> </w:t>
      </w:r>
      <w:r w:rsidR="00942793">
        <w:rPr>
          <w:rFonts w:cs="Arial"/>
        </w:rPr>
        <w:t xml:space="preserve">Sonoma Water, </w:t>
      </w:r>
      <w:r w:rsidRPr="00F711E3" w:rsidR="00815E9C">
        <w:rPr>
          <w:rFonts w:cs="Arial"/>
        </w:rPr>
        <w:t>City of Sonoma</w:t>
      </w:r>
      <w:r w:rsidR="00815E9C">
        <w:rPr>
          <w:rFonts w:cs="Arial"/>
        </w:rPr>
        <w:t>,</w:t>
      </w:r>
      <w:r w:rsidRPr="00F711E3" w:rsidR="00815E9C">
        <w:rPr>
          <w:rFonts w:cs="Arial"/>
        </w:rPr>
        <w:t xml:space="preserve"> County of Sonoma</w:t>
      </w:r>
      <w:r w:rsidR="00815E9C">
        <w:rPr>
          <w:rFonts w:cs="Arial"/>
        </w:rPr>
        <w:t>,</w:t>
      </w:r>
      <w:r w:rsidRPr="00F711E3" w:rsidR="00815E9C">
        <w:rPr>
          <w:rFonts w:cs="Arial"/>
        </w:rPr>
        <w:t xml:space="preserve"> Sonoma Water</w:t>
      </w:r>
    </w:p>
    <w:p w:rsidRPr="00A5438E" w:rsidR="00AD0054" w:rsidP="00AD0054" w:rsidRDefault="00AD0054" w14:paraId="7C868965" w14:textId="1F70372B">
      <w:pPr>
        <w:ind w:left="1260"/>
        <w:rPr>
          <w:rFonts w:cs="Arial"/>
        </w:rPr>
      </w:pPr>
      <w:r w:rsidRPr="00A5438E">
        <w:rPr>
          <w:b/>
        </w:rPr>
        <w:t>Wasteload</w:t>
      </w:r>
      <w:r w:rsidRPr="00A5438E">
        <w:rPr>
          <w:rFonts w:cs="Arial"/>
        </w:rPr>
        <w:t xml:space="preserve"> </w:t>
      </w:r>
      <w:r w:rsidRPr="00A5438E">
        <w:rPr>
          <w:b/>
        </w:rPr>
        <w:t>Allocations</w:t>
      </w:r>
      <w:r w:rsidRPr="00A5438E">
        <w:rPr>
          <w:rFonts w:cs="Arial"/>
        </w:rPr>
        <w:t>:</w:t>
      </w:r>
      <w:r w:rsidR="00BF1161">
        <w:rPr>
          <w:rFonts w:cs="Arial"/>
        </w:rPr>
        <w:t xml:space="preserve"> </w:t>
      </w:r>
      <w:r w:rsidR="00B25A73">
        <w:rPr>
          <w:rFonts w:cs="Arial"/>
        </w:rPr>
        <w:t>Compliance with the</w:t>
      </w:r>
      <w:r w:rsidR="00BF1161">
        <w:rPr>
          <w:rFonts w:cs="Arial"/>
        </w:rPr>
        <w:t xml:space="preserve"> combined wasteload allocation </w:t>
      </w:r>
      <w:r w:rsidR="00B25A73">
        <w:rPr>
          <w:rFonts w:cs="Arial"/>
        </w:rPr>
        <w:t>of</w:t>
      </w:r>
      <w:r w:rsidR="00865941">
        <w:rPr>
          <w:rFonts w:cs="Arial"/>
        </w:rPr>
        <w:t xml:space="preserve"> 600 tons per year</w:t>
      </w:r>
      <w:r w:rsidR="00B25A73">
        <w:rPr>
          <w:rFonts w:cs="Arial"/>
        </w:rPr>
        <w:t xml:space="preserve"> is demonstrated by complying with </w:t>
      </w:r>
      <w:r w:rsidR="00353AEF">
        <w:rPr>
          <w:rFonts w:cs="Arial"/>
        </w:rPr>
        <w:t xml:space="preserve">approved </w:t>
      </w:r>
      <w:r w:rsidR="00353AEF">
        <w:rPr>
          <w:rFonts w:cs="Arial"/>
        </w:rPr>
        <w:t xml:space="preserve">stormwater management plan, complying with this Order, and amending and implementing stormwater </w:t>
      </w:r>
      <w:r w:rsidR="004B696A">
        <w:rPr>
          <w:rFonts w:cs="Arial"/>
        </w:rPr>
        <w:t>management plans to control peak flow rates and durations</w:t>
      </w:r>
      <w:r w:rsidR="00865941">
        <w:rPr>
          <w:rFonts w:cs="Arial"/>
        </w:rPr>
        <w:t>.</w:t>
      </w:r>
      <w:r w:rsidR="002E61E0">
        <w:rPr>
          <w:rFonts w:cs="Arial"/>
        </w:rPr>
        <w:t xml:space="preserve"> </w:t>
      </w:r>
    </w:p>
    <w:p w:rsidR="00AD0054" w:rsidP="00AD0054" w:rsidRDefault="00AD0054" w14:paraId="5051F3CF" w14:textId="19E75106">
      <w:pPr>
        <w:shd w:val="clear" w:color="auto" w:fill="FFFFFF" w:themeFill="background1"/>
        <w:ind w:left="1260"/>
        <w:rPr>
          <w:bCs/>
        </w:rPr>
      </w:pPr>
      <w:r w:rsidRPr="007B1F6E">
        <w:rPr>
          <w:b/>
        </w:rPr>
        <w:t>Final Compliance Deadlines:</w:t>
      </w:r>
      <w:r w:rsidR="00FC42E8">
        <w:rPr>
          <w:b/>
        </w:rPr>
        <w:t xml:space="preserve"> </w:t>
      </w:r>
      <w:r w:rsidRPr="00FC42E8" w:rsidR="00FC42E8">
        <w:rPr>
          <w:bCs/>
        </w:rPr>
        <w:t>A final compliance deadline was not included in this TMDL. Instead, waterbody attainment with sediment water quality objectives are to be evaluated over a 5 to 10</w:t>
      </w:r>
      <w:r w:rsidRPr="00FC42E8" w:rsidR="00FC42E8">
        <w:rPr>
          <w:rFonts w:ascii="Cambria Math" w:hAnsi="Cambria Math" w:cs="Cambria Math"/>
          <w:bCs/>
        </w:rPr>
        <w:t>‐</w:t>
      </w:r>
      <w:r w:rsidRPr="00FC42E8" w:rsidR="00FC42E8">
        <w:rPr>
          <w:bCs/>
        </w:rPr>
        <w:t>year averaging period, which runs from 2010 through 2020.</w:t>
      </w:r>
      <w:r w:rsidRPr="00FC42E8">
        <w:rPr>
          <w:bCs/>
        </w:rPr>
        <w:t xml:space="preserve"> </w:t>
      </w:r>
    </w:p>
    <w:p w:rsidRPr="00F33B01" w:rsidR="007357A4" w:rsidP="007357A4" w:rsidRDefault="00836361" w14:paraId="6EC82BAA" w14:textId="62D4D0B1">
      <w:pPr>
        <w:pStyle w:val="Heading3"/>
        <w:tabs>
          <w:tab w:val="clear" w:pos="720"/>
          <w:tab w:val="left" w:pos="1260"/>
        </w:tabs>
        <w:ind w:left="1260" w:hanging="1260"/>
        <w:rPr>
          <w:i/>
          <w:iCs/>
        </w:rPr>
      </w:pPr>
      <w:r>
        <w:rPr>
          <w:i/>
          <w:iCs/>
        </w:rPr>
        <w:t>A13</w:t>
      </w:r>
      <w:r w:rsidRPr="00F33B01" w:rsidR="007357A4">
        <w:rPr>
          <w:i/>
          <w:iCs/>
        </w:rPr>
        <w:t>.2.</w:t>
      </w:r>
      <w:r w:rsidR="00E75222">
        <w:rPr>
          <w:i/>
          <w:iCs/>
        </w:rPr>
        <w:t>10</w:t>
      </w:r>
      <w:r w:rsidRPr="00F33B01" w:rsidR="007357A4">
        <w:rPr>
          <w:i/>
          <w:iCs/>
        </w:rPr>
        <w:tab/>
      </w:r>
      <w:r w:rsidRPr="00F33B01" w:rsidR="007357A4">
        <w:rPr>
          <w:i/>
          <w:iCs/>
        </w:rPr>
        <w:t xml:space="preserve">San Francisco Bay Polychlorinated Biphenyls TMDL </w:t>
      </w:r>
    </w:p>
    <w:p w:rsidRPr="003A0F9C" w:rsidR="007357A4" w:rsidP="007357A4" w:rsidRDefault="007357A4" w14:paraId="103FF9F1" w14:textId="77777777">
      <w:pPr>
        <w:ind w:left="1260"/>
        <w:rPr>
          <w:rFonts w:cs="Arial"/>
          <w:bCs/>
        </w:rPr>
      </w:pPr>
      <w:r w:rsidRPr="008B318E">
        <w:rPr>
          <w:rFonts w:cs="Arial"/>
          <w:b/>
        </w:rPr>
        <w:t>Description</w:t>
      </w:r>
      <w:r>
        <w:rPr>
          <w:rFonts w:cs="Arial"/>
          <w:b/>
        </w:rPr>
        <w:t xml:space="preserve">: </w:t>
      </w:r>
      <w:r w:rsidRPr="00470E87">
        <w:rPr>
          <w:rFonts w:cs="Arial"/>
          <w:bCs/>
        </w:rPr>
        <w:t xml:space="preserve">The </w:t>
      </w:r>
      <w:r w:rsidRPr="00470E87">
        <w:rPr>
          <w:bCs/>
        </w:rPr>
        <w:t>S</w:t>
      </w:r>
      <w:r w:rsidRPr="008B318E">
        <w:t xml:space="preserve">an Francisco Bay Polychlorinated Biphenyls TMDL </w:t>
      </w:r>
      <w:r>
        <w:t>identifies a</w:t>
      </w:r>
      <w:r w:rsidRPr="003A0F9C">
        <w:rPr>
          <w:rFonts w:cs="Arial"/>
          <w:bCs/>
        </w:rPr>
        <w:t xml:space="preserve">ll segments of San Francisco Bay as impaired due to elevated levels of </w:t>
      </w:r>
      <w:r>
        <w:rPr>
          <w:rFonts w:cs="Arial"/>
          <w:bCs/>
        </w:rPr>
        <w:t>p</w:t>
      </w:r>
      <w:r w:rsidRPr="003A0F9C">
        <w:rPr>
          <w:bCs/>
        </w:rPr>
        <w:t xml:space="preserve">olychlorinated biphenyls </w:t>
      </w:r>
      <w:r>
        <w:rPr>
          <w:bCs/>
        </w:rPr>
        <w:t xml:space="preserve">(PCBs) </w:t>
      </w:r>
      <w:r w:rsidRPr="003A0F9C">
        <w:rPr>
          <w:bCs/>
        </w:rPr>
        <w:t xml:space="preserve">in sport fish. </w:t>
      </w:r>
      <w:r>
        <w:rPr>
          <w:bCs/>
        </w:rPr>
        <w:t>The</w:t>
      </w:r>
      <w:r w:rsidRPr="003A0F9C">
        <w:rPr>
          <w:bCs/>
        </w:rPr>
        <w:t xml:space="preserve"> narrative water quality objective</w:t>
      </w:r>
      <w:r>
        <w:rPr>
          <w:bCs/>
        </w:rPr>
        <w:t xml:space="preserve"> </w:t>
      </w:r>
      <w:r w:rsidRPr="00E92DE7">
        <w:rPr>
          <w:bCs/>
        </w:rPr>
        <w:t>(</w:t>
      </w:r>
      <w:r w:rsidRPr="00E92DE7">
        <w:t xml:space="preserve">controllable water quality factors shall not cause a detrimental increase in toxic substances found in bottom sediments or aquatic life ) </w:t>
      </w:r>
      <w:r w:rsidRPr="00E92DE7">
        <w:rPr>
          <w:bCs/>
        </w:rPr>
        <w:t xml:space="preserve">and the numeric water quality objective (0.00017 </w:t>
      </w:r>
      <w:r>
        <w:rPr>
          <w:bCs/>
        </w:rPr>
        <w:t>micrograms per liter</w:t>
      </w:r>
      <w:r w:rsidRPr="00E92DE7">
        <w:rPr>
          <w:bCs/>
        </w:rPr>
        <w:t xml:space="preserve"> total PCBs in water) are not attained in the San Francisco Bay. The existing beneficial use for commercial and sport fishing is not fully supported.</w:t>
      </w:r>
      <w:r w:rsidRPr="00E92DE7">
        <w:rPr>
          <w:rFonts w:cs="Arial"/>
          <w:bCs/>
        </w:rPr>
        <w:t xml:space="preserve"> The TMDL identifies stormwater runoff</w:t>
      </w:r>
      <w:r>
        <w:rPr>
          <w:rFonts w:cs="Arial"/>
          <w:bCs/>
        </w:rPr>
        <w:t xml:space="preserve"> as a PCB source category. </w:t>
      </w:r>
    </w:p>
    <w:p w:rsidRPr="008F238E" w:rsidR="007357A4" w:rsidP="007357A4" w:rsidRDefault="007357A4" w14:paraId="01645CA9" w14:textId="395BCA8B">
      <w:pPr>
        <w:ind w:left="1260"/>
        <w:rPr>
          <w:rFonts w:cs="Arial"/>
          <w:bCs/>
          <w:highlight w:val="yellow"/>
        </w:rPr>
      </w:pPr>
      <w:r w:rsidRPr="006A53D3">
        <w:rPr>
          <w:rFonts w:ascii="Arial Bold" w:hAnsi="Arial Bold"/>
          <w:b/>
        </w:rPr>
        <w:t>Responsible Permit</w:t>
      </w:r>
      <w:r w:rsidR="00A84C66">
        <w:rPr>
          <w:rFonts w:ascii="Arial Bold" w:hAnsi="Arial Bold"/>
          <w:b/>
        </w:rPr>
        <w:t>t</w:t>
      </w:r>
      <w:r w:rsidRPr="006A53D3">
        <w:rPr>
          <w:rFonts w:ascii="Arial Bold" w:hAnsi="Arial Bold"/>
          <w:b/>
        </w:rPr>
        <w:t>ees</w:t>
      </w:r>
      <w:r w:rsidRPr="006A53D3">
        <w:rPr>
          <w:rFonts w:ascii="Arial Bold" w:hAnsi="Arial Bold"/>
          <w:bCs/>
        </w:rPr>
        <w:t>:</w:t>
      </w:r>
      <w:r w:rsidRPr="006A53D3">
        <w:rPr>
          <w:rFonts w:cs="Arial"/>
          <w:bCs/>
        </w:rPr>
        <w:t xml:space="preserve"> </w:t>
      </w:r>
      <w:r w:rsidRPr="006A53D3">
        <w:t>County</w:t>
      </w:r>
      <w:r w:rsidRPr="005B4C96">
        <w:t xml:space="preserve"> of Napa, City of American Canyon, City of Calistoga, City of Napa, Town of Yountville, City of St. Helena, County of Marin, City of Belvedere, Town of Corte Madera, Town of Fairfax, City of Larkspur, City of Mill Valley, City of Novato, Town of Ross, Town of San Anselmo, City of San Rafael, City of Sausalito, Town of Tiburon, County of Solano, City of Benicia, County of Sonoma, City of Sonoma, City of Petaluma, Port of Oakland</w:t>
      </w:r>
      <w:r w:rsidRPr="00425C70">
        <w:t xml:space="preserve">, </w:t>
      </w:r>
      <w:r w:rsidRPr="00425C70" w:rsidR="0069476C">
        <w:t>Sonoma Water</w:t>
      </w:r>
      <w:r w:rsidR="00425C70">
        <w:rPr>
          <w:rStyle w:val="FootnoteReference"/>
        </w:rPr>
        <w:footnoteReference w:id="17"/>
      </w:r>
      <w:r w:rsidRPr="00425C70" w:rsidR="0069476C">
        <w:t>,</w:t>
      </w:r>
      <w:r w:rsidR="0069476C">
        <w:t xml:space="preserve"> </w:t>
      </w:r>
      <w:r w:rsidRPr="005B4C96">
        <w:t xml:space="preserve">San Francisco Public Utilities Commission, </w:t>
      </w:r>
      <w:r w:rsidR="00E678E9">
        <w:t xml:space="preserve">and </w:t>
      </w:r>
      <w:r w:rsidRPr="005B4C96">
        <w:t>Port of San Francisco</w:t>
      </w:r>
      <w:r w:rsidR="00CE11C7">
        <w:t>.</w:t>
      </w:r>
    </w:p>
    <w:p w:rsidR="007357A4" w:rsidP="007357A4" w:rsidRDefault="007357A4" w14:paraId="0243652A" w14:textId="77777777">
      <w:pPr>
        <w:ind w:left="1260"/>
        <w:rPr>
          <w:rFonts w:cs="Arial"/>
        </w:rPr>
      </w:pPr>
      <w:r w:rsidRPr="00B958F8">
        <w:rPr>
          <w:b/>
        </w:rPr>
        <w:t>Wasteload</w:t>
      </w:r>
      <w:r w:rsidRPr="00B958F8">
        <w:rPr>
          <w:rFonts w:cs="Arial"/>
        </w:rPr>
        <w:t xml:space="preserve"> </w:t>
      </w:r>
      <w:r w:rsidRPr="00B958F8">
        <w:rPr>
          <w:b/>
        </w:rPr>
        <w:t>Allocations</w:t>
      </w:r>
      <w:r w:rsidRPr="00B958F8">
        <w:rPr>
          <w:rFonts w:cs="Arial"/>
        </w:rPr>
        <w:t>: The combined group wasteload allocation for the stormwater runoff source category is 2 kilograms per year.</w:t>
      </w:r>
      <w:r>
        <w:rPr>
          <w:rFonts w:cs="Arial"/>
        </w:rPr>
        <w:t xml:space="preserve"> County-based allocations are as follows:</w:t>
      </w:r>
    </w:p>
    <w:p w:rsidRPr="007062FB" w:rsidR="007357A4" w:rsidP="00557923" w:rsidRDefault="00BD23E6" w14:paraId="6E8C9E59" w14:textId="398DC4B2">
      <w:pPr>
        <w:pStyle w:val="TableHead"/>
        <w:keepNext/>
        <w:keepLines/>
        <w:spacing w:before="120"/>
        <w:ind w:left="1267" w:right="90"/>
      </w:pPr>
      <w:r w:rsidRPr="00470E87">
        <w:t>S</w:t>
      </w:r>
      <w:r w:rsidRPr="008B318E">
        <w:t>an Francisco Bay Polychlorinated Biphenyls TMDL</w:t>
      </w:r>
      <w:r w:rsidR="00473E2F">
        <w:t>:</w:t>
      </w:r>
      <w:r w:rsidR="00473E2F">
        <w:br/>
      </w:r>
      <w:r w:rsidRPr="007062FB" w:rsidR="007357A4">
        <w:t>County-Based</w:t>
      </w:r>
      <w:r w:rsidRPr="007062FB" w:rsidR="007357A4">
        <w:rPr>
          <w:spacing w:val="-11"/>
        </w:rPr>
        <w:t xml:space="preserve"> </w:t>
      </w:r>
      <w:r w:rsidRPr="007062FB" w:rsidR="007357A4">
        <w:t>Watershed</w:t>
      </w:r>
      <w:r w:rsidRPr="007062FB" w:rsidR="007357A4">
        <w:rPr>
          <w:spacing w:val="-8"/>
        </w:rPr>
        <w:t xml:space="preserve"> PCB </w:t>
      </w:r>
      <w:r w:rsidRPr="007062FB" w:rsidR="007357A4">
        <w:t>Wasteload</w:t>
      </w:r>
      <w:r w:rsidRPr="007062FB" w:rsidR="007357A4">
        <w:rPr>
          <w:spacing w:val="-11"/>
        </w:rPr>
        <w:t xml:space="preserve"> </w:t>
      </w:r>
      <w:r w:rsidRPr="007062FB" w:rsidR="007357A4">
        <w:t>Allocations</w:t>
      </w:r>
      <w:r w:rsidRPr="007062FB" w:rsidR="007357A4">
        <w:rPr>
          <w:spacing w:val="-8"/>
        </w:rPr>
        <w:t xml:space="preserve"> </w:t>
      </w:r>
      <w:r w:rsidRPr="007062FB" w:rsidR="007357A4">
        <w:t>for Stormwater Runoff</w:t>
      </w:r>
    </w:p>
    <w:tbl>
      <w:tblPr>
        <w:tblW w:w="8280" w:type="dxa"/>
        <w:tblInd w:w="1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19"/>
        <w:gridCol w:w="5261"/>
      </w:tblGrid>
      <w:tr w:rsidRPr="007062FB" w:rsidR="007357A4" w:rsidTr="00980672" w14:paraId="2ECD30F5" w14:textId="77777777">
        <w:trPr>
          <w:trHeight w:val="341"/>
          <w:tblHeader/>
        </w:trPr>
        <w:tc>
          <w:tcPr>
            <w:tcW w:w="3019" w:type="dxa"/>
            <w:shd w:val="clear" w:color="auto" w:fill="D6E3BC" w:themeFill="accent3" w:themeFillTint="66"/>
            <w:vAlign w:val="center"/>
          </w:tcPr>
          <w:p w:rsidRPr="007062FB" w:rsidR="007357A4" w:rsidP="0023669D" w:rsidRDefault="007357A4" w14:paraId="23A3BA79" w14:textId="77777777">
            <w:pPr>
              <w:pStyle w:val="TableParagraph"/>
              <w:keepNext/>
              <w:keepLines/>
              <w:spacing w:before="40" w:after="40"/>
              <w:ind w:firstLine="279"/>
              <w:rPr>
                <w:b/>
                <w:bCs/>
              </w:rPr>
            </w:pPr>
            <w:r w:rsidRPr="007062FB">
              <w:rPr>
                <w:b/>
                <w:bCs/>
                <w:spacing w:val="-2"/>
              </w:rPr>
              <w:t>County</w:t>
            </w:r>
          </w:p>
        </w:tc>
        <w:tc>
          <w:tcPr>
            <w:tcW w:w="5261" w:type="dxa"/>
            <w:shd w:val="clear" w:color="auto" w:fill="D6E3BC" w:themeFill="accent3" w:themeFillTint="66"/>
            <w:vAlign w:val="center"/>
          </w:tcPr>
          <w:p w:rsidRPr="007062FB" w:rsidR="007357A4" w:rsidP="000D7641" w:rsidRDefault="007357A4" w14:paraId="5B35821B" w14:textId="19B1B57F">
            <w:pPr>
              <w:pStyle w:val="TableParagraph"/>
              <w:keepNext/>
              <w:keepLines/>
              <w:spacing w:before="40" w:after="40"/>
              <w:ind w:left="45"/>
              <w:jc w:val="center"/>
              <w:rPr>
                <w:b/>
              </w:rPr>
            </w:pPr>
            <w:r w:rsidRPr="007062FB">
              <w:rPr>
                <w:b/>
                <w:spacing w:val="-2"/>
              </w:rPr>
              <w:t xml:space="preserve">Allocation </w:t>
            </w:r>
            <w:r w:rsidR="00F110EA">
              <w:rPr>
                <w:b/>
                <w:spacing w:val="-2"/>
              </w:rPr>
              <w:br/>
            </w:r>
            <w:r w:rsidRPr="00DC33F0">
              <w:rPr>
                <w:bCs/>
                <w:spacing w:val="-2"/>
              </w:rPr>
              <w:t>(</w:t>
            </w:r>
            <w:r w:rsidRPr="00DC33F0">
              <w:rPr>
                <w:bCs/>
              </w:rPr>
              <w:t>kilograms</w:t>
            </w:r>
            <w:r w:rsidRPr="00DC33F0">
              <w:rPr>
                <w:bCs/>
                <w:spacing w:val="-14"/>
              </w:rPr>
              <w:t xml:space="preserve"> </w:t>
            </w:r>
            <w:r w:rsidRPr="00DC33F0">
              <w:rPr>
                <w:bCs/>
              </w:rPr>
              <w:t>per</w:t>
            </w:r>
            <w:r w:rsidRPr="00DC33F0">
              <w:rPr>
                <w:bCs/>
                <w:spacing w:val="-14"/>
              </w:rPr>
              <w:t xml:space="preserve"> </w:t>
            </w:r>
            <w:r w:rsidRPr="00DC33F0">
              <w:rPr>
                <w:bCs/>
              </w:rPr>
              <w:t>year)</w:t>
            </w:r>
          </w:p>
        </w:tc>
      </w:tr>
      <w:tr w:rsidRPr="007062FB" w:rsidR="007357A4" w:rsidTr="00980672" w14:paraId="5896E8AE" w14:textId="77777777">
        <w:trPr>
          <w:trHeight w:val="341"/>
        </w:trPr>
        <w:tc>
          <w:tcPr>
            <w:tcW w:w="3019" w:type="dxa"/>
          </w:tcPr>
          <w:p w:rsidRPr="007062FB" w:rsidR="007357A4" w:rsidP="00EF0CBB" w:rsidRDefault="007357A4" w14:paraId="10DBF71B" w14:textId="77777777">
            <w:pPr>
              <w:pStyle w:val="TableParagraph"/>
              <w:keepNext/>
              <w:keepLines/>
              <w:spacing w:before="40" w:after="40"/>
              <w:ind w:left="369" w:hanging="90"/>
            </w:pPr>
            <w:r w:rsidRPr="007062FB">
              <w:rPr>
                <w:spacing w:val="-2"/>
              </w:rPr>
              <w:t>Alameda</w:t>
            </w:r>
          </w:p>
        </w:tc>
        <w:tc>
          <w:tcPr>
            <w:tcW w:w="5261" w:type="dxa"/>
          </w:tcPr>
          <w:p w:rsidRPr="007062FB" w:rsidR="007357A4" w:rsidP="0023669D" w:rsidRDefault="007357A4" w14:paraId="61A380F4" w14:textId="77777777">
            <w:pPr>
              <w:pStyle w:val="TableParagraph"/>
              <w:keepNext/>
              <w:keepLines/>
              <w:spacing w:before="40" w:after="40"/>
              <w:ind w:left="317"/>
              <w:jc w:val="center"/>
            </w:pPr>
            <w:r w:rsidRPr="007062FB">
              <w:rPr>
                <w:spacing w:val="-5"/>
              </w:rPr>
              <w:t>0.5</w:t>
            </w:r>
          </w:p>
        </w:tc>
      </w:tr>
      <w:tr w:rsidRPr="007062FB" w:rsidR="007357A4" w:rsidTr="00980672" w14:paraId="30896323" w14:textId="77777777">
        <w:trPr>
          <w:trHeight w:val="355"/>
        </w:trPr>
        <w:tc>
          <w:tcPr>
            <w:tcW w:w="3019" w:type="dxa"/>
          </w:tcPr>
          <w:p w:rsidRPr="007062FB" w:rsidR="007357A4" w:rsidP="00EF0CBB" w:rsidRDefault="007357A4" w14:paraId="30694576" w14:textId="77777777">
            <w:pPr>
              <w:pStyle w:val="TableParagraph"/>
              <w:keepNext/>
              <w:keepLines/>
              <w:spacing w:before="40" w:after="40"/>
              <w:ind w:left="369" w:hanging="90"/>
              <w:rPr>
                <w:spacing w:val="-2"/>
              </w:rPr>
            </w:pPr>
            <w:r w:rsidRPr="007062FB">
              <w:rPr>
                <w:spacing w:val="-2"/>
              </w:rPr>
              <w:t>Contra Costa</w:t>
            </w:r>
          </w:p>
        </w:tc>
        <w:tc>
          <w:tcPr>
            <w:tcW w:w="5261" w:type="dxa"/>
          </w:tcPr>
          <w:p w:rsidRPr="007062FB" w:rsidR="007357A4" w:rsidP="0023669D" w:rsidRDefault="007357A4" w14:paraId="519A8912" w14:textId="77777777">
            <w:pPr>
              <w:pStyle w:val="TableParagraph"/>
              <w:keepNext/>
              <w:keepLines/>
              <w:spacing w:before="40" w:after="40"/>
              <w:ind w:left="317"/>
              <w:jc w:val="center"/>
            </w:pPr>
            <w:r w:rsidRPr="007062FB">
              <w:rPr>
                <w:spacing w:val="-5"/>
              </w:rPr>
              <w:t>0.3</w:t>
            </w:r>
          </w:p>
        </w:tc>
      </w:tr>
      <w:tr w:rsidRPr="007062FB" w:rsidR="007357A4" w:rsidTr="00980672" w14:paraId="3D08DA8D" w14:textId="77777777">
        <w:trPr>
          <w:trHeight w:val="341"/>
        </w:trPr>
        <w:tc>
          <w:tcPr>
            <w:tcW w:w="3019" w:type="dxa"/>
          </w:tcPr>
          <w:p w:rsidRPr="007062FB" w:rsidR="007357A4" w:rsidP="00EF0CBB" w:rsidRDefault="007357A4" w14:paraId="21AD0943" w14:textId="77777777">
            <w:pPr>
              <w:pStyle w:val="TableParagraph"/>
              <w:keepNext/>
              <w:keepLines/>
              <w:spacing w:before="40" w:after="40"/>
              <w:ind w:left="369" w:hanging="90"/>
              <w:rPr>
                <w:spacing w:val="-2"/>
              </w:rPr>
            </w:pPr>
            <w:r w:rsidRPr="007062FB">
              <w:rPr>
                <w:spacing w:val="-2"/>
              </w:rPr>
              <w:t>Marin</w:t>
            </w:r>
          </w:p>
        </w:tc>
        <w:tc>
          <w:tcPr>
            <w:tcW w:w="5261" w:type="dxa"/>
          </w:tcPr>
          <w:p w:rsidRPr="007062FB" w:rsidR="007357A4" w:rsidP="0023669D" w:rsidRDefault="007357A4" w14:paraId="06491720" w14:textId="77777777">
            <w:pPr>
              <w:pStyle w:val="TableParagraph"/>
              <w:keepNext/>
              <w:keepLines/>
              <w:spacing w:before="40" w:after="40"/>
              <w:ind w:left="317"/>
              <w:jc w:val="center"/>
            </w:pPr>
            <w:r w:rsidRPr="007062FB">
              <w:rPr>
                <w:spacing w:val="-5"/>
              </w:rPr>
              <w:t>0.1</w:t>
            </w:r>
          </w:p>
        </w:tc>
      </w:tr>
      <w:tr w:rsidRPr="007062FB" w:rsidR="007357A4" w:rsidTr="00980672" w14:paraId="00F5AF54" w14:textId="77777777">
        <w:trPr>
          <w:trHeight w:val="341"/>
        </w:trPr>
        <w:tc>
          <w:tcPr>
            <w:tcW w:w="3019" w:type="dxa"/>
          </w:tcPr>
          <w:p w:rsidRPr="007062FB" w:rsidR="007357A4" w:rsidP="00EF0CBB" w:rsidRDefault="007357A4" w14:paraId="17B52858" w14:textId="77777777">
            <w:pPr>
              <w:pStyle w:val="TableParagraph"/>
              <w:keepNext/>
              <w:keepLines/>
              <w:spacing w:before="40" w:after="40"/>
              <w:ind w:left="369" w:hanging="90"/>
              <w:rPr>
                <w:spacing w:val="-2"/>
              </w:rPr>
            </w:pPr>
            <w:r w:rsidRPr="007062FB">
              <w:rPr>
                <w:spacing w:val="-2"/>
              </w:rPr>
              <w:t>Napa</w:t>
            </w:r>
          </w:p>
        </w:tc>
        <w:tc>
          <w:tcPr>
            <w:tcW w:w="5261" w:type="dxa"/>
          </w:tcPr>
          <w:p w:rsidRPr="007062FB" w:rsidR="007357A4" w:rsidP="0023669D" w:rsidRDefault="007357A4" w14:paraId="1BD978A2" w14:textId="77777777">
            <w:pPr>
              <w:pStyle w:val="TableParagraph"/>
              <w:keepNext/>
              <w:keepLines/>
              <w:spacing w:before="40" w:after="40"/>
              <w:ind w:left="317"/>
              <w:jc w:val="center"/>
            </w:pPr>
            <w:r w:rsidRPr="007062FB">
              <w:rPr>
                <w:spacing w:val="-4"/>
              </w:rPr>
              <w:t>0.05</w:t>
            </w:r>
          </w:p>
        </w:tc>
      </w:tr>
      <w:tr w:rsidRPr="007062FB" w:rsidR="007357A4" w:rsidTr="00980672" w14:paraId="3CE40140" w14:textId="77777777">
        <w:trPr>
          <w:trHeight w:val="341"/>
        </w:trPr>
        <w:tc>
          <w:tcPr>
            <w:tcW w:w="3019" w:type="dxa"/>
          </w:tcPr>
          <w:p w:rsidRPr="007062FB" w:rsidR="007357A4" w:rsidP="00EF0CBB" w:rsidRDefault="007357A4" w14:paraId="6C53E023" w14:textId="77777777">
            <w:pPr>
              <w:pStyle w:val="TableParagraph"/>
              <w:keepNext/>
              <w:keepLines/>
              <w:spacing w:before="40" w:after="40"/>
              <w:ind w:left="369" w:hanging="90"/>
              <w:rPr>
                <w:spacing w:val="-2"/>
              </w:rPr>
            </w:pPr>
            <w:r w:rsidRPr="007062FB">
              <w:rPr>
                <w:spacing w:val="-2"/>
              </w:rPr>
              <w:t>San Francisco</w:t>
            </w:r>
          </w:p>
        </w:tc>
        <w:tc>
          <w:tcPr>
            <w:tcW w:w="5261" w:type="dxa"/>
          </w:tcPr>
          <w:p w:rsidRPr="007062FB" w:rsidR="007357A4" w:rsidP="0023669D" w:rsidRDefault="007357A4" w14:paraId="68CA8883" w14:textId="77777777">
            <w:pPr>
              <w:pStyle w:val="TableParagraph"/>
              <w:keepNext/>
              <w:keepLines/>
              <w:spacing w:before="40" w:after="40"/>
              <w:ind w:left="317"/>
              <w:jc w:val="center"/>
            </w:pPr>
            <w:r w:rsidRPr="007062FB">
              <w:rPr>
                <w:spacing w:val="-5"/>
              </w:rPr>
              <w:t>0.2</w:t>
            </w:r>
          </w:p>
        </w:tc>
      </w:tr>
      <w:tr w:rsidRPr="007062FB" w:rsidR="007357A4" w:rsidTr="00980672" w14:paraId="4C9D4D73" w14:textId="77777777">
        <w:trPr>
          <w:trHeight w:val="355"/>
        </w:trPr>
        <w:tc>
          <w:tcPr>
            <w:tcW w:w="3019" w:type="dxa"/>
          </w:tcPr>
          <w:p w:rsidRPr="007062FB" w:rsidR="007357A4" w:rsidP="00EF0CBB" w:rsidRDefault="007357A4" w14:paraId="1210D12A" w14:textId="77777777">
            <w:pPr>
              <w:pStyle w:val="TableParagraph"/>
              <w:keepNext/>
              <w:keepLines/>
              <w:spacing w:before="40" w:after="40"/>
              <w:ind w:left="369" w:hanging="90"/>
              <w:rPr>
                <w:spacing w:val="-2"/>
              </w:rPr>
            </w:pPr>
            <w:r w:rsidRPr="007062FB">
              <w:rPr>
                <w:spacing w:val="-2"/>
              </w:rPr>
              <w:t>San Mateo</w:t>
            </w:r>
          </w:p>
        </w:tc>
        <w:tc>
          <w:tcPr>
            <w:tcW w:w="5261" w:type="dxa"/>
          </w:tcPr>
          <w:p w:rsidRPr="007062FB" w:rsidR="007357A4" w:rsidP="0023669D" w:rsidRDefault="007357A4" w14:paraId="2A34F4BA" w14:textId="77777777">
            <w:pPr>
              <w:pStyle w:val="TableParagraph"/>
              <w:keepNext/>
              <w:keepLines/>
              <w:spacing w:before="40" w:after="40"/>
              <w:ind w:left="317"/>
              <w:jc w:val="center"/>
            </w:pPr>
            <w:r w:rsidRPr="007062FB">
              <w:rPr>
                <w:spacing w:val="-5"/>
              </w:rPr>
              <w:t>0.2</w:t>
            </w:r>
          </w:p>
        </w:tc>
      </w:tr>
      <w:tr w:rsidRPr="007062FB" w:rsidR="007357A4" w:rsidTr="00980672" w14:paraId="71465B76" w14:textId="77777777">
        <w:trPr>
          <w:trHeight w:val="341"/>
        </w:trPr>
        <w:tc>
          <w:tcPr>
            <w:tcW w:w="3019" w:type="dxa"/>
          </w:tcPr>
          <w:p w:rsidRPr="007062FB" w:rsidR="007357A4" w:rsidP="00EF0CBB" w:rsidRDefault="007357A4" w14:paraId="49B1125D" w14:textId="77777777">
            <w:pPr>
              <w:pStyle w:val="TableParagraph"/>
              <w:keepNext/>
              <w:keepLines/>
              <w:spacing w:before="40" w:after="40"/>
              <w:ind w:left="369" w:hanging="90"/>
              <w:rPr>
                <w:spacing w:val="-2"/>
              </w:rPr>
            </w:pPr>
            <w:r w:rsidRPr="007062FB">
              <w:rPr>
                <w:spacing w:val="-2"/>
              </w:rPr>
              <w:t>Santa Clara</w:t>
            </w:r>
          </w:p>
        </w:tc>
        <w:tc>
          <w:tcPr>
            <w:tcW w:w="5261" w:type="dxa"/>
          </w:tcPr>
          <w:p w:rsidRPr="007062FB" w:rsidR="007357A4" w:rsidP="0023669D" w:rsidRDefault="007357A4" w14:paraId="291A4E9B" w14:textId="77777777">
            <w:pPr>
              <w:pStyle w:val="TableParagraph"/>
              <w:keepNext/>
              <w:keepLines/>
              <w:spacing w:before="40" w:after="40"/>
              <w:ind w:left="317"/>
              <w:jc w:val="center"/>
            </w:pPr>
            <w:r w:rsidRPr="007062FB">
              <w:rPr>
                <w:spacing w:val="-5"/>
              </w:rPr>
              <w:t>0.5</w:t>
            </w:r>
          </w:p>
        </w:tc>
      </w:tr>
      <w:tr w:rsidRPr="007062FB" w:rsidR="007357A4" w:rsidTr="00980672" w14:paraId="4E655657" w14:textId="77777777">
        <w:trPr>
          <w:trHeight w:val="341"/>
        </w:trPr>
        <w:tc>
          <w:tcPr>
            <w:tcW w:w="3019" w:type="dxa"/>
          </w:tcPr>
          <w:p w:rsidRPr="007062FB" w:rsidR="007357A4" w:rsidP="00EF0CBB" w:rsidRDefault="007357A4" w14:paraId="332F9ED3" w14:textId="77777777">
            <w:pPr>
              <w:pStyle w:val="TableParagraph"/>
              <w:spacing w:before="40" w:after="40"/>
              <w:ind w:left="369" w:hanging="90"/>
              <w:rPr>
                <w:spacing w:val="-2"/>
              </w:rPr>
            </w:pPr>
            <w:r w:rsidRPr="007062FB">
              <w:rPr>
                <w:spacing w:val="-2"/>
              </w:rPr>
              <w:t>Solano</w:t>
            </w:r>
          </w:p>
        </w:tc>
        <w:tc>
          <w:tcPr>
            <w:tcW w:w="5261" w:type="dxa"/>
          </w:tcPr>
          <w:p w:rsidRPr="007062FB" w:rsidR="007357A4" w:rsidP="0023669D" w:rsidRDefault="007357A4" w14:paraId="44ECE04A" w14:textId="77777777">
            <w:pPr>
              <w:pStyle w:val="TableParagraph"/>
              <w:spacing w:before="40" w:after="40"/>
              <w:ind w:left="317"/>
              <w:jc w:val="center"/>
            </w:pPr>
            <w:r w:rsidRPr="007062FB">
              <w:rPr>
                <w:spacing w:val="-5"/>
              </w:rPr>
              <w:t>0.1</w:t>
            </w:r>
          </w:p>
        </w:tc>
      </w:tr>
      <w:tr w:rsidRPr="007062FB" w:rsidR="007357A4" w:rsidTr="00980672" w14:paraId="310ED66C" w14:textId="77777777">
        <w:trPr>
          <w:trHeight w:val="341"/>
        </w:trPr>
        <w:tc>
          <w:tcPr>
            <w:tcW w:w="3019" w:type="dxa"/>
          </w:tcPr>
          <w:p w:rsidRPr="007062FB" w:rsidR="007357A4" w:rsidP="00EF0CBB" w:rsidRDefault="007357A4" w14:paraId="20AE312F" w14:textId="77777777">
            <w:pPr>
              <w:pStyle w:val="TableParagraph"/>
              <w:spacing w:before="40" w:after="40"/>
              <w:ind w:left="369" w:hanging="90"/>
              <w:rPr>
                <w:spacing w:val="-2"/>
              </w:rPr>
            </w:pPr>
            <w:r w:rsidRPr="007062FB">
              <w:rPr>
                <w:spacing w:val="-2"/>
              </w:rPr>
              <w:t>Sonoma</w:t>
            </w:r>
          </w:p>
        </w:tc>
        <w:tc>
          <w:tcPr>
            <w:tcW w:w="5261" w:type="dxa"/>
          </w:tcPr>
          <w:p w:rsidRPr="007062FB" w:rsidR="007357A4" w:rsidP="0023669D" w:rsidRDefault="007357A4" w14:paraId="55A188ED" w14:textId="77777777">
            <w:pPr>
              <w:pStyle w:val="TableParagraph"/>
              <w:spacing w:before="40" w:after="40"/>
              <w:ind w:left="317"/>
              <w:jc w:val="center"/>
            </w:pPr>
            <w:r w:rsidRPr="007062FB">
              <w:rPr>
                <w:spacing w:val="-4"/>
              </w:rPr>
              <w:t>0.05</w:t>
            </w:r>
          </w:p>
        </w:tc>
      </w:tr>
      <w:tr w:rsidRPr="007062FB" w:rsidR="007357A4" w:rsidTr="00980672" w14:paraId="107F85E6" w14:textId="77777777">
        <w:trPr>
          <w:trHeight w:val="341"/>
        </w:trPr>
        <w:tc>
          <w:tcPr>
            <w:tcW w:w="3019" w:type="dxa"/>
          </w:tcPr>
          <w:p w:rsidRPr="007062FB" w:rsidR="007357A4" w:rsidP="00EF0CBB" w:rsidRDefault="007357A4" w14:paraId="2144BD69" w14:textId="77777777">
            <w:pPr>
              <w:pStyle w:val="TableParagraph"/>
              <w:spacing w:before="40" w:after="40"/>
              <w:ind w:left="369" w:hanging="90"/>
              <w:rPr>
                <w:spacing w:val="-2"/>
              </w:rPr>
            </w:pPr>
            <w:r w:rsidRPr="007062FB">
              <w:rPr>
                <w:spacing w:val="-2"/>
              </w:rPr>
              <w:t>Total:</w:t>
            </w:r>
          </w:p>
        </w:tc>
        <w:tc>
          <w:tcPr>
            <w:tcW w:w="5261" w:type="dxa"/>
          </w:tcPr>
          <w:p w:rsidRPr="007062FB" w:rsidR="007357A4" w:rsidP="0023669D" w:rsidRDefault="007357A4" w14:paraId="65232641" w14:textId="77777777">
            <w:pPr>
              <w:pStyle w:val="TableParagraph"/>
              <w:spacing w:before="40" w:after="40"/>
              <w:ind w:left="317"/>
              <w:jc w:val="center"/>
              <w:rPr>
                <w:b/>
              </w:rPr>
            </w:pPr>
            <w:r w:rsidRPr="007062FB">
              <w:rPr>
                <w:b/>
              </w:rPr>
              <w:t>2</w:t>
            </w:r>
          </w:p>
        </w:tc>
      </w:tr>
    </w:tbl>
    <w:p w:rsidRPr="00C47F80" w:rsidR="007357A4" w:rsidP="007357A4" w:rsidRDefault="007357A4" w14:paraId="07408CD1" w14:textId="6BCAAB98">
      <w:pPr>
        <w:shd w:val="clear" w:color="auto" w:fill="FFFFFF" w:themeFill="background1"/>
        <w:spacing w:before="240"/>
        <w:ind w:left="1267"/>
        <w:rPr>
          <w:bCs/>
        </w:rPr>
      </w:pPr>
      <w:r w:rsidRPr="00C47F80">
        <w:rPr>
          <w:b/>
        </w:rPr>
        <w:t>Final Compliance Deadlines:</w:t>
      </w:r>
      <w:r w:rsidRPr="00C47F80">
        <w:rPr>
          <w:bCs/>
        </w:rPr>
        <w:t xml:space="preserve"> </w:t>
      </w:r>
      <w:r w:rsidR="00DC33F0">
        <w:rPr>
          <w:bCs/>
        </w:rPr>
        <w:t>T</w:t>
      </w:r>
      <w:r w:rsidRPr="00C47F80">
        <w:rPr>
          <w:bCs/>
        </w:rPr>
        <w:t>he final compliance deadline is March 29, 2030.</w:t>
      </w:r>
    </w:p>
    <w:p w:rsidRPr="00F33B01" w:rsidR="00C35C4C" w:rsidP="00C35C4C" w:rsidRDefault="00836361" w14:paraId="3FF920C4" w14:textId="1FEE5C39">
      <w:pPr>
        <w:pStyle w:val="Heading3"/>
        <w:tabs>
          <w:tab w:val="clear" w:pos="720"/>
          <w:tab w:val="left" w:pos="1260"/>
        </w:tabs>
        <w:ind w:left="1260" w:hanging="1260"/>
        <w:rPr>
          <w:i/>
          <w:iCs/>
        </w:rPr>
      </w:pPr>
      <w:r>
        <w:rPr>
          <w:i/>
          <w:iCs/>
        </w:rPr>
        <w:t>A13</w:t>
      </w:r>
      <w:r w:rsidRPr="00F33B01" w:rsidR="00C35C4C">
        <w:rPr>
          <w:i/>
          <w:iCs/>
        </w:rPr>
        <w:t>.2.</w:t>
      </w:r>
      <w:r w:rsidR="00C35C4C">
        <w:rPr>
          <w:i/>
          <w:iCs/>
        </w:rPr>
        <w:t>1</w:t>
      </w:r>
      <w:r w:rsidR="00E75222">
        <w:rPr>
          <w:i/>
          <w:iCs/>
        </w:rPr>
        <w:t>1</w:t>
      </w:r>
      <w:r w:rsidRPr="00F33B01" w:rsidR="00C35C4C">
        <w:rPr>
          <w:i/>
          <w:iCs/>
        </w:rPr>
        <w:tab/>
      </w:r>
      <w:r w:rsidRPr="00F33B01" w:rsidR="00C35C4C">
        <w:rPr>
          <w:i/>
          <w:iCs/>
        </w:rPr>
        <w:t>San Francisco Bay Mercury TMDL</w:t>
      </w:r>
    </w:p>
    <w:p w:rsidR="00C35C4C" w:rsidP="00C35C4C" w:rsidRDefault="00C35C4C" w14:paraId="536ADB97" w14:textId="77777777">
      <w:pPr>
        <w:ind w:left="1260"/>
      </w:pPr>
      <w:r w:rsidRPr="00A9706D">
        <w:rPr>
          <w:b/>
          <w:bCs/>
        </w:rPr>
        <w:t>Description:</w:t>
      </w:r>
      <w:r>
        <w:t xml:space="preserve"> The San Francisco Bay Mercury TMDL states that San Francisco Bay and Suisun Marsh are impaired. Mercury contamination is adversely affecting beneficial uses, including sport fishing, preservation of rare and endangered species, and wildlife habitat. Mercury concentrations in fish are high enough to threaten the health of humans who consume them. In addition, mercury concentrations in some bird eggs harvested from the shores of San Francisco Bay are high enough to account for abnormally high rates of eggs failing to hatch.</w:t>
      </w:r>
    </w:p>
    <w:p w:rsidRPr="00F90EA7" w:rsidR="00C35C4C" w:rsidP="00F90EA7" w:rsidRDefault="00C35C4C" w14:paraId="45770845" w14:textId="0D0A2E58">
      <w:pPr>
        <w:ind w:left="1260"/>
        <w:rPr>
          <w:rFonts w:eastAsia="Arial" w:cs="Arial"/>
        </w:rPr>
      </w:pPr>
      <w:r>
        <w:rPr>
          <w:b/>
          <w:bCs/>
        </w:rPr>
        <w:t>Responsible Permittee</w:t>
      </w:r>
      <w:r w:rsidRPr="00A9706D">
        <w:rPr>
          <w:b/>
          <w:bCs/>
        </w:rPr>
        <w:t>s</w:t>
      </w:r>
      <w:r>
        <w:t xml:space="preserve">: </w:t>
      </w:r>
      <w:r w:rsidRPr="009A0E79" w:rsidR="009A0E79">
        <w:rPr>
          <w:rFonts w:eastAsia="Arial"/>
        </w:rPr>
        <w:t xml:space="preserve">City of American Canyon, City of Belvedere, City of Benicia, City of Calistoga, </w:t>
      </w:r>
      <w:r w:rsidRPr="009A0E79" w:rsidR="009A0E79">
        <w:t>City of Larkspur, City of Mill Valley, City of Napa, City of Novato, City of Petaluma, City of San Francisco (Port of San Francisco), City of San Francisco (San Francisco Public Utilities Commission), City of San Rafael, City of Sausalito, City of Sonoma, City of St. Helena, County of Marin, County of Napa, County of Solano, County of Sonoma, Port of Oakland, Town of Corte Madera,  Town of Fairfax, Town of Ross, Town of San Anselmo, Town of Tiburon, Town of Yountville, Travis Air Force Base, Sonoma Water</w:t>
      </w:r>
    </w:p>
    <w:p w:rsidR="00C35C4C" w:rsidP="00C35C4C" w:rsidRDefault="00C35C4C" w14:paraId="028525CC" w14:textId="77777777">
      <w:pPr>
        <w:ind w:left="1260"/>
      </w:pPr>
      <w:r w:rsidRPr="00A9706D">
        <w:rPr>
          <w:b/>
          <w:bCs/>
        </w:rPr>
        <w:t>Wasteload Allocations</w:t>
      </w:r>
      <w:r>
        <w:t>: The combined wasteload allocation for the Permittees is 16.25 kilograms per year. The final individual wasteload allocations are provided in the table, below:</w:t>
      </w:r>
    </w:p>
    <w:p w:rsidRPr="00434D88" w:rsidR="00C35C4C" w:rsidP="00C35C4C" w:rsidRDefault="00473E2F" w14:paraId="4907B7B5" w14:textId="7E67BFCE">
      <w:pPr>
        <w:pStyle w:val="TableHead"/>
        <w:ind w:left="1260"/>
      </w:pPr>
      <w:r>
        <w:t xml:space="preserve">San Francisco Bay Mercury TMDL: </w:t>
      </w:r>
      <w:r w:rsidRPr="00434D88" w:rsidR="00C35C4C">
        <w:t>Individual Wasteload Allocations for Mercury in Small MS4 Urban Stormwater Discharges</w:t>
      </w:r>
      <w:r w:rsidRPr="00434D88" w:rsidR="00C35C4C">
        <w:rPr>
          <w:rStyle w:val="FootnoteReference"/>
          <w:b w:val="0"/>
        </w:rPr>
        <w:footnoteReference w:id="18"/>
      </w:r>
    </w:p>
    <w:tbl>
      <w:tblPr>
        <w:tblW w:w="7380" w:type="dxa"/>
        <w:tblInd w:w="1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13"/>
        <w:gridCol w:w="3567"/>
      </w:tblGrid>
      <w:tr w:rsidRPr="00434D88" w:rsidR="00C35C4C" w:rsidTr="00C35C4C" w14:paraId="048627DF" w14:textId="77777777">
        <w:trPr>
          <w:trHeight w:val="552"/>
          <w:tblHeader/>
        </w:trPr>
        <w:tc>
          <w:tcPr>
            <w:tcW w:w="3813" w:type="dxa"/>
            <w:shd w:val="clear" w:color="auto" w:fill="D6E3BC" w:themeFill="accent3" w:themeFillTint="66"/>
            <w:vAlign w:val="center"/>
          </w:tcPr>
          <w:p w:rsidRPr="00434D88" w:rsidR="00C35C4C" w:rsidP="006A0DB7" w:rsidRDefault="00C35C4C" w14:paraId="481F883A" w14:textId="77777777">
            <w:pPr>
              <w:pStyle w:val="TableParagraph"/>
              <w:widowControl/>
              <w:spacing w:before="144" w:beforeLines="60"/>
              <w:ind w:left="360" w:right="2340"/>
              <w:rPr>
                <w:b/>
              </w:rPr>
            </w:pPr>
            <w:r w:rsidRPr="00434D88">
              <w:rPr>
                <w:b/>
                <w:spacing w:val="-2"/>
              </w:rPr>
              <w:t>Permittee</w:t>
            </w:r>
          </w:p>
        </w:tc>
        <w:tc>
          <w:tcPr>
            <w:tcW w:w="3567" w:type="dxa"/>
            <w:shd w:val="clear" w:color="auto" w:fill="D6E3BC" w:themeFill="accent3" w:themeFillTint="66"/>
            <w:vAlign w:val="center"/>
          </w:tcPr>
          <w:p w:rsidRPr="00434D88" w:rsidR="00C35C4C" w:rsidP="006A0DB7" w:rsidRDefault="00C35C4C" w14:paraId="7CB9F202" w14:textId="77777777">
            <w:pPr>
              <w:pStyle w:val="TableParagraph"/>
              <w:widowControl/>
              <w:spacing w:before="144" w:beforeLines="60"/>
              <w:ind w:left="1890" w:hanging="1803"/>
              <w:jc w:val="center"/>
              <w:rPr>
                <w:b/>
              </w:rPr>
            </w:pPr>
            <w:r w:rsidRPr="00434D88">
              <w:rPr>
                <w:b/>
                <w:spacing w:val="-2"/>
              </w:rPr>
              <w:t>Allocation (kilograms per year)</w:t>
            </w:r>
          </w:p>
        </w:tc>
      </w:tr>
      <w:tr w:rsidRPr="00434D88" w:rsidR="00C35C4C" w:rsidTr="00C35C4C" w14:paraId="7B821945" w14:textId="77777777">
        <w:trPr>
          <w:trHeight w:val="376"/>
        </w:trPr>
        <w:tc>
          <w:tcPr>
            <w:tcW w:w="3813" w:type="dxa"/>
            <w:vAlign w:val="center"/>
          </w:tcPr>
          <w:p w:rsidRPr="00434D88" w:rsidR="00C35C4C" w:rsidP="006A0DB7" w:rsidRDefault="00C35C4C" w14:paraId="29B45447" w14:textId="77777777">
            <w:pPr>
              <w:pStyle w:val="TableParagraph"/>
              <w:widowControl/>
              <w:ind w:left="360" w:right="1163"/>
              <w:rPr>
                <w:bCs/>
                <w:spacing w:val="-2"/>
              </w:rPr>
            </w:pPr>
            <w:r w:rsidRPr="00434D88">
              <w:rPr>
                <w:bCs/>
                <w:spacing w:val="-2"/>
              </w:rPr>
              <w:t>American Canyon</w:t>
            </w:r>
          </w:p>
        </w:tc>
        <w:tc>
          <w:tcPr>
            <w:tcW w:w="3567" w:type="dxa"/>
            <w:vAlign w:val="center"/>
          </w:tcPr>
          <w:p w:rsidRPr="00434D88" w:rsidR="00C35C4C" w:rsidP="006A0DB7" w:rsidRDefault="00C35C4C" w14:paraId="0611FF77" w14:textId="77777777">
            <w:pPr>
              <w:pStyle w:val="TableParagraph"/>
              <w:widowControl/>
              <w:ind w:left="1890" w:right="504" w:hanging="1533"/>
              <w:jc w:val="center"/>
              <w:rPr>
                <w:spacing w:val="-5"/>
              </w:rPr>
            </w:pPr>
            <w:r w:rsidRPr="00434D88">
              <w:rPr>
                <w:spacing w:val="-5"/>
              </w:rPr>
              <w:t>0.14</w:t>
            </w:r>
          </w:p>
        </w:tc>
      </w:tr>
      <w:tr w:rsidRPr="00434D88" w:rsidR="00C35C4C" w:rsidTr="00C35C4C" w14:paraId="48B76C41" w14:textId="77777777">
        <w:trPr>
          <w:trHeight w:val="376"/>
        </w:trPr>
        <w:tc>
          <w:tcPr>
            <w:tcW w:w="3813" w:type="dxa"/>
            <w:vAlign w:val="center"/>
          </w:tcPr>
          <w:p w:rsidRPr="00434D88" w:rsidR="00C35C4C" w:rsidP="006A0DB7" w:rsidRDefault="00C35C4C" w14:paraId="4910703D" w14:textId="77777777">
            <w:pPr>
              <w:pStyle w:val="TableParagraph"/>
              <w:widowControl/>
              <w:ind w:left="360" w:right="1163"/>
              <w:rPr>
                <w:bCs/>
                <w:spacing w:val="-2"/>
              </w:rPr>
            </w:pPr>
            <w:r w:rsidRPr="00434D88">
              <w:rPr>
                <w:bCs/>
                <w:spacing w:val="-2"/>
              </w:rPr>
              <w:t>Sonoma County area</w:t>
            </w:r>
          </w:p>
        </w:tc>
        <w:tc>
          <w:tcPr>
            <w:tcW w:w="3567" w:type="dxa"/>
            <w:vAlign w:val="center"/>
          </w:tcPr>
          <w:p w:rsidRPr="00434D88" w:rsidR="00C35C4C" w:rsidP="006A0DB7" w:rsidRDefault="00C35C4C" w14:paraId="16AEBDE3" w14:textId="77777777">
            <w:pPr>
              <w:pStyle w:val="TableParagraph"/>
              <w:widowControl/>
              <w:ind w:left="1890" w:right="504" w:hanging="1533"/>
              <w:jc w:val="center"/>
            </w:pPr>
            <w:r w:rsidRPr="00434D88">
              <w:rPr>
                <w:spacing w:val="-5"/>
              </w:rPr>
              <w:t>1.6</w:t>
            </w:r>
          </w:p>
        </w:tc>
      </w:tr>
      <w:tr w:rsidRPr="00434D88" w:rsidR="00C35C4C" w:rsidTr="00C35C4C" w14:paraId="2A24B6ED" w14:textId="77777777">
        <w:trPr>
          <w:trHeight w:val="376"/>
        </w:trPr>
        <w:tc>
          <w:tcPr>
            <w:tcW w:w="3813" w:type="dxa"/>
            <w:vAlign w:val="center"/>
          </w:tcPr>
          <w:p w:rsidRPr="00434D88" w:rsidR="00C35C4C" w:rsidP="006A0DB7" w:rsidRDefault="00C35C4C" w14:paraId="3FC0DBB2" w14:textId="77777777">
            <w:pPr>
              <w:pStyle w:val="TableParagraph"/>
              <w:widowControl/>
              <w:ind w:left="360" w:right="1163"/>
              <w:rPr>
                <w:bCs/>
                <w:spacing w:val="-2"/>
              </w:rPr>
            </w:pPr>
            <w:r w:rsidRPr="00434D88">
              <w:rPr>
                <w:bCs/>
                <w:spacing w:val="-2"/>
              </w:rPr>
              <w:t>Napa County area</w:t>
            </w:r>
          </w:p>
        </w:tc>
        <w:tc>
          <w:tcPr>
            <w:tcW w:w="3567" w:type="dxa"/>
            <w:vAlign w:val="center"/>
          </w:tcPr>
          <w:p w:rsidRPr="00434D88" w:rsidR="00C35C4C" w:rsidP="006A0DB7" w:rsidRDefault="00C35C4C" w14:paraId="64B90C96" w14:textId="77777777">
            <w:pPr>
              <w:pStyle w:val="TableParagraph"/>
              <w:widowControl/>
              <w:ind w:left="1890" w:right="504" w:hanging="1533"/>
              <w:jc w:val="center"/>
            </w:pPr>
            <w:r w:rsidRPr="00434D88">
              <w:rPr>
                <w:spacing w:val="-5"/>
              </w:rPr>
              <w:t>1.6</w:t>
            </w:r>
          </w:p>
        </w:tc>
      </w:tr>
      <w:tr w:rsidRPr="00434D88" w:rsidR="00C35C4C" w:rsidTr="00C35C4C" w14:paraId="46F1A71B" w14:textId="77777777">
        <w:trPr>
          <w:trHeight w:val="376"/>
        </w:trPr>
        <w:tc>
          <w:tcPr>
            <w:tcW w:w="3813" w:type="dxa"/>
            <w:vAlign w:val="center"/>
          </w:tcPr>
          <w:p w:rsidRPr="00434D88" w:rsidR="00C35C4C" w:rsidP="006A0DB7" w:rsidRDefault="00C35C4C" w14:paraId="5D8A732B" w14:textId="77777777">
            <w:pPr>
              <w:pStyle w:val="TableParagraph"/>
              <w:widowControl/>
              <w:ind w:left="360" w:right="1163"/>
              <w:rPr>
                <w:bCs/>
                <w:spacing w:val="-2"/>
              </w:rPr>
            </w:pPr>
            <w:r w:rsidRPr="00434D88">
              <w:rPr>
                <w:bCs/>
                <w:spacing w:val="-2"/>
              </w:rPr>
              <w:t>Marin County area</w:t>
            </w:r>
          </w:p>
        </w:tc>
        <w:tc>
          <w:tcPr>
            <w:tcW w:w="3567" w:type="dxa"/>
            <w:vAlign w:val="center"/>
          </w:tcPr>
          <w:p w:rsidRPr="00434D88" w:rsidR="00C35C4C" w:rsidP="006A0DB7" w:rsidRDefault="00C35C4C" w14:paraId="237126FE" w14:textId="77777777">
            <w:pPr>
              <w:pStyle w:val="TableParagraph"/>
              <w:widowControl/>
              <w:ind w:left="1890" w:right="504" w:hanging="1533"/>
              <w:jc w:val="center"/>
            </w:pPr>
            <w:r w:rsidRPr="00434D88">
              <w:rPr>
                <w:spacing w:val="-5"/>
              </w:rPr>
              <w:t>3.3</w:t>
            </w:r>
          </w:p>
        </w:tc>
      </w:tr>
      <w:tr w:rsidRPr="00434D88" w:rsidR="00C35C4C" w:rsidTr="00C35C4C" w14:paraId="3FF85E24" w14:textId="77777777">
        <w:trPr>
          <w:trHeight w:val="376"/>
        </w:trPr>
        <w:tc>
          <w:tcPr>
            <w:tcW w:w="3813" w:type="dxa"/>
            <w:vAlign w:val="center"/>
          </w:tcPr>
          <w:p w:rsidRPr="00434D88" w:rsidR="00C35C4C" w:rsidP="006A0DB7" w:rsidRDefault="00C35C4C" w14:paraId="3FA47F90" w14:textId="77777777">
            <w:pPr>
              <w:pStyle w:val="TableParagraph"/>
              <w:widowControl/>
              <w:ind w:left="360" w:right="1163"/>
              <w:rPr>
                <w:bCs/>
                <w:spacing w:val="-2"/>
              </w:rPr>
            </w:pPr>
            <w:r w:rsidRPr="00434D88">
              <w:rPr>
                <w:bCs/>
                <w:spacing w:val="-2"/>
              </w:rPr>
              <w:t>Solano County area</w:t>
            </w:r>
          </w:p>
        </w:tc>
        <w:tc>
          <w:tcPr>
            <w:tcW w:w="3567" w:type="dxa"/>
            <w:vAlign w:val="center"/>
          </w:tcPr>
          <w:p w:rsidRPr="00434D88" w:rsidR="00C35C4C" w:rsidP="006A0DB7" w:rsidRDefault="00C35C4C" w14:paraId="24BE9F77" w14:textId="77777777">
            <w:pPr>
              <w:pStyle w:val="TableParagraph"/>
              <w:widowControl/>
              <w:ind w:left="1890" w:right="504" w:hanging="1533"/>
              <w:jc w:val="center"/>
            </w:pPr>
            <w:r w:rsidRPr="00434D88">
              <w:rPr>
                <w:spacing w:val="-4"/>
              </w:rPr>
              <w:t>0.81</w:t>
            </w:r>
          </w:p>
        </w:tc>
      </w:tr>
      <w:tr w:rsidRPr="00434D88" w:rsidR="00C35C4C" w:rsidTr="00C35C4C" w14:paraId="1EB03005" w14:textId="77777777">
        <w:trPr>
          <w:trHeight w:val="376"/>
        </w:trPr>
        <w:tc>
          <w:tcPr>
            <w:tcW w:w="3813" w:type="dxa"/>
            <w:vAlign w:val="center"/>
          </w:tcPr>
          <w:p w:rsidRPr="00434D88" w:rsidR="00C35C4C" w:rsidP="006A0DB7" w:rsidRDefault="00C35C4C" w14:paraId="3640509D" w14:textId="77777777">
            <w:pPr>
              <w:pStyle w:val="TableParagraph"/>
              <w:widowControl/>
              <w:ind w:left="360" w:right="986"/>
              <w:rPr>
                <w:bCs/>
                <w:spacing w:val="-2"/>
              </w:rPr>
            </w:pPr>
            <w:r w:rsidRPr="00434D88">
              <w:rPr>
                <w:bCs/>
                <w:spacing w:val="-2"/>
              </w:rPr>
              <w:t>San Francisco County area</w:t>
            </w:r>
          </w:p>
        </w:tc>
        <w:tc>
          <w:tcPr>
            <w:tcW w:w="3567" w:type="dxa"/>
            <w:vAlign w:val="center"/>
          </w:tcPr>
          <w:p w:rsidRPr="00434D88" w:rsidR="00C35C4C" w:rsidP="006A0DB7" w:rsidRDefault="00C35C4C" w14:paraId="5C616017" w14:textId="77777777">
            <w:pPr>
              <w:pStyle w:val="TableParagraph"/>
              <w:widowControl/>
              <w:ind w:left="1890" w:right="504" w:hanging="1533"/>
              <w:jc w:val="center"/>
            </w:pPr>
            <w:r w:rsidRPr="00434D88">
              <w:rPr>
                <w:spacing w:val="-5"/>
              </w:rPr>
              <w:t>8.8</w:t>
            </w:r>
          </w:p>
        </w:tc>
      </w:tr>
      <w:tr w:rsidRPr="00434D88" w:rsidR="00C35C4C" w:rsidTr="00C35C4C" w14:paraId="7F8F22EA" w14:textId="77777777">
        <w:trPr>
          <w:trHeight w:val="376"/>
        </w:trPr>
        <w:tc>
          <w:tcPr>
            <w:tcW w:w="3813" w:type="dxa"/>
            <w:vAlign w:val="center"/>
          </w:tcPr>
          <w:p w:rsidRPr="00434D88" w:rsidR="00C35C4C" w:rsidP="006A0DB7" w:rsidRDefault="00C35C4C" w14:paraId="682EE53D" w14:textId="77777777">
            <w:pPr>
              <w:pStyle w:val="TableParagraph"/>
              <w:widowControl/>
              <w:ind w:left="720" w:right="896" w:hanging="360"/>
              <w:rPr>
                <w:b/>
                <w:spacing w:val="-2"/>
              </w:rPr>
            </w:pPr>
            <w:r w:rsidRPr="00434D88">
              <w:rPr>
                <w:b/>
                <w:spacing w:val="-2"/>
              </w:rPr>
              <w:t>Combined Total</w:t>
            </w:r>
          </w:p>
        </w:tc>
        <w:tc>
          <w:tcPr>
            <w:tcW w:w="3567" w:type="dxa"/>
            <w:vAlign w:val="center"/>
          </w:tcPr>
          <w:p w:rsidRPr="00434D88" w:rsidR="00C35C4C" w:rsidP="006A0DB7" w:rsidRDefault="00C35C4C" w14:paraId="6A1D428E" w14:textId="77777777">
            <w:pPr>
              <w:pStyle w:val="TableParagraph"/>
              <w:widowControl/>
              <w:ind w:left="1890" w:right="504" w:hanging="1533"/>
              <w:jc w:val="center"/>
              <w:rPr>
                <w:b/>
              </w:rPr>
            </w:pPr>
            <w:r w:rsidRPr="00434D88">
              <w:rPr>
                <w:b/>
                <w:spacing w:val="-5"/>
              </w:rPr>
              <w:t>16.25</w:t>
            </w:r>
          </w:p>
        </w:tc>
      </w:tr>
    </w:tbl>
    <w:p w:rsidRPr="007062FB" w:rsidR="00C35C4C" w:rsidP="00C35C4C" w:rsidRDefault="00C35C4C" w14:paraId="313B6957" w14:textId="364AA51A">
      <w:pPr>
        <w:spacing w:before="240"/>
        <w:ind w:left="1260"/>
        <w:rPr>
          <w:bCs/>
        </w:rPr>
      </w:pPr>
      <w:r w:rsidRPr="007062FB">
        <w:rPr>
          <w:b/>
        </w:rPr>
        <w:t xml:space="preserve">Final Compliance Deadline: </w:t>
      </w:r>
      <w:r w:rsidRPr="007062FB">
        <w:rPr>
          <w:bCs/>
        </w:rPr>
        <w:t>The final compliance date is</w:t>
      </w:r>
      <w:r w:rsidRPr="007062FB">
        <w:rPr>
          <w:b/>
        </w:rPr>
        <w:t xml:space="preserve"> </w:t>
      </w:r>
      <w:r w:rsidRPr="007062FB">
        <w:rPr>
          <w:bCs/>
        </w:rPr>
        <w:t xml:space="preserve">February 12, 2028, which is twenty years from the date of </w:t>
      </w:r>
      <w:r w:rsidR="00CC169C">
        <w:rPr>
          <w:bCs/>
        </w:rPr>
        <w:t>USEPA</w:t>
      </w:r>
      <w:r w:rsidR="00C56C92">
        <w:rPr>
          <w:bCs/>
        </w:rPr>
        <w:t xml:space="preserve"> </w:t>
      </w:r>
      <w:r w:rsidRPr="007062FB">
        <w:rPr>
          <w:bCs/>
        </w:rPr>
        <w:t>approval.</w:t>
      </w:r>
    </w:p>
    <w:p w:rsidR="007357A4" w:rsidRDefault="007357A4" w14:paraId="2958FBAB" w14:textId="6260E017">
      <w:pPr>
        <w:spacing w:before="0" w:line="247" w:lineRule="auto"/>
        <w:rPr>
          <w:rFonts w:cs="Arial"/>
          <w:bCs/>
        </w:rPr>
      </w:pPr>
      <w:r>
        <w:rPr>
          <w:rFonts w:cs="Arial"/>
          <w:bCs/>
        </w:rPr>
        <w:br w:type="page"/>
      </w:r>
    </w:p>
    <w:p w:rsidRPr="002B325F" w:rsidR="007357A4" w:rsidP="007357A4" w:rsidRDefault="007357A4" w14:paraId="3981BB68" w14:textId="77777777">
      <w:pPr>
        <w:rPr>
          <w:rFonts w:cs="Arial"/>
          <w:bCs/>
        </w:rPr>
      </w:pPr>
    </w:p>
    <w:p w:rsidR="00193D8B" w:rsidP="001A1BAA" w:rsidRDefault="00836361" w14:paraId="7AAFFC66" w14:textId="7E2E3EEB">
      <w:pPr>
        <w:pStyle w:val="Heading2"/>
      </w:pPr>
      <w:bookmarkStart w:name="_Toc226536093" w:id="83"/>
      <w:r>
        <w:t>A13</w:t>
      </w:r>
      <w:r w:rsidR="00145EE6">
        <w:t>.</w:t>
      </w:r>
      <w:r w:rsidR="00193D8B">
        <w:t>3</w:t>
      </w:r>
      <w:r w:rsidRPr="00D52F4F" w:rsidR="00193D8B">
        <w:tab/>
      </w:r>
      <w:r w:rsidRPr="00D52F4F" w:rsidR="00193D8B">
        <w:t>CENTRAL COAST WATER BOARD TMDLs</w:t>
      </w:r>
      <w:bookmarkEnd w:id="83"/>
    </w:p>
    <w:p w:rsidRPr="00870923" w:rsidR="00870923" w:rsidP="00870923" w:rsidRDefault="00491231" w14:paraId="4C88F240" w14:textId="64AFED2E">
      <w:pPr>
        <w:rPr>
          <w:lang w:eastAsia="en-US"/>
        </w:rPr>
      </w:pPr>
      <w:r>
        <w:rPr>
          <w:lang w:eastAsia="en-US"/>
        </w:rPr>
        <w:t xml:space="preserve">Information in the following subsections has been summarized from the </w:t>
      </w:r>
      <w:hyperlink w:history="1" r:id="rId34">
        <w:r w:rsidRPr="006C4868">
          <w:rPr>
            <w:rStyle w:val="Hyperlink"/>
            <w:lang w:eastAsia="en-US"/>
          </w:rPr>
          <w:t>Central Coast Water Board’s Basin Plan</w:t>
        </w:r>
      </w:hyperlink>
      <w:r w:rsidR="006C4868">
        <w:rPr>
          <w:lang w:eastAsia="en-US"/>
        </w:rPr>
        <w:t>.</w:t>
      </w:r>
    </w:p>
    <w:p w:rsidRPr="00F33B01" w:rsidR="00193D8B" w:rsidP="00F33B01" w:rsidRDefault="00836361" w14:paraId="6B6C424E" w14:textId="45C7F218">
      <w:pPr>
        <w:pStyle w:val="Heading3"/>
        <w:tabs>
          <w:tab w:val="clear" w:pos="720"/>
          <w:tab w:val="left" w:pos="1260"/>
        </w:tabs>
        <w:ind w:left="1260" w:hanging="1260"/>
        <w:rPr>
          <w:i/>
          <w:iCs/>
        </w:rPr>
      </w:pPr>
      <w:r>
        <w:rPr>
          <w:i/>
          <w:iCs/>
        </w:rPr>
        <w:t>A13</w:t>
      </w:r>
      <w:r w:rsidRPr="00F33B01" w:rsidR="00145EE6">
        <w:rPr>
          <w:i/>
          <w:iCs/>
        </w:rPr>
        <w:t>.</w:t>
      </w:r>
      <w:r w:rsidRPr="00F33B01" w:rsidR="00193D8B">
        <w:rPr>
          <w:i/>
          <w:iCs/>
        </w:rPr>
        <w:t>3.1</w:t>
      </w:r>
      <w:r w:rsidRPr="00F33B01" w:rsidR="00193D8B">
        <w:rPr>
          <w:i/>
          <w:iCs/>
        </w:rPr>
        <w:tab/>
      </w:r>
      <w:r w:rsidRPr="00F33B01" w:rsidR="00193D8B">
        <w:rPr>
          <w:i/>
          <w:iCs/>
        </w:rPr>
        <w:t xml:space="preserve">TMDL for Pathogens in Morro Bay and Chorro and Los Osos Creeks </w:t>
      </w:r>
    </w:p>
    <w:p w:rsidRPr="00927273" w:rsidR="00193D8B" w:rsidP="00193D8B" w:rsidRDefault="00193D8B" w14:paraId="3338A72B" w14:textId="68ACABA3">
      <w:pPr>
        <w:shd w:val="clear" w:color="auto" w:fill="FFFFFF" w:themeFill="background1"/>
        <w:ind w:left="1267"/>
        <w:rPr>
          <w:rFonts w:cs="Arial"/>
        </w:rPr>
      </w:pPr>
      <w:r w:rsidRPr="00927273">
        <w:rPr>
          <w:rFonts w:cs="Arial"/>
          <w:b/>
          <w:bCs/>
        </w:rPr>
        <w:t>Description</w:t>
      </w:r>
      <w:r w:rsidRPr="00927273">
        <w:rPr>
          <w:rFonts w:cs="Arial"/>
        </w:rPr>
        <w:t xml:space="preserve">: </w:t>
      </w:r>
      <w:r w:rsidR="00CC169C">
        <w:rPr>
          <w:rFonts w:cs="Arial"/>
        </w:rPr>
        <w:t>USEPA</w:t>
      </w:r>
      <w:r w:rsidR="00C56C92">
        <w:rPr>
          <w:rFonts w:cs="Arial"/>
        </w:rPr>
        <w:t xml:space="preserve"> </w:t>
      </w:r>
      <w:r>
        <w:rPr>
          <w:rFonts w:cs="Arial"/>
        </w:rPr>
        <w:t xml:space="preserve">approved the TMDL on January 24, 2004. </w:t>
      </w:r>
      <w:r w:rsidRPr="00927273">
        <w:rPr>
          <w:rFonts w:cs="Arial"/>
        </w:rPr>
        <w:t xml:space="preserve">The TMDL identifies </w:t>
      </w:r>
      <w:r w:rsidRPr="00927273">
        <w:rPr>
          <w:rFonts w:cs="Arial"/>
          <w:shd w:val="clear" w:color="auto" w:fill="FFFFFF"/>
        </w:rPr>
        <w:t>Morro Bay, Chorro Creek, and Los Osos Creek as impaired by fecal coliform organisms (i.e., pathogens) and identifies</w:t>
      </w:r>
      <w:r w:rsidRPr="00927273">
        <w:rPr>
          <w:rFonts w:cs="Arial"/>
        </w:rPr>
        <w:t xml:space="preserve"> u</w:t>
      </w:r>
      <w:r w:rsidRPr="00927273">
        <w:rPr>
          <w:rFonts w:cs="Arial"/>
          <w:shd w:val="clear" w:color="auto" w:fill="FFFFFF"/>
        </w:rPr>
        <w:t>rban stormwater runoff as a contributing source of these pathogens.</w:t>
      </w:r>
    </w:p>
    <w:p w:rsidRPr="00927273" w:rsidR="00193D8B" w:rsidP="00193D8B" w:rsidRDefault="00193D8B" w14:paraId="1F71E7C7" w14:textId="4AEE250B">
      <w:pPr>
        <w:shd w:val="clear" w:color="auto" w:fill="FFFFFF" w:themeFill="background1"/>
        <w:ind w:left="1267"/>
        <w:rPr>
          <w:rFonts w:cs="Arial"/>
        </w:rPr>
      </w:pPr>
      <w:r w:rsidRPr="00927273">
        <w:rPr>
          <w:rFonts w:cs="Arial"/>
          <w:b/>
        </w:rPr>
        <w:t>Responsible Permit</w:t>
      </w:r>
      <w:r w:rsidR="0091593F">
        <w:rPr>
          <w:rFonts w:cs="Arial"/>
          <w:b/>
        </w:rPr>
        <w:t>t</w:t>
      </w:r>
      <w:r w:rsidRPr="00927273">
        <w:rPr>
          <w:rFonts w:cs="Arial"/>
          <w:b/>
        </w:rPr>
        <w:t xml:space="preserve">ees: </w:t>
      </w:r>
      <w:r w:rsidRPr="00927273">
        <w:rPr>
          <w:rFonts w:cs="Arial"/>
        </w:rPr>
        <w:t xml:space="preserve">City of Morro Bay, </w:t>
      </w:r>
      <w:r w:rsidRPr="00927273">
        <w:t>Los Osos Community Services District,</w:t>
      </w:r>
      <w:r w:rsidRPr="00927273">
        <w:rPr>
          <w:rFonts w:cs="Arial"/>
        </w:rPr>
        <w:t xml:space="preserve"> and the County of San Luis Obispo.</w:t>
      </w:r>
    </w:p>
    <w:p w:rsidRPr="00927273" w:rsidR="00193D8B" w:rsidP="00193D8B" w:rsidRDefault="00193D8B" w14:paraId="6FD577E2" w14:textId="77777777">
      <w:pPr>
        <w:shd w:val="clear" w:color="auto" w:fill="FFFFFF" w:themeFill="background1"/>
        <w:ind w:left="1267"/>
        <w:rPr>
          <w:rFonts w:cs="Arial"/>
        </w:rPr>
      </w:pPr>
      <w:r w:rsidRPr="00927273">
        <w:rPr>
          <w:rFonts w:cs="Arial"/>
          <w:b/>
        </w:rPr>
        <w:t xml:space="preserve">Wasteload Allocations: </w:t>
      </w:r>
      <w:r w:rsidRPr="00927273">
        <w:rPr>
          <w:rFonts w:cs="Arial"/>
          <w:bCs/>
        </w:rPr>
        <w:t xml:space="preserve">The TMDL identifies </w:t>
      </w:r>
      <w:r>
        <w:rPr>
          <w:rFonts w:cs="Arial"/>
          <w:bCs/>
        </w:rPr>
        <w:t>wasteload</w:t>
      </w:r>
      <w:r w:rsidRPr="00927273">
        <w:rPr>
          <w:rFonts w:cs="Arial"/>
          <w:bCs/>
        </w:rPr>
        <w:t xml:space="preserve"> allocations for Morro Bay waters, Los Osos Creek, and Chorro Creek, as follows:</w:t>
      </w:r>
      <w:r w:rsidRPr="00927273">
        <w:rPr>
          <w:rFonts w:cs="Arial"/>
          <w:b/>
        </w:rPr>
        <w:t xml:space="preserve"> </w:t>
      </w:r>
    </w:p>
    <w:p w:rsidRPr="00D257DF" w:rsidR="00193D8B" w:rsidP="00931C9C" w:rsidRDefault="00193D8B" w14:paraId="6B651AF3" w14:textId="45AE1ACA">
      <w:pPr>
        <w:pStyle w:val="ListParagraph"/>
        <w:numPr>
          <w:ilvl w:val="0"/>
          <w:numId w:val="30"/>
        </w:numPr>
        <w:shd w:val="clear" w:color="auto" w:fill="FFFFFF" w:themeFill="background1"/>
        <w:ind w:left="1800" w:hanging="540"/>
        <w:rPr>
          <w:rFonts w:cs="Arial"/>
          <w:szCs w:val="24"/>
        </w:rPr>
      </w:pPr>
      <w:r w:rsidRPr="00D62546">
        <w:rPr>
          <w:rFonts w:cs="Arial"/>
          <w:szCs w:val="24"/>
          <w:u w:val="single"/>
        </w:rPr>
        <w:t>For Moro Bay waters</w:t>
      </w:r>
      <w:r w:rsidRPr="00D257DF">
        <w:rPr>
          <w:rFonts w:cs="Arial"/>
          <w:szCs w:val="24"/>
        </w:rPr>
        <w:t xml:space="preserve">: for fecal coliform, a geometric mean of 14 Most Probable Number per 100 milliliter must be achieved and no more than </w:t>
      </w:r>
      <w:r w:rsidR="004A3D2C">
        <w:rPr>
          <w:rFonts w:cs="Arial"/>
          <w:szCs w:val="24"/>
        </w:rPr>
        <w:t>10</w:t>
      </w:r>
      <w:r w:rsidRPr="00D257DF">
        <w:rPr>
          <w:rFonts w:cs="Arial"/>
          <w:szCs w:val="24"/>
        </w:rPr>
        <w:t xml:space="preserve"> percent of the samples may be over 43 Most Probable Number per 100 milliliters. </w:t>
      </w:r>
    </w:p>
    <w:p w:rsidRPr="00D257DF" w:rsidR="00193D8B" w:rsidP="00931C9C" w:rsidRDefault="00193D8B" w14:paraId="20C7D43D" w14:textId="77777777">
      <w:pPr>
        <w:pStyle w:val="ListParagraph"/>
        <w:numPr>
          <w:ilvl w:val="0"/>
          <w:numId w:val="30"/>
        </w:numPr>
        <w:shd w:val="clear" w:color="auto" w:fill="FFFFFF" w:themeFill="background1"/>
        <w:ind w:left="1814" w:hanging="547"/>
        <w:contextualSpacing w:val="0"/>
        <w:rPr>
          <w:rFonts w:cs="Arial"/>
          <w:b/>
          <w:szCs w:val="24"/>
        </w:rPr>
      </w:pPr>
      <w:r w:rsidRPr="00D257DF">
        <w:rPr>
          <w:rFonts w:cs="Arial"/>
          <w:szCs w:val="24"/>
          <w:u w:val="single"/>
        </w:rPr>
        <w:t>For Chorro and Los Osos creeks and freshwater seeps to Moro Bay</w:t>
      </w:r>
      <w:r w:rsidRPr="00D257DF">
        <w:rPr>
          <w:rFonts w:cs="Arial"/>
          <w:szCs w:val="24"/>
        </w:rPr>
        <w:t>: for fecal coliform, the geometric mean shall not exceed 200 Most Probable Number per 100 milliliters over a 30-day period nor shall 10 percent of the samples exceed 400 Most Probable Number per 100 milliliters over any 30-day period.</w:t>
      </w:r>
    </w:p>
    <w:p w:rsidRPr="00D257DF" w:rsidR="00193D8B" w:rsidP="00193D8B" w:rsidRDefault="00193D8B" w14:paraId="2D25FAA8" w14:textId="77777777">
      <w:pPr>
        <w:pStyle w:val="ListParagraph"/>
        <w:shd w:val="clear" w:color="auto" w:fill="FFFFFF" w:themeFill="background1"/>
        <w:ind w:left="1267"/>
        <w:contextualSpacing w:val="0"/>
        <w:rPr>
          <w:rFonts w:cs="Arial"/>
          <w:bCs/>
          <w:szCs w:val="24"/>
        </w:rPr>
      </w:pPr>
      <w:r>
        <w:t xml:space="preserve">Monitoring will be performed and evaluated by the </w:t>
      </w:r>
      <w:r w:rsidRPr="00D257DF">
        <w:t>California Department of Health Services</w:t>
      </w:r>
      <w:r>
        <w:t xml:space="preserve"> (according to their regulations), the Morro Bay National Estuary Volunteer Program, and the Central Coast Water Board to ensure that numeric targets are met and implementation actions are taking place. Central Coast Water Board staff will review data on a triennial basis, at a minimum, and determine if progress towards fecal coliform reduction is adequate and whether changes to implementation actions are warranted (as described above).</w:t>
      </w:r>
    </w:p>
    <w:p w:rsidRPr="00D52F4F" w:rsidR="00193D8B" w:rsidP="00193D8B" w:rsidRDefault="00193D8B" w14:paraId="250DD859" w14:textId="77777777">
      <w:pPr>
        <w:ind w:left="1260"/>
        <w:rPr>
          <w:bCs/>
        </w:rPr>
      </w:pPr>
      <w:r w:rsidRPr="00D257DF">
        <w:rPr>
          <w:b/>
        </w:rPr>
        <w:t xml:space="preserve">Final Compliance Deadline: </w:t>
      </w:r>
      <w:r w:rsidRPr="00D257DF">
        <w:rPr>
          <w:bCs/>
        </w:rPr>
        <w:t xml:space="preserve">The final deadline to meet the </w:t>
      </w:r>
      <w:r>
        <w:rPr>
          <w:bCs/>
        </w:rPr>
        <w:t>wasteload</w:t>
      </w:r>
      <w:r w:rsidRPr="00D257DF">
        <w:rPr>
          <w:bCs/>
        </w:rPr>
        <w:t xml:space="preserve"> allocations was November 19, 2013.</w:t>
      </w:r>
    </w:p>
    <w:p w:rsidRPr="00F33B01" w:rsidR="00193D8B" w:rsidP="00F33B01" w:rsidRDefault="00836361" w14:paraId="1F319597" w14:textId="0359B128">
      <w:pPr>
        <w:pStyle w:val="Heading3"/>
        <w:tabs>
          <w:tab w:val="clear" w:pos="720"/>
          <w:tab w:val="left" w:pos="1260"/>
        </w:tabs>
        <w:ind w:left="1260" w:hanging="1260"/>
        <w:rPr>
          <w:i/>
          <w:iCs/>
        </w:rPr>
      </w:pPr>
      <w:r>
        <w:rPr>
          <w:i/>
          <w:iCs/>
        </w:rPr>
        <w:t>A13</w:t>
      </w:r>
      <w:r w:rsidRPr="00F33B01" w:rsidR="000432A5">
        <w:rPr>
          <w:i/>
          <w:iCs/>
        </w:rPr>
        <w:t>.</w:t>
      </w:r>
      <w:r w:rsidRPr="00F33B01" w:rsidR="00193D8B">
        <w:rPr>
          <w:i/>
          <w:iCs/>
        </w:rPr>
        <w:t>3.2</w:t>
      </w:r>
      <w:r w:rsidRPr="00F33B01" w:rsidR="00193D8B">
        <w:rPr>
          <w:i/>
          <w:iCs/>
        </w:rPr>
        <w:tab/>
      </w:r>
      <w:r w:rsidRPr="00F33B01" w:rsidR="00193D8B">
        <w:rPr>
          <w:i/>
          <w:iCs/>
        </w:rPr>
        <w:t>TMDL for Pathogens in Watsonville Slough</w:t>
      </w:r>
    </w:p>
    <w:p w:rsidRPr="00D52F4F" w:rsidR="00193D8B" w:rsidP="00193D8B" w:rsidRDefault="00193D8B" w14:paraId="4C4491BB" w14:textId="43417A36">
      <w:pPr>
        <w:ind w:left="1260"/>
        <w:rPr>
          <w:rFonts w:cs="Arial"/>
        </w:rPr>
      </w:pPr>
      <w:r w:rsidRPr="00B201CC">
        <w:rPr>
          <w:rFonts w:cs="Arial"/>
          <w:b/>
          <w:bCs/>
        </w:rPr>
        <w:t>Description:</w:t>
      </w:r>
      <w:r w:rsidRPr="00B201CC">
        <w:rPr>
          <w:rFonts w:cs="Arial"/>
        </w:rPr>
        <w:t xml:space="preserve"> </w:t>
      </w:r>
      <w:r>
        <w:rPr>
          <w:rFonts w:cs="Arial"/>
        </w:rPr>
        <w:t xml:space="preserve">The effective date of the TMDL is November 20, 2006/ </w:t>
      </w:r>
      <w:r w:rsidR="00CC169C">
        <w:rPr>
          <w:rFonts w:cs="Arial"/>
        </w:rPr>
        <w:t>USEPA</w:t>
      </w:r>
      <w:r w:rsidR="00C56C92">
        <w:rPr>
          <w:rFonts w:cs="Arial"/>
        </w:rPr>
        <w:t xml:space="preserve"> </w:t>
      </w:r>
      <w:r w:rsidRPr="00B201CC">
        <w:rPr>
          <w:rFonts w:cs="Arial"/>
        </w:rPr>
        <w:t>approved the TMDL on July 19, 2007. F</w:t>
      </w:r>
      <w:r w:rsidRPr="00B201CC">
        <w:t xml:space="preserve">ecal coliform concentrations exceed existing numeric water quality objectives that protect </w:t>
      </w:r>
      <w:r>
        <w:t xml:space="preserve">recreational </w:t>
      </w:r>
      <w:r w:rsidRPr="00B201CC">
        <w:t>beneficial uses</w:t>
      </w:r>
      <w:r w:rsidRPr="00B201CC">
        <w:rPr>
          <w:rFonts w:cs="Arial"/>
        </w:rPr>
        <w:t>. Urban stormwater runoff is identified as a source of pathogens in Watson Slough.</w:t>
      </w:r>
      <w:r w:rsidRPr="00D52F4F">
        <w:rPr>
          <w:rFonts w:cs="Arial"/>
        </w:rPr>
        <w:t xml:space="preserve"> </w:t>
      </w:r>
    </w:p>
    <w:p w:rsidRPr="00D52F4F" w:rsidR="00193D8B" w:rsidP="00193D8B" w:rsidRDefault="00193D8B" w14:paraId="7D977E88" w14:textId="2D0FEE97">
      <w:pPr>
        <w:ind w:left="1260"/>
        <w:rPr>
          <w:rFonts w:cs="Arial"/>
        </w:rPr>
      </w:pPr>
      <w:r w:rsidRPr="006A53D3">
        <w:rPr>
          <w:b/>
        </w:rPr>
        <w:t>Responsible Permit</w:t>
      </w:r>
      <w:r w:rsidR="0091593F">
        <w:rPr>
          <w:b/>
        </w:rPr>
        <w:t>t</w:t>
      </w:r>
      <w:r w:rsidRPr="006A53D3">
        <w:rPr>
          <w:b/>
        </w:rPr>
        <w:t>ees</w:t>
      </w:r>
      <w:r>
        <w:rPr>
          <w:b/>
        </w:rPr>
        <w:t xml:space="preserve">: </w:t>
      </w:r>
      <w:r w:rsidRPr="0044074A">
        <w:rPr>
          <w:rFonts w:cs="Arial"/>
        </w:rPr>
        <w:t>City of Watsonville and the County of Santa Cruz.</w:t>
      </w:r>
    </w:p>
    <w:p w:rsidRPr="009A4692" w:rsidR="00193D8B" w:rsidP="00193D8B" w:rsidRDefault="00193D8B" w14:paraId="37DE322D" w14:textId="77777777">
      <w:pPr>
        <w:ind w:left="1260"/>
        <w:rPr>
          <w:rFonts w:cs="Arial"/>
        </w:rPr>
      </w:pPr>
      <w:r w:rsidRPr="009A4692">
        <w:rPr>
          <w:rFonts w:cs="Arial" w:eastAsiaTheme="minorHAnsi"/>
          <w:b/>
        </w:rPr>
        <w:t>Wasteload Allocations</w:t>
      </w:r>
      <w:r w:rsidRPr="009A4692">
        <w:rPr>
          <w:rFonts w:cs="Arial" w:eastAsiaTheme="minorHAnsi"/>
        </w:rPr>
        <w:t xml:space="preserve">: </w:t>
      </w:r>
      <w:r w:rsidRPr="009A4692">
        <w:rPr>
          <w:rFonts w:cs="Arial"/>
        </w:rPr>
        <w:t xml:space="preserve">The </w:t>
      </w:r>
      <w:r>
        <w:rPr>
          <w:rFonts w:cs="Arial"/>
        </w:rPr>
        <w:t>wasteload</w:t>
      </w:r>
      <w:r w:rsidRPr="009A4692">
        <w:rPr>
          <w:rFonts w:cs="Arial"/>
        </w:rPr>
        <w:t xml:space="preserve"> allocations are receiving water allocations and is for each responsible Permittee. Stormwater discharge shall not cause or contribute to exceedance of the allocations as measured in receiving water. </w:t>
      </w:r>
    </w:p>
    <w:p w:rsidRPr="009A4692" w:rsidR="00193D8B" w:rsidP="00193D8B" w:rsidRDefault="00193D8B" w14:paraId="6237AB1B" w14:textId="77777777">
      <w:pPr>
        <w:ind w:left="1260"/>
        <w:rPr>
          <w:rFonts w:cs="Arial"/>
        </w:rPr>
      </w:pPr>
      <w:r w:rsidRPr="009A4692">
        <w:rPr>
          <w:rFonts w:cs="Arial"/>
        </w:rPr>
        <w:t xml:space="preserve">The City of Watsonville is assigned the following </w:t>
      </w:r>
      <w:r>
        <w:rPr>
          <w:rFonts w:cs="Arial"/>
        </w:rPr>
        <w:t>wasteload</w:t>
      </w:r>
      <w:r w:rsidRPr="009A4692">
        <w:rPr>
          <w:rFonts w:cs="Arial"/>
        </w:rPr>
        <w:t xml:space="preserve"> allocations in Watsonville, Struve, Harkins, Gallighan, and Hanson Sloughs. The County of Santa Cruz is assigned the following </w:t>
      </w:r>
      <w:r>
        <w:rPr>
          <w:rFonts w:cs="Arial"/>
        </w:rPr>
        <w:t>wasteload</w:t>
      </w:r>
      <w:r w:rsidRPr="009A4692">
        <w:rPr>
          <w:rFonts w:cs="Arial"/>
        </w:rPr>
        <w:t xml:space="preserve"> allocations in Watsonville, Struve and Harkins Sloughs. </w:t>
      </w:r>
    </w:p>
    <w:p w:rsidRPr="007C3444" w:rsidR="00193D8B" w:rsidP="00E8254E" w:rsidRDefault="00193D8B" w14:paraId="0CAC24F2" w14:textId="77777777">
      <w:pPr>
        <w:pStyle w:val="ListParagraph"/>
        <w:numPr>
          <w:ilvl w:val="0"/>
          <w:numId w:val="28"/>
        </w:numPr>
        <w:tabs>
          <w:tab w:val="left" w:pos="1800"/>
        </w:tabs>
        <w:ind w:left="1800" w:hanging="540"/>
        <w:rPr>
          <w:rFonts w:cs="Arial"/>
          <w:szCs w:val="24"/>
        </w:rPr>
      </w:pPr>
      <w:r w:rsidRPr="007C3444">
        <w:rPr>
          <w:rFonts w:cs="Arial"/>
          <w:szCs w:val="24"/>
        </w:rPr>
        <w:t>The fecal coliform log mean concentration in the receiving water (based on a minimum of five samples) for any consecutive 30-day period shall not exceed 200 Most Probable Number/100 milliliters, and</w:t>
      </w:r>
    </w:p>
    <w:p w:rsidRPr="007C3444" w:rsidR="00193D8B" w:rsidP="00E8254E" w:rsidRDefault="00193D8B" w14:paraId="43120E3D" w14:textId="77777777">
      <w:pPr>
        <w:pStyle w:val="ListParagraph"/>
        <w:numPr>
          <w:ilvl w:val="0"/>
          <w:numId w:val="28"/>
        </w:numPr>
        <w:tabs>
          <w:tab w:val="left" w:pos="1800"/>
        </w:tabs>
        <w:ind w:left="1800" w:hanging="540"/>
        <w:rPr>
          <w:rFonts w:cs="Arial"/>
          <w:szCs w:val="24"/>
        </w:rPr>
      </w:pPr>
      <w:r w:rsidRPr="007C3444">
        <w:rPr>
          <w:rFonts w:cs="Arial"/>
          <w:szCs w:val="24"/>
        </w:rPr>
        <w:t>The fecal coliform concentration (of each individual sample) of more than ten percent of the total samples collected during the same 30-day period, as above, shall not exceed 400 Most Probable Number/100 milliliters.</w:t>
      </w:r>
    </w:p>
    <w:p w:rsidRPr="00D52F4F" w:rsidR="00193D8B" w:rsidP="00193D8B" w:rsidRDefault="00193D8B" w14:paraId="26B90816" w14:textId="77777777">
      <w:pPr>
        <w:ind w:left="1260"/>
        <w:rPr>
          <w:b/>
        </w:rPr>
      </w:pPr>
      <w:r w:rsidRPr="00551D2C">
        <w:rPr>
          <w:b/>
        </w:rPr>
        <w:t xml:space="preserve">Final Compliance Deadlines: </w:t>
      </w:r>
      <w:r w:rsidRPr="00551D2C">
        <w:rPr>
          <w:rFonts w:cs="Arial"/>
        </w:rPr>
        <w:t>The final compliance deadline for the Watsonville Slough Pathogens TMDL was November 20, 2016</w:t>
      </w:r>
      <w:r>
        <w:rPr>
          <w:rFonts w:cs="Arial"/>
        </w:rPr>
        <w:t>, which is ten years after the effective date</w:t>
      </w:r>
      <w:r w:rsidRPr="00551D2C">
        <w:rPr>
          <w:rFonts w:cs="Arial"/>
        </w:rPr>
        <w:t>.</w:t>
      </w:r>
    </w:p>
    <w:p w:rsidRPr="00F33B01" w:rsidR="00193D8B" w:rsidP="00F33B01" w:rsidRDefault="00836361" w14:paraId="23780A3D" w14:textId="68AC977B">
      <w:pPr>
        <w:pStyle w:val="Heading3"/>
        <w:tabs>
          <w:tab w:val="clear" w:pos="720"/>
          <w:tab w:val="left" w:pos="1260"/>
        </w:tabs>
        <w:ind w:left="1260" w:hanging="1260"/>
        <w:rPr>
          <w:i/>
          <w:iCs/>
        </w:rPr>
      </w:pPr>
      <w:r>
        <w:rPr>
          <w:i/>
          <w:iCs/>
        </w:rPr>
        <w:t>A13</w:t>
      </w:r>
      <w:r w:rsidRPr="00F33B01" w:rsidR="000432A5">
        <w:rPr>
          <w:i/>
          <w:iCs/>
        </w:rPr>
        <w:t>.</w:t>
      </w:r>
      <w:r w:rsidRPr="00F33B01" w:rsidR="00193D8B">
        <w:rPr>
          <w:i/>
          <w:iCs/>
        </w:rPr>
        <w:t>3.3</w:t>
      </w:r>
      <w:r w:rsidRPr="00F33B01" w:rsidR="00193D8B">
        <w:rPr>
          <w:i/>
          <w:iCs/>
        </w:rPr>
        <w:tab/>
      </w:r>
      <w:r w:rsidRPr="00F33B01" w:rsidR="00193D8B">
        <w:rPr>
          <w:i/>
          <w:iCs/>
        </w:rPr>
        <w:t>TMDL for Fecal Coliform in the Pajaro River Watershed</w:t>
      </w:r>
    </w:p>
    <w:p w:rsidRPr="00D52F4F" w:rsidR="00193D8B" w:rsidP="00193D8B" w:rsidRDefault="00193D8B" w14:paraId="4F2D7C42" w14:textId="41FA35F8">
      <w:pPr>
        <w:ind w:left="1260"/>
        <w:rPr>
          <w:rFonts w:cs="Arial"/>
          <w:highlight w:val="green"/>
        </w:rPr>
      </w:pPr>
      <w:r w:rsidRPr="001C7E90">
        <w:rPr>
          <w:rFonts w:cs="Arial"/>
          <w:b/>
        </w:rPr>
        <w:t>Description:</w:t>
      </w:r>
      <w:r w:rsidRPr="001C7E90">
        <w:rPr>
          <w:rFonts w:cs="Arial"/>
        </w:rPr>
        <w:t xml:space="preserve"> </w:t>
      </w:r>
      <w:r w:rsidR="00CC169C">
        <w:rPr>
          <w:rFonts w:cs="Arial"/>
        </w:rPr>
        <w:t>USEPA</w:t>
      </w:r>
      <w:r w:rsidR="00C56C92">
        <w:rPr>
          <w:rFonts w:cs="Arial"/>
        </w:rPr>
        <w:t xml:space="preserve"> </w:t>
      </w:r>
      <w:r w:rsidRPr="001C7E90">
        <w:rPr>
          <w:rFonts w:cs="Arial"/>
        </w:rPr>
        <w:t xml:space="preserve">approved the TMDL on August 3, 2010. The fecal coliform TMDL for the Pajaro River Watershed includes the waters of Pajaro River, San Benito River, Llagas Creek, Tequisquita Slough, San Juan Creek, Carnadero/Uvas Creek, Bird Creek, Pescadero Creek, Tres Pinos Creek, Furlong (Jones) Creek, Santa Ana Creek, and Pacheco Creek. </w:t>
      </w:r>
      <w:r w:rsidRPr="001C7E90">
        <w:t>The</w:t>
      </w:r>
      <w:r>
        <w:t xml:space="preserve"> beneficial use of water contact recreation is not being protected in these waters. </w:t>
      </w:r>
    </w:p>
    <w:p w:rsidRPr="00132678" w:rsidR="00193D8B" w:rsidP="00193D8B" w:rsidRDefault="00193D8B" w14:paraId="1F04CF5D" w14:textId="77777777">
      <w:pPr>
        <w:ind w:left="1260"/>
      </w:pPr>
      <w:r w:rsidRPr="00132678">
        <w:rPr>
          <w:rFonts w:cs="Arial"/>
        </w:rPr>
        <w:t xml:space="preserve">The TMDL identifies </w:t>
      </w:r>
      <w:r w:rsidRPr="00132678">
        <w:t>storm drain discharges into municipally owned and operated storm sewer systems as controllable sources.</w:t>
      </w:r>
    </w:p>
    <w:p w:rsidRPr="00132678" w:rsidR="00193D8B" w:rsidP="00193D8B" w:rsidRDefault="00193D8B" w14:paraId="1693DF08" w14:textId="5740D74B">
      <w:pPr>
        <w:ind w:left="1260"/>
        <w:rPr>
          <w:rFonts w:cs="Arial"/>
        </w:rPr>
      </w:pPr>
      <w:r w:rsidRPr="00132678">
        <w:rPr>
          <w:rFonts w:cs="Arial"/>
          <w:b/>
        </w:rPr>
        <w:t>Responsible Permit</w:t>
      </w:r>
      <w:r w:rsidR="0091593F">
        <w:rPr>
          <w:rFonts w:cs="Arial"/>
          <w:b/>
        </w:rPr>
        <w:t>t</w:t>
      </w:r>
      <w:r w:rsidRPr="00132678">
        <w:rPr>
          <w:rFonts w:cs="Arial"/>
          <w:b/>
        </w:rPr>
        <w:t>ees:</w:t>
      </w:r>
      <w:r w:rsidRPr="00132678">
        <w:rPr>
          <w:rFonts w:cs="Arial"/>
        </w:rPr>
        <w:t xml:space="preserve"> City of Gilroy, City of Hollister, City of Morgan Hill, City of Watsonville, the County of Monterey, County of Santa Clara, and County of Santa Cruz.</w:t>
      </w:r>
    </w:p>
    <w:p w:rsidRPr="00CC7561" w:rsidR="00193D8B" w:rsidP="00193D8B" w:rsidRDefault="00193D8B" w14:paraId="41DFEAE1" w14:textId="77777777">
      <w:pPr>
        <w:ind w:left="1260"/>
        <w:rPr>
          <w:rFonts w:cs="Arial"/>
        </w:rPr>
      </w:pPr>
      <w:r w:rsidRPr="00CC7561">
        <w:rPr>
          <w:rFonts w:cs="Arial" w:eastAsiaTheme="minorHAnsi"/>
          <w:b/>
        </w:rPr>
        <w:t>Wasteload Allocations</w:t>
      </w:r>
      <w:r w:rsidRPr="00CC7561">
        <w:rPr>
          <w:rFonts w:cs="Arial" w:eastAsiaTheme="minorHAnsi"/>
        </w:rPr>
        <w:t>: W</w:t>
      </w:r>
      <w:r w:rsidRPr="00CC7561">
        <w:rPr>
          <w:rFonts w:cs="Arial"/>
        </w:rPr>
        <w:t>asteload allocations are measured in receiving waters, as follows:</w:t>
      </w:r>
    </w:p>
    <w:p w:rsidRPr="00CC7561" w:rsidR="00193D8B" w:rsidP="00E8254E" w:rsidRDefault="00193D8B" w14:paraId="4642A3B0" w14:textId="77777777">
      <w:pPr>
        <w:pStyle w:val="ListParagraph"/>
        <w:numPr>
          <w:ilvl w:val="0"/>
          <w:numId w:val="29"/>
        </w:numPr>
        <w:ind w:left="1620" w:hanging="353"/>
        <w:contextualSpacing w:val="0"/>
        <w:rPr>
          <w:rFonts w:cs="Arial"/>
          <w:szCs w:val="24"/>
        </w:rPr>
      </w:pPr>
      <w:r w:rsidRPr="00CC7561">
        <w:rPr>
          <w:rFonts w:cs="Arial"/>
          <w:szCs w:val="24"/>
        </w:rPr>
        <w:t>The Cities of Hollister, Morgan Hill, Gilroy and Watsonville and the Counties of Monterey, Santa Clara and Santa Cruz are assigned the following concentration-based wasteload allocations:</w:t>
      </w:r>
    </w:p>
    <w:p w:rsidRPr="00CC7561" w:rsidR="00193D8B" w:rsidP="00E8254E" w:rsidRDefault="00193D8B" w14:paraId="058E6AA3" w14:textId="77777777">
      <w:pPr>
        <w:pStyle w:val="ListParagraph"/>
        <w:numPr>
          <w:ilvl w:val="0"/>
          <w:numId w:val="58"/>
        </w:numPr>
        <w:ind w:left="2160" w:hanging="540"/>
        <w:rPr>
          <w:rFonts w:cs="Arial"/>
          <w:szCs w:val="24"/>
        </w:rPr>
      </w:pPr>
      <w:r w:rsidRPr="00CC7561">
        <w:rPr>
          <w:rFonts w:cs="Arial"/>
          <w:szCs w:val="24"/>
        </w:rPr>
        <w:t>The fecal coliform concentration in the receiving water (based on a minimum of five samples) for any consecutive 30-day period shall not exceed a log mean of 200 Most Probable Number per 100 milliliters, and</w:t>
      </w:r>
    </w:p>
    <w:p w:rsidRPr="00CC7561" w:rsidR="00193D8B" w:rsidP="00E8254E" w:rsidRDefault="00193D8B" w14:paraId="439D9E92" w14:textId="77777777">
      <w:pPr>
        <w:pStyle w:val="ListParagraph"/>
        <w:numPr>
          <w:ilvl w:val="0"/>
          <w:numId w:val="58"/>
        </w:numPr>
        <w:ind w:left="2160" w:hanging="540"/>
        <w:rPr>
          <w:rFonts w:cs="Arial"/>
          <w:szCs w:val="24"/>
        </w:rPr>
      </w:pPr>
      <w:r w:rsidRPr="00CC7561">
        <w:rPr>
          <w:rFonts w:cs="Arial"/>
          <w:szCs w:val="24"/>
        </w:rPr>
        <w:t>The fecal coliform concentration (of each individual sample) of more than ten percent of the total samples collected during the same 30-day period, as above, shall not exceed 400 Most Probable Number per 100 milliliters.</w:t>
      </w:r>
    </w:p>
    <w:p w:rsidRPr="00CC7561" w:rsidR="00193D8B" w:rsidP="00E8254E" w:rsidRDefault="00193D8B" w14:paraId="10D91917" w14:textId="77777777">
      <w:pPr>
        <w:pStyle w:val="ListParagraph"/>
        <w:numPr>
          <w:ilvl w:val="0"/>
          <w:numId w:val="29"/>
        </w:numPr>
        <w:spacing w:before="240"/>
        <w:ind w:left="1814" w:hanging="547"/>
        <w:contextualSpacing w:val="0"/>
        <w:rPr>
          <w:rFonts w:cs="Arial"/>
          <w:szCs w:val="24"/>
        </w:rPr>
      </w:pPr>
      <w:r w:rsidRPr="00CC7561">
        <w:rPr>
          <w:rFonts w:cs="Arial"/>
          <w:szCs w:val="24"/>
        </w:rPr>
        <w:t xml:space="preserve">The Cities of Hollister, Morgan Hill, Gilroy and Watsonville and the Counties of Santa Cruz, Santa Clara and Monterey are assigned the following </w:t>
      </w:r>
      <w:r>
        <w:rPr>
          <w:rFonts w:cs="Arial"/>
          <w:szCs w:val="24"/>
        </w:rPr>
        <w:t>wasteload</w:t>
      </w:r>
      <w:r w:rsidRPr="00CC7561">
        <w:rPr>
          <w:rFonts w:cs="Arial"/>
          <w:szCs w:val="24"/>
        </w:rPr>
        <w:t xml:space="preserve"> allocations for Pajaro River, San Benito River, Llagas Creek, and Tequesquita Slough:</w:t>
      </w:r>
    </w:p>
    <w:p w:rsidRPr="00CC7561" w:rsidR="00193D8B" w:rsidP="00E8254E" w:rsidRDefault="00193D8B" w14:paraId="73A436DB" w14:textId="77777777">
      <w:pPr>
        <w:pStyle w:val="ListParagraph"/>
        <w:numPr>
          <w:ilvl w:val="1"/>
          <w:numId w:val="29"/>
        </w:numPr>
        <w:ind w:left="2340" w:hanging="450"/>
        <w:rPr>
          <w:rFonts w:cs="Arial"/>
          <w:szCs w:val="24"/>
        </w:rPr>
      </w:pPr>
      <w:r w:rsidRPr="00CC7561">
        <w:rPr>
          <w:rFonts w:cs="Arial"/>
          <w:szCs w:val="24"/>
        </w:rPr>
        <w:t>The fecal coliform concentration in the receiving water (based on a minimum of five samples) for any consecutive 30-day period shall not exceed a log mean of 200 Most Probable Number per 100 milliliters, and</w:t>
      </w:r>
    </w:p>
    <w:p w:rsidRPr="00CC7561" w:rsidR="00193D8B" w:rsidP="00E8254E" w:rsidRDefault="00193D8B" w14:paraId="7DD975E7" w14:textId="77777777">
      <w:pPr>
        <w:pStyle w:val="ListParagraph"/>
        <w:numPr>
          <w:ilvl w:val="1"/>
          <w:numId w:val="29"/>
        </w:numPr>
        <w:ind w:left="2340" w:hanging="450"/>
        <w:rPr>
          <w:rFonts w:cs="Arial"/>
          <w:szCs w:val="24"/>
        </w:rPr>
      </w:pPr>
      <w:r w:rsidRPr="00CC7561">
        <w:rPr>
          <w:rFonts w:cs="Arial"/>
          <w:szCs w:val="24"/>
        </w:rPr>
        <w:t>The fecal coliform concentration (of each individual sample) of more than ten percent of the total samples collected during the same 30-day period, as above, shall not exceed 400 Most Probable Number per 100 milliliters.</w:t>
      </w:r>
    </w:p>
    <w:p w:rsidRPr="00D52F4F" w:rsidR="00193D8B" w:rsidP="00193D8B" w:rsidRDefault="00193D8B" w14:paraId="1A8D12FC" w14:textId="77777777">
      <w:pPr>
        <w:ind w:left="1260"/>
        <w:rPr>
          <w:rFonts w:cs="Arial"/>
        </w:rPr>
      </w:pPr>
      <w:r w:rsidRPr="00CC7561">
        <w:rPr>
          <w:rFonts w:cs="Arial"/>
          <w:b/>
        </w:rPr>
        <w:t>Final Compliance Deadline</w:t>
      </w:r>
      <w:r w:rsidRPr="00CC7561">
        <w:rPr>
          <w:rFonts w:cs="Arial"/>
        </w:rPr>
        <w:t>: The TMDL specifies that all wasteload allocations must be achieved by July 12, 2023</w:t>
      </w:r>
      <w:r>
        <w:rPr>
          <w:rFonts w:cs="Arial"/>
        </w:rPr>
        <w:t>, which is 13 years after the California Office of Administrative Law approved the TMDL</w:t>
      </w:r>
      <w:r w:rsidRPr="00CC7561">
        <w:rPr>
          <w:rFonts w:cs="Arial"/>
        </w:rPr>
        <w:t>.</w:t>
      </w:r>
    </w:p>
    <w:p w:rsidRPr="00F33B01" w:rsidR="00193D8B" w:rsidP="00F33B01" w:rsidRDefault="00836361" w14:paraId="311E0EF6" w14:textId="0DE03EA3">
      <w:pPr>
        <w:pStyle w:val="Heading3"/>
        <w:tabs>
          <w:tab w:val="clear" w:pos="720"/>
          <w:tab w:val="left" w:pos="1260"/>
        </w:tabs>
        <w:ind w:left="1260" w:hanging="1260"/>
        <w:rPr>
          <w:i/>
          <w:iCs/>
        </w:rPr>
      </w:pPr>
      <w:r>
        <w:rPr>
          <w:i/>
          <w:iCs/>
        </w:rPr>
        <w:t>A13</w:t>
      </w:r>
      <w:r w:rsidRPr="00F33B01" w:rsidR="000432A5">
        <w:rPr>
          <w:i/>
          <w:iCs/>
        </w:rPr>
        <w:t>.</w:t>
      </w:r>
      <w:r w:rsidRPr="00F33B01" w:rsidR="00193D8B">
        <w:rPr>
          <w:i/>
          <w:iCs/>
        </w:rPr>
        <w:t>3.4</w:t>
      </w:r>
      <w:r w:rsidRPr="00F33B01" w:rsidR="00193D8B">
        <w:rPr>
          <w:i/>
          <w:iCs/>
        </w:rPr>
        <w:tab/>
      </w:r>
      <w:r w:rsidRPr="00F33B01" w:rsidR="00193D8B">
        <w:rPr>
          <w:i/>
          <w:iCs/>
        </w:rPr>
        <w:t>TMDL for Sediment in Morro Bay</w:t>
      </w:r>
    </w:p>
    <w:p w:rsidRPr="00204EEC" w:rsidR="00193D8B" w:rsidP="00193D8B" w:rsidRDefault="00193D8B" w14:paraId="6930BCCB" w14:textId="36F54875">
      <w:pPr>
        <w:ind w:left="1260"/>
        <w:rPr>
          <w:rFonts w:cs="Arial"/>
        </w:rPr>
      </w:pPr>
      <w:r w:rsidRPr="00204EEC">
        <w:rPr>
          <w:rFonts w:cs="Arial"/>
          <w:b/>
        </w:rPr>
        <w:t>Description</w:t>
      </w:r>
      <w:r w:rsidRPr="00204EEC">
        <w:rPr>
          <w:rFonts w:cs="Arial"/>
        </w:rPr>
        <w:t xml:space="preserve">: </w:t>
      </w:r>
      <w:r w:rsidR="00CC169C">
        <w:rPr>
          <w:rFonts w:cs="Arial"/>
        </w:rPr>
        <w:t>USEPA</w:t>
      </w:r>
      <w:r w:rsidR="00C56C92">
        <w:rPr>
          <w:rFonts w:cs="Arial"/>
        </w:rPr>
        <w:t xml:space="preserve"> </w:t>
      </w:r>
      <w:r w:rsidRPr="00204EEC">
        <w:rPr>
          <w:rFonts w:cs="Arial"/>
        </w:rPr>
        <w:t xml:space="preserve">approved the TMDL on January 20, 2004. The TMDL for Sediment in Morro Bay includes the waters of Chorro Creek, Los Osos Creek, and the Morro Bay Estuary. </w:t>
      </w:r>
      <w:r w:rsidRPr="00204EEC">
        <w:rPr>
          <w:rFonts w:cs="Arial"/>
          <w:shd w:val="clear" w:color="auto" w:fill="FFFFFF"/>
        </w:rPr>
        <w:t xml:space="preserve">In Morro Bay, the natural process of sediment infill has been accelerated due to anthropogenic watershed disturbances, which has resulted in impairment that </w:t>
      </w:r>
      <w:r w:rsidRPr="00204EEC">
        <w:rPr>
          <w:rFonts w:cs="Arial"/>
        </w:rPr>
        <w:t xml:space="preserve">indicates an exceedance of the narrative objective for sediment. The TMDL identifies stormwater runoff as point sources of sediment. </w:t>
      </w:r>
    </w:p>
    <w:p w:rsidRPr="00204EEC" w:rsidR="00193D8B" w:rsidP="00193D8B" w:rsidRDefault="00193D8B" w14:paraId="0DC7B840" w14:textId="77777777">
      <w:pPr>
        <w:ind w:left="1260"/>
        <w:rPr>
          <w:rFonts w:cs="Arial"/>
        </w:rPr>
      </w:pPr>
      <w:r>
        <w:rPr>
          <w:b/>
        </w:rPr>
        <w:t>Responsible Permittee</w:t>
      </w:r>
      <w:r w:rsidRPr="00204EEC">
        <w:rPr>
          <w:b/>
        </w:rPr>
        <w:t xml:space="preserve">: </w:t>
      </w:r>
      <w:r w:rsidRPr="00204EEC">
        <w:rPr>
          <w:rFonts w:cs="Arial"/>
        </w:rPr>
        <w:t>County of San Luis Obispo</w:t>
      </w:r>
      <w:r>
        <w:rPr>
          <w:rFonts w:cs="Arial"/>
        </w:rPr>
        <w:t>.</w:t>
      </w:r>
    </w:p>
    <w:p w:rsidR="00193D8B" w:rsidP="00193D8B" w:rsidRDefault="00193D8B" w14:paraId="41F4366F" w14:textId="77777777">
      <w:pPr>
        <w:ind w:left="1260"/>
        <w:rPr>
          <w:rFonts w:cs="Arial"/>
        </w:rPr>
      </w:pPr>
      <w:r w:rsidRPr="00204EEC">
        <w:rPr>
          <w:rFonts w:cs="Arial" w:eastAsiaTheme="minorHAnsi"/>
          <w:b/>
        </w:rPr>
        <w:t>Wasteload Allocations</w:t>
      </w:r>
      <w:r w:rsidRPr="00204EEC">
        <w:rPr>
          <w:rFonts w:cs="Arial" w:eastAsiaTheme="minorHAnsi"/>
        </w:rPr>
        <w:t xml:space="preserve">: </w:t>
      </w:r>
      <w:r w:rsidRPr="00204EEC">
        <w:rPr>
          <w:rFonts w:cs="Arial"/>
        </w:rPr>
        <w:t xml:space="preserve">The County of San Luis Obispo is assigned allocations in the following water bodies: Morro Bay, Los Osos Creek, Chorro Creek, Dairy Creek, Pennington Creek, and Warden Creek. </w:t>
      </w:r>
    </w:p>
    <w:p w:rsidRPr="009E1E70" w:rsidR="00193D8B" w:rsidP="00E8254E" w:rsidRDefault="00193D8B" w14:paraId="50D9093B" w14:textId="77777777">
      <w:pPr>
        <w:pStyle w:val="ListParagraph"/>
        <w:numPr>
          <w:ilvl w:val="0"/>
          <w:numId w:val="31"/>
        </w:numPr>
        <w:tabs>
          <w:tab w:val="left" w:pos="1620"/>
        </w:tabs>
        <w:ind w:left="1620"/>
        <w:rPr>
          <w:rFonts w:cs="Arial" w:eastAsiaTheme="minorHAnsi"/>
          <w:bCs/>
          <w:szCs w:val="24"/>
        </w:rPr>
      </w:pPr>
      <w:r>
        <w:rPr>
          <w:rFonts w:cs="Arial" w:eastAsiaTheme="minorHAnsi"/>
          <w:bCs/>
          <w:szCs w:val="24"/>
        </w:rPr>
        <w:t xml:space="preserve">Sediment Allocation for </w:t>
      </w:r>
      <w:r w:rsidRPr="009E1E70">
        <w:rPr>
          <w:rFonts w:cs="Arial" w:eastAsiaTheme="minorHAnsi"/>
          <w:bCs/>
          <w:szCs w:val="24"/>
        </w:rPr>
        <w:t>Roads</w:t>
      </w:r>
    </w:p>
    <w:p w:rsidRPr="00204EEC" w:rsidR="00193D8B" w:rsidP="00193D8B" w:rsidRDefault="00193D8B" w14:paraId="3143EC29" w14:textId="02F8FE3D">
      <w:pPr>
        <w:ind w:left="1620"/>
        <w:rPr>
          <w:rFonts w:cs="Arial"/>
        </w:rPr>
      </w:pPr>
      <w:r w:rsidRPr="00204EEC">
        <w:rPr>
          <w:rFonts w:cs="Arial"/>
        </w:rPr>
        <w:t>The sediment allocation for roads is assigned as a group allocation of 5,137 tons per year, as provided in the April 24, 2002</w:t>
      </w:r>
      <w:r w:rsidR="00002239">
        <w:rPr>
          <w:rFonts w:cs="Arial"/>
        </w:rPr>
        <w:t>,</w:t>
      </w:r>
      <w:r w:rsidRPr="00204EEC">
        <w:rPr>
          <w:rFonts w:cs="Arial"/>
        </w:rPr>
        <w:t xml:space="preserve"> Staff Report for the Morro Bay Sediment TMDL. </w:t>
      </w:r>
    </w:p>
    <w:p w:rsidR="00193D8B" w:rsidP="00E8254E" w:rsidRDefault="00193D8B" w14:paraId="15C79E90" w14:textId="77777777">
      <w:pPr>
        <w:pStyle w:val="ListParagraph"/>
        <w:numPr>
          <w:ilvl w:val="0"/>
          <w:numId w:val="31"/>
        </w:numPr>
        <w:tabs>
          <w:tab w:val="left" w:pos="1620"/>
        </w:tabs>
        <w:ind w:left="1620"/>
      </w:pPr>
      <w:r>
        <w:t xml:space="preserve">Numeric Targets for </w:t>
      </w:r>
      <w:r w:rsidRPr="00204EEC">
        <w:t xml:space="preserve">Chorro Creek, Los Osos Creek and </w:t>
      </w:r>
      <w:r>
        <w:t>T</w:t>
      </w:r>
      <w:r w:rsidRPr="00204EEC">
        <w:t xml:space="preserve">heir </w:t>
      </w:r>
      <w:r>
        <w:t>T</w:t>
      </w:r>
      <w:r w:rsidRPr="00204EEC">
        <w:t>ributaries</w:t>
      </w:r>
    </w:p>
    <w:p w:rsidRPr="0011220D" w:rsidR="00193D8B" w:rsidP="00193D8B" w:rsidRDefault="00193D8B" w14:paraId="261AC099" w14:textId="77777777">
      <w:pPr>
        <w:ind w:left="1620"/>
        <w:rPr>
          <w:rFonts w:cs="Arial"/>
        </w:rPr>
      </w:pPr>
      <w:r w:rsidRPr="00315A4E">
        <w:rPr>
          <w:rFonts w:cs="Arial"/>
        </w:rPr>
        <w:t xml:space="preserve">Numeric targets and other parameters will be monitored to ensure that numeric targets are met. The </w:t>
      </w:r>
      <w:r>
        <w:rPr>
          <w:rFonts w:cs="Arial"/>
        </w:rPr>
        <w:t>Central Coast Water</w:t>
      </w:r>
      <w:r w:rsidRPr="00315A4E">
        <w:rPr>
          <w:rFonts w:cs="Arial"/>
        </w:rPr>
        <w:t xml:space="preserve"> Board will rely on existing or planned efforts for this monitoring (e.g., Morro Bay National Estuary Program, Central Coast Ambient Monitoring Program). </w:t>
      </w:r>
      <w:r w:rsidRPr="0011220D">
        <w:rPr>
          <w:rFonts w:cs="Arial"/>
        </w:rPr>
        <w:t xml:space="preserve">Five numeric targets are established for Chorro Creek, Los Osos Creek and their tributaries: residual pool volume; median diameter of sediment particles, percent fines, and percent course fines. The residual pool volume, V*, is the portion of a pool in a stream that is available for fish to occupy and is the ratio of the pool volume filled in with fine, mobile sediment, to the total scour pool volume. One parameter is established for Morro Bay. </w:t>
      </w:r>
    </w:p>
    <w:p w:rsidRPr="004719D6" w:rsidR="00193D8B" w:rsidP="00333E02" w:rsidRDefault="00473E2F" w14:paraId="6B5B6F97" w14:textId="0B3878D4">
      <w:pPr>
        <w:pStyle w:val="TableHead"/>
      </w:pPr>
      <w:r w:rsidRPr="00966C4E">
        <w:t>TMDL for Sediment in Morro Bay</w:t>
      </w:r>
      <w:r w:rsidRPr="00966C4E" w:rsidR="00966C4E">
        <w:t>:</w:t>
      </w:r>
      <w:r w:rsidR="005A0069">
        <w:t xml:space="preserve"> </w:t>
      </w:r>
      <w:r w:rsidRPr="004719D6" w:rsidR="00193D8B">
        <w:t>Numeric Targets for Chorro and Los Osos Creeks and Tributaries Streambed Sediment</w:t>
      </w:r>
    </w:p>
    <w:tbl>
      <w:tblPr>
        <w:tblW w:w="4900" w:type="pc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4968"/>
        <w:gridCol w:w="4185"/>
      </w:tblGrid>
      <w:tr w:rsidRPr="004719D6" w:rsidR="00193D8B" w:rsidTr="00966C4E" w14:paraId="05FBA03C" w14:textId="77777777">
        <w:trPr>
          <w:cantSplit/>
          <w:tblHeader/>
        </w:trPr>
        <w:tc>
          <w:tcPr>
            <w:tcW w:w="4968" w:type="dxa"/>
            <w:tcBorders>
              <w:top w:val="single" w:color="auto" w:sz="8" w:space="0"/>
              <w:bottom w:val="single" w:color="auto" w:sz="4" w:space="0"/>
            </w:tcBorders>
            <w:shd w:val="clear" w:color="auto" w:fill="D6E3BC" w:themeFill="accent3" w:themeFillTint="66"/>
            <w:vAlign w:val="center"/>
          </w:tcPr>
          <w:p w:rsidRPr="004719D6" w:rsidR="00193D8B" w:rsidP="00333E02" w:rsidRDefault="00193D8B" w14:paraId="2DD4F509" w14:textId="77777777">
            <w:pPr>
              <w:keepNext/>
              <w:keepLines/>
              <w:spacing w:before="40" w:after="40" w:line="240" w:lineRule="auto"/>
              <w:jc w:val="center"/>
              <w:rPr>
                <w:rFonts w:cs="Arial"/>
                <w:b/>
                <w:sz w:val="22"/>
                <w:szCs w:val="22"/>
              </w:rPr>
            </w:pPr>
            <w:r w:rsidRPr="004719D6">
              <w:rPr>
                <w:rFonts w:cs="Arial"/>
                <w:b/>
                <w:sz w:val="22"/>
                <w:szCs w:val="22"/>
              </w:rPr>
              <w:t>Parameter</w:t>
            </w:r>
          </w:p>
        </w:tc>
        <w:tc>
          <w:tcPr>
            <w:tcW w:w="4185" w:type="dxa"/>
            <w:tcBorders>
              <w:top w:val="single" w:color="auto" w:sz="8" w:space="0"/>
              <w:bottom w:val="single" w:color="auto" w:sz="4" w:space="0"/>
              <w:right w:val="single" w:color="auto" w:sz="8" w:space="0"/>
            </w:tcBorders>
            <w:shd w:val="clear" w:color="auto" w:fill="D6E3BC" w:themeFill="accent3" w:themeFillTint="66"/>
            <w:vAlign w:val="center"/>
          </w:tcPr>
          <w:p w:rsidRPr="004719D6" w:rsidR="00193D8B" w:rsidP="00333E02" w:rsidRDefault="00193D8B" w14:paraId="5DC91370" w14:textId="77777777">
            <w:pPr>
              <w:keepNext/>
              <w:keepLines/>
              <w:spacing w:before="40" w:after="40" w:line="240" w:lineRule="auto"/>
              <w:jc w:val="center"/>
              <w:rPr>
                <w:rFonts w:cs="Arial"/>
                <w:b/>
                <w:sz w:val="22"/>
                <w:szCs w:val="22"/>
              </w:rPr>
            </w:pPr>
            <w:r w:rsidRPr="004719D6">
              <w:rPr>
                <w:rFonts w:cs="Arial"/>
                <w:b/>
                <w:sz w:val="22"/>
                <w:szCs w:val="22"/>
              </w:rPr>
              <w:t>Numeric Target</w:t>
            </w:r>
          </w:p>
        </w:tc>
      </w:tr>
      <w:tr w:rsidRPr="004719D6" w:rsidR="00193D8B" w:rsidTr="00966C4E" w14:paraId="0D2050AE" w14:textId="77777777">
        <w:trPr>
          <w:cantSplit/>
        </w:trPr>
        <w:tc>
          <w:tcPr>
            <w:tcW w:w="4968" w:type="dxa"/>
            <w:tcBorders>
              <w:top w:val="single" w:color="auto" w:sz="4" w:space="0"/>
            </w:tcBorders>
            <w:vAlign w:val="center"/>
          </w:tcPr>
          <w:p w:rsidRPr="004719D6" w:rsidR="00193D8B" w:rsidP="00333E02" w:rsidRDefault="00193D8B" w14:paraId="213ECA88" w14:textId="77777777">
            <w:pPr>
              <w:pStyle w:val="Default"/>
              <w:spacing w:before="40" w:after="40" w:line="240" w:lineRule="auto"/>
              <w:ind w:left="200"/>
              <w:rPr>
                <w:color w:val="auto"/>
                <w:sz w:val="22"/>
                <w:szCs w:val="22"/>
              </w:rPr>
            </w:pPr>
            <w:r w:rsidRPr="004719D6">
              <w:rPr>
                <w:color w:val="auto"/>
                <w:sz w:val="22"/>
                <w:szCs w:val="22"/>
              </w:rPr>
              <w:t>Residual Pool Volume (V*)</w:t>
            </w:r>
          </w:p>
        </w:tc>
        <w:tc>
          <w:tcPr>
            <w:tcW w:w="4185" w:type="dxa"/>
            <w:tcBorders>
              <w:top w:val="single" w:color="auto" w:sz="4" w:space="0"/>
              <w:right w:val="single" w:color="auto" w:sz="8" w:space="0"/>
            </w:tcBorders>
            <w:vAlign w:val="center"/>
          </w:tcPr>
          <w:p w:rsidRPr="004719D6" w:rsidR="00193D8B" w:rsidP="00333E02" w:rsidRDefault="00193D8B" w14:paraId="00EC87BF" w14:textId="77777777">
            <w:pPr>
              <w:spacing w:before="40" w:after="40" w:line="240" w:lineRule="auto"/>
              <w:ind w:left="206"/>
              <w:rPr>
                <w:rFonts w:cs="Arial"/>
                <w:sz w:val="22"/>
                <w:szCs w:val="22"/>
              </w:rPr>
            </w:pPr>
            <w:r w:rsidRPr="004719D6">
              <w:rPr>
                <w:sz w:val="22"/>
                <w:szCs w:val="22"/>
              </w:rPr>
              <w:t xml:space="preserve">V* = Mean values ≤ 0.21 </w:t>
            </w:r>
            <w:r w:rsidRPr="004719D6">
              <w:rPr>
                <w:sz w:val="22"/>
                <w:szCs w:val="22"/>
              </w:rPr>
              <w:br/>
            </w:r>
            <w:r w:rsidRPr="004719D6">
              <w:rPr>
                <w:sz w:val="22"/>
                <w:szCs w:val="22"/>
              </w:rPr>
              <w:t>V* = Maximum values ≤ 0.45</w:t>
            </w:r>
          </w:p>
        </w:tc>
      </w:tr>
      <w:tr w:rsidRPr="004719D6" w:rsidR="00193D8B" w:rsidTr="00966C4E" w14:paraId="50494866" w14:textId="77777777">
        <w:trPr>
          <w:cantSplit/>
        </w:trPr>
        <w:tc>
          <w:tcPr>
            <w:tcW w:w="4968" w:type="dxa"/>
            <w:vAlign w:val="center"/>
          </w:tcPr>
          <w:p w:rsidRPr="004719D6" w:rsidR="00193D8B" w:rsidP="00333E02" w:rsidRDefault="00193D8B" w14:paraId="2BC3CFB9" w14:textId="77777777">
            <w:pPr>
              <w:pStyle w:val="Default"/>
              <w:spacing w:before="40" w:after="40" w:line="240" w:lineRule="auto"/>
              <w:ind w:left="200"/>
              <w:rPr>
                <w:color w:val="auto"/>
                <w:sz w:val="22"/>
                <w:szCs w:val="22"/>
              </w:rPr>
            </w:pPr>
            <w:r w:rsidRPr="004719D6">
              <w:rPr>
                <w:color w:val="auto"/>
                <w:sz w:val="22"/>
                <w:szCs w:val="22"/>
              </w:rPr>
              <w:t>Median Diameter (D</w:t>
            </w:r>
            <w:r w:rsidRPr="004719D6">
              <w:rPr>
                <w:color w:val="auto"/>
                <w:sz w:val="22"/>
                <w:szCs w:val="22"/>
                <w:vertAlign w:val="subscript"/>
              </w:rPr>
              <w:t>50</w:t>
            </w:r>
            <w:r w:rsidRPr="004719D6">
              <w:rPr>
                <w:color w:val="auto"/>
                <w:sz w:val="22"/>
                <w:szCs w:val="22"/>
              </w:rPr>
              <w:t>) of Sediment Particles in Spawning Gravels</w:t>
            </w:r>
          </w:p>
        </w:tc>
        <w:tc>
          <w:tcPr>
            <w:tcW w:w="4185" w:type="dxa"/>
            <w:tcBorders>
              <w:right w:val="single" w:color="auto" w:sz="8" w:space="0"/>
            </w:tcBorders>
            <w:vAlign w:val="center"/>
          </w:tcPr>
          <w:p w:rsidRPr="004719D6" w:rsidR="00193D8B" w:rsidP="00333E02" w:rsidRDefault="00193D8B" w14:paraId="1204A724" w14:textId="77777777">
            <w:pPr>
              <w:spacing w:before="40" w:after="40" w:line="240" w:lineRule="auto"/>
              <w:ind w:left="206"/>
              <w:rPr>
                <w:sz w:val="22"/>
                <w:szCs w:val="22"/>
              </w:rPr>
            </w:pPr>
            <w:r w:rsidRPr="004719D6">
              <w:rPr>
                <w:sz w:val="22"/>
                <w:szCs w:val="22"/>
              </w:rPr>
              <w:t>D</w:t>
            </w:r>
            <w:r w:rsidRPr="004719D6">
              <w:rPr>
                <w:sz w:val="22"/>
                <w:szCs w:val="22"/>
                <w:vertAlign w:val="subscript"/>
              </w:rPr>
              <w:t>50</w:t>
            </w:r>
            <w:r w:rsidRPr="004719D6">
              <w:rPr>
                <w:sz w:val="22"/>
                <w:szCs w:val="22"/>
              </w:rPr>
              <w:t xml:space="preserve"> = Mean values ≥ 69 millimeters </w:t>
            </w:r>
          </w:p>
          <w:p w:rsidRPr="004719D6" w:rsidR="00193D8B" w:rsidP="00333E02" w:rsidRDefault="00193D8B" w14:paraId="578CD161" w14:textId="77777777">
            <w:pPr>
              <w:spacing w:before="40" w:after="40" w:line="240" w:lineRule="auto"/>
              <w:ind w:left="206"/>
              <w:rPr>
                <w:sz w:val="22"/>
                <w:szCs w:val="22"/>
              </w:rPr>
            </w:pPr>
            <w:r w:rsidRPr="004719D6">
              <w:rPr>
                <w:sz w:val="22"/>
                <w:szCs w:val="22"/>
              </w:rPr>
              <w:t>D</w:t>
            </w:r>
            <w:r w:rsidRPr="004719D6">
              <w:rPr>
                <w:sz w:val="22"/>
                <w:szCs w:val="22"/>
                <w:vertAlign w:val="subscript"/>
              </w:rPr>
              <w:t xml:space="preserve">50 = </w:t>
            </w:r>
            <w:r w:rsidRPr="004719D6">
              <w:rPr>
                <w:sz w:val="22"/>
                <w:szCs w:val="22"/>
              </w:rPr>
              <w:t>Minimum values ≥ 37 millimeters</w:t>
            </w:r>
          </w:p>
        </w:tc>
      </w:tr>
      <w:tr w:rsidRPr="004719D6" w:rsidR="00193D8B" w:rsidTr="00966C4E" w14:paraId="43BC8427" w14:textId="77777777">
        <w:trPr>
          <w:cantSplit/>
        </w:trPr>
        <w:tc>
          <w:tcPr>
            <w:tcW w:w="4968" w:type="dxa"/>
            <w:vAlign w:val="center"/>
          </w:tcPr>
          <w:p w:rsidRPr="004719D6" w:rsidR="00193D8B" w:rsidP="00333E02" w:rsidRDefault="00193D8B" w14:paraId="266B3E3C" w14:textId="77777777">
            <w:pPr>
              <w:pStyle w:val="Default"/>
              <w:spacing w:before="40" w:after="40" w:line="240" w:lineRule="auto"/>
              <w:ind w:left="200"/>
              <w:rPr>
                <w:color w:val="auto"/>
                <w:sz w:val="22"/>
                <w:szCs w:val="22"/>
              </w:rPr>
            </w:pPr>
            <w:r w:rsidRPr="004719D6">
              <w:rPr>
                <w:color w:val="auto"/>
                <w:sz w:val="22"/>
                <w:szCs w:val="22"/>
              </w:rPr>
              <w:t>Percent of Fine Fines (&lt; 0.85 millimeters) in Spawning Gravels</w:t>
            </w:r>
          </w:p>
        </w:tc>
        <w:tc>
          <w:tcPr>
            <w:tcW w:w="4185" w:type="dxa"/>
            <w:tcBorders>
              <w:right w:val="single" w:color="auto" w:sz="8" w:space="0"/>
            </w:tcBorders>
            <w:vAlign w:val="center"/>
          </w:tcPr>
          <w:p w:rsidRPr="004719D6" w:rsidR="00193D8B" w:rsidP="00333E02" w:rsidRDefault="00193D8B" w14:paraId="7B3F3AB7" w14:textId="77777777">
            <w:pPr>
              <w:spacing w:before="40" w:after="40" w:line="240" w:lineRule="auto"/>
              <w:ind w:left="206"/>
              <w:rPr>
                <w:sz w:val="22"/>
                <w:szCs w:val="22"/>
              </w:rPr>
            </w:pPr>
            <w:r w:rsidRPr="004719D6">
              <w:rPr>
                <w:sz w:val="22"/>
                <w:szCs w:val="22"/>
              </w:rPr>
              <w:t>Percent fine fines ≤ 21 percent</w:t>
            </w:r>
          </w:p>
        </w:tc>
      </w:tr>
      <w:tr w:rsidRPr="004719D6" w:rsidR="00193D8B" w:rsidTr="00966C4E" w14:paraId="7AD44BD1" w14:textId="77777777">
        <w:trPr>
          <w:cantSplit/>
        </w:trPr>
        <w:tc>
          <w:tcPr>
            <w:tcW w:w="4968" w:type="dxa"/>
            <w:vAlign w:val="center"/>
          </w:tcPr>
          <w:p w:rsidRPr="004719D6" w:rsidR="00193D8B" w:rsidP="00333E02" w:rsidRDefault="00193D8B" w14:paraId="3226A7CE" w14:textId="77777777">
            <w:pPr>
              <w:pStyle w:val="Default"/>
              <w:spacing w:before="40" w:after="40" w:line="240" w:lineRule="auto"/>
              <w:ind w:left="200"/>
              <w:rPr>
                <w:color w:val="auto"/>
                <w:sz w:val="22"/>
                <w:szCs w:val="22"/>
              </w:rPr>
            </w:pPr>
            <w:r w:rsidRPr="004719D6">
              <w:rPr>
                <w:color w:val="auto"/>
                <w:sz w:val="22"/>
                <w:szCs w:val="22"/>
              </w:rPr>
              <w:t>Percent of Coarse Fines (&lt; 6.0 millimeters) in Spawning Gravels</w:t>
            </w:r>
          </w:p>
        </w:tc>
        <w:tc>
          <w:tcPr>
            <w:tcW w:w="4185" w:type="dxa"/>
            <w:tcBorders>
              <w:right w:val="single" w:color="auto" w:sz="8" w:space="0"/>
            </w:tcBorders>
            <w:vAlign w:val="center"/>
          </w:tcPr>
          <w:p w:rsidRPr="004719D6" w:rsidR="00193D8B" w:rsidP="00333E02" w:rsidRDefault="00193D8B" w14:paraId="1000694C" w14:textId="77777777">
            <w:pPr>
              <w:spacing w:before="40" w:after="40" w:line="240" w:lineRule="auto"/>
              <w:ind w:left="206"/>
              <w:rPr>
                <w:sz w:val="22"/>
                <w:szCs w:val="22"/>
              </w:rPr>
            </w:pPr>
            <w:r w:rsidRPr="004719D6">
              <w:rPr>
                <w:sz w:val="22"/>
                <w:szCs w:val="22"/>
              </w:rPr>
              <w:t>Percent coarse fines ≤ 30%</w:t>
            </w:r>
          </w:p>
        </w:tc>
      </w:tr>
    </w:tbl>
    <w:p w:rsidRPr="004719D6" w:rsidR="00193D8B" w:rsidP="00312326" w:rsidRDefault="00966C4E" w14:paraId="3D6D8E82" w14:textId="6EE6F9FC">
      <w:pPr>
        <w:pStyle w:val="TableHead"/>
        <w:keepNext/>
        <w:keepLines/>
      </w:pPr>
      <w:r w:rsidRPr="00966C4E">
        <w:t>TMDL for Sediment in Morro Bay</w:t>
      </w:r>
      <w:r>
        <w:rPr>
          <w:i/>
          <w:iCs/>
        </w:rPr>
        <w:t>:</w:t>
      </w:r>
      <w:r w:rsidR="005A0069">
        <w:rPr>
          <w:i/>
          <w:iCs/>
        </w:rPr>
        <w:t xml:space="preserve"> </w:t>
      </w:r>
      <w:r w:rsidRPr="004719D6" w:rsidR="00193D8B">
        <w:t>Numeric Targets for Chorro and Los Osos Creek and Tributaries Water Column Turbidity</w:t>
      </w:r>
    </w:p>
    <w:tbl>
      <w:tblPr>
        <w:tblW w:w="4908" w:type="pc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2835"/>
        <w:gridCol w:w="6333"/>
      </w:tblGrid>
      <w:tr w:rsidRPr="004719D6" w:rsidR="00193D8B" w:rsidTr="00966C4E" w14:paraId="5976E226" w14:textId="77777777">
        <w:trPr>
          <w:tblHeader/>
        </w:trPr>
        <w:tc>
          <w:tcPr>
            <w:tcW w:w="2835" w:type="dxa"/>
            <w:tcBorders>
              <w:top w:val="single" w:color="auto" w:sz="8" w:space="0"/>
              <w:bottom w:val="single" w:color="auto" w:sz="4" w:space="0"/>
            </w:tcBorders>
            <w:shd w:val="clear" w:color="auto" w:fill="D6E3BC" w:themeFill="accent3" w:themeFillTint="66"/>
            <w:vAlign w:val="center"/>
          </w:tcPr>
          <w:p w:rsidRPr="004719D6" w:rsidR="00193D8B" w:rsidP="00312326" w:rsidRDefault="00193D8B" w14:paraId="2F00D530" w14:textId="77777777">
            <w:pPr>
              <w:keepNext/>
              <w:keepLines/>
              <w:spacing w:before="40" w:after="40" w:line="240" w:lineRule="auto"/>
              <w:jc w:val="center"/>
              <w:rPr>
                <w:rFonts w:cs="Arial"/>
                <w:b/>
                <w:sz w:val="22"/>
                <w:szCs w:val="22"/>
              </w:rPr>
            </w:pPr>
            <w:r w:rsidRPr="004719D6">
              <w:rPr>
                <w:rFonts w:cs="Arial"/>
                <w:b/>
                <w:sz w:val="22"/>
                <w:szCs w:val="22"/>
              </w:rPr>
              <w:t>Parameter</w:t>
            </w:r>
          </w:p>
        </w:tc>
        <w:tc>
          <w:tcPr>
            <w:tcW w:w="6333" w:type="dxa"/>
            <w:tcBorders>
              <w:top w:val="single" w:color="auto" w:sz="8" w:space="0"/>
              <w:left w:val="single" w:color="auto" w:sz="8" w:space="0"/>
              <w:bottom w:val="single" w:color="auto" w:sz="4" w:space="0"/>
            </w:tcBorders>
            <w:shd w:val="clear" w:color="auto" w:fill="D6E3BC" w:themeFill="accent3" w:themeFillTint="66"/>
            <w:vAlign w:val="center"/>
          </w:tcPr>
          <w:p w:rsidRPr="004719D6" w:rsidR="00193D8B" w:rsidP="00312326" w:rsidRDefault="00193D8B" w14:paraId="4DFF629C" w14:textId="77777777">
            <w:pPr>
              <w:keepNext/>
              <w:keepLines/>
              <w:spacing w:before="40" w:after="40" w:line="240" w:lineRule="auto"/>
              <w:jc w:val="center"/>
              <w:rPr>
                <w:rFonts w:cs="Arial"/>
                <w:b/>
                <w:sz w:val="22"/>
                <w:szCs w:val="22"/>
              </w:rPr>
            </w:pPr>
            <w:r w:rsidRPr="004719D6">
              <w:rPr>
                <w:rFonts w:cs="Arial"/>
                <w:b/>
                <w:sz w:val="22"/>
                <w:szCs w:val="22"/>
              </w:rPr>
              <w:t>Percent of Samples Below Target</w:t>
            </w:r>
          </w:p>
        </w:tc>
      </w:tr>
      <w:tr w:rsidRPr="004719D6" w:rsidR="00193D8B" w:rsidTr="00966C4E" w14:paraId="0FBFBF11" w14:textId="77777777">
        <w:tc>
          <w:tcPr>
            <w:tcW w:w="2835" w:type="dxa"/>
            <w:tcBorders>
              <w:top w:val="single" w:color="auto" w:sz="4" w:space="0"/>
            </w:tcBorders>
            <w:vAlign w:val="center"/>
          </w:tcPr>
          <w:p w:rsidRPr="004719D6" w:rsidR="00193D8B" w:rsidP="00312326" w:rsidRDefault="00193D8B" w14:paraId="40CE9FBA" w14:textId="77777777">
            <w:pPr>
              <w:pStyle w:val="Default"/>
              <w:spacing w:before="40" w:after="40" w:line="240" w:lineRule="auto"/>
              <w:jc w:val="center"/>
              <w:rPr>
                <w:color w:val="auto"/>
                <w:sz w:val="22"/>
                <w:szCs w:val="22"/>
              </w:rPr>
            </w:pPr>
            <w:r w:rsidRPr="004719D6">
              <w:rPr>
                <w:color w:val="auto"/>
                <w:sz w:val="22"/>
                <w:szCs w:val="22"/>
              </w:rPr>
              <w:t>Turbidity, Wet Season</w:t>
            </w:r>
          </w:p>
        </w:tc>
        <w:tc>
          <w:tcPr>
            <w:tcW w:w="6333" w:type="dxa"/>
            <w:tcBorders>
              <w:top w:val="single" w:color="auto" w:sz="4" w:space="0"/>
              <w:left w:val="single" w:color="auto" w:sz="8" w:space="0"/>
              <w:bottom w:val="single" w:color="auto" w:sz="4" w:space="0"/>
            </w:tcBorders>
            <w:vAlign w:val="center"/>
          </w:tcPr>
          <w:p w:rsidRPr="004719D6" w:rsidR="00193D8B" w:rsidP="00312326" w:rsidRDefault="00193D8B" w14:paraId="51D266D4" w14:textId="77777777">
            <w:pPr>
              <w:spacing w:before="40" w:after="40" w:line="240" w:lineRule="auto"/>
              <w:ind w:left="207"/>
              <w:rPr>
                <w:rFonts w:cs="Arial"/>
                <w:sz w:val="22"/>
                <w:szCs w:val="22"/>
              </w:rPr>
            </w:pPr>
            <w:r w:rsidRPr="004719D6">
              <w:rPr>
                <w:sz w:val="22"/>
                <w:szCs w:val="22"/>
              </w:rPr>
              <w:t xml:space="preserve">82 percent of turbidity samples are to be five </w:t>
            </w:r>
            <w:r w:rsidRPr="004719D6">
              <w:rPr>
                <w:rFonts w:cs="Arial"/>
                <w:sz w:val="22"/>
                <w:szCs w:val="22"/>
                <w:shd w:val="clear" w:color="auto" w:fill="FFFFFF"/>
              </w:rPr>
              <w:t xml:space="preserve">Nephelometric </w:t>
            </w:r>
            <w:r w:rsidRPr="004719D6">
              <w:rPr>
                <w:rStyle w:val="Emphasis"/>
                <w:rFonts w:cs="Arial"/>
                <w:sz w:val="22"/>
                <w:szCs w:val="22"/>
                <w:shd w:val="clear" w:color="auto" w:fill="FFFFFF"/>
              </w:rPr>
              <w:t xml:space="preserve">Turbidity </w:t>
            </w:r>
            <w:r w:rsidRPr="004719D6">
              <w:rPr>
                <w:rFonts w:cs="Arial"/>
                <w:sz w:val="22"/>
                <w:szCs w:val="22"/>
                <w:shd w:val="clear" w:color="auto" w:fill="FFFFFF"/>
              </w:rPr>
              <w:t>Units</w:t>
            </w:r>
            <w:r w:rsidRPr="004719D6">
              <w:rPr>
                <w:sz w:val="22"/>
                <w:szCs w:val="22"/>
              </w:rPr>
              <w:t xml:space="preserve"> or less, while 93 percent of samples are to be no greater than 100 </w:t>
            </w:r>
            <w:r w:rsidRPr="004719D6">
              <w:rPr>
                <w:rFonts w:cs="Arial"/>
                <w:sz w:val="22"/>
                <w:szCs w:val="22"/>
                <w:shd w:val="clear" w:color="auto" w:fill="FFFFFF"/>
              </w:rPr>
              <w:t xml:space="preserve">Nephelometric </w:t>
            </w:r>
            <w:r w:rsidRPr="004719D6">
              <w:rPr>
                <w:rStyle w:val="Emphasis"/>
                <w:rFonts w:cs="Arial"/>
                <w:sz w:val="22"/>
                <w:szCs w:val="22"/>
                <w:shd w:val="clear" w:color="auto" w:fill="FFFFFF"/>
              </w:rPr>
              <w:t xml:space="preserve">Turbidity </w:t>
            </w:r>
            <w:r w:rsidRPr="004719D6">
              <w:rPr>
                <w:rFonts w:cs="Arial"/>
                <w:sz w:val="22"/>
                <w:szCs w:val="22"/>
                <w:shd w:val="clear" w:color="auto" w:fill="FFFFFF"/>
              </w:rPr>
              <w:t>Units</w:t>
            </w:r>
            <w:r w:rsidRPr="004719D6">
              <w:rPr>
                <w:sz w:val="22"/>
                <w:szCs w:val="22"/>
              </w:rPr>
              <w:t>.</w:t>
            </w:r>
          </w:p>
        </w:tc>
      </w:tr>
      <w:tr w:rsidRPr="00BF792A" w:rsidR="00193D8B" w:rsidTr="00966C4E" w14:paraId="41E7D526" w14:textId="77777777">
        <w:tc>
          <w:tcPr>
            <w:tcW w:w="2835" w:type="dxa"/>
            <w:vAlign w:val="center"/>
          </w:tcPr>
          <w:p w:rsidRPr="00BF792A" w:rsidR="00193D8B" w:rsidP="00312326" w:rsidRDefault="00193D8B" w14:paraId="4A119FCE" w14:textId="77777777">
            <w:pPr>
              <w:pStyle w:val="Default"/>
              <w:spacing w:before="40" w:after="40" w:line="240" w:lineRule="auto"/>
              <w:jc w:val="center"/>
              <w:rPr>
                <w:color w:val="auto"/>
              </w:rPr>
            </w:pPr>
            <w:r w:rsidRPr="00BF792A">
              <w:rPr>
                <w:color w:val="auto"/>
              </w:rPr>
              <w:t>Turbidity, Dry Season</w:t>
            </w:r>
          </w:p>
        </w:tc>
        <w:tc>
          <w:tcPr>
            <w:tcW w:w="6333" w:type="dxa"/>
            <w:tcBorders>
              <w:top w:val="single" w:color="auto" w:sz="4" w:space="0"/>
              <w:left w:val="single" w:color="auto" w:sz="8" w:space="0"/>
              <w:bottom w:val="single" w:color="auto" w:sz="4" w:space="0"/>
            </w:tcBorders>
            <w:vAlign w:val="center"/>
          </w:tcPr>
          <w:p w:rsidRPr="00BF792A" w:rsidR="00193D8B" w:rsidP="00312326" w:rsidRDefault="00193D8B" w14:paraId="212C7742" w14:textId="77777777">
            <w:pPr>
              <w:spacing w:before="40" w:after="40" w:line="240" w:lineRule="auto"/>
              <w:ind w:left="207"/>
              <w:rPr>
                <w:rFonts w:cs="Arial"/>
              </w:rPr>
            </w:pPr>
            <w:r w:rsidRPr="00BF792A">
              <w:t xml:space="preserve">96 percent of all turbidity samples collected monthly are to be five </w:t>
            </w:r>
            <w:r w:rsidRPr="00BF792A">
              <w:rPr>
                <w:rFonts w:cs="Arial"/>
                <w:shd w:val="clear" w:color="auto" w:fill="FFFFFF"/>
              </w:rPr>
              <w:t xml:space="preserve">Nephelometric </w:t>
            </w:r>
            <w:r w:rsidRPr="00BF792A">
              <w:rPr>
                <w:rStyle w:val="Emphasis"/>
                <w:rFonts w:cs="Arial"/>
                <w:shd w:val="clear" w:color="auto" w:fill="FFFFFF"/>
              </w:rPr>
              <w:t xml:space="preserve">Turbidity </w:t>
            </w:r>
            <w:r w:rsidRPr="00BF792A">
              <w:rPr>
                <w:rFonts w:cs="Arial"/>
                <w:shd w:val="clear" w:color="auto" w:fill="FFFFFF"/>
              </w:rPr>
              <w:t>Units</w:t>
            </w:r>
            <w:r w:rsidRPr="00BF792A">
              <w:t xml:space="preserve"> or less.</w:t>
            </w:r>
          </w:p>
        </w:tc>
      </w:tr>
    </w:tbl>
    <w:p w:rsidRPr="00CB1675" w:rsidR="00193D8B" w:rsidP="002047E1" w:rsidRDefault="00966C4E" w14:paraId="75E8F927" w14:textId="110B4473">
      <w:pPr>
        <w:pStyle w:val="TableHead"/>
        <w:keepNext/>
        <w:keepLines/>
      </w:pPr>
      <w:r w:rsidRPr="00966C4E">
        <w:t>TMDL for Sediment in Morro Bay</w:t>
      </w:r>
      <w:r>
        <w:rPr>
          <w:i/>
          <w:iCs/>
        </w:rPr>
        <w:t>:</w:t>
      </w:r>
      <w:r w:rsidR="005A0069">
        <w:rPr>
          <w:i/>
          <w:iCs/>
        </w:rPr>
        <w:t xml:space="preserve"> </w:t>
      </w:r>
      <w:r w:rsidRPr="00CB1675" w:rsidR="00193D8B">
        <w:t>Numeric Targets for Morro Bay Estuary</w:t>
      </w:r>
    </w:p>
    <w:tbl>
      <w:tblPr>
        <w:tblW w:w="4908" w:type="pc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2835"/>
        <w:gridCol w:w="6333"/>
      </w:tblGrid>
      <w:tr w:rsidRPr="00CB1675" w:rsidR="00193D8B" w:rsidTr="00312326" w14:paraId="0B64F48F" w14:textId="77777777">
        <w:trPr>
          <w:cantSplit/>
          <w:tblHeader/>
        </w:trPr>
        <w:tc>
          <w:tcPr>
            <w:tcW w:w="3050" w:type="dxa"/>
            <w:tcBorders>
              <w:top w:val="single" w:color="auto" w:sz="8" w:space="0"/>
              <w:bottom w:val="single" w:color="auto" w:sz="4" w:space="0"/>
            </w:tcBorders>
            <w:shd w:val="clear" w:color="auto" w:fill="D6E3BC" w:themeFill="accent3" w:themeFillTint="66"/>
            <w:vAlign w:val="center"/>
          </w:tcPr>
          <w:p w:rsidRPr="00CB1675" w:rsidR="00193D8B" w:rsidP="002047E1" w:rsidRDefault="00193D8B" w14:paraId="05AB5205" w14:textId="77777777">
            <w:pPr>
              <w:keepNext/>
              <w:keepLines/>
              <w:spacing w:before="40" w:after="40" w:line="240" w:lineRule="auto"/>
              <w:jc w:val="center"/>
              <w:rPr>
                <w:rFonts w:cs="Arial"/>
                <w:b/>
                <w:sz w:val="22"/>
                <w:szCs w:val="22"/>
              </w:rPr>
            </w:pPr>
            <w:r w:rsidRPr="00CB1675">
              <w:rPr>
                <w:rFonts w:cs="Arial"/>
                <w:b/>
                <w:sz w:val="22"/>
                <w:szCs w:val="22"/>
              </w:rPr>
              <w:t>Parameter</w:t>
            </w:r>
          </w:p>
        </w:tc>
        <w:tc>
          <w:tcPr>
            <w:tcW w:w="6825" w:type="dxa"/>
            <w:tcBorders>
              <w:top w:val="single" w:color="auto" w:sz="8" w:space="0"/>
              <w:left w:val="single" w:color="auto" w:sz="8" w:space="0"/>
              <w:bottom w:val="single" w:color="auto" w:sz="4" w:space="0"/>
            </w:tcBorders>
            <w:shd w:val="clear" w:color="auto" w:fill="D6E3BC" w:themeFill="accent3" w:themeFillTint="66"/>
            <w:vAlign w:val="center"/>
          </w:tcPr>
          <w:p w:rsidRPr="00CB1675" w:rsidR="00193D8B" w:rsidP="002047E1" w:rsidRDefault="00193D8B" w14:paraId="18763F3E" w14:textId="77777777">
            <w:pPr>
              <w:keepNext/>
              <w:keepLines/>
              <w:spacing w:before="40" w:after="40" w:line="240" w:lineRule="auto"/>
              <w:jc w:val="center"/>
              <w:rPr>
                <w:rFonts w:cs="Arial"/>
                <w:b/>
                <w:bCs/>
                <w:sz w:val="22"/>
                <w:szCs w:val="22"/>
              </w:rPr>
            </w:pPr>
            <w:r w:rsidRPr="00CB1675">
              <w:rPr>
                <w:b/>
                <w:bCs/>
                <w:sz w:val="22"/>
                <w:szCs w:val="22"/>
              </w:rPr>
              <w:t>Difference Between the Mean High Water Volume and the Mean low Water Volume in an Estuary</w:t>
            </w:r>
          </w:p>
        </w:tc>
      </w:tr>
      <w:tr w:rsidRPr="00CB1675" w:rsidR="00193D8B" w:rsidTr="00312326" w14:paraId="2EBB6586" w14:textId="77777777">
        <w:trPr>
          <w:cantSplit/>
        </w:trPr>
        <w:tc>
          <w:tcPr>
            <w:tcW w:w="3050" w:type="dxa"/>
            <w:tcBorders>
              <w:top w:val="single" w:color="auto" w:sz="4" w:space="0"/>
            </w:tcBorders>
            <w:vAlign w:val="center"/>
          </w:tcPr>
          <w:p w:rsidRPr="00CB1675" w:rsidR="00193D8B" w:rsidP="002047E1" w:rsidRDefault="00193D8B" w14:paraId="3B06CCEB" w14:textId="77777777">
            <w:pPr>
              <w:pStyle w:val="Default"/>
              <w:keepNext/>
              <w:keepLines/>
              <w:spacing w:before="40" w:after="40" w:line="240" w:lineRule="auto"/>
              <w:jc w:val="center"/>
              <w:rPr>
                <w:color w:val="auto"/>
                <w:sz w:val="22"/>
                <w:szCs w:val="22"/>
              </w:rPr>
            </w:pPr>
            <w:r w:rsidRPr="00CB1675">
              <w:rPr>
                <w:color w:val="auto"/>
                <w:sz w:val="22"/>
                <w:szCs w:val="22"/>
              </w:rPr>
              <w:t>Tidal Prism Volume</w:t>
            </w:r>
          </w:p>
        </w:tc>
        <w:tc>
          <w:tcPr>
            <w:tcW w:w="6825" w:type="dxa"/>
            <w:tcBorders>
              <w:top w:val="single" w:color="auto" w:sz="4" w:space="0"/>
              <w:left w:val="single" w:color="auto" w:sz="8" w:space="0"/>
              <w:bottom w:val="single" w:color="auto" w:sz="4" w:space="0"/>
            </w:tcBorders>
            <w:vAlign w:val="center"/>
          </w:tcPr>
          <w:p w:rsidRPr="00CB1675" w:rsidR="00193D8B" w:rsidP="002047E1" w:rsidRDefault="00193D8B" w14:paraId="0EF02B57" w14:textId="77777777">
            <w:pPr>
              <w:keepNext/>
              <w:keepLines/>
              <w:spacing w:before="40" w:after="40" w:line="240" w:lineRule="auto"/>
              <w:ind w:left="207" w:firstLine="755"/>
              <w:rPr>
                <w:rFonts w:cs="Arial"/>
                <w:sz w:val="22"/>
                <w:szCs w:val="22"/>
              </w:rPr>
            </w:pPr>
            <w:r w:rsidRPr="00CB1675">
              <w:rPr>
                <w:sz w:val="22"/>
                <w:szCs w:val="22"/>
              </w:rPr>
              <w:t>4,200 acre-feet</w:t>
            </w:r>
          </w:p>
        </w:tc>
      </w:tr>
    </w:tbl>
    <w:p w:rsidRPr="003F31EC" w:rsidR="00193D8B" w:rsidP="00193D8B" w:rsidRDefault="00193D8B" w14:paraId="66329301" w14:textId="0672A72C">
      <w:pPr>
        <w:ind w:left="1260"/>
      </w:pPr>
      <w:r w:rsidRPr="003F31EC">
        <w:rPr>
          <w:b/>
        </w:rPr>
        <w:t>Final Compliance Deadline:</w:t>
      </w:r>
      <w:r w:rsidRPr="003F31EC">
        <w:t xml:space="preserve"> The final compliance deadline is December</w:t>
      </w:r>
      <w:r w:rsidR="002047E1">
        <w:t> </w:t>
      </w:r>
      <w:r w:rsidRPr="003F31EC">
        <w:t>3,</w:t>
      </w:r>
      <w:r w:rsidR="006F1484">
        <w:t> </w:t>
      </w:r>
      <w:r w:rsidRPr="003F31EC">
        <w:t>2053.</w:t>
      </w:r>
    </w:p>
    <w:p w:rsidRPr="00F33B01" w:rsidR="00193D8B" w:rsidP="00F33B01" w:rsidRDefault="00836361" w14:paraId="3D3E7896" w14:textId="3CB190E3">
      <w:pPr>
        <w:pStyle w:val="Heading3"/>
        <w:tabs>
          <w:tab w:val="clear" w:pos="720"/>
          <w:tab w:val="left" w:pos="1260"/>
        </w:tabs>
        <w:ind w:left="1260" w:hanging="1260"/>
        <w:rPr>
          <w:i/>
          <w:iCs/>
        </w:rPr>
      </w:pPr>
      <w:r>
        <w:rPr>
          <w:i/>
          <w:iCs/>
        </w:rPr>
        <w:t>A13</w:t>
      </w:r>
      <w:r w:rsidRPr="00F33B01" w:rsidR="000432A5">
        <w:rPr>
          <w:i/>
          <w:iCs/>
        </w:rPr>
        <w:t>.</w:t>
      </w:r>
      <w:r w:rsidRPr="00F33B01" w:rsidR="00193D8B">
        <w:rPr>
          <w:i/>
          <w:iCs/>
        </w:rPr>
        <w:t>3.5</w:t>
      </w:r>
      <w:r w:rsidRPr="00F33B01" w:rsidR="00193D8B">
        <w:rPr>
          <w:i/>
          <w:iCs/>
        </w:rPr>
        <w:tab/>
      </w:r>
      <w:r w:rsidRPr="00F33B01" w:rsidR="00193D8B">
        <w:rPr>
          <w:i/>
          <w:iCs/>
        </w:rPr>
        <w:t>TMDL For Sediment in the San Lorenzo River</w:t>
      </w:r>
    </w:p>
    <w:p w:rsidRPr="003F31EC" w:rsidR="00193D8B" w:rsidP="00193D8B" w:rsidRDefault="00193D8B" w14:paraId="20A4E990" w14:textId="7AE9706A">
      <w:pPr>
        <w:ind w:left="1260"/>
        <w:rPr>
          <w:rFonts w:cs="Arial"/>
        </w:rPr>
      </w:pPr>
      <w:r w:rsidRPr="003F31EC">
        <w:rPr>
          <w:rFonts w:cs="Arial"/>
          <w:b/>
          <w:bCs/>
        </w:rPr>
        <w:t>Description</w:t>
      </w:r>
      <w:r w:rsidRPr="003F31EC">
        <w:rPr>
          <w:rFonts w:cs="Arial"/>
        </w:rPr>
        <w:t xml:space="preserve">: </w:t>
      </w:r>
      <w:r w:rsidR="00CC169C">
        <w:rPr>
          <w:rFonts w:cs="Arial"/>
        </w:rPr>
        <w:t>USEPA</w:t>
      </w:r>
      <w:r w:rsidR="00C56C92">
        <w:rPr>
          <w:rFonts w:cs="Arial"/>
        </w:rPr>
        <w:t xml:space="preserve"> </w:t>
      </w:r>
      <w:r w:rsidRPr="003F31EC">
        <w:rPr>
          <w:rFonts w:cs="Arial"/>
        </w:rPr>
        <w:t>approved the TMDL on February 19, 2004. The San Lorenzo River is impaired by sediment. Anthropogenic disturbances have accelerated t</w:t>
      </w:r>
      <w:r w:rsidRPr="003F31EC">
        <w:t>he natural processes of erosion and sedimentation in the watershed. Urban stormwater discharge has been identified as a contributing source of sediment discharge to this water body.</w:t>
      </w:r>
    </w:p>
    <w:p w:rsidRPr="003F31EC" w:rsidR="00193D8B" w:rsidP="00193D8B" w:rsidRDefault="00193D8B" w14:paraId="71A0EF55" w14:textId="6D903A2D">
      <w:pPr>
        <w:ind w:left="1260"/>
        <w:rPr>
          <w:rFonts w:cs="Arial"/>
        </w:rPr>
      </w:pPr>
      <w:r w:rsidRPr="003F31EC">
        <w:rPr>
          <w:b/>
        </w:rPr>
        <w:t>Responsible Permi</w:t>
      </w:r>
      <w:r w:rsidR="0091593F">
        <w:rPr>
          <w:b/>
        </w:rPr>
        <w:t>t</w:t>
      </w:r>
      <w:r w:rsidRPr="003F31EC">
        <w:rPr>
          <w:b/>
        </w:rPr>
        <w:t xml:space="preserve">tees: </w:t>
      </w:r>
      <w:r w:rsidRPr="003F31EC">
        <w:rPr>
          <w:rFonts w:cs="Arial"/>
        </w:rPr>
        <w:t>City of Santa Cruz, City of Scotts Valley, and the County of Santa Cruz.</w:t>
      </w:r>
    </w:p>
    <w:p w:rsidRPr="003F31EC" w:rsidR="00193D8B" w:rsidP="00193D8B" w:rsidRDefault="00193D8B" w14:paraId="460A8EA8" w14:textId="67A2A47C">
      <w:pPr>
        <w:ind w:left="1260"/>
      </w:pPr>
      <w:r w:rsidRPr="003F31EC">
        <w:rPr>
          <w:b/>
        </w:rPr>
        <w:t xml:space="preserve">Load Allocations and Numeric Targets: </w:t>
      </w:r>
      <w:r w:rsidRPr="003F31EC">
        <w:rPr>
          <w:bCs/>
        </w:rPr>
        <w:t xml:space="preserve">Load allocations are expressed as group allocations by sediment source category. The </w:t>
      </w:r>
      <w:r>
        <w:rPr>
          <w:bCs/>
        </w:rPr>
        <w:t xml:space="preserve">TMDL assigns the </w:t>
      </w:r>
      <w:r w:rsidRPr="003F31EC">
        <w:rPr>
          <w:bCs/>
        </w:rPr>
        <w:t xml:space="preserve">Permittees </w:t>
      </w:r>
      <w:r>
        <w:rPr>
          <w:bCs/>
        </w:rPr>
        <w:t>to</w:t>
      </w:r>
      <w:r w:rsidR="00B7271E">
        <w:rPr>
          <w:bCs/>
        </w:rPr>
        <w:t xml:space="preserve"> </w:t>
      </w:r>
      <w:r w:rsidRPr="003F31EC">
        <w:rPr>
          <w:bCs/>
        </w:rPr>
        <w:t xml:space="preserve">the Other Urban and Rural Land and the </w:t>
      </w:r>
      <w:r w:rsidRPr="003F31EC">
        <w:t xml:space="preserve">Public/Private Roads categories. </w:t>
      </w:r>
    </w:p>
    <w:p w:rsidRPr="00CB1675" w:rsidR="00193D8B" w:rsidP="00A36FAC" w:rsidRDefault="00193D8B" w14:paraId="1E0FA9C3" w14:textId="11EAB4AE">
      <w:pPr>
        <w:keepNext/>
        <w:keepLines/>
        <w:spacing w:before="360" w:after="0" w:line="240" w:lineRule="auto"/>
        <w:ind w:firstLine="630"/>
        <w:rPr>
          <w:bCs/>
          <w:sz w:val="22"/>
          <w:szCs w:val="22"/>
        </w:rPr>
      </w:pPr>
      <w:r w:rsidRPr="00CB1675">
        <w:rPr>
          <w:b/>
          <w:sz w:val="22"/>
          <w:szCs w:val="22"/>
        </w:rPr>
        <w:t xml:space="preserve">San Lorenzo River </w:t>
      </w:r>
      <w:r w:rsidR="00E85A01">
        <w:rPr>
          <w:b/>
          <w:sz w:val="22"/>
          <w:szCs w:val="22"/>
        </w:rPr>
        <w:t xml:space="preserve">TMDL </w:t>
      </w:r>
      <w:r w:rsidRPr="00CB1675">
        <w:rPr>
          <w:b/>
          <w:sz w:val="22"/>
          <w:szCs w:val="22"/>
        </w:rPr>
        <w:t>Sediment Allocations (tons per year)</w:t>
      </w:r>
    </w:p>
    <w:tbl>
      <w:tblPr>
        <w:tblW w:w="4599" w:type="pct"/>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2285"/>
        <w:gridCol w:w="1529"/>
        <w:gridCol w:w="1528"/>
        <w:gridCol w:w="1629"/>
        <w:gridCol w:w="1629"/>
      </w:tblGrid>
      <w:tr w:rsidRPr="00CB1675" w:rsidR="00193D8B" w:rsidTr="00A36FAC" w14:paraId="309AA497" w14:textId="77777777">
        <w:trPr>
          <w:cantSplit/>
          <w:trHeight w:val="552"/>
          <w:tblHeader/>
        </w:trPr>
        <w:tc>
          <w:tcPr>
            <w:tcW w:w="2285" w:type="dxa"/>
            <w:shd w:val="clear" w:color="auto" w:fill="D6E3BC" w:themeFill="accent3" w:themeFillTint="66"/>
            <w:vAlign w:val="center"/>
          </w:tcPr>
          <w:p w:rsidRPr="00312326" w:rsidR="00193D8B" w:rsidP="00312326" w:rsidRDefault="00193D8B" w14:paraId="59F05270" w14:textId="77777777">
            <w:pPr>
              <w:spacing w:before="40" w:after="40" w:line="240" w:lineRule="auto"/>
              <w:jc w:val="center"/>
              <w:rPr>
                <w:rFonts w:cs="Arial"/>
                <w:b/>
                <w:sz w:val="22"/>
                <w:szCs w:val="22"/>
              </w:rPr>
            </w:pPr>
            <w:r w:rsidRPr="00312326">
              <w:rPr>
                <w:rFonts w:cs="Arial"/>
                <w:b/>
                <w:sz w:val="22"/>
                <w:szCs w:val="22"/>
              </w:rPr>
              <w:t>Source Category</w:t>
            </w:r>
          </w:p>
        </w:tc>
        <w:tc>
          <w:tcPr>
            <w:tcW w:w="1529" w:type="dxa"/>
            <w:shd w:val="clear" w:color="auto" w:fill="D6E3BC" w:themeFill="accent3" w:themeFillTint="66"/>
            <w:vAlign w:val="center"/>
          </w:tcPr>
          <w:p w:rsidRPr="00312326" w:rsidR="00193D8B" w:rsidP="00312326" w:rsidRDefault="00193D8B" w14:paraId="73978028" w14:textId="77777777">
            <w:pPr>
              <w:spacing w:before="40" w:after="40" w:line="240" w:lineRule="auto"/>
              <w:jc w:val="center"/>
              <w:rPr>
                <w:rFonts w:cs="Arial"/>
                <w:b/>
                <w:sz w:val="22"/>
                <w:szCs w:val="22"/>
              </w:rPr>
            </w:pPr>
            <w:r w:rsidRPr="00312326">
              <w:rPr>
                <w:b/>
                <w:sz w:val="22"/>
                <w:szCs w:val="22"/>
              </w:rPr>
              <w:t>Shingle Mill Creek</w:t>
            </w:r>
          </w:p>
        </w:tc>
        <w:tc>
          <w:tcPr>
            <w:tcW w:w="1528" w:type="dxa"/>
            <w:shd w:val="clear" w:color="auto" w:fill="D6E3BC" w:themeFill="accent3" w:themeFillTint="66"/>
            <w:vAlign w:val="center"/>
          </w:tcPr>
          <w:p w:rsidRPr="00312326" w:rsidR="00193D8B" w:rsidP="00312326" w:rsidRDefault="00193D8B" w14:paraId="161C66D6" w14:textId="77777777">
            <w:pPr>
              <w:spacing w:before="40" w:after="40" w:line="240" w:lineRule="auto"/>
              <w:jc w:val="center"/>
              <w:rPr>
                <w:rFonts w:cs="Arial"/>
                <w:b/>
                <w:sz w:val="22"/>
                <w:szCs w:val="22"/>
              </w:rPr>
            </w:pPr>
            <w:r w:rsidRPr="00312326">
              <w:rPr>
                <w:b/>
                <w:sz w:val="22"/>
                <w:szCs w:val="22"/>
              </w:rPr>
              <w:t>Carbonera Creek</w:t>
            </w:r>
          </w:p>
        </w:tc>
        <w:tc>
          <w:tcPr>
            <w:tcW w:w="1629" w:type="dxa"/>
            <w:shd w:val="clear" w:color="auto" w:fill="D6E3BC" w:themeFill="accent3" w:themeFillTint="66"/>
            <w:vAlign w:val="center"/>
          </w:tcPr>
          <w:p w:rsidRPr="00312326" w:rsidR="00193D8B" w:rsidP="00312326" w:rsidRDefault="00193D8B" w14:paraId="5AA1CD39" w14:textId="77777777">
            <w:pPr>
              <w:spacing w:before="40" w:after="40" w:line="240" w:lineRule="auto"/>
              <w:jc w:val="center"/>
              <w:rPr>
                <w:rFonts w:cs="Arial"/>
                <w:b/>
                <w:sz w:val="22"/>
                <w:szCs w:val="22"/>
              </w:rPr>
            </w:pPr>
            <w:r w:rsidRPr="00312326">
              <w:rPr>
                <w:b/>
                <w:sz w:val="22"/>
                <w:szCs w:val="22"/>
              </w:rPr>
              <w:t xml:space="preserve">Lompico </w:t>
            </w:r>
            <w:r w:rsidRPr="00312326">
              <w:rPr>
                <w:b/>
                <w:sz w:val="22"/>
                <w:szCs w:val="22"/>
              </w:rPr>
              <w:br/>
            </w:r>
            <w:r w:rsidRPr="00312326">
              <w:rPr>
                <w:b/>
                <w:sz w:val="22"/>
                <w:szCs w:val="22"/>
              </w:rPr>
              <w:t>Creek</w:t>
            </w:r>
          </w:p>
        </w:tc>
        <w:tc>
          <w:tcPr>
            <w:tcW w:w="1629" w:type="dxa"/>
            <w:shd w:val="clear" w:color="auto" w:fill="D6E3BC" w:themeFill="accent3" w:themeFillTint="66"/>
            <w:vAlign w:val="center"/>
          </w:tcPr>
          <w:p w:rsidRPr="00312326" w:rsidR="00193D8B" w:rsidP="00312326" w:rsidRDefault="00193D8B" w14:paraId="0C4AE75D" w14:textId="77777777">
            <w:pPr>
              <w:spacing w:before="40" w:after="40" w:line="240" w:lineRule="auto"/>
              <w:jc w:val="center"/>
              <w:rPr>
                <w:rFonts w:cs="Arial"/>
                <w:b/>
                <w:sz w:val="22"/>
                <w:szCs w:val="22"/>
              </w:rPr>
            </w:pPr>
            <w:r w:rsidRPr="00312326">
              <w:rPr>
                <w:b/>
                <w:sz w:val="22"/>
                <w:szCs w:val="22"/>
              </w:rPr>
              <w:t>San Lorenzo River</w:t>
            </w:r>
          </w:p>
        </w:tc>
      </w:tr>
      <w:tr w:rsidRPr="00CB1675" w:rsidR="00193D8B" w:rsidTr="00A36FAC" w14:paraId="6E04DE98" w14:textId="77777777">
        <w:trPr>
          <w:cantSplit/>
          <w:trHeight w:val="541"/>
        </w:trPr>
        <w:tc>
          <w:tcPr>
            <w:tcW w:w="2285" w:type="dxa"/>
            <w:vAlign w:val="center"/>
          </w:tcPr>
          <w:p w:rsidRPr="00CB1675" w:rsidR="00193D8B" w:rsidP="00312326" w:rsidRDefault="00193D8B" w14:paraId="37A90B79" w14:textId="77777777">
            <w:pPr>
              <w:pStyle w:val="Default"/>
              <w:spacing w:before="40" w:after="40" w:line="240" w:lineRule="auto"/>
              <w:ind w:left="118"/>
              <w:rPr>
                <w:color w:val="auto"/>
                <w:sz w:val="22"/>
                <w:szCs w:val="22"/>
              </w:rPr>
            </w:pPr>
            <w:r w:rsidRPr="00CB1675">
              <w:rPr>
                <w:color w:val="auto"/>
                <w:sz w:val="22"/>
                <w:szCs w:val="22"/>
              </w:rPr>
              <w:t>Upland Public/Private Roads</w:t>
            </w:r>
          </w:p>
        </w:tc>
        <w:tc>
          <w:tcPr>
            <w:tcW w:w="1529" w:type="dxa"/>
            <w:vAlign w:val="center"/>
          </w:tcPr>
          <w:p w:rsidRPr="00CB1675" w:rsidR="00193D8B" w:rsidP="00312326" w:rsidRDefault="00193D8B" w14:paraId="6B29F9E5" w14:textId="77777777">
            <w:pPr>
              <w:spacing w:before="40" w:after="40" w:line="240" w:lineRule="auto"/>
              <w:jc w:val="center"/>
              <w:rPr>
                <w:rFonts w:cs="Arial"/>
                <w:sz w:val="22"/>
                <w:szCs w:val="22"/>
              </w:rPr>
            </w:pPr>
            <w:r w:rsidRPr="00CB1675">
              <w:rPr>
                <w:rFonts w:cs="Arial"/>
                <w:sz w:val="22"/>
                <w:szCs w:val="22"/>
              </w:rPr>
              <w:t>146</w:t>
            </w:r>
          </w:p>
        </w:tc>
        <w:tc>
          <w:tcPr>
            <w:tcW w:w="1528" w:type="dxa"/>
            <w:vAlign w:val="center"/>
          </w:tcPr>
          <w:p w:rsidRPr="00CB1675" w:rsidR="00193D8B" w:rsidP="00312326" w:rsidRDefault="00193D8B" w14:paraId="4464B755" w14:textId="77777777">
            <w:pPr>
              <w:spacing w:before="40" w:after="40" w:line="240" w:lineRule="auto"/>
              <w:jc w:val="center"/>
              <w:rPr>
                <w:rFonts w:cs="Arial"/>
                <w:sz w:val="22"/>
                <w:szCs w:val="22"/>
              </w:rPr>
            </w:pPr>
            <w:r w:rsidRPr="00CB1675">
              <w:rPr>
                <w:sz w:val="22"/>
                <w:szCs w:val="22"/>
              </w:rPr>
              <w:t>1,233</w:t>
            </w:r>
          </w:p>
        </w:tc>
        <w:tc>
          <w:tcPr>
            <w:tcW w:w="1629" w:type="dxa"/>
            <w:vAlign w:val="center"/>
          </w:tcPr>
          <w:p w:rsidRPr="00CB1675" w:rsidR="00193D8B" w:rsidP="00312326" w:rsidRDefault="00193D8B" w14:paraId="66DA1C81" w14:textId="77777777">
            <w:pPr>
              <w:spacing w:before="40" w:after="40" w:line="240" w:lineRule="auto"/>
              <w:jc w:val="center"/>
              <w:rPr>
                <w:rFonts w:cs="Arial"/>
                <w:sz w:val="22"/>
                <w:szCs w:val="22"/>
              </w:rPr>
            </w:pPr>
            <w:r w:rsidRPr="00CB1675">
              <w:rPr>
                <w:sz w:val="22"/>
                <w:szCs w:val="22"/>
              </w:rPr>
              <w:t>367</w:t>
            </w:r>
          </w:p>
        </w:tc>
        <w:tc>
          <w:tcPr>
            <w:tcW w:w="1629" w:type="dxa"/>
            <w:vAlign w:val="center"/>
          </w:tcPr>
          <w:p w:rsidRPr="00CB1675" w:rsidR="00193D8B" w:rsidP="00312326" w:rsidRDefault="00193D8B" w14:paraId="58847EE4" w14:textId="77777777">
            <w:pPr>
              <w:spacing w:before="40" w:after="40" w:line="240" w:lineRule="auto"/>
              <w:jc w:val="center"/>
              <w:rPr>
                <w:rFonts w:cs="Arial"/>
                <w:sz w:val="22"/>
                <w:szCs w:val="22"/>
              </w:rPr>
            </w:pPr>
            <w:r w:rsidRPr="00CB1675">
              <w:rPr>
                <w:sz w:val="22"/>
                <w:szCs w:val="22"/>
              </w:rPr>
              <w:t>13,835</w:t>
            </w:r>
          </w:p>
        </w:tc>
      </w:tr>
      <w:tr w:rsidRPr="00CB1675" w:rsidR="00193D8B" w:rsidTr="00A36FAC" w14:paraId="415C6C08" w14:textId="77777777">
        <w:trPr>
          <w:cantSplit/>
          <w:trHeight w:val="562"/>
        </w:trPr>
        <w:tc>
          <w:tcPr>
            <w:tcW w:w="2285" w:type="dxa"/>
            <w:vAlign w:val="center"/>
          </w:tcPr>
          <w:p w:rsidRPr="00CB1675" w:rsidR="00193D8B" w:rsidP="00312326" w:rsidRDefault="00193D8B" w14:paraId="4BDC7164" w14:textId="77777777">
            <w:pPr>
              <w:pStyle w:val="Default"/>
              <w:spacing w:before="40" w:after="40" w:line="240" w:lineRule="auto"/>
              <w:ind w:left="118"/>
              <w:rPr>
                <w:color w:val="auto"/>
                <w:sz w:val="22"/>
                <w:szCs w:val="22"/>
              </w:rPr>
            </w:pPr>
            <w:r w:rsidRPr="00CB1675">
              <w:rPr>
                <w:color w:val="auto"/>
                <w:sz w:val="22"/>
                <w:szCs w:val="22"/>
              </w:rPr>
              <w:t>Other Urban and Rural Land</w:t>
            </w:r>
          </w:p>
        </w:tc>
        <w:tc>
          <w:tcPr>
            <w:tcW w:w="1529" w:type="dxa"/>
            <w:vAlign w:val="center"/>
          </w:tcPr>
          <w:p w:rsidRPr="00CB1675" w:rsidR="00193D8B" w:rsidP="00312326" w:rsidRDefault="00193D8B" w14:paraId="62F6F30D" w14:textId="77777777">
            <w:pPr>
              <w:spacing w:before="40" w:after="40" w:line="240" w:lineRule="auto"/>
              <w:jc w:val="center"/>
              <w:rPr>
                <w:rFonts w:cs="Arial"/>
                <w:sz w:val="22"/>
                <w:szCs w:val="22"/>
              </w:rPr>
            </w:pPr>
            <w:r w:rsidRPr="00CB1675">
              <w:rPr>
                <w:rFonts w:cs="Arial"/>
                <w:sz w:val="22"/>
                <w:szCs w:val="22"/>
              </w:rPr>
              <w:t>310</w:t>
            </w:r>
          </w:p>
        </w:tc>
        <w:tc>
          <w:tcPr>
            <w:tcW w:w="1528" w:type="dxa"/>
            <w:vAlign w:val="center"/>
          </w:tcPr>
          <w:p w:rsidRPr="00CB1675" w:rsidR="00193D8B" w:rsidP="00312326" w:rsidRDefault="00193D8B" w14:paraId="36D71EE0" w14:textId="77777777">
            <w:pPr>
              <w:spacing w:before="40" w:after="40" w:line="240" w:lineRule="auto"/>
              <w:jc w:val="center"/>
              <w:rPr>
                <w:rFonts w:cs="Arial"/>
                <w:sz w:val="22"/>
                <w:szCs w:val="22"/>
              </w:rPr>
            </w:pPr>
            <w:r w:rsidRPr="00CB1675">
              <w:rPr>
                <w:sz w:val="22"/>
                <w:szCs w:val="22"/>
              </w:rPr>
              <w:t>2,622</w:t>
            </w:r>
          </w:p>
        </w:tc>
        <w:tc>
          <w:tcPr>
            <w:tcW w:w="1629" w:type="dxa"/>
            <w:vAlign w:val="center"/>
          </w:tcPr>
          <w:p w:rsidRPr="00CB1675" w:rsidR="00193D8B" w:rsidP="00312326" w:rsidRDefault="00193D8B" w14:paraId="75C85974" w14:textId="77777777">
            <w:pPr>
              <w:spacing w:before="40" w:after="40" w:line="240" w:lineRule="auto"/>
              <w:jc w:val="center"/>
              <w:rPr>
                <w:rFonts w:cs="Arial"/>
                <w:sz w:val="22"/>
                <w:szCs w:val="22"/>
              </w:rPr>
            </w:pPr>
            <w:r w:rsidRPr="00CB1675">
              <w:rPr>
                <w:sz w:val="22"/>
                <w:szCs w:val="22"/>
              </w:rPr>
              <w:t>965</w:t>
            </w:r>
          </w:p>
        </w:tc>
        <w:tc>
          <w:tcPr>
            <w:tcW w:w="1629" w:type="dxa"/>
            <w:vAlign w:val="center"/>
          </w:tcPr>
          <w:p w:rsidRPr="00CB1675" w:rsidR="00193D8B" w:rsidP="00312326" w:rsidRDefault="00193D8B" w14:paraId="221CAE6E" w14:textId="77777777">
            <w:pPr>
              <w:spacing w:before="40" w:after="40" w:line="240" w:lineRule="auto"/>
              <w:jc w:val="center"/>
              <w:rPr>
                <w:rFonts w:cs="Arial"/>
                <w:sz w:val="22"/>
                <w:szCs w:val="22"/>
              </w:rPr>
            </w:pPr>
            <w:r w:rsidRPr="00CB1675">
              <w:rPr>
                <w:sz w:val="22"/>
                <w:szCs w:val="22"/>
              </w:rPr>
              <w:t>43,368</w:t>
            </w:r>
          </w:p>
        </w:tc>
      </w:tr>
    </w:tbl>
    <w:p w:rsidRPr="00CB1675" w:rsidR="00193D8B" w:rsidP="00A36FAC" w:rsidRDefault="00193D8B" w14:paraId="11A93FFB" w14:textId="05436290">
      <w:pPr>
        <w:pStyle w:val="TableHead"/>
        <w:keepNext/>
        <w:keepLines/>
        <w:ind w:firstLine="630"/>
      </w:pPr>
      <w:r w:rsidRPr="00CB1675">
        <w:t xml:space="preserve">San Lorenzo River </w:t>
      </w:r>
      <w:r w:rsidR="00E85A01">
        <w:t xml:space="preserve">TMDL </w:t>
      </w:r>
      <w:r w:rsidRPr="00CB1675">
        <w:t>Sediment Numeric Targets</w:t>
      </w:r>
    </w:p>
    <w:tbl>
      <w:tblPr>
        <w:tblW w:w="4708" w:type="pct"/>
        <w:tblInd w:w="65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4166"/>
        <w:gridCol w:w="4629"/>
      </w:tblGrid>
      <w:tr w:rsidRPr="00CB1675" w:rsidR="00193D8B" w:rsidTr="00A36FAC" w14:paraId="56DD379B" w14:textId="77777777">
        <w:trPr>
          <w:cantSplit/>
          <w:trHeight w:val="319"/>
          <w:tblHeader/>
        </w:trPr>
        <w:tc>
          <w:tcPr>
            <w:tcW w:w="4166" w:type="dxa"/>
            <w:tcBorders>
              <w:top w:val="single" w:color="auto" w:sz="8" w:space="0"/>
              <w:bottom w:val="single" w:color="auto" w:sz="4" w:space="0"/>
            </w:tcBorders>
            <w:shd w:val="clear" w:color="auto" w:fill="D6E3BC" w:themeFill="accent3" w:themeFillTint="66"/>
            <w:vAlign w:val="center"/>
          </w:tcPr>
          <w:p w:rsidRPr="00312326" w:rsidR="00193D8B" w:rsidP="006F1484" w:rsidRDefault="00193D8B" w14:paraId="25084831" w14:textId="77777777">
            <w:pPr>
              <w:keepNext/>
              <w:keepLines/>
              <w:spacing w:before="40" w:after="40" w:line="240" w:lineRule="auto"/>
              <w:ind w:left="16"/>
              <w:jc w:val="center"/>
              <w:rPr>
                <w:rFonts w:cs="Arial"/>
                <w:b/>
                <w:bCs/>
                <w:sz w:val="22"/>
                <w:szCs w:val="22"/>
              </w:rPr>
            </w:pPr>
            <w:r w:rsidRPr="00312326">
              <w:rPr>
                <w:b/>
                <w:bCs/>
                <w:sz w:val="22"/>
                <w:szCs w:val="22"/>
              </w:rPr>
              <w:t>Parameter</w:t>
            </w:r>
          </w:p>
        </w:tc>
        <w:tc>
          <w:tcPr>
            <w:tcW w:w="4629" w:type="dxa"/>
            <w:tcBorders>
              <w:top w:val="single" w:color="auto" w:sz="8" w:space="0"/>
              <w:bottom w:val="single" w:color="auto" w:sz="4" w:space="0"/>
              <w:right w:val="single" w:color="auto" w:sz="8" w:space="0"/>
            </w:tcBorders>
            <w:shd w:val="clear" w:color="auto" w:fill="D6E3BC" w:themeFill="accent3" w:themeFillTint="66"/>
            <w:vAlign w:val="center"/>
          </w:tcPr>
          <w:p w:rsidRPr="00312326" w:rsidR="00193D8B" w:rsidP="006F1484" w:rsidRDefault="00193D8B" w14:paraId="49C648A1" w14:textId="77777777">
            <w:pPr>
              <w:keepNext/>
              <w:keepLines/>
              <w:spacing w:before="40" w:after="40" w:line="240" w:lineRule="auto"/>
              <w:ind w:left="16"/>
              <w:jc w:val="center"/>
              <w:rPr>
                <w:rFonts w:cs="Arial"/>
                <w:b/>
                <w:bCs/>
                <w:sz w:val="22"/>
                <w:szCs w:val="22"/>
              </w:rPr>
            </w:pPr>
            <w:r w:rsidRPr="00312326">
              <w:rPr>
                <w:b/>
                <w:bCs/>
                <w:sz w:val="22"/>
                <w:szCs w:val="22"/>
              </w:rPr>
              <w:t>Numeric Target</w:t>
            </w:r>
          </w:p>
        </w:tc>
      </w:tr>
      <w:tr w:rsidRPr="00CB1675" w:rsidR="00193D8B" w:rsidTr="00A36FAC" w14:paraId="2F3580E7" w14:textId="77777777">
        <w:trPr>
          <w:cantSplit/>
          <w:trHeight w:val="333"/>
        </w:trPr>
        <w:tc>
          <w:tcPr>
            <w:tcW w:w="4166" w:type="dxa"/>
            <w:tcBorders>
              <w:top w:val="single" w:color="auto" w:sz="4" w:space="0"/>
            </w:tcBorders>
            <w:vAlign w:val="center"/>
          </w:tcPr>
          <w:p w:rsidRPr="00CB1675" w:rsidR="00193D8B" w:rsidP="006F1484" w:rsidRDefault="00193D8B" w14:paraId="7FAB1D75" w14:textId="77777777">
            <w:pPr>
              <w:keepNext/>
              <w:keepLines/>
              <w:spacing w:before="40" w:after="40" w:line="240" w:lineRule="auto"/>
              <w:ind w:left="199"/>
              <w:rPr>
                <w:rFonts w:cs="Arial"/>
                <w:sz w:val="22"/>
                <w:szCs w:val="22"/>
              </w:rPr>
            </w:pPr>
            <w:r w:rsidRPr="00CB1675">
              <w:rPr>
                <w:sz w:val="22"/>
                <w:szCs w:val="22"/>
              </w:rPr>
              <w:t>Residual Pool Volume (V*)</w:t>
            </w:r>
          </w:p>
        </w:tc>
        <w:tc>
          <w:tcPr>
            <w:tcW w:w="4629" w:type="dxa"/>
            <w:tcBorders>
              <w:top w:val="single" w:color="auto" w:sz="4" w:space="0"/>
              <w:right w:val="single" w:color="auto" w:sz="8" w:space="0"/>
            </w:tcBorders>
            <w:vAlign w:val="center"/>
          </w:tcPr>
          <w:p w:rsidRPr="00CB1675" w:rsidR="00193D8B" w:rsidP="006F1484" w:rsidRDefault="00193D8B" w14:paraId="6295FDC6" w14:textId="77777777">
            <w:pPr>
              <w:keepNext/>
              <w:keepLines/>
              <w:spacing w:before="40" w:after="40" w:line="240" w:lineRule="auto"/>
              <w:ind w:left="217"/>
              <w:rPr>
                <w:rFonts w:cs="Arial"/>
                <w:sz w:val="22"/>
                <w:szCs w:val="22"/>
              </w:rPr>
            </w:pPr>
            <w:r w:rsidRPr="00CB1675">
              <w:rPr>
                <w:sz w:val="22"/>
                <w:szCs w:val="22"/>
              </w:rPr>
              <w:t>&lt; 0.21 (mean) and &lt; 0.45 (max)</w:t>
            </w:r>
          </w:p>
        </w:tc>
      </w:tr>
      <w:tr w:rsidRPr="00CB1675" w:rsidR="00193D8B" w:rsidTr="00A36FAC" w14:paraId="27451E85" w14:textId="77777777">
        <w:trPr>
          <w:cantSplit/>
          <w:trHeight w:val="572"/>
        </w:trPr>
        <w:tc>
          <w:tcPr>
            <w:tcW w:w="4166" w:type="dxa"/>
            <w:vAlign w:val="center"/>
          </w:tcPr>
          <w:p w:rsidRPr="00CB1675" w:rsidR="00193D8B" w:rsidP="00312326" w:rsidRDefault="00193D8B" w14:paraId="329EEDF1" w14:textId="77777777">
            <w:pPr>
              <w:spacing w:before="40" w:after="40" w:line="240" w:lineRule="auto"/>
              <w:ind w:left="199"/>
              <w:rPr>
                <w:sz w:val="22"/>
                <w:szCs w:val="22"/>
              </w:rPr>
            </w:pPr>
            <w:r w:rsidRPr="00CB1675">
              <w:rPr>
                <w:sz w:val="22"/>
                <w:szCs w:val="22"/>
              </w:rPr>
              <w:t>Median particle size diameter (D</w:t>
            </w:r>
            <w:r w:rsidRPr="00CB1675">
              <w:rPr>
                <w:sz w:val="22"/>
                <w:szCs w:val="22"/>
                <w:vertAlign w:val="subscript"/>
              </w:rPr>
              <w:t>50</w:t>
            </w:r>
            <w:r w:rsidRPr="00CB1675">
              <w:rPr>
                <w:sz w:val="22"/>
                <w:szCs w:val="22"/>
              </w:rPr>
              <w:t>) from riffle crest surfaces</w:t>
            </w:r>
          </w:p>
        </w:tc>
        <w:tc>
          <w:tcPr>
            <w:tcW w:w="4629" w:type="dxa"/>
            <w:tcBorders>
              <w:right w:val="single" w:color="auto" w:sz="8" w:space="0"/>
            </w:tcBorders>
            <w:vAlign w:val="center"/>
          </w:tcPr>
          <w:p w:rsidRPr="00CB1675" w:rsidR="00193D8B" w:rsidP="00312326" w:rsidRDefault="00193D8B" w14:paraId="161B1018" w14:textId="77777777">
            <w:pPr>
              <w:spacing w:before="40" w:after="40" w:line="240" w:lineRule="auto"/>
              <w:ind w:left="217"/>
              <w:rPr>
                <w:sz w:val="22"/>
                <w:szCs w:val="22"/>
              </w:rPr>
            </w:pPr>
            <w:r w:rsidRPr="00CB1675">
              <w:rPr>
                <w:sz w:val="22"/>
                <w:szCs w:val="22"/>
              </w:rPr>
              <w:t xml:space="preserve">≥37 millimeter (minimum for a reach) </w:t>
            </w:r>
            <w:r w:rsidRPr="00CB1675">
              <w:rPr>
                <w:sz w:val="22"/>
                <w:szCs w:val="22"/>
              </w:rPr>
              <w:br/>
            </w:r>
            <w:r w:rsidRPr="00CB1675">
              <w:rPr>
                <w:sz w:val="22"/>
                <w:szCs w:val="22"/>
              </w:rPr>
              <w:t>≥ 69 millimeter (mean for a reach)</w:t>
            </w:r>
          </w:p>
        </w:tc>
      </w:tr>
      <w:tr w:rsidRPr="00CB1675" w:rsidR="00193D8B" w:rsidTr="00A36FAC" w14:paraId="14018EDE" w14:textId="77777777">
        <w:trPr>
          <w:cantSplit/>
          <w:trHeight w:val="572"/>
        </w:trPr>
        <w:tc>
          <w:tcPr>
            <w:tcW w:w="4166" w:type="dxa"/>
            <w:vAlign w:val="center"/>
          </w:tcPr>
          <w:p w:rsidRPr="00CB1675" w:rsidR="00193D8B" w:rsidP="00312326" w:rsidRDefault="00193D8B" w14:paraId="21B097D4" w14:textId="77777777">
            <w:pPr>
              <w:spacing w:before="40" w:after="40" w:line="240" w:lineRule="auto"/>
              <w:ind w:left="199"/>
              <w:rPr>
                <w:sz w:val="22"/>
                <w:szCs w:val="22"/>
              </w:rPr>
            </w:pPr>
            <w:r w:rsidRPr="00CB1675">
              <w:rPr>
                <w:sz w:val="22"/>
                <w:szCs w:val="22"/>
              </w:rPr>
              <w:t>Percent fine fines &lt; 0.85 millimeter in spawning gravels</w:t>
            </w:r>
          </w:p>
        </w:tc>
        <w:tc>
          <w:tcPr>
            <w:tcW w:w="4629" w:type="dxa"/>
            <w:tcBorders>
              <w:right w:val="single" w:color="auto" w:sz="8" w:space="0"/>
            </w:tcBorders>
            <w:vAlign w:val="center"/>
          </w:tcPr>
          <w:p w:rsidRPr="00CB1675" w:rsidR="00193D8B" w:rsidP="00312326" w:rsidRDefault="00193D8B" w14:paraId="0EBD6CBF" w14:textId="77777777">
            <w:pPr>
              <w:spacing w:before="40" w:after="40" w:line="240" w:lineRule="auto"/>
              <w:ind w:left="217"/>
              <w:rPr>
                <w:sz w:val="22"/>
                <w:szCs w:val="22"/>
              </w:rPr>
            </w:pPr>
            <w:r w:rsidRPr="00CB1675">
              <w:rPr>
                <w:sz w:val="22"/>
                <w:szCs w:val="22"/>
              </w:rPr>
              <w:t>&lt; 21% by wet volume using a McNeil Sampler</w:t>
            </w:r>
          </w:p>
        </w:tc>
      </w:tr>
      <w:tr w:rsidRPr="00CB1675" w:rsidR="00193D8B" w:rsidTr="00A36FAC" w14:paraId="0DF8ADEC" w14:textId="77777777">
        <w:trPr>
          <w:cantSplit/>
          <w:trHeight w:val="572"/>
        </w:trPr>
        <w:tc>
          <w:tcPr>
            <w:tcW w:w="4166" w:type="dxa"/>
            <w:vAlign w:val="center"/>
          </w:tcPr>
          <w:p w:rsidRPr="00CB1675" w:rsidR="00193D8B" w:rsidP="00312326" w:rsidRDefault="00193D8B" w14:paraId="1AD285F6" w14:textId="77777777">
            <w:pPr>
              <w:spacing w:before="40" w:after="40" w:line="240" w:lineRule="auto"/>
              <w:ind w:left="199"/>
              <w:rPr>
                <w:rFonts w:cs="Arial"/>
                <w:sz w:val="22"/>
                <w:szCs w:val="22"/>
              </w:rPr>
            </w:pPr>
            <w:r w:rsidRPr="00CB1675">
              <w:rPr>
                <w:sz w:val="22"/>
                <w:szCs w:val="22"/>
              </w:rPr>
              <w:t>Percent coarse fines &lt; 6.0 millimeter in spawning gravels</w:t>
            </w:r>
          </w:p>
        </w:tc>
        <w:tc>
          <w:tcPr>
            <w:tcW w:w="4629" w:type="dxa"/>
            <w:tcBorders>
              <w:right w:val="single" w:color="auto" w:sz="8" w:space="0"/>
            </w:tcBorders>
            <w:vAlign w:val="center"/>
          </w:tcPr>
          <w:p w:rsidRPr="00CB1675" w:rsidR="00193D8B" w:rsidP="00312326" w:rsidRDefault="00193D8B" w14:paraId="1969E165" w14:textId="77777777">
            <w:pPr>
              <w:spacing w:before="40" w:after="40" w:line="240" w:lineRule="auto"/>
              <w:ind w:left="217"/>
              <w:rPr>
                <w:rFonts w:cs="Arial"/>
                <w:sz w:val="22"/>
                <w:szCs w:val="22"/>
              </w:rPr>
            </w:pPr>
            <w:r w:rsidRPr="00CB1675">
              <w:rPr>
                <w:sz w:val="22"/>
                <w:szCs w:val="22"/>
              </w:rPr>
              <w:t>&lt; 30% by wet volume using a McNeil Sampler</w:t>
            </w:r>
          </w:p>
        </w:tc>
      </w:tr>
    </w:tbl>
    <w:p w:rsidRPr="003F31EC" w:rsidR="00193D8B" w:rsidP="00193D8B" w:rsidRDefault="00193D8B" w14:paraId="1834DC20" w14:textId="1E8ADB0A">
      <w:pPr>
        <w:spacing w:before="240"/>
        <w:ind w:left="1267"/>
      </w:pPr>
      <w:r w:rsidRPr="003F31EC">
        <w:t>The Central Coast Water Board staff and San Lorenzo River Technical Advisory Committee implement the triennial monitoring during low flow conditions. Because the sediment objectives are narrative, numeric targets are established that support beneficial uses</w:t>
      </w:r>
      <w:r w:rsidR="006E4B43">
        <w:t>, t</w:t>
      </w:r>
      <w:r w:rsidRPr="003F31EC">
        <w:t xml:space="preserve">he numeric targets serve to interpret the narrative water quality objectives and provide a measure with which to determine if the objectives and the TMDL are being met </w:t>
      </w:r>
    </w:p>
    <w:p w:rsidRPr="00D52F4F" w:rsidR="00193D8B" w:rsidP="00193D8B" w:rsidRDefault="00193D8B" w14:paraId="3EED839A" w14:textId="77777777">
      <w:pPr>
        <w:ind w:left="1260"/>
        <w:rPr>
          <w:rFonts w:cs="Arial"/>
        </w:rPr>
      </w:pPr>
      <w:r w:rsidRPr="003F31EC">
        <w:rPr>
          <w:b/>
        </w:rPr>
        <w:t>Final Compliance Deadline:</w:t>
      </w:r>
      <w:r w:rsidRPr="003F31EC">
        <w:rPr>
          <w:rFonts w:cs="Arial"/>
        </w:rPr>
        <w:t xml:space="preserve"> The final deadline to meet the allocations is December 18, 2028.</w:t>
      </w:r>
    </w:p>
    <w:p w:rsidRPr="00F33B01" w:rsidR="00193D8B" w:rsidP="00F33B01" w:rsidRDefault="00836361" w14:paraId="38DE8BD4" w14:textId="0EB4EE4C">
      <w:pPr>
        <w:pStyle w:val="Heading3"/>
        <w:tabs>
          <w:tab w:val="clear" w:pos="720"/>
          <w:tab w:val="left" w:pos="1260"/>
        </w:tabs>
        <w:ind w:left="1260" w:hanging="1260"/>
        <w:rPr>
          <w:i/>
          <w:iCs/>
        </w:rPr>
      </w:pPr>
      <w:r>
        <w:rPr>
          <w:i/>
          <w:iCs/>
        </w:rPr>
        <w:t>A13</w:t>
      </w:r>
      <w:r w:rsidRPr="00F33B01" w:rsidR="000432A5">
        <w:rPr>
          <w:i/>
          <w:iCs/>
        </w:rPr>
        <w:t>.</w:t>
      </w:r>
      <w:r w:rsidRPr="00F33B01" w:rsidR="00193D8B">
        <w:rPr>
          <w:i/>
          <w:iCs/>
        </w:rPr>
        <w:t>3.6</w:t>
      </w:r>
      <w:r w:rsidRPr="00F33B01" w:rsidR="00193D8B">
        <w:rPr>
          <w:i/>
          <w:iCs/>
        </w:rPr>
        <w:tab/>
      </w:r>
      <w:r w:rsidR="0053731D">
        <w:rPr>
          <w:i/>
          <w:iCs/>
        </w:rPr>
        <w:t xml:space="preserve">TMDL for Sediment in </w:t>
      </w:r>
      <w:r w:rsidRPr="00F33B01" w:rsidR="00193D8B">
        <w:rPr>
          <w:i/>
          <w:iCs/>
        </w:rPr>
        <w:t>Pajaro River Including Llagas Creek, Rider Creek, and San Benito River</w:t>
      </w:r>
    </w:p>
    <w:p w:rsidRPr="00D52F4F" w:rsidR="00193D8B" w:rsidP="00193D8B" w:rsidRDefault="00193D8B" w14:paraId="4CA71889" w14:textId="688A9063">
      <w:pPr>
        <w:ind w:left="1260"/>
        <w:rPr>
          <w:rFonts w:cs="Arial"/>
        </w:rPr>
      </w:pPr>
      <w:r w:rsidRPr="0059334D">
        <w:rPr>
          <w:rFonts w:cs="Arial"/>
          <w:b/>
          <w:bCs/>
        </w:rPr>
        <w:t>Description:</w:t>
      </w:r>
      <w:r w:rsidRPr="0059334D">
        <w:rPr>
          <w:rFonts w:cs="Arial"/>
        </w:rPr>
        <w:t xml:space="preserve"> </w:t>
      </w:r>
      <w:r w:rsidR="00CC169C">
        <w:rPr>
          <w:rFonts w:cs="Arial"/>
        </w:rPr>
        <w:t>USEPA</w:t>
      </w:r>
      <w:r w:rsidR="00C56C92">
        <w:rPr>
          <w:rFonts w:cs="Arial"/>
        </w:rPr>
        <w:t xml:space="preserve"> </w:t>
      </w:r>
      <w:r w:rsidRPr="0059334D">
        <w:rPr>
          <w:rFonts w:cs="Arial"/>
        </w:rPr>
        <w:t xml:space="preserve">approved the TMDL on May 3, 2007. The Pajaro River (including Llagas Creek, Rider Creek and San Benito River) is impaired by sediment. </w:t>
      </w:r>
      <w:r w:rsidRPr="0059334D">
        <w:t>Anthropogenic disturbances have accelerated the natural processes of erosion and sedimentation. Excessive sedimentation has caused an exceedance of the narrative water quality objective for sediment. Urban stormwater runoff has been identified as a source of sediment discharging to the watershed.</w:t>
      </w:r>
    </w:p>
    <w:p w:rsidRPr="00D52F4F" w:rsidR="00193D8B" w:rsidP="00193D8B" w:rsidRDefault="00193D8B" w14:paraId="4165156A" w14:textId="62D4081C">
      <w:pPr>
        <w:ind w:left="1260"/>
        <w:rPr>
          <w:rFonts w:cs="Arial"/>
        </w:rPr>
      </w:pPr>
      <w:r w:rsidRPr="000D5DEF">
        <w:rPr>
          <w:b/>
        </w:rPr>
        <w:t>Responsible Permit</w:t>
      </w:r>
      <w:r w:rsidR="0091593F">
        <w:rPr>
          <w:b/>
        </w:rPr>
        <w:t>t</w:t>
      </w:r>
      <w:r w:rsidRPr="000D5DEF">
        <w:rPr>
          <w:b/>
        </w:rPr>
        <w:t>ees:</w:t>
      </w:r>
      <w:r w:rsidRPr="000D5DEF">
        <w:rPr>
          <w:rFonts w:cs="Arial"/>
        </w:rPr>
        <w:t xml:space="preserve"> City of Gilroy, City of Hollister, City of Morgan Hill, City of Watsonville</w:t>
      </w:r>
      <w:r w:rsidR="00B009B1">
        <w:rPr>
          <w:rFonts w:cs="Arial"/>
        </w:rPr>
        <w:t>, and Santa Cruz County Fairgrounds</w:t>
      </w:r>
      <w:r w:rsidRPr="000D5DEF" w:rsidDel="00B009B1">
        <w:rPr>
          <w:rFonts w:cs="Arial"/>
        </w:rPr>
        <w:t>.</w:t>
      </w:r>
    </w:p>
    <w:p w:rsidRPr="00646371" w:rsidR="00193D8B" w:rsidP="00193D8B" w:rsidRDefault="00193D8B" w14:paraId="5DF34E96" w14:textId="77777777">
      <w:pPr>
        <w:ind w:left="1260"/>
        <w:rPr>
          <w:rFonts w:cs="Arial"/>
        </w:rPr>
      </w:pPr>
      <w:r w:rsidRPr="00646371">
        <w:rPr>
          <w:b/>
        </w:rPr>
        <w:t xml:space="preserve">Wasteload Allocations: </w:t>
      </w:r>
      <w:r w:rsidRPr="00646371">
        <w:rPr>
          <w:rFonts w:cs="Arial"/>
        </w:rPr>
        <w:t>The TMDL provides numeric targets and wasteload</w:t>
      </w:r>
      <w:r>
        <w:rPr>
          <w:rFonts w:cs="Arial"/>
        </w:rPr>
        <w:t xml:space="preserve"> </w:t>
      </w:r>
      <w:r w:rsidRPr="00646371">
        <w:rPr>
          <w:rFonts w:cs="Arial"/>
        </w:rPr>
        <w:t xml:space="preserve">allocations. Group </w:t>
      </w:r>
      <w:r>
        <w:rPr>
          <w:rFonts w:cs="Arial"/>
        </w:rPr>
        <w:t>wasteload</w:t>
      </w:r>
      <w:r w:rsidRPr="00646371">
        <w:rPr>
          <w:rFonts w:cs="Arial"/>
        </w:rPr>
        <w:t xml:space="preserve"> allocations are assigned to the City of Gilroy, City of Hollister, City of Morgan Hill, and City of Watsonville as shown in the table, below. </w:t>
      </w:r>
    </w:p>
    <w:p w:rsidRPr="00CB1675" w:rsidR="00193D8B" w:rsidP="001A74EA" w:rsidRDefault="00E85A01" w14:paraId="5A1AAA7B" w14:textId="176B8B43">
      <w:pPr>
        <w:pStyle w:val="TableHead"/>
        <w:keepNext/>
        <w:keepLines/>
        <w:ind w:left="1080"/>
      </w:pPr>
      <w:r w:rsidRPr="001A74EA">
        <w:t>TMDL for Sediment in Pajaro River:</w:t>
      </w:r>
      <w:r>
        <w:rPr>
          <w:i/>
          <w:iCs/>
        </w:rPr>
        <w:t xml:space="preserve"> </w:t>
      </w:r>
      <w:r w:rsidRPr="00CB1675" w:rsidR="00193D8B">
        <w:t>Pajaro River Group Wasteload Allocations for Urban Land Source Category</w:t>
      </w:r>
    </w:p>
    <w:tbl>
      <w:tblPr>
        <w:tblW w:w="4243" w:type="pct"/>
        <w:tblInd w:w="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bottom w:w="29" w:type="dxa"/>
          <w:right w:w="115" w:type="dxa"/>
        </w:tblCellMar>
        <w:tblLook w:val="0600" w:firstRow="0" w:lastRow="0" w:firstColumn="0" w:lastColumn="0" w:noHBand="1" w:noVBand="1"/>
        <w:tblCaption w:val="Pajaro River (including Llagas Creek, Rider Creek and San Benito River) Sediment WLAs"/>
      </w:tblPr>
      <w:tblGrid>
        <w:gridCol w:w="3883"/>
        <w:gridCol w:w="4051"/>
      </w:tblGrid>
      <w:tr w:rsidRPr="00312326" w:rsidR="00193D8B" w:rsidTr="00296FCE" w14:paraId="546C97AA" w14:textId="77777777">
        <w:trPr>
          <w:cantSplit/>
          <w:trHeight w:val="269"/>
          <w:tblHeader/>
        </w:trPr>
        <w:tc>
          <w:tcPr>
            <w:tcW w:w="2447" w:type="pct"/>
            <w:shd w:val="clear" w:color="auto" w:fill="D6E3BC" w:themeFill="accent3" w:themeFillTint="66"/>
            <w:tcMar>
              <w:top w:w="15" w:type="dxa"/>
              <w:left w:w="15" w:type="dxa"/>
              <w:bottom w:w="0" w:type="dxa"/>
              <w:right w:w="15" w:type="dxa"/>
            </w:tcMar>
            <w:vAlign w:val="center"/>
          </w:tcPr>
          <w:p w:rsidRPr="00312326" w:rsidR="00193D8B" w:rsidP="00F23396" w:rsidRDefault="00193D8B" w14:paraId="4C0B104B" w14:textId="77777777">
            <w:pPr>
              <w:pStyle w:val="TableText"/>
              <w:keepNext/>
              <w:keepLines/>
              <w:spacing w:before="40" w:after="40" w:line="240" w:lineRule="auto"/>
              <w:ind w:left="144"/>
              <w:jc w:val="center"/>
              <w:rPr>
                <w:b/>
                <w:bCs/>
                <w:sz w:val="22"/>
                <w:szCs w:val="22"/>
              </w:rPr>
            </w:pPr>
            <w:r w:rsidRPr="00312326">
              <w:rPr>
                <w:b/>
                <w:bCs/>
                <w:sz w:val="22"/>
                <w:szCs w:val="22"/>
              </w:rPr>
              <w:t>Major Subwatershed</w:t>
            </w:r>
          </w:p>
        </w:tc>
        <w:tc>
          <w:tcPr>
            <w:tcW w:w="2553" w:type="pct"/>
            <w:shd w:val="clear" w:color="auto" w:fill="D6E3BC" w:themeFill="accent3" w:themeFillTint="66"/>
            <w:tcMar>
              <w:top w:w="15" w:type="dxa"/>
              <w:left w:w="15" w:type="dxa"/>
              <w:bottom w:w="0" w:type="dxa"/>
              <w:right w:w="15" w:type="dxa"/>
            </w:tcMar>
            <w:vAlign w:val="center"/>
          </w:tcPr>
          <w:p w:rsidRPr="00930899" w:rsidR="00193D8B" w:rsidP="00930899" w:rsidRDefault="00582121" w14:paraId="5F7CDE64" w14:textId="63312114">
            <w:pPr>
              <w:jc w:val="center"/>
              <w:rPr>
                <w:b/>
                <w:bCs/>
              </w:rPr>
            </w:pPr>
            <w:r w:rsidRPr="00930899">
              <w:rPr>
                <w:b/>
                <w:bCs/>
              </w:rPr>
              <w:t>Sediment Metric Tons Per Year</w:t>
            </w:r>
          </w:p>
        </w:tc>
      </w:tr>
      <w:tr w:rsidRPr="00312326" w:rsidR="00193D8B" w:rsidTr="00296FCE" w14:paraId="53253ADB" w14:textId="77777777">
        <w:trPr>
          <w:cantSplit/>
          <w:trHeight w:val="261"/>
        </w:trPr>
        <w:tc>
          <w:tcPr>
            <w:tcW w:w="2447" w:type="pct"/>
            <w:tcMar>
              <w:top w:w="15" w:type="dxa"/>
              <w:left w:w="15" w:type="dxa"/>
              <w:bottom w:w="0" w:type="dxa"/>
              <w:right w:w="15" w:type="dxa"/>
            </w:tcMar>
            <w:vAlign w:val="center"/>
          </w:tcPr>
          <w:p w:rsidRPr="00312326" w:rsidR="00193D8B" w:rsidP="00F23396" w:rsidRDefault="00193D8B" w14:paraId="65033FD4" w14:textId="77777777">
            <w:pPr>
              <w:pStyle w:val="TableText"/>
              <w:keepNext/>
              <w:keepLines/>
              <w:spacing w:before="40" w:after="40" w:line="240" w:lineRule="auto"/>
              <w:ind w:left="144"/>
              <w:rPr>
                <w:sz w:val="22"/>
                <w:szCs w:val="22"/>
                <w:lang w:val="fr-FR"/>
              </w:rPr>
            </w:pPr>
            <w:r w:rsidRPr="00312326">
              <w:rPr>
                <w:sz w:val="22"/>
                <w:szCs w:val="22"/>
                <w:lang w:val="fr-FR"/>
              </w:rPr>
              <w:t>Tres Pinos</w:t>
            </w:r>
          </w:p>
        </w:tc>
        <w:tc>
          <w:tcPr>
            <w:tcW w:w="2553" w:type="pct"/>
            <w:tcMar>
              <w:top w:w="15" w:type="dxa"/>
              <w:left w:w="15" w:type="dxa"/>
              <w:bottom w:w="0" w:type="dxa"/>
              <w:right w:w="15" w:type="dxa"/>
            </w:tcMar>
            <w:vAlign w:val="center"/>
          </w:tcPr>
          <w:p w:rsidRPr="00312326" w:rsidR="00193D8B" w:rsidP="00F23396" w:rsidRDefault="00193D8B" w14:paraId="48B49782" w14:textId="77777777">
            <w:pPr>
              <w:pStyle w:val="TableText"/>
              <w:keepNext/>
              <w:keepLines/>
              <w:spacing w:before="40" w:after="40" w:line="240" w:lineRule="auto"/>
              <w:jc w:val="center"/>
              <w:rPr>
                <w:sz w:val="22"/>
                <w:szCs w:val="22"/>
              </w:rPr>
            </w:pPr>
            <w:r w:rsidRPr="00312326">
              <w:rPr>
                <w:sz w:val="22"/>
                <w:szCs w:val="22"/>
              </w:rPr>
              <w:t>1</w:t>
            </w:r>
          </w:p>
        </w:tc>
      </w:tr>
      <w:tr w:rsidRPr="00312326" w:rsidR="00193D8B" w:rsidTr="00296FCE" w14:paraId="48649121" w14:textId="77777777">
        <w:trPr>
          <w:cantSplit/>
          <w:trHeight w:val="269"/>
        </w:trPr>
        <w:tc>
          <w:tcPr>
            <w:tcW w:w="2447" w:type="pct"/>
            <w:tcMar>
              <w:top w:w="15" w:type="dxa"/>
              <w:left w:w="15" w:type="dxa"/>
              <w:bottom w:w="0" w:type="dxa"/>
              <w:right w:w="15" w:type="dxa"/>
            </w:tcMar>
            <w:vAlign w:val="center"/>
          </w:tcPr>
          <w:p w:rsidRPr="00312326" w:rsidR="00193D8B" w:rsidP="00312326" w:rsidRDefault="00193D8B" w14:paraId="564FBB39" w14:textId="77777777">
            <w:pPr>
              <w:pStyle w:val="TableText"/>
              <w:spacing w:before="40" w:after="40" w:line="240" w:lineRule="auto"/>
              <w:ind w:left="144"/>
              <w:rPr>
                <w:sz w:val="22"/>
                <w:szCs w:val="22"/>
              </w:rPr>
            </w:pPr>
            <w:r w:rsidRPr="00312326">
              <w:rPr>
                <w:sz w:val="22"/>
                <w:szCs w:val="22"/>
              </w:rPr>
              <w:t>San Benito River</w:t>
            </w:r>
          </w:p>
        </w:tc>
        <w:tc>
          <w:tcPr>
            <w:tcW w:w="2553" w:type="pct"/>
            <w:tcMar>
              <w:top w:w="15" w:type="dxa"/>
              <w:left w:w="15" w:type="dxa"/>
              <w:bottom w:w="0" w:type="dxa"/>
              <w:right w:w="15" w:type="dxa"/>
            </w:tcMar>
            <w:vAlign w:val="center"/>
          </w:tcPr>
          <w:p w:rsidRPr="00312326" w:rsidR="00193D8B" w:rsidP="00312326" w:rsidRDefault="00193D8B" w14:paraId="4BCE677A" w14:textId="77777777">
            <w:pPr>
              <w:pStyle w:val="TableText"/>
              <w:spacing w:before="40" w:after="40" w:line="240" w:lineRule="auto"/>
              <w:jc w:val="center"/>
              <w:rPr>
                <w:sz w:val="22"/>
                <w:szCs w:val="22"/>
                <w:lang w:val="fr-FR"/>
              </w:rPr>
            </w:pPr>
            <w:r w:rsidRPr="00312326">
              <w:rPr>
                <w:sz w:val="22"/>
                <w:szCs w:val="22"/>
                <w:lang w:val="fr-FR"/>
              </w:rPr>
              <w:t>100</w:t>
            </w:r>
          </w:p>
        </w:tc>
      </w:tr>
      <w:tr w:rsidRPr="00312326" w:rsidR="00193D8B" w:rsidTr="00296FCE" w14:paraId="4203A026" w14:textId="77777777">
        <w:trPr>
          <w:cantSplit/>
          <w:trHeight w:val="261"/>
        </w:trPr>
        <w:tc>
          <w:tcPr>
            <w:tcW w:w="2447" w:type="pct"/>
            <w:tcMar>
              <w:top w:w="15" w:type="dxa"/>
              <w:left w:w="15" w:type="dxa"/>
              <w:bottom w:w="0" w:type="dxa"/>
              <w:right w:w="15" w:type="dxa"/>
            </w:tcMar>
            <w:vAlign w:val="center"/>
          </w:tcPr>
          <w:p w:rsidRPr="00312326" w:rsidR="00193D8B" w:rsidP="00312326" w:rsidRDefault="00193D8B" w14:paraId="552088B6" w14:textId="77777777">
            <w:pPr>
              <w:pStyle w:val="TableText"/>
              <w:spacing w:before="40" w:after="40" w:line="240" w:lineRule="auto"/>
              <w:ind w:left="144"/>
              <w:rPr>
                <w:sz w:val="22"/>
                <w:szCs w:val="22"/>
                <w:lang w:val="fr-FR"/>
              </w:rPr>
            </w:pPr>
            <w:r w:rsidRPr="00312326">
              <w:rPr>
                <w:sz w:val="22"/>
                <w:szCs w:val="22"/>
                <w:lang w:val="fr-FR"/>
              </w:rPr>
              <w:t>Llagas Creek</w:t>
            </w:r>
          </w:p>
        </w:tc>
        <w:tc>
          <w:tcPr>
            <w:tcW w:w="2553" w:type="pct"/>
            <w:tcMar>
              <w:top w:w="15" w:type="dxa"/>
              <w:left w:w="15" w:type="dxa"/>
              <w:bottom w:w="0" w:type="dxa"/>
              <w:right w:w="15" w:type="dxa"/>
            </w:tcMar>
            <w:vAlign w:val="center"/>
          </w:tcPr>
          <w:p w:rsidRPr="00312326" w:rsidR="00193D8B" w:rsidP="00312326" w:rsidRDefault="00193D8B" w14:paraId="5C299345" w14:textId="77777777">
            <w:pPr>
              <w:pStyle w:val="TableText"/>
              <w:spacing w:before="40" w:after="40" w:line="240" w:lineRule="auto"/>
              <w:jc w:val="center"/>
              <w:rPr>
                <w:sz w:val="22"/>
                <w:szCs w:val="22"/>
                <w:lang w:val="fr-FR"/>
              </w:rPr>
            </w:pPr>
            <w:r w:rsidRPr="00312326">
              <w:rPr>
                <w:sz w:val="22"/>
                <w:szCs w:val="22"/>
                <w:lang w:val="fr-FR"/>
              </w:rPr>
              <w:t>787</w:t>
            </w:r>
          </w:p>
        </w:tc>
      </w:tr>
      <w:tr w:rsidRPr="00312326" w:rsidR="00193D8B" w:rsidTr="00296FCE" w14:paraId="6DEEE96F" w14:textId="77777777">
        <w:trPr>
          <w:cantSplit/>
          <w:trHeight w:val="269"/>
        </w:trPr>
        <w:tc>
          <w:tcPr>
            <w:tcW w:w="2447" w:type="pct"/>
            <w:tcMar>
              <w:top w:w="15" w:type="dxa"/>
              <w:left w:w="15" w:type="dxa"/>
              <w:bottom w:w="0" w:type="dxa"/>
              <w:right w:w="15" w:type="dxa"/>
            </w:tcMar>
            <w:vAlign w:val="center"/>
          </w:tcPr>
          <w:p w:rsidRPr="00312326" w:rsidR="00193D8B" w:rsidP="00312326" w:rsidRDefault="00193D8B" w14:paraId="2023A2BB" w14:textId="77777777">
            <w:pPr>
              <w:pStyle w:val="TableText"/>
              <w:spacing w:before="40" w:after="40" w:line="240" w:lineRule="auto"/>
              <w:ind w:left="144"/>
              <w:rPr>
                <w:sz w:val="22"/>
                <w:szCs w:val="22"/>
                <w:lang w:val="fr-FR"/>
              </w:rPr>
            </w:pPr>
            <w:r w:rsidRPr="00312326">
              <w:rPr>
                <w:sz w:val="22"/>
                <w:szCs w:val="22"/>
                <w:lang w:val="fr-FR"/>
              </w:rPr>
              <w:t>Uvas Creek</w:t>
            </w:r>
          </w:p>
        </w:tc>
        <w:tc>
          <w:tcPr>
            <w:tcW w:w="2553" w:type="pct"/>
            <w:tcMar>
              <w:top w:w="15" w:type="dxa"/>
              <w:left w:w="15" w:type="dxa"/>
              <w:bottom w:w="0" w:type="dxa"/>
              <w:right w:w="15" w:type="dxa"/>
            </w:tcMar>
            <w:vAlign w:val="center"/>
          </w:tcPr>
          <w:p w:rsidRPr="00312326" w:rsidR="00193D8B" w:rsidP="00312326" w:rsidRDefault="00193D8B" w14:paraId="12269A02" w14:textId="77777777">
            <w:pPr>
              <w:pStyle w:val="TableText"/>
              <w:spacing w:before="40" w:after="40" w:line="240" w:lineRule="auto"/>
              <w:jc w:val="center"/>
              <w:rPr>
                <w:sz w:val="22"/>
                <w:szCs w:val="22"/>
                <w:lang w:val="fr-FR"/>
              </w:rPr>
            </w:pPr>
            <w:r w:rsidRPr="00312326">
              <w:rPr>
                <w:sz w:val="22"/>
                <w:szCs w:val="22"/>
                <w:lang w:val="fr-FR"/>
              </w:rPr>
              <w:t>139</w:t>
            </w:r>
          </w:p>
        </w:tc>
      </w:tr>
      <w:tr w:rsidRPr="00312326" w:rsidR="00193D8B" w:rsidTr="00296FCE" w14:paraId="380ECEC4" w14:textId="77777777">
        <w:trPr>
          <w:cantSplit/>
          <w:trHeight w:val="261"/>
        </w:trPr>
        <w:tc>
          <w:tcPr>
            <w:tcW w:w="2447" w:type="pct"/>
            <w:tcMar>
              <w:top w:w="15" w:type="dxa"/>
              <w:left w:w="15" w:type="dxa"/>
              <w:bottom w:w="0" w:type="dxa"/>
              <w:right w:w="15" w:type="dxa"/>
            </w:tcMar>
            <w:vAlign w:val="center"/>
          </w:tcPr>
          <w:p w:rsidRPr="00312326" w:rsidR="00193D8B" w:rsidP="00312326" w:rsidRDefault="00193D8B" w14:paraId="017E35B3" w14:textId="77777777">
            <w:pPr>
              <w:pStyle w:val="TableText"/>
              <w:spacing w:before="40" w:after="40" w:line="240" w:lineRule="auto"/>
              <w:ind w:left="144"/>
              <w:rPr>
                <w:sz w:val="22"/>
                <w:szCs w:val="22"/>
                <w:lang w:val="fr-FR"/>
              </w:rPr>
            </w:pPr>
            <w:r w:rsidRPr="00312326">
              <w:rPr>
                <w:sz w:val="22"/>
                <w:szCs w:val="22"/>
                <w:lang w:val="fr-FR"/>
              </w:rPr>
              <w:t>Upper Pajaro River</w:t>
            </w:r>
          </w:p>
        </w:tc>
        <w:tc>
          <w:tcPr>
            <w:tcW w:w="2553" w:type="pct"/>
            <w:tcMar>
              <w:top w:w="15" w:type="dxa"/>
              <w:left w:w="15" w:type="dxa"/>
              <w:bottom w:w="0" w:type="dxa"/>
              <w:right w:w="15" w:type="dxa"/>
            </w:tcMar>
            <w:vAlign w:val="center"/>
          </w:tcPr>
          <w:p w:rsidRPr="00312326" w:rsidR="00193D8B" w:rsidP="00312326" w:rsidRDefault="00193D8B" w14:paraId="61DEB691" w14:textId="77777777">
            <w:pPr>
              <w:pStyle w:val="TableText"/>
              <w:spacing w:before="40" w:after="40" w:line="240" w:lineRule="auto"/>
              <w:jc w:val="center"/>
              <w:rPr>
                <w:sz w:val="22"/>
                <w:szCs w:val="22"/>
                <w:lang w:val="fr-FR"/>
              </w:rPr>
            </w:pPr>
            <w:r w:rsidRPr="00312326">
              <w:rPr>
                <w:sz w:val="22"/>
                <w:szCs w:val="22"/>
                <w:lang w:val="fr-FR"/>
              </w:rPr>
              <w:t>161</w:t>
            </w:r>
          </w:p>
        </w:tc>
      </w:tr>
      <w:tr w:rsidRPr="00312326" w:rsidR="00193D8B" w:rsidTr="00296FCE" w14:paraId="00313DE6" w14:textId="77777777">
        <w:trPr>
          <w:cantSplit/>
          <w:trHeight w:val="269"/>
        </w:trPr>
        <w:tc>
          <w:tcPr>
            <w:tcW w:w="2447" w:type="pct"/>
            <w:tcMar>
              <w:top w:w="15" w:type="dxa"/>
              <w:left w:w="15" w:type="dxa"/>
              <w:bottom w:w="0" w:type="dxa"/>
              <w:right w:w="15" w:type="dxa"/>
            </w:tcMar>
            <w:vAlign w:val="center"/>
          </w:tcPr>
          <w:p w:rsidRPr="00312326" w:rsidR="00193D8B" w:rsidP="00312326" w:rsidRDefault="00193D8B" w14:paraId="2B1EFE56" w14:textId="77777777">
            <w:pPr>
              <w:pStyle w:val="TableText"/>
              <w:spacing w:before="40" w:after="40" w:line="240" w:lineRule="auto"/>
              <w:ind w:left="144"/>
              <w:rPr>
                <w:sz w:val="22"/>
                <w:szCs w:val="22"/>
                <w:lang w:val="fr-FR"/>
              </w:rPr>
            </w:pPr>
            <w:r w:rsidRPr="00312326">
              <w:rPr>
                <w:sz w:val="22"/>
                <w:szCs w:val="22"/>
                <w:lang w:val="fr-FR"/>
              </w:rPr>
              <w:t xml:space="preserve">Corralitos </w:t>
            </w:r>
            <w:r w:rsidRPr="00312326">
              <w:rPr>
                <w:sz w:val="22"/>
                <w:szCs w:val="22"/>
              </w:rPr>
              <w:t>(including Rider Creek)</w:t>
            </w:r>
          </w:p>
        </w:tc>
        <w:tc>
          <w:tcPr>
            <w:tcW w:w="2553" w:type="pct"/>
            <w:tcMar>
              <w:top w:w="15" w:type="dxa"/>
              <w:left w:w="15" w:type="dxa"/>
              <w:bottom w:w="0" w:type="dxa"/>
              <w:right w:w="15" w:type="dxa"/>
            </w:tcMar>
            <w:vAlign w:val="center"/>
          </w:tcPr>
          <w:p w:rsidRPr="00312326" w:rsidR="00193D8B" w:rsidP="00312326" w:rsidRDefault="00193D8B" w14:paraId="5F0FE782" w14:textId="77777777">
            <w:pPr>
              <w:pStyle w:val="TableText"/>
              <w:spacing w:before="40" w:after="40" w:line="240" w:lineRule="auto"/>
              <w:jc w:val="center"/>
              <w:rPr>
                <w:sz w:val="22"/>
                <w:szCs w:val="22"/>
              </w:rPr>
            </w:pPr>
            <w:r w:rsidRPr="00312326">
              <w:rPr>
                <w:sz w:val="22"/>
                <w:szCs w:val="22"/>
              </w:rPr>
              <w:t>284</w:t>
            </w:r>
          </w:p>
        </w:tc>
      </w:tr>
      <w:tr w:rsidRPr="00312326" w:rsidR="00193D8B" w:rsidTr="00296FCE" w14:paraId="0B8EBC71" w14:textId="77777777">
        <w:trPr>
          <w:cantSplit/>
          <w:trHeight w:val="261"/>
        </w:trPr>
        <w:tc>
          <w:tcPr>
            <w:tcW w:w="2447" w:type="pct"/>
            <w:tcMar>
              <w:top w:w="15" w:type="dxa"/>
              <w:left w:w="15" w:type="dxa"/>
              <w:bottom w:w="0" w:type="dxa"/>
              <w:right w:w="15" w:type="dxa"/>
            </w:tcMar>
            <w:vAlign w:val="center"/>
          </w:tcPr>
          <w:p w:rsidRPr="00312326" w:rsidR="00193D8B" w:rsidP="00312326" w:rsidRDefault="00193D8B" w14:paraId="7C204198" w14:textId="77777777">
            <w:pPr>
              <w:pStyle w:val="TableText"/>
              <w:spacing w:before="40" w:after="40" w:line="240" w:lineRule="auto"/>
              <w:ind w:left="144"/>
              <w:rPr>
                <w:sz w:val="22"/>
                <w:szCs w:val="22"/>
              </w:rPr>
            </w:pPr>
            <w:r w:rsidRPr="00312326">
              <w:rPr>
                <w:sz w:val="22"/>
                <w:szCs w:val="22"/>
              </w:rPr>
              <w:t>Mouth of Pajaro River</w:t>
            </w:r>
          </w:p>
        </w:tc>
        <w:tc>
          <w:tcPr>
            <w:tcW w:w="2553" w:type="pct"/>
            <w:tcMar>
              <w:top w:w="15" w:type="dxa"/>
              <w:left w:w="15" w:type="dxa"/>
              <w:bottom w:w="0" w:type="dxa"/>
              <w:right w:w="15" w:type="dxa"/>
            </w:tcMar>
            <w:vAlign w:val="center"/>
          </w:tcPr>
          <w:p w:rsidRPr="00312326" w:rsidR="00193D8B" w:rsidP="00312326" w:rsidRDefault="00193D8B" w14:paraId="7C816864" w14:textId="77777777">
            <w:pPr>
              <w:pStyle w:val="TableText"/>
              <w:spacing w:before="40" w:after="40" w:line="240" w:lineRule="auto"/>
              <w:jc w:val="center"/>
              <w:rPr>
                <w:sz w:val="22"/>
                <w:szCs w:val="22"/>
                <w:lang w:val="fr-FR"/>
              </w:rPr>
            </w:pPr>
            <w:r w:rsidRPr="00312326">
              <w:rPr>
                <w:sz w:val="22"/>
                <w:szCs w:val="22"/>
                <w:lang w:val="fr-FR"/>
              </w:rPr>
              <w:t>191</w:t>
            </w:r>
          </w:p>
        </w:tc>
      </w:tr>
    </w:tbl>
    <w:p w:rsidR="00193D8B" w:rsidP="00193D8B" w:rsidRDefault="00193D8B" w14:paraId="7DDFF51E" w14:textId="77777777">
      <w:pPr>
        <w:spacing w:before="360"/>
        <w:ind w:left="1267"/>
      </w:pPr>
      <w:r w:rsidRPr="009E06E4">
        <w:t xml:space="preserve">The TMDL establishes numeric targets as indicators of the narrative water quality objective for sediment. The TMDL uses two types of numeric targets: streambed characteristics and </w:t>
      </w:r>
      <w:r>
        <w:t>s</w:t>
      </w:r>
      <w:r w:rsidRPr="009E06E4">
        <w:t xml:space="preserve">uspended </w:t>
      </w:r>
      <w:r>
        <w:t>s</w:t>
      </w:r>
      <w:r w:rsidRPr="009E06E4">
        <w:t xml:space="preserve">ediment </w:t>
      </w:r>
      <w:r>
        <w:t>c</w:t>
      </w:r>
      <w:r w:rsidRPr="009E06E4">
        <w:t>oncentration-</w:t>
      </w:r>
      <w:r>
        <w:t>d</w:t>
      </w:r>
      <w:r w:rsidRPr="009E06E4">
        <w:t xml:space="preserve">uration, </w:t>
      </w:r>
      <w:r w:rsidRPr="009E06E4">
        <w:t xml:space="preserve">which are presented in the two tables below. The </w:t>
      </w:r>
      <w:r>
        <w:t xml:space="preserve">Central Coast </w:t>
      </w:r>
      <w:r w:rsidRPr="009E06E4">
        <w:t xml:space="preserve">Water Board will determine when the numeric targets are achieved. When numeric targets are achieved, the </w:t>
      </w:r>
      <w:r w:rsidRPr="0063796F">
        <w:t>Central Coast Water Board</w:t>
      </w:r>
      <w:r w:rsidRPr="009E06E4">
        <w:t xml:space="preserve"> will assume that these loads are met.</w:t>
      </w:r>
      <w:r>
        <w:t xml:space="preserve"> </w:t>
      </w:r>
      <w:r w:rsidRPr="009E06E4">
        <w:t xml:space="preserve">For the </w:t>
      </w:r>
      <w:r>
        <w:t>n</w:t>
      </w:r>
      <w:r w:rsidRPr="009E06E4">
        <w:t xml:space="preserve">umeric </w:t>
      </w:r>
      <w:r>
        <w:t>t</w:t>
      </w:r>
      <w:r w:rsidRPr="009E06E4">
        <w:t xml:space="preserve">argets for </w:t>
      </w:r>
      <w:r>
        <w:t>s</w:t>
      </w:r>
      <w:r w:rsidRPr="009E06E4">
        <w:t xml:space="preserve">uspended </w:t>
      </w:r>
      <w:r>
        <w:t>s</w:t>
      </w:r>
      <w:r w:rsidRPr="009E06E4">
        <w:t xml:space="preserve">ediment </w:t>
      </w:r>
      <w:r>
        <w:t>c</w:t>
      </w:r>
      <w:r w:rsidRPr="009E06E4">
        <w:t xml:space="preserve">onditions, there are five exposure categories per major subwatershed. Each exposure category is comprised of two components: a duration (consecutive days) and a suspended sediment concentration range in milligrams per liter. </w:t>
      </w:r>
    </w:p>
    <w:p w:rsidR="00835C5F" w:rsidP="00B32B0B" w:rsidRDefault="00193D8B" w14:paraId="39BA6D28" w14:textId="77777777">
      <w:pPr>
        <w:ind w:left="1260"/>
        <w:sectPr w:rsidR="00835C5F" w:rsidSect="00A86034">
          <w:headerReference w:type="default" r:id="rId35"/>
          <w:footerReference w:type="default" r:id="rId36"/>
          <w:footerReference w:type="first" r:id="rId37"/>
          <w:pgSz w:w="12240" w:h="15840" w:orient="portrait"/>
          <w:pgMar w:top="1440" w:right="1440" w:bottom="1440" w:left="1440" w:header="630" w:footer="510" w:gutter="0"/>
          <w:cols w:space="720"/>
          <w:docGrid w:linePitch="360"/>
        </w:sectPr>
      </w:pPr>
      <w:r w:rsidRPr="009E06E4">
        <w:t xml:space="preserve">Numeric targets are comprised of two components: a maximum number of exceedance events that may occur in any consecutive 15 years after development of the monitoring program and the maximum duration (consecutive days) in which </w:t>
      </w:r>
      <w:r w:rsidRPr="00144726">
        <w:t>the maximum suspended sediment concentration value for each range can be exceeded in 15 years. Exceedance events are specific to each exposure category and consist of consecutive days in which the duration and the maximum Suspended Sediment Conditions value for each range is exceeded.</w:t>
      </w:r>
    </w:p>
    <w:p w:rsidRPr="00CB1675" w:rsidR="00730239" w:rsidP="005B2164" w:rsidRDefault="001A74EA" w14:paraId="1F41A51D" w14:textId="0F61B041">
      <w:pPr>
        <w:pStyle w:val="TableHead"/>
      </w:pPr>
      <w:r w:rsidRPr="001A74EA">
        <w:t>TMDL for Sediment in Pajaro River:</w:t>
      </w:r>
      <w:r>
        <w:t xml:space="preserve"> </w:t>
      </w:r>
      <w:r w:rsidRPr="00CB1675" w:rsidR="00730239">
        <w:t>Pajaros River Numeric Targets for Streambed Characteristics</w:t>
      </w:r>
    </w:p>
    <w:tbl>
      <w:tblPr>
        <w:tblW w:w="5000" w:type="pc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9" w:type="dxa"/>
          <w:left w:w="58" w:type="dxa"/>
          <w:bottom w:w="29" w:type="dxa"/>
          <w:right w:w="58" w:type="dxa"/>
        </w:tblCellMar>
        <w:tblLook w:val="07E0" w:firstRow="1" w:lastRow="1" w:firstColumn="1" w:lastColumn="1" w:noHBand="1" w:noVBand="1"/>
        <w:tblCaption w:val="Sonoma Creek Pathogens TMDL WLAs"/>
      </w:tblPr>
      <w:tblGrid>
        <w:gridCol w:w="6290"/>
        <w:gridCol w:w="6650"/>
      </w:tblGrid>
      <w:tr w:rsidRPr="00CB1675" w:rsidR="00730239" w:rsidTr="005B2164" w14:paraId="1A9B85E4" w14:textId="77777777">
        <w:trPr>
          <w:cantSplit/>
          <w:trHeight w:val="491"/>
          <w:tblHeader/>
        </w:trPr>
        <w:tc>
          <w:tcPr>
            <w:tcW w:w="6290" w:type="dxa"/>
            <w:tcBorders>
              <w:top w:val="single" w:color="auto" w:sz="8" w:space="0"/>
              <w:bottom w:val="single" w:color="auto" w:sz="4" w:space="0"/>
            </w:tcBorders>
            <w:shd w:val="clear" w:color="auto" w:fill="D6E3BC" w:themeFill="accent3" w:themeFillTint="66"/>
            <w:vAlign w:val="center"/>
          </w:tcPr>
          <w:p w:rsidRPr="00CB1675" w:rsidR="00730239" w:rsidP="005B2164" w:rsidRDefault="00730239" w14:paraId="34681D75" w14:textId="77777777">
            <w:pPr>
              <w:spacing w:after="0" w:line="240" w:lineRule="auto"/>
              <w:rPr>
                <w:rFonts w:cs="Arial"/>
                <w:b/>
                <w:sz w:val="22"/>
                <w:szCs w:val="22"/>
              </w:rPr>
            </w:pPr>
            <w:r w:rsidRPr="00CB1675">
              <w:rPr>
                <w:rFonts w:cs="Arial"/>
                <w:b/>
                <w:sz w:val="22"/>
                <w:szCs w:val="22"/>
              </w:rPr>
              <w:t>Parameter</w:t>
            </w:r>
          </w:p>
        </w:tc>
        <w:tc>
          <w:tcPr>
            <w:tcW w:w="6650" w:type="dxa"/>
            <w:tcBorders>
              <w:top w:val="single" w:color="auto" w:sz="8" w:space="0"/>
              <w:bottom w:val="single" w:color="auto" w:sz="4" w:space="0"/>
              <w:right w:val="single" w:color="auto" w:sz="8" w:space="0"/>
            </w:tcBorders>
            <w:shd w:val="clear" w:color="auto" w:fill="D6E3BC" w:themeFill="accent3" w:themeFillTint="66"/>
            <w:vAlign w:val="center"/>
          </w:tcPr>
          <w:p w:rsidRPr="00CB1675" w:rsidR="00730239" w:rsidRDefault="00730239" w14:paraId="193ED5C4" w14:textId="77777777">
            <w:pPr>
              <w:spacing w:after="0" w:line="240" w:lineRule="auto"/>
              <w:jc w:val="center"/>
              <w:rPr>
                <w:rFonts w:cs="Arial"/>
                <w:b/>
                <w:sz w:val="22"/>
                <w:szCs w:val="22"/>
              </w:rPr>
            </w:pPr>
            <w:r w:rsidRPr="00CB1675">
              <w:rPr>
                <w:rFonts w:cs="Arial"/>
                <w:b/>
                <w:sz w:val="22"/>
                <w:szCs w:val="22"/>
              </w:rPr>
              <w:t xml:space="preserve">Numeric Target </w:t>
            </w:r>
            <w:r w:rsidRPr="00CB1675">
              <w:rPr>
                <w:rFonts w:cs="Arial"/>
                <w:b/>
                <w:sz w:val="22"/>
                <w:szCs w:val="22"/>
                <w:vertAlign w:val="superscript"/>
              </w:rPr>
              <w:t>1.</w:t>
            </w:r>
          </w:p>
        </w:tc>
      </w:tr>
      <w:tr w:rsidRPr="00CB1675" w:rsidR="00730239" w:rsidTr="005B2164" w14:paraId="6F708F45" w14:textId="77777777">
        <w:trPr>
          <w:cantSplit/>
          <w:trHeight w:val="416"/>
        </w:trPr>
        <w:tc>
          <w:tcPr>
            <w:tcW w:w="6290" w:type="dxa"/>
            <w:tcBorders>
              <w:top w:val="single" w:color="auto" w:sz="4" w:space="0"/>
            </w:tcBorders>
            <w:vAlign w:val="center"/>
          </w:tcPr>
          <w:p w:rsidRPr="00CB1675" w:rsidR="00730239" w:rsidRDefault="00730239" w14:paraId="5B6C2C75" w14:textId="77777777">
            <w:pPr>
              <w:pStyle w:val="Default"/>
              <w:ind w:left="200"/>
              <w:rPr>
                <w:color w:val="auto"/>
                <w:sz w:val="22"/>
                <w:szCs w:val="22"/>
              </w:rPr>
            </w:pPr>
            <w:r w:rsidRPr="00CB1675">
              <w:rPr>
                <w:color w:val="auto"/>
                <w:sz w:val="22"/>
                <w:szCs w:val="22"/>
              </w:rPr>
              <w:t xml:space="preserve">Residual Pool Volume (V*) </w:t>
            </w:r>
            <w:r w:rsidRPr="00CB1675">
              <w:rPr>
                <w:color w:val="auto"/>
                <w:sz w:val="22"/>
                <w:szCs w:val="22"/>
                <w:vertAlign w:val="superscript"/>
              </w:rPr>
              <w:t>2.</w:t>
            </w:r>
          </w:p>
        </w:tc>
        <w:tc>
          <w:tcPr>
            <w:tcW w:w="6650" w:type="dxa"/>
            <w:tcBorders>
              <w:top w:val="single" w:color="auto" w:sz="4" w:space="0"/>
              <w:right w:val="single" w:color="auto" w:sz="8" w:space="0"/>
            </w:tcBorders>
            <w:vAlign w:val="center"/>
          </w:tcPr>
          <w:p w:rsidRPr="00CB1675" w:rsidR="00730239" w:rsidRDefault="00730239" w14:paraId="5FF259EC" w14:textId="77777777">
            <w:pPr>
              <w:spacing w:after="0" w:line="240" w:lineRule="auto"/>
              <w:ind w:left="206"/>
              <w:rPr>
                <w:rFonts w:cs="Arial"/>
                <w:sz w:val="22"/>
                <w:szCs w:val="22"/>
              </w:rPr>
            </w:pPr>
            <w:r w:rsidRPr="00CB1675">
              <w:rPr>
                <w:sz w:val="22"/>
                <w:szCs w:val="22"/>
              </w:rPr>
              <w:t>V* = Mean values ≤ 0.21; V* = Maximum values ≤ 0.45</w:t>
            </w:r>
          </w:p>
        </w:tc>
      </w:tr>
      <w:tr w:rsidRPr="00CB1675" w:rsidR="00730239" w:rsidTr="005B2164" w14:paraId="52D154C6" w14:textId="77777777">
        <w:trPr>
          <w:cantSplit/>
          <w:trHeight w:val="546"/>
        </w:trPr>
        <w:tc>
          <w:tcPr>
            <w:tcW w:w="6290" w:type="dxa"/>
            <w:vAlign w:val="center"/>
          </w:tcPr>
          <w:p w:rsidRPr="00CB1675" w:rsidR="00730239" w:rsidRDefault="00730239" w14:paraId="4C35306B" w14:textId="77777777">
            <w:pPr>
              <w:pStyle w:val="Default"/>
              <w:ind w:left="200"/>
              <w:rPr>
                <w:color w:val="auto"/>
                <w:sz w:val="22"/>
                <w:szCs w:val="22"/>
              </w:rPr>
            </w:pPr>
            <w:r w:rsidRPr="00CB1675">
              <w:rPr>
                <w:color w:val="auto"/>
                <w:sz w:val="22"/>
                <w:szCs w:val="22"/>
              </w:rPr>
              <w:t>Median Diameter (D</w:t>
            </w:r>
            <w:r w:rsidRPr="00CB1675">
              <w:rPr>
                <w:color w:val="auto"/>
                <w:sz w:val="22"/>
                <w:szCs w:val="22"/>
                <w:vertAlign w:val="subscript"/>
              </w:rPr>
              <w:t>50</w:t>
            </w:r>
            <w:r w:rsidRPr="00CB1675">
              <w:rPr>
                <w:color w:val="auto"/>
                <w:sz w:val="22"/>
                <w:szCs w:val="22"/>
              </w:rPr>
              <w:t>) of Sediment Particles in Spawning Gravels</w:t>
            </w:r>
          </w:p>
        </w:tc>
        <w:tc>
          <w:tcPr>
            <w:tcW w:w="6650" w:type="dxa"/>
            <w:tcBorders>
              <w:right w:val="single" w:color="auto" w:sz="8" w:space="0"/>
            </w:tcBorders>
            <w:vAlign w:val="center"/>
          </w:tcPr>
          <w:p w:rsidRPr="00CB1675" w:rsidR="00730239" w:rsidRDefault="00730239" w14:paraId="2F8F5782" w14:textId="77777777">
            <w:pPr>
              <w:spacing w:after="0" w:line="240" w:lineRule="auto"/>
              <w:ind w:left="206"/>
              <w:rPr>
                <w:sz w:val="22"/>
                <w:szCs w:val="22"/>
              </w:rPr>
            </w:pPr>
            <w:r w:rsidRPr="00CB1675">
              <w:rPr>
                <w:sz w:val="22"/>
                <w:szCs w:val="22"/>
              </w:rPr>
              <w:t>D</w:t>
            </w:r>
            <w:r w:rsidRPr="00CB1675">
              <w:rPr>
                <w:sz w:val="22"/>
                <w:szCs w:val="22"/>
                <w:vertAlign w:val="subscript"/>
              </w:rPr>
              <w:t>50</w:t>
            </w:r>
            <w:r w:rsidRPr="00CB1675">
              <w:rPr>
                <w:sz w:val="22"/>
                <w:szCs w:val="22"/>
              </w:rPr>
              <w:t xml:space="preserve"> = Mean values ≥ 69 millimeters </w:t>
            </w:r>
          </w:p>
          <w:p w:rsidRPr="00CB1675" w:rsidR="00730239" w:rsidRDefault="00730239" w14:paraId="291CD984" w14:textId="77777777">
            <w:pPr>
              <w:spacing w:after="0" w:line="240" w:lineRule="auto"/>
              <w:ind w:left="206"/>
              <w:rPr>
                <w:sz w:val="22"/>
                <w:szCs w:val="22"/>
              </w:rPr>
            </w:pPr>
            <w:r w:rsidRPr="00CB1675">
              <w:rPr>
                <w:sz w:val="22"/>
                <w:szCs w:val="22"/>
              </w:rPr>
              <w:t>D</w:t>
            </w:r>
            <w:r w:rsidRPr="00CB1675">
              <w:rPr>
                <w:sz w:val="22"/>
                <w:szCs w:val="22"/>
                <w:vertAlign w:val="subscript"/>
              </w:rPr>
              <w:t xml:space="preserve">50 = </w:t>
            </w:r>
            <w:r w:rsidRPr="00CB1675">
              <w:rPr>
                <w:sz w:val="22"/>
                <w:szCs w:val="22"/>
              </w:rPr>
              <w:t>Minimum values ≥ 37 millimeters</w:t>
            </w:r>
          </w:p>
        </w:tc>
      </w:tr>
      <w:tr w:rsidRPr="00CB1675" w:rsidR="00730239" w:rsidTr="005B2164" w14:paraId="2D0DE983" w14:textId="77777777">
        <w:trPr>
          <w:cantSplit/>
          <w:trHeight w:val="273"/>
        </w:trPr>
        <w:tc>
          <w:tcPr>
            <w:tcW w:w="6290" w:type="dxa"/>
            <w:vAlign w:val="center"/>
          </w:tcPr>
          <w:p w:rsidRPr="00CB1675" w:rsidR="00730239" w:rsidRDefault="00730239" w14:paraId="43AE1622" w14:textId="77777777">
            <w:pPr>
              <w:pStyle w:val="Default"/>
              <w:ind w:left="200"/>
              <w:rPr>
                <w:color w:val="auto"/>
                <w:sz w:val="22"/>
                <w:szCs w:val="22"/>
              </w:rPr>
            </w:pPr>
            <w:r w:rsidRPr="00CB1675">
              <w:rPr>
                <w:color w:val="auto"/>
                <w:sz w:val="22"/>
                <w:szCs w:val="22"/>
              </w:rPr>
              <w:t>Percent of Fine Fines (&lt; 0.85 millimeters) in Spawning Gravels</w:t>
            </w:r>
          </w:p>
        </w:tc>
        <w:tc>
          <w:tcPr>
            <w:tcW w:w="6650" w:type="dxa"/>
            <w:tcBorders>
              <w:right w:val="single" w:color="auto" w:sz="8" w:space="0"/>
            </w:tcBorders>
            <w:vAlign w:val="center"/>
          </w:tcPr>
          <w:p w:rsidRPr="00CB1675" w:rsidR="00730239" w:rsidRDefault="00730239" w14:paraId="0893E6E7" w14:textId="77777777">
            <w:pPr>
              <w:spacing w:after="0" w:line="240" w:lineRule="auto"/>
              <w:ind w:left="206"/>
              <w:rPr>
                <w:sz w:val="22"/>
                <w:szCs w:val="22"/>
              </w:rPr>
            </w:pPr>
            <w:r w:rsidRPr="00CB1675">
              <w:rPr>
                <w:sz w:val="22"/>
                <w:szCs w:val="22"/>
              </w:rPr>
              <w:t>Percent fine fines ≤ 21 percent</w:t>
            </w:r>
          </w:p>
        </w:tc>
      </w:tr>
      <w:tr w:rsidRPr="00CB1675" w:rsidR="00730239" w:rsidTr="005B2164" w14:paraId="2776CBF3" w14:textId="77777777">
        <w:trPr>
          <w:cantSplit/>
          <w:trHeight w:val="546"/>
        </w:trPr>
        <w:tc>
          <w:tcPr>
            <w:tcW w:w="6290" w:type="dxa"/>
            <w:vAlign w:val="center"/>
          </w:tcPr>
          <w:p w:rsidRPr="00CB1675" w:rsidR="00730239" w:rsidRDefault="00730239" w14:paraId="09C405E8" w14:textId="77777777">
            <w:pPr>
              <w:pStyle w:val="Default"/>
              <w:ind w:left="200"/>
              <w:rPr>
                <w:color w:val="auto"/>
                <w:sz w:val="22"/>
                <w:szCs w:val="22"/>
              </w:rPr>
            </w:pPr>
            <w:r w:rsidRPr="00CB1675">
              <w:rPr>
                <w:color w:val="auto"/>
                <w:sz w:val="22"/>
                <w:szCs w:val="22"/>
              </w:rPr>
              <w:t>Percent of Coarse Fines (&lt; 6.0 millimeters) in Spawning Gravels</w:t>
            </w:r>
          </w:p>
        </w:tc>
        <w:tc>
          <w:tcPr>
            <w:tcW w:w="6650" w:type="dxa"/>
            <w:tcBorders>
              <w:right w:val="single" w:color="auto" w:sz="8" w:space="0"/>
            </w:tcBorders>
            <w:vAlign w:val="center"/>
          </w:tcPr>
          <w:p w:rsidRPr="00CB1675" w:rsidR="00730239" w:rsidRDefault="00730239" w14:paraId="40235B6A" w14:textId="77777777">
            <w:pPr>
              <w:spacing w:after="0" w:line="240" w:lineRule="auto"/>
              <w:ind w:left="206"/>
              <w:rPr>
                <w:sz w:val="22"/>
                <w:szCs w:val="22"/>
              </w:rPr>
            </w:pPr>
            <w:r w:rsidRPr="00CB1675">
              <w:rPr>
                <w:sz w:val="22"/>
                <w:szCs w:val="22"/>
              </w:rPr>
              <w:t>Percent coarse fines ≤ 30 percent</w:t>
            </w:r>
          </w:p>
        </w:tc>
      </w:tr>
    </w:tbl>
    <w:p w:rsidRPr="00144726" w:rsidR="00730239" w:rsidP="005B2164" w:rsidRDefault="00730239" w14:paraId="137AE5F9" w14:textId="77777777">
      <w:pPr>
        <w:tabs>
          <w:tab w:val="left" w:pos="540"/>
        </w:tabs>
        <w:spacing w:before="60" w:after="0" w:line="240" w:lineRule="auto"/>
        <w:ind w:left="540" w:hanging="371"/>
        <w:rPr>
          <w:sz w:val="22"/>
          <w:szCs w:val="22"/>
          <w:u w:val="single"/>
        </w:rPr>
      </w:pPr>
      <w:r w:rsidRPr="00144726">
        <w:rPr>
          <w:sz w:val="22"/>
          <w:szCs w:val="22"/>
          <w:u w:val="single"/>
        </w:rPr>
        <w:t>Table Notes:</w:t>
      </w:r>
    </w:p>
    <w:p w:rsidRPr="00144726" w:rsidR="00730239" w:rsidP="00E8254E" w:rsidRDefault="00730239" w14:paraId="6CD539E0" w14:textId="77777777">
      <w:pPr>
        <w:pStyle w:val="ListParagraph"/>
        <w:numPr>
          <w:ilvl w:val="0"/>
          <w:numId w:val="32"/>
        </w:numPr>
        <w:tabs>
          <w:tab w:val="left" w:pos="540"/>
        </w:tabs>
        <w:spacing w:before="60" w:after="0" w:line="240" w:lineRule="auto"/>
        <w:ind w:left="540" w:hanging="371"/>
        <w:rPr>
          <w:sz w:val="22"/>
        </w:rPr>
      </w:pPr>
      <w:r w:rsidRPr="00144726">
        <w:rPr>
          <w:sz w:val="22"/>
        </w:rPr>
        <w:t>Target values are for sampling reaches within an individual waterbody.</w:t>
      </w:r>
    </w:p>
    <w:p w:rsidRPr="00144726" w:rsidR="00730239" w:rsidP="00E8254E" w:rsidRDefault="00730239" w14:paraId="4B1A3DF6" w14:textId="77777777">
      <w:pPr>
        <w:pStyle w:val="ListParagraph"/>
        <w:numPr>
          <w:ilvl w:val="0"/>
          <w:numId w:val="32"/>
        </w:numPr>
        <w:tabs>
          <w:tab w:val="left" w:pos="540"/>
        </w:tabs>
        <w:spacing w:before="60" w:after="0" w:line="240" w:lineRule="auto"/>
        <w:ind w:left="540" w:hanging="371"/>
        <w:rPr>
          <w:sz w:val="22"/>
        </w:rPr>
      </w:pPr>
      <w:r w:rsidRPr="00144726">
        <w:rPr>
          <w:sz w:val="22"/>
        </w:rPr>
        <w:t>Residual Pool Volume refers to the portion of a pool in a stream that is available for fish to occupy. Pool habitat is the primary habitat for steelhead in summer. Overwintering habitat requirements include deeper pools, undercut banks, side channels, and especially large, unembedded rocks, which provide shelter for fish against the high flows of winter. V* gives a direct measurement of the impact of sediment on pool volume. It is the ratio of the amount of pool volume filled by fine, mobile sediment, to total pool volume. Qualifying pools are defined by Regional Board sampling protocol (2002).</w:t>
      </w:r>
    </w:p>
    <w:p w:rsidR="00C8069C" w:rsidRDefault="00C8069C" w14:paraId="44D94008" w14:textId="77777777">
      <w:pPr>
        <w:spacing w:before="0" w:line="247" w:lineRule="auto"/>
        <w:rPr>
          <w:rFonts w:eastAsia="Arial" w:cs="Arial"/>
          <w:b/>
          <w:bCs/>
          <w:sz w:val="22"/>
          <w:szCs w:val="22"/>
        </w:rPr>
      </w:pPr>
      <w:r>
        <w:br w:type="page"/>
      </w:r>
    </w:p>
    <w:p w:rsidRPr="00393E38" w:rsidR="00730239" w:rsidP="005B2164" w:rsidRDefault="001A74EA" w14:paraId="48C7DC4F" w14:textId="65915388">
      <w:pPr>
        <w:pStyle w:val="TableHead"/>
        <w:keepNext/>
        <w:keepLines/>
      </w:pPr>
      <w:r w:rsidRPr="001A74EA">
        <w:t>TMDL for Sediment in Pajaro River:</w:t>
      </w:r>
      <w:r w:rsidR="00F8740A">
        <w:t xml:space="preserve"> </w:t>
      </w:r>
      <w:r w:rsidRPr="00393E38" w:rsidR="00730239">
        <w:t>Numeric Targets for Suspended Sediment Conditions in the Pajaros River Major Subwatershed</w:t>
      </w:r>
    </w:p>
    <w:tbl>
      <w:tblPr>
        <w:tblStyle w:val="TableGrid"/>
        <w:tblW w:w="5000" w:type="pct"/>
        <w:tblLook w:val="04A0" w:firstRow="1" w:lastRow="0" w:firstColumn="1" w:lastColumn="0" w:noHBand="0" w:noVBand="1"/>
      </w:tblPr>
      <w:tblGrid>
        <w:gridCol w:w="2329"/>
        <w:gridCol w:w="1561"/>
        <w:gridCol w:w="2107"/>
        <w:gridCol w:w="1594"/>
        <w:gridCol w:w="1854"/>
        <w:gridCol w:w="1488"/>
        <w:gridCol w:w="2017"/>
      </w:tblGrid>
      <w:tr w:rsidRPr="003448B6" w:rsidR="00F61812" w:rsidTr="00F61812" w14:paraId="4379D045" w14:textId="77777777">
        <w:trPr>
          <w:tblHeader/>
        </w:trPr>
        <w:tc>
          <w:tcPr>
            <w:tcW w:w="909" w:type="pct"/>
            <w:shd w:val="clear" w:color="auto" w:fill="D6E3BC" w:themeFill="accent3" w:themeFillTint="66"/>
          </w:tcPr>
          <w:p w:rsidRPr="003448B6" w:rsidR="00730239" w:rsidP="005B2164" w:rsidRDefault="00730239" w14:paraId="365BA9A7" w14:textId="77777777">
            <w:pPr>
              <w:keepNext/>
              <w:keepLines/>
              <w:spacing w:before="40" w:after="40" w:line="240" w:lineRule="auto"/>
              <w:rPr>
                <w:rFonts w:ascii="Arial" w:hAnsi="Arial" w:cs="Arial" w:eastAsiaTheme="minorHAnsi"/>
                <w:b/>
                <w:bCs/>
                <w:sz w:val="22"/>
                <w:szCs w:val="22"/>
              </w:rPr>
            </w:pPr>
            <w:r w:rsidRPr="003448B6">
              <w:rPr>
                <w:rFonts w:ascii="Arial" w:hAnsi="Arial" w:cs="Arial" w:eastAsiaTheme="minorHAnsi"/>
                <w:b/>
                <w:bCs/>
                <w:sz w:val="22"/>
                <w:szCs w:val="22"/>
              </w:rPr>
              <w:t>Pajaros River Major Subwatershed</w:t>
            </w:r>
          </w:p>
        </w:tc>
        <w:tc>
          <w:tcPr>
            <w:tcW w:w="571" w:type="pct"/>
            <w:shd w:val="clear" w:color="auto" w:fill="D6E3BC" w:themeFill="accent3" w:themeFillTint="66"/>
          </w:tcPr>
          <w:p w:rsidRPr="003448B6" w:rsidR="00730239" w:rsidP="005B2164" w:rsidRDefault="00730239" w14:paraId="7588352B" w14:textId="77777777">
            <w:pPr>
              <w:keepNext/>
              <w:keepLines/>
              <w:spacing w:before="40" w:after="40" w:line="240" w:lineRule="auto"/>
              <w:rPr>
                <w:rFonts w:ascii="Arial" w:hAnsi="Arial" w:cs="Arial" w:eastAsiaTheme="minorHAnsi"/>
                <w:b/>
                <w:bCs/>
                <w:sz w:val="22"/>
                <w:szCs w:val="22"/>
              </w:rPr>
            </w:pPr>
            <w:r w:rsidRPr="003448B6">
              <w:rPr>
                <w:rFonts w:ascii="Arial" w:hAnsi="Arial" w:cs="Arial" w:eastAsiaTheme="minorHAnsi"/>
                <w:b/>
                <w:bCs/>
                <w:sz w:val="22"/>
                <w:szCs w:val="22"/>
              </w:rPr>
              <w:t>Exposure Category: Duration (consecutive days)</w:t>
            </w:r>
          </w:p>
        </w:tc>
        <w:tc>
          <w:tcPr>
            <w:tcW w:w="823" w:type="pct"/>
            <w:shd w:val="clear" w:color="auto" w:fill="D6E3BC" w:themeFill="accent3" w:themeFillTint="66"/>
          </w:tcPr>
          <w:p w:rsidRPr="003448B6" w:rsidR="00730239" w:rsidP="005B2164" w:rsidRDefault="00730239" w14:paraId="056CBA18" w14:textId="77777777">
            <w:pPr>
              <w:keepNext/>
              <w:keepLines/>
              <w:spacing w:before="40" w:after="40" w:line="240" w:lineRule="auto"/>
              <w:rPr>
                <w:rFonts w:ascii="Arial" w:hAnsi="Arial" w:cs="Arial" w:eastAsiaTheme="minorHAnsi"/>
                <w:b/>
                <w:bCs/>
                <w:sz w:val="22"/>
                <w:szCs w:val="22"/>
              </w:rPr>
            </w:pPr>
            <w:r w:rsidRPr="003448B6">
              <w:rPr>
                <w:rFonts w:ascii="Arial" w:hAnsi="Arial" w:cs="Arial" w:eastAsiaTheme="minorHAnsi"/>
                <w:b/>
                <w:bCs/>
                <w:sz w:val="22"/>
                <w:szCs w:val="22"/>
              </w:rPr>
              <w:t>Exposure Category: Suspended Sediment Concentration Range (milligrams per liter)</w:t>
            </w:r>
          </w:p>
        </w:tc>
        <w:tc>
          <w:tcPr>
            <w:tcW w:w="625" w:type="pct"/>
            <w:shd w:val="clear" w:color="auto" w:fill="D6E3BC" w:themeFill="accent3" w:themeFillTint="66"/>
          </w:tcPr>
          <w:p w:rsidRPr="003448B6" w:rsidR="00730239" w:rsidP="005B2164" w:rsidRDefault="00730239" w14:paraId="372BEDC8" w14:textId="77777777">
            <w:pPr>
              <w:keepNext/>
              <w:keepLines/>
              <w:spacing w:before="40" w:after="40" w:line="240" w:lineRule="auto"/>
              <w:rPr>
                <w:rFonts w:ascii="Arial" w:hAnsi="Arial" w:cs="Arial" w:eastAsiaTheme="minorHAnsi"/>
                <w:b/>
                <w:bCs/>
                <w:sz w:val="22"/>
                <w:szCs w:val="22"/>
              </w:rPr>
            </w:pPr>
            <w:r w:rsidRPr="003448B6">
              <w:rPr>
                <w:rFonts w:ascii="Arial" w:hAnsi="Arial" w:cs="Arial" w:eastAsiaTheme="minorHAnsi"/>
                <w:b/>
                <w:bCs/>
                <w:sz w:val="22"/>
                <w:szCs w:val="22"/>
              </w:rPr>
              <w:t>Exceedance Event Criteria: Duration (consecutive days)</w:t>
            </w:r>
          </w:p>
        </w:tc>
        <w:tc>
          <w:tcPr>
            <w:tcW w:w="725" w:type="pct"/>
            <w:shd w:val="clear" w:color="auto" w:fill="D6E3BC" w:themeFill="accent3" w:themeFillTint="66"/>
          </w:tcPr>
          <w:p w:rsidRPr="003448B6" w:rsidR="00730239" w:rsidP="005B2164" w:rsidRDefault="00730239" w14:paraId="2B4DDAF0" w14:textId="77777777">
            <w:pPr>
              <w:keepNext/>
              <w:keepLines/>
              <w:spacing w:before="40" w:after="40" w:line="240" w:lineRule="auto"/>
              <w:rPr>
                <w:rFonts w:ascii="Arial" w:hAnsi="Arial" w:cs="Arial" w:eastAsiaTheme="minorHAnsi"/>
                <w:b/>
                <w:bCs/>
                <w:sz w:val="22"/>
                <w:szCs w:val="22"/>
              </w:rPr>
            </w:pPr>
            <w:r w:rsidRPr="003448B6">
              <w:rPr>
                <w:rFonts w:ascii="Arial" w:hAnsi="Arial" w:cs="Arial" w:eastAsiaTheme="minorHAnsi"/>
                <w:b/>
                <w:bCs/>
                <w:sz w:val="22"/>
                <w:szCs w:val="22"/>
              </w:rPr>
              <w:t>Exceedance Event Criteria: Suspended Sediment Concentration (milligrams per liter)</w:t>
            </w:r>
          </w:p>
        </w:tc>
        <w:tc>
          <w:tcPr>
            <w:tcW w:w="559" w:type="pct"/>
            <w:shd w:val="clear" w:color="auto" w:fill="D6E3BC" w:themeFill="accent3" w:themeFillTint="66"/>
          </w:tcPr>
          <w:p w:rsidRPr="003448B6" w:rsidR="00730239" w:rsidP="005B2164" w:rsidRDefault="00730239" w14:paraId="64D4F563" w14:textId="77777777">
            <w:pPr>
              <w:keepNext/>
              <w:keepLines/>
              <w:spacing w:before="40" w:after="40" w:line="240" w:lineRule="auto"/>
              <w:rPr>
                <w:rFonts w:ascii="Arial" w:hAnsi="Arial" w:cs="Arial" w:eastAsiaTheme="minorHAnsi"/>
                <w:b/>
                <w:bCs/>
                <w:sz w:val="22"/>
                <w:szCs w:val="22"/>
              </w:rPr>
            </w:pPr>
            <w:r w:rsidRPr="003448B6">
              <w:rPr>
                <w:rFonts w:ascii="Arial" w:hAnsi="Arial" w:cs="Arial" w:eastAsiaTheme="minorHAnsi"/>
                <w:b/>
                <w:bCs/>
                <w:sz w:val="22"/>
                <w:szCs w:val="22"/>
              </w:rPr>
              <w:t>Numeric Targets: Maximum Number of Exceedance Events</w:t>
            </w:r>
          </w:p>
        </w:tc>
        <w:tc>
          <w:tcPr>
            <w:tcW w:w="788" w:type="pct"/>
            <w:shd w:val="clear" w:color="auto" w:fill="D6E3BC" w:themeFill="accent3" w:themeFillTint="66"/>
          </w:tcPr>
          <w:p w:rsidRPr="003448B6" w:rsidR="00730239" w:rsidP="005B2164" w:rsidRDefault="00730239" w14:paraId="58D6CCC0" w14:textId="77777777">
            <w:pPr>
              <w:keepNext/>
              <w:keepLines/>
              <w:spacing w:before="40" w:after="40" w:line="240" w:lineRule="auto"/>
              <w:rPr>
                <w:rFonts w:ascii="Arial" w:hAnsi="Arial" w:cs="Arial" w:eastAsiaTheme="minorHAnsi"/>
                <w:b/>
                <w:bCs/>
                <w:sz w:val="22"/>
                <w:szCs w:val="22"/>
              </w:rPr>
            </w:pPr>
            <w:r w:rsidRPr="003448B6">
              <w:rPr>
                <w:rFonts w:ascii="Arial" w:hAnsi="Arial" w:cs="Arial" w:eastAsiaTheme="minorHAnsi"/>
                <w:b/>
                <w:bCs/>
                <w:sz w:val="22"/>
                <w:szCs w:val="22"/>
              </w:rPr>
              <w:t>Numeric Targets: Maximum Duration of Any Given Exceedance Event (consecutive days)</w:t>
            </w:r>
          </w:p>
        </w:tc>
      </w:tr>
      <w:tr w:rsidRPr="003448B6" w:rsidR="00730239" w14:paraId="16F8E307" w14:textId="77777777">
        <w:tc>
          <w:tcPr>
            <w:tcW w:w="909" w:type="pct"/>
          </w:tcPr>
          <w:p w:rsidRPr="003448B6" w:rsidR="00730239" w:rsidP="005B2164" w:rsidRDefault="00730239" w14:paraId="3337BDD6"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Tres Pinos</w:t>
            </w:r>
          </w:p>
        </w:tc>
        <w:tc>
          <w:tcPr>
            <w:tcW w:w="571" w:type="pct"/>
          </w:tcPr>
          <w:p w:rsidRPr="003448B6" w:rsidR="00730239" w:rsidP="004B43B0" w:rsidRDefault="00730239" w14:paraId="7C7A7B4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823" w:type="pct"/>
          </w:tcPr>
          <w:p w:rsidRPr="003448B6" w:rsidR="00730239" w:rsidP="004B43B0" w:rsidRDefault="00730239" w14:paraId="01D7558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666 – 1808</w:t>
            </w:r>
          </w:p>
        </w:tc>
        <w:tc>
          <w:tcPr>
            <w:tcW w:w="625" w:type="pct"/>
          </w:tcPr>
          <w:p w:rsidRPr="003448B6" w:rsidR="00730239" w:rsidP="004B43B0" w:rsidRDefault="00730239" w14:paraId="3CF867D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25" w:type="pct"/>
          </w:tcPr>
          <w:p w:rsidRPr="003448B6" w:rsidR="00730239" w:rsidP="004B43B0" w:rsidRDefault="00730239" w14:paraId="20B3A5F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&gt;1808</w:t>
            </w:r>
          </w:p>
        </w:tc>
        <w:tc>
          <w:tcPr>
            <w:tcW w:w="559" w:type="pct"/>
          </w:tcPr>
          <w:p w:rsidRPr="003448B6" w:rsidR="00730239" w:rsidP="004B43B0" w:rsidRDefault="00730239" w14:paraId="26F34BA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c>
          <w:tcPr>
            <w:tcW w:w="788" w:type="pct"/>
          </w:tcPr>
          <w:p w:rsidRPr="003448B6" w:rsidR="00730239" w:rsidP="004B43B0" w:rsidRDefault="00730239" w14:paraId="5EA910D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22</w:t>
            </w:r>
          </w:p>
        </w:tc>
      </w:tr>
      <w:tr w:rsidRPr="003448B6" w:rsidR="00730239" w14:paraId="66C1F8F9" w14:textId="77777777">
        <w:tc>
          <w:tcPr>
            <w:tcW w:w="909" w:type="pct"/>
          </w:tcPr>
          <w:p w:rsidRPr="003448B6" w:rsidR="00730239" w:rsidP="005B2164" w:rsidRDefault="00730239" w14:paraId="652A36DE"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Tres Pinos</w:t>
            </w:r>
          </w:p>
        </w:tc>
        <w:tc>
          <w:tcPr>
            <w:tcW w:w="571" w:type="pct"/>
          </w:tcPr>
          <w:p w:rsidRPr="003448B6" w:rsidR="00730239" w:rsidP="004B43B0" w:rsidRDefault="00730239" w14:paraId="1F87CCC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823" w:type="pct"/>
          </w:tcPr>
          <w:p w:rsidRPr="003448B6" w:rsidR="00730239" w:rsidP="004B43B0" w:rsidRDefault="00730239" w14:paraId="37C69D0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245 – 665</w:t>
            </w:r>
          </w:p>
        </w:tc>
        <w:tc>
          <w:tcPr>
            <w:tcW w:w="625" w:type="pct"/>
          </w:tcPr>
          <w:p w:rsidRPr="003448B6" w:rsidR="00730239" w:rsidP="004B43B0" w:rsidRDefault="00730239" w14:paraId="5982964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c>
          <w:tcPr>
            <w:tcW w:w="725" w:type="pct"/>
          </w:tcPr>
          <w:p w:rsidRPr="003448B6" w:rsidR="00730239" w:rsidP="004B43B0" w:rsidRDefault="00730239" w14:paraId="01CC8E0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&gt;665</w:t>
            </w:r>
          </w:p>
        </w:tc>
        <w:tc>
          <w:tcPr>
            <w:tcW w:w="559" w:type="pct"/>
          </w:tcPr>
          <w:p w:rsidRPr="003448B6" w:rsidR="00730239" w:rsidP="004B43B0" w:rsidRDefault="00730239" w14:paraId="1F720AD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42</w:t>
            </w:r>
          </w:p>
        </w:tc>
        <w:tc>
          <w:tcPr>
            <w:tcW w:w="788" w:type="pct"/>
          </w:tcPr>
          <w:p w:rsidRPr="003448B6" w:rsidR="00730239" w:rsidP="004B43B0" w:rsidRDefault="00730239" w14:paraId="7515F76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44</w:t>
            </w:r>
          </w:p>
        </w:tc>
      </w:tr>
      <w:tr w:rsidRPr="003448B6" w:rsidR="00730239" w14:paraId="7E33868F" w14:textId="77777777">
        <w:tc>
          <w:tcPr>
            <w:tcW w:w="909" w:type="pct"/>
          </w:tcPr>
          <w:p w:rsidRPr="003448B6" w:rsidR="00730239" w:rsidP="005B2164" w:rsidRDefault="00730239" w14:paraId="3A794359"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Tres Pinos</w:t>
            </w:r>
          </w:p>
        </w:tc>
        <w:tc>
          <w:tcPr>
            <w:tcW w:w="571" w:type="pct"/>
          </w:tcPr>
          <w:p w:rsidRPr="003448B6" w:rsidR="00730239" w:rsidP="004B43B0" w:rsidRDefault="00730239" w14:paraId="59196D7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w:t>
            </w:r>
          </w:p>
        </w:tc>
        <w:tc>
          <w:tcPr>
            <w:tcW w:w="823" w:type="pct"/>
          </w:tcPr>
          <w:p w:rsidRPr="003448B6" w:rsidR="00730239" w:rsidP="004B43B0" w:rsidRDefault="00730239" w14:paraId="3F89810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192749E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7</w:t>
            </w:r>
          </w:p>
        </w:tc>
        <w:tc>
          <w:tcPr>
            <w:tcW w:w="725" w:type="pct"/>
          </w:tcPr>
          <w:p w:rsidRPr="003448B6" w:rsidR="00730239" w:rsidP="004B43B0" w:rsidRDefault="00730239" w14:paraId="134BC9E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5D8DCE0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36</w:t>
            </w:r>
          </w:p>
        </w:tc>
        <w:tc>
          <w:tcPr>
            <w:tcW w:w="788" w:type="pct"/>
          </w:tcPr>
          <w:p w:rsidRPr="003448B6" w:rsidR="00730239" w:rsidP="004B43B0" w:rsidRDefault="00730239" w14:paraId="2426C3D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51</w:t>
            </w:r>
          </w:p>
        </w:tc>
      </w:tr>
      <w:tr w:rsidRPr="003448B6" w:rsidR="00730239" w14:paraId="69FC9839" w14:textId="77777777">
        <w:tc>
          <w:tcPr>
            <w:tcW w:w="909" w:type="pct"/>
          </w:tcPr>
          <w:p w:rsidRPr="003448B6" w:rsidR="00730239" w:rsidP="005B2164" w:rsidRDefault="00730239" w14:paraId="19BE2765"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Tres Pinos</w:t>
            </w:r>
          </w:p>
        </w:tc>
        <w:tc>
          <w:tcPr>
            <w:tcW w:w="571" w:type="pct"/>
          </w:tcPr>
          <w:p w:rsidRPr="003448B6" w:rsidR="00730239" w:rsidP="004B43B0" w:rsidRDefault="00730239" w14:paraId="2EFA028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14</w:t>
            </w:r>
          </w:p>
        </w:tc>
        <w:tc>
          <w:tcPr>
            <w:tcW w:w="823" w:type="pct"/>
          </w:tcPr>
          <w:p w:rsidRPr="003448B6" w:rsidR="00730239" w:rsidP="004B43B0" w:rsidRDefault="00730239" w14:paraId="483F5DF7"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4204A8A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c>
          <w:tcPr>
            <w:tcW w:w="725" w:type="pct"/>
          </w:tcPr>
          <w:p w:rsidRPr="003448B6" w:rsidR="00730239" w:rsidP="004B43B0" w:rsidRDefault="00730239" w14:paraId="47C77D17"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4B16B47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20</w:t>
            </w:r>
          </w:p>
        </w:tc>
        <w:tc>
          <w:tcPr>
            <w:tcW w:w="788" w:type="pct"/>
          </w:tcPr>
          <w:p w:rsidRPr="003448B6" w:rsidR="00730239" w:rsidP="004B43B0" w:rsidRDefault="00730239" w14:paraId="4115522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51</w:t>
            </w:r>
          </w:p>
        </w:tc>
      </w:tr>
      <w:tr w:rsidRPr="003448B6" w:rsidR="00730239" w14:paraId="02A09849" w14:textId="77777777">
        <w:tc>
          <w:tcPr>
            <w:tcW w:w="909" w:type="pct"/>
          </w:tcPr>
          <w:p w:rsidRPr="003448B6" w:rsidR="00730239" w:rsidP="005B2164" w:rsidRDefault="00730239" w14:paraId="1A68B38D"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Tres Pinos</w:t>
            </w:r>
          </w:p>
        </w:tc>
        <w:tc>
          <w:tcPr>
            <w:tcW w:w="571" w:type="pct"/>
          </w:tcPr>
          <w:p w:rsidRPr="003448B6" w:rsidR="00730239" w:rsidP="004B43B0" w:rsidRDefault="00730239" w14:paraId="3DBCF0D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49</w:t>
            </w:r>
          </w:p>
        </w:tc>
        <w:tc>
          <w:tcPr>
            <w:tcW w:w="823" w:type="pct"/>
          </w:tcPr>
          <w:p w:rsidRPr="003448B6" w:rsidR="00730239" w:rsidP="004B43B0" w:rsidRDefault="00730239" w14:paraId="146FCF3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33 – 90</w:t>
            </w:r>
          </w:p>
        </w:tc>
        <w:tc>
          <w:tcPr>
            <w:tcW w:w="625" w:type="pct"/>
          </w:tcPr>
          <w:p w:rsidRPr="003448B6" w:rsidR="00730239" w:rsidP="004B43B0" w:rsidRDefault="00730239" w14:paraId="206DD89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50</w:t>
            </w:r>
          </w:p>
        </w:tc>
        <w:tc>
          <w:tcPr>
            <w:tcW w:w="725" w:type="pct"/>
          </w:tcPr>
          <w:p w:rsidRPr="003448B6" w:rsidR="00730239" w:rsidP="004B43B0" w:rsidRDefault="00730239" w14:paraId="311AB747"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&gt;90</w:t>
            </w:r>
          </w:p>
        </w:tc>
        <w:tc>
          <w:tcPr>
            <w:tcW w:w="559" w:type="pct"/>
          </w:tcPr>
          <w:p w:rsidRPr="003448B6" w:rsidR="00730239" w:rsidP="004B43B0" w:rsidRDefault="00730239" w14:paraId="68F5EEE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w:t>
            </w:r>
          </w:p>
        </w:tc>
        <w:tc>
          <w:tcPr>
            <w:tcW w:w="788" w:type="pct"/>
          </w:tcPr>
          <w:p w:rsidRPr="003448B6" w:rsidR="00730239" w:rsidP="004B43B0" w:rsidRDefault="00730239" w14:paraId="3DDA815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108</w:t>
            </w:r>
          </w:p>
        </w:tc>
      </w:tr>
      <w:tr w:rsidRPr="003448B6" w:rsidR="00730239" w14:paraId="43E7EC21" w14:textId="77777777">
        <w:tc>
          <w:tcPr>
            <w:tcW w:w="909" w:type="pct"/>
          </w:tcPr>
          <w:p w:rsidRPr="003448B6" w:rsidR="00730239" w:rsidP="005B2164" w:rsidRDefault="00730239" w14:paraId="65FEEC67"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San Benito River</w:t>
            </w:r>
          </w:p>
        </w:tc>
        <w:tc>
          <w:tcPr>
            <w:tcW w:w="571" w:type="pct"/>
          </w:tcPr>
          <w:p w:rsidRPr="003448B6" w:rsidR="00730239" w:rsidP="004B43B0" w:rsidRDefault="00730239" w14:paraId="7FC01AF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823" w:type="pct"/>
          </w:tcPr>
          <w:p w:rsidRPr="003448B6" w:rsidR="00730239" w:rsidP="004B43B0" w:rsidRDefault="00730239" w14:paraId="07D83827"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666 – 1808</w:t>
            </w:r>
          </w:p>
        </w:tc>
        <w:tc>
          <w:tcPr>
            <w:tcW w:w="625" w:type="pct"/>
          </w:tcPr>
          <w:p w:rsidRPr="003448B6" w:rsidR="00730239" w:rsidP="004B43B0" w:rsidRDefault="00730239" w14:paraId="0CEED45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25" w:type="pct"/>
          </w:tcPr>
          <w:p w:rsidRPr="003448B6" w:rsidR="00730239" w:rsidP="004B43B0" w:rsidRDefault="00730239" w14:paraId="41559CF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&gt;1808</w:t>
            </w:r>
          </w:p>
        </w:tc>
        <w:tc>
          <w:tcPr>
            <w:tcW w:w="559" w:type="pct"/>
          </w:tcPr>
          <w:p w:rsidRPr="003448B6" w:rsidR="00730239" w:rsidP="004B43B0" w:rsidRDefault="00730239" w14:paraId="0C74B8B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w:t>
            </w:r>
          </w:p>
        </w:tc>
        <w:tc>
          <w:tcPr>
            <w:tcW w:w="788" w:type="pct"/>
          </w:tcPr>
          <w:p w:rsidRPr="003448B6" w:rsidR="00730239" w:rsidP="004B43B0" w:rsidRDefault="00730239" w14:paraId="74DFAC7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w:t>
            </w:r>
          </w:p>
        </w:tc>
      </w:tr>
      <w:tr w:rsidRPr="003448B6" w:rsidR="00730239" w14:paraId="08E4B17F" w14:textId="77777777">
        <w:tc>
          <w:tcPr>
            <w:tcW w:w="909" w:type="pct"/>
          </w:tcPr>
          <w:p w:rsidRPr="003448B6" w:rsidR="00730239" w:rsidP="005B2164" w:rsidRDefault="00730239" w14:paraId="335A8FEC"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San Benito River</w:t>
            </w:r>
          </w:p>
        </w:tc>
        <w:tc>
          <w:tcPr>
            <w:tcW w:w="571" w:type="pct"/>
          </w:tcPr>
          <w:p w:rsidRPr="003448B6" w:rsidR="00730239" w:rsidP="004B43B0" w:rsidRDefault="00730239" w14:paraId="345013B9"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823" w:type="pct"/>
          </w:tcPr>
          <w:p w:rsidRPr="003448B6" w:rsidR="00730239" w:rsidP="004B43B0" w:rsidRDefault="00730239" w14:paraId="7F11628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245 – 665</w:t>
            </w:r>
          </w:p>
        </w:tc>
        <w:tc>
          <w:tcPr>
            <w:tcW w:w="625" w:type="pct"/>
          </w:tcPr>
          <w:p w:rsidRPr="003448B6" w:rsidR="00730239" w:rsidP="004B43B0" w:rsidRDefault="00730239" w14:paraId="58FD58A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c>
          <w:tcPr>
            <w:tcW w:w="725" w:type="pct"/>
          </w:tcPr>
          <w:p w:rsidRPr="003448B6" w:rsidR="00730239" w:rsidP="004B43B0" w:rsidRDefault="00730239" w14:paraId="0A3E5AA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&gt;665</w:t>
            </w:r>
          </w:p>
        </w:tc>
        <w:tc>
          <w:tcPr>
            <w:tcW w:w="559" w:type="pct"/>
          </w:tcPr>
          <w:p w:rsidRPr="003448B6" w:rsidR="00730239" w:rsidP="004B43B0" w:rsidRDefault="00730239" w14:paraId="15279E2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30</w:t>
            </w:r>
          </w:p>
        </w:tc>
        <w:tc>
          <w:tcPr>
            <w:tcW w:w="788" w:type="pct"/>
          </w:tcPr>
          <w:p w:rsidRPr="003448B6" w:rsidR="00730239" w:rsidP="004B43B0" w:rsidRDefault="00730239" w14:paraId="2BEB9CA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21</w:t>
            </w:r>
          </w:p>
        </w:tc>
      </w:tr>
      <w:tr w:rsidRPr="003448B6" w:rsidR="00730239" w14:paraId="1F73FF22" w14:textId="77777777">
        <w:tc>
          <w:tcPr>
            <w:tcW w:w="909" w:type="pct"/>
          </w:tcPr>
          <w:p w:rsidRPr="003448B6" w:rsidR="00730239" w:rsidP="005B2164" w:rsidRDefault="00730239" w14:paraId="487A02EB"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San Benito River</w:t>
            </w:r>
          </w:p>
        </w:tc>
        <w:tc>
          <w:tcPr>
            <w:tcW w:w="571" w:type="pct"/>
          </w:tcPr>
          <w:p w:rsidRPr="003448B6" w:rsidR="00730239" w:rsidP="004B43B0" w:rsidRDefault="00730239" w14:paraId="0BCECA8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w:t>
            </w:r>
          </w:p>
        </w:tc>
        <w:tc>
          <w:tcPr>
            <w:tcW w:w="823" w:type="pct"/>
          </w:tcPr>
          <w:p w:rsidRPr="003448B6" w:rsidR="00730239" w:rsidP="004B43B0" w:rsidRDefault="00730239" w14:paraId="173CC97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12093F4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7</w:t>
            </w:r>
          </w:p>
        </w:tc>
        <w:tc>
          <w:tcPr>
            <w:tcW w:w="725" w:type="pct"/>
          </w:tcPr>
          <w:p w:rsidRPr="003448B6" w:rsidR="00730239" w:rsidP="004B43B0" w:rsidRDefault="00730239" w14:paraId="07CC91D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4E035D7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29</w:t>
            </w:r>
          </w:p>
        </w:tc>
        <w:tc>
          <w:tcPr>
            <w:tcW w:w="788" w:type="pct"/>
          </w:tcPr>
          <w:p w:rsidRPr="003448B6" w:rsidR="00730239" w:rsidP="004B43B0" w:rsidRDefault="00730239" w14:paraId="722563D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35</w:t>
            </w:r>
          </w:p>
        </w:tc>
      </w:tr>
      <w:tr w:rsidRPr="003448B6" w:rsidR="00730239" w14:paraId="1028FD1B" w14:textId="77777777">
        <w:tc>
          <w:tcPr>
            <w:tcW w:w="909" w:type="pct"/>
          </w:tcPr>
          <w:p w:rsidRPr="003448B6" w:rsidR="00730239" w:rsidP="005B2164" w:rsidRDefault="00730239" w14:paraId="400F6E87"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San Benito River</w:t>
            </w:r>
          </w:p>
        </w:tc>
        <w:tc>
          <w:tcPr>
            <w:tcW w:w="571" w:type="pct"/>
          </w:tcPr>
          <w:p w:rsidRPr="003448B6" w:rsidR="00730239" w:rsidP="004B43B0" w:rsidRDefault="00730239" w14:paraId="2B100D3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14</w:t>
            </w:r>
          </w:p>
        </w:tc>
        <w:tc>
          <w:tcPr>
            <w:tcW w:w="823" w:type="pct"/>
          </w:tcPr>
          <w:p w:rsidRPr="003448B6" w:rsidR="00730239" w:rsidP="004B43B0" w:rsidRDefault="00730239" w14:paraId="21D76DC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609AC4EE"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c>
          <w:tcPr>
            <w:tcW w:w="725" w:type="pct"/>
          </w:tcPr>
          <w:p w:rsidRPr="003448B6" w:rsidR="00730239" w:rsidP="004B43B0" w:rsidRDefault="00730239" w14:paraId="2C81B84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078833A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14</w:t>
            </w:r>
          </w:p>
        </w:tc>
        <w:tc>
          <w:tcPr>
            <w:tcW w:w="788" w:type="pct"/>
          </w:tcPr>
          <w:p w:rsidRPr="003448B6" w:rsidR="00730239" w:rsidP="004B43B0" w:rsidRDefault="00730239" w14:paraId="0F321A5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35</w:t>
            </w:r>
          </w:p>
        </w:tc>
      </w:tr>
      <w:tr w:rsidRPr="003448B6" w:rsidR="00730239" w14:paraId="46ED5D7B" w14:textId="77777777">
        <w:tc>
          <w:tcPr>
            <w:tcW w:w="909" w:type="pct"/>
          </w:tcPr>
          <w:p w:rsidRPr="003448B6" w:rsidR="00730239" w:rsidP="005B2164" w:rsidRDefault="00730239" w14:paraId="0F82C090"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San Benito River</w:t>
            </w:r>
          </w:p>
        </w:tc>
        <w:tc>
          <w:tcPr>
            <w:tcW w:w="571" w:type="pct"/>
          </w:tcPr>
          <w:p w:rsidRPr="003448B6" w:rsidR="00730239" w:rsidP="004B43B0" w:rsidRDefault="00730239" w14:paraId="2622204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49</w:t>
            </w:r>
          </w:p>
        </w:tc>
        <w:tc>
          <w:tcPr>
            <w:tcW w:w="823" w:type="pct"/>
          </w:tcPr>
          <w:p w:rsidRPr="003448B6" w:rsidR="00730239" w:rsidP="004B43B0" w:rsidRDefault="00730239" w14:paraId="063D97C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33 – 90</w:t>
            </w:r>
          </w:p>
        </w:tc>
        <w:tc>
          <w:tcPr>
            <w:tcW w:w="625" w:type="pct"/>
          </w:tcPr>
          <w:p w:rsidRPr="003448B6" w:rsidR="00730239" w:rsidP="004B43B0" w:rsidRDefault="00730239" w14:paraId="03F40EB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50</w:t>
            </w:r>
          </w:p>
        </w:tc>
        <w:tc>
          <w:tcPr>
            <w:tcW w:w="725" w:type="pct"/>
          </w:tcPr>
          <w:p w:rsidRPr="003448B6" w:rsidR="00730239" w:rsidP="004B43B0" w:rsidRDefault="00730239" w14:paraId="44E5A4D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&gt;90</w:t>
            </w:r>
          </w:p>
        </w:tc>
        <w:tc>
          <w:tcPr>
            <w:tcW w:w="559" w:type="pct"/>
          </w:tcPr>
          <w:p w:rsidRPr="003448B6" w:rsidR="00730239" w:rsidP="004B43B0" w:rsidRDefault="00730239" w14:paraId="38F20A4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88" w:type="pct"/>
          </w:tcPr>
          <w:p w:rsidRPr="003448B6" w:rsidR="00730239" w:rsidP="004B43B0" w:rsidRDefault="00730239" w14:paraId="3880F96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60</w:t>
            </w:r>
          </w:p>
        </w:tc>
      </w:tr>
      <w:tr w:rsidRPr="003448B6" w:rsidR="00730239" w14:paraId="278D5C10" w14:textId="77777777">
        <w:tc>
          <w:tcPr>
            <w:tcW w:w="909" w:type="pct"/>
          </w:tcPr>
          <w:p w:rsidRPr="003448B6" w:rsidR="00730239" w:rsidP="005B2164" w:rsidRDefault="00730239" w14:paraId="1B2808D5"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Llagas Creek</w:t>
            </w:r>
          </w:p>
        </w:tc>
        <w:tc>
          <w:tcPr>
            <w:tcW w:w="571" w:type="pct"/>
          </w:tcPr>
          <w:p w:rsidRPr="003448B6" w:rsidR="00730239" w:rsidP="004B43B0" w:rsidRDefault="00730239" w14:paraId="69E7A25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823" w:type="pct"/>
          </w:tcPr>
          <w:p w:rsidRPr="003448B6" w:rsidR="00730239" w:rsidP="004B43B0" w:rsidRDefault="00730239" w14:paraId="764C41C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666 – 1808</w:t>
            </w:r>
          </w:p>
        </w:tc>
        <w:tc>
          <w:tcPr>
            <w:tcW w:w="625" w:type="pct"/>
          </w:tcPr>
          <w:p w:rsidRPr="003448B6" w:rsidR="00730239" w:rsidP="004B43B0" w:rsidRDefault="00730239" w14:paraId="6683EBB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25" w:type="pct"/>
          </w:tcPr>
          <w:p w:rsidRPr="003448B6" w:rsidR="00730239" w:rsidP="004B43B0" w:rsidRDefault="00730239" w14:paraId="6DF5F04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&gt;1808</w:t>
            </w:r>
          </w:p>
        </w:tc>
        <w:tc>
          <w:tcPr>
            <w:tcW w:w="559" w:type="pct"/>
          </w:tcPr>
          <w:p w:rsidRPr="003448B6" w:rsidR="00730239" w:rsidP="004B43B0" w:rsidRDefault="00730239" w14:paraId="0F1044E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7E308C9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r>
      <w:tr w:rsidRPr="003448B6" w:rsidR="00730239" w14:paraId="58F3222E" w14:textId="77777777">
        <w:tc>
          <w:tcPr>
            <w:tcW w:w="909" w:type="pct"/>
          </w:tcPr>
          <w:p w:rsidRPr="003448B6" w:rsidR="00730239" w:rsidP="005B2164" w:rsidRDefault="00730239" w14:paraId="75118D14"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Llagas Creek</w:t>
            </w:r>
          </w:p>
        </w:tc>
        <w:tc>
          <w:tcPr>
            <w:tcW w:w="571" w:type="pct"/>
          </w:tcPr>
          <w:p w:rsidRPr="003448B6" w:rsidR="00730239" w:rsidP="004B43B0" w:rsidRDefault="00730239" w14:paraId="3D5E2C1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823" w:type="pct"/>
          </w:tcPr>
          <w:p w:rsidRPr="003448B6" w:rsidR="00730239" w:rsidP="004B43B0" w:rsidRDefault="00730239" w14:paraId="60CEDAC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245 – 665</w:t>
            </w:r>
          </w:p>
        </w:tc>
        <w:tc>
          <w:tcPr>
            <w:tcW w:w="625" w:type="pct"/>
          </w:tcPr>
          <w:p w:rsidRPr="003448B6" w:rsidR="00730239" w:rsidP="004B43B0" w:rsidRDefault="00730239" w14:paraId="7AAAFAD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c>
          <w:tcPr>
            <w:tcW w:w="725" w:type="pct"/>
          </w:tcPr>
          <w:p w:rsidRPr="003448B6" w:rsidR="00730239" w:rsidP="004B43B0" w:rsidRDefault="00730239" w14:paraId="0C67384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&gt;665</w:t>
            </w:r>
          </w:p>
        </w:tc>
        <w:tc>
          <w:tcPr>
            <w:tcW w:w="559" w:type="pct"/>
          </w:tcPr>
          <w:p w:rsidRPr="003448B6" w:rsidR="00730239" w:rsidP="004B43B0" w:rsidRDefault="00730239" w14:paraId="6EE6814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1BF9CB2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r>
      <w:tr w:rsidRPr="003448B6" w:rsidR="00730239" w14:paraId="29EB1A0E" w14:textId="77777777">
        <w:tc>
          <w:tcPr>
            <w:tcW w:w="909" w:type="pct"/>
          </w:tcPr>
          <w:p w:rsidRPr="003448B6" w:rsidR="00730239" w:rsidP="005B2164" w:rsidRDefault="00730239" w14:paraId="02733374"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Llagas Creek</w:t>
            </w:r>
          </w:p>
        </w:tc>
        <w:tc>
          <w:tcPr>
            <w:tcW w:w="571" w:type="pct"/>
          </w:tcPr>
          <w:p w:rsidRPr="003448B6" w:rsidR="00730239" w:rsidP="004B43B0" w:rsidRDefault="00730239" w14:paraId="18899C7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w:t>
            </w:r>
          </w:p>
        </w:tc>
        <w:tc>
          <w:tcPr>
            <w:tcW w:w="823" w:type="pct"/>
          </w:tcPr>
          <w:p w:rsidRPr="003448B6" w:rsidR="00730239" w:rsidP="004B43B0" w:rsidRDefault="00730239" w14:paraId="72446B5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45D66E2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7</w:t>
            </w:r>
          </w:p>
        </w:tc>
        <w:tc>
          <w:tcPr>
            <w:tcW w:w="725" w:type="pct"/>
          </w:tcPr>
          <w:p w:rsidRPr="003448B6" w:rsidR="00730239" w:rsidP="004B43B0" w:rsidRDefault="00730239" w14:paraId="4E4C92B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6AA5CB2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w:t>
            </w:r>
          </w:p>
        </w:tc>
        <w:tc>
          <w:tcPr>
            <w:tcW w:w="788" w:type="pct"/>
          </w:tcPr>
          <w:p w:rsidRPr="003448B6" w:rsidR="00730239" w:rsidP="004B43B0" w:rsidRDefault="00730239" w14:paraId="756E777E"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r>
      <w:tr w:rsidRPr="003448B6" w:rsidR="00730239" w14:paraId="3C67354C" w14:textId="77777777">
        <w:tc>
          <w:tcPr>
            <w:tcW w:w="909" w:type="pct"/>
          </w:tcPr>
          <w:p w:rsidRPr="003448B6" w:rsidR="00730239" w:rsidP="005B2164" w:rsidRDefault="00730239" w14:paraId="3B535989"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Llagas Creek</w:t>
            </w:r>
          </w:p>
        </w:tc>
        <w:tc>
          <w:tcPr>
            <w:tcW w:w="571" w:type="pct"/>
          </w:tcPr>
          <w:p w:rsidRPr="003448B6" w:rsidR="00730239" w:rsidP="004B43B0" w:rsidRDefault="00730239" w14:paraId="079EBD6E"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14</w:t>
            </w:r>
          </w:p>
        </w:tc>
        <w:tc>
          <w:tcPr>
            <w:tcW w:w="823" w:type="pct"/>
          </w:tcPr>
          <w:p w:rsidRPr="003448B6" w:rsidR="00730239" w:rsidP="004B43B0" w:rsidRDefault="00730239" w14:paraId="6FD5E49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7BAEBD6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c>
          <w:tcPr>
            <w:tcW w:w="725" w:type="pct"/>
          </w:tcPr>
          <w:p w:rsidRPr="003448B6" w:rsidR="00730239" w:rsidP="004B43B0" w:rsidRDefault="00730239" w14:paraId="79A52F1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510CB6B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788" w:type="pct"/>
          </w:tcPr>
          <w:p w:rsidRPr="003448B6" w:rsidR="00730239" w:rsidP="004B43B0" w:rsidRDefault="00730239" w14:paraId="6FCA3BD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r>
      <w:tr w:rsidRPr="003448B6" w:rsidR="00730239" w14:paraId="3109C995" w14:textId="77777777">
        <w:tc>
          <w:tcPr>
            <w:tcW w:w="909" w:type="pct"/>
          </w:tcPr>
          <w:p w:rsidRPr="003448B6" w:rsidR="00730239" w:rsidP="005B2164" w:rsidRDefault="00730239" w14:paraId="5E747E72"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Llagas Creek</w:t>
            </w:r>
          </w:p>
        </w:tc>
        <w:tc>
          <w:tcPr>
            <w:tcW w:w="571" w:type="pct"/>
          </w:tcPr>
          <w:p w:rsidRPr="003448B6" w:rsidR="00730239" w:rsidP="004B43B0" w:rsidRDefault="00730239" w14:paraId="3623D37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49</w:t>
            </w:r>
          </w:p>
        </w:tc>
        <w:tc>
          <w:tcPr>
            <w:tcW w:w="823" w:type="pct"/>
          </w:tcPr>
          <w:p w:rsidRPr="003448B6" w:rsidR="00730239" w:rsidP="004B43B0" w:rsidRDefault="00730239" w14:paraId="1773BC2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33 – 90</w:t>
            </w:r>
          </w:p>
        </w:tc>
        <w:tc>
          <w:tcPr>
            <w:tcW w:w="625" w:type="pct"/>
          </w:tcPr>
          <w:p w:rsidRPr="003448B6" w:rsidR="00730239" w:rsidP="004B43B0" w:rsidRDefault="00730239" w14:paraId="4E068BD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50</w:t>
            </w:r>
          </w:p>
        </w:tc>
        <w:tc>
          <w:tcPr>
            <w:tcW w:w="725" w:type="pct"/>
          </w:tcPr>
          <w:p w:rsidRPr="003448B6" w:rsidR="00730239" w:rsidP="004B43B0" w:rsidRDefault="00730239" w14:paraId="6C2FCF9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&gt;90</w:t>
            </w:r>
          </w:p>
        </w:tc>
        <w:tc>
          <w:tcPr>
            <w:tcW w:w="559" w:type="pct"/>
          </w:tcPr>
          <w:p w:rsidRPr="003448B6" w:rsidR="00730239" w:rsidP="004B43B0" w:rsidRDefault="00730239" w14:paraId="013B7979"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61AFD1A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28</w:t>
            </w:r>
          </w:p>
        </w:tc>
      </w:tr>
      <w:tr w:rsidRPr="003448B6" w:rsidR="00730239" w14:paraId="50426BF4" w14:textId="77777777">
        <w:tc>
          <w:tcPr>
            <w:tcW w:w="909" w:type="pct"/>
          </w:tcPr>
          <w:p w:rsidRPr="003448B6" w:rsidR="00730239" w:rsidP="005B2164" w:rsidRDefault="00730239" w14:paraId="5F8731FE"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Uvas Creek</w:t>
            </w:r>
          </w:p>
        </w:tc>
        <w:tc>
          <w:tcPr>
            <w:tcW w:w="571" w:type="pct"/>
          </w:tcPr>
          <w:p w:rsidRPr="003448B6" w:rsidR="00730239" w:rsidP="004B43B0" w:rsidRDefault="00730239" w14:paraId="6095C77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823" w:type="pct"/>
          </w:tcPr>
          <w:p w:rsidRPr="003448B6" w:rsidR="00730239" w:rsidP="004B43B0" w:rsidRDefault="00730239" w14:paraId="6D11490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666 – 1808</w:t>
            </w:r>
          </w:p>
        </w:tc>
        <w:tc>
          <w:tcPr>
            <w:tcW w:w="625" w:type="pct"/>
          </w:tcPr>
          <w:p w:rsidRPr="003448B6" w:rsidR="00730239" w:rsidP="004B43B0" w:rsidRDefault="00730239" w14:paraId="4B2AE7C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25" w:type="pct"/>
          </w:tcPr>
          <w:p w:rsidRPr="003448B6" w:rsidR="00730239" w:rsidP="004B43B0" w:rsidRDefault="00730239" w14:paraId="480BC37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&gt;1808</w:t>
            </w:r>
          </w:p>
        </w:tc>
        <w:tc>
          <w:tcPr>
            <w:tcW w:w="559" w:type="pct"/>
          </w:tcPr>
          <w:p w:rsidRPr="003448B6" w:rsidR="00730239" w:rsidP="004B43B0" w:rsidRDefault="00730239" w14:paraId="0655BEB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788" w:type="pct"/>
          </w:tcPr>
          <w:p w:rsidRPr="003448B6" w:rsidR="00730239" w:rsidP="004B43B0" w:rsidRDefault="00730239" w14:paraId="22812A59"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r>
      <w:tr w:rsidRPr="003448B6" w:rsidR="00730239" w14:paraId="175730F4" w14:textId="77777777">
        <w:tc>
          <w:tcPr>
            <w:tcW w:w="909" w:type="pct"/>
          </w:tcPr>
          <w:p w:rsidRPr="003448B6" w:rsidR="00730239" w:rsidP="005B2164" w:rsidRDefault="00730239" w14:paraId="1F343E65"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Uvas Creek</w:t>
            </w:r>
          </w:p>
        </w:tc>
        <w:tc>
          <w:tcPr>
            <w:tcW w:w="571" w:type="pct"/>
          </w:tcPr>
          <w:p w:rsidRPr="003448B6" w:rsidR="00730239" w:rsidP="004B43B0" w:rsidRDefault="00730239" w14:paraId="324A587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823" w:type="pct"/>
          </w:tcPr>
          <w:p w:rsidRPr="003448B6" w:rsidR="00730239" w:rsidP="004B43B0" w:rsidRDefault="00730239" w14:paraId="6931D5A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245 – 665</w:t>
            </w:r>
          </w:p>
        </w:tc>
        <w:tc>
          <w:tcPr>
            <w:tcW w:w="625" w:type="pct"/>
          </w:tcPr>
          <w:p w:rsidRPr="003448B6" w:rsidR="00730239" w:rsidP="004B43B0" w:rsidRDefault="00730239" w14:paraId="37DD64FE"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c>
          <w:tcPr>
            <w:tcW w:w="725" w:type="pct"/>
          </w:tcPr>
          <w:p w:rsidRPr="003448B6" w:rsidR="00730239" w:rsidP="004B43B0" w:rsidRDefault="00730239" w14:paraId="4378468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&gt;665</w:t>
            </w:r>
          </w:p>
        </w:tc>
        <w:tc>
          <w:tcPr>
            <w:tcW w:w="559" w:type="pct"/>
          </w:tcPr>
          <w:p w:rsidRPr="003448B6" w:rsidR="00730239" w:rsidP="004B43B0" w:rsidRDefault="00730239" w14:paraId="7835A1B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12</w:t>
            </w:r>
          </w:p>
        </w:tc>
        <w:tc>
          <w:tcPr>
            <w:tcW w:w="788" w:type="pct"/>
          </w:tcPr>
          <w:p w:rsidRPr="003448B6" w:rsidR="00730239" w:rsidP="004B43B0" w:rsidRDefault="00730239" w14:paraId="3C8A0E6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8</w:t>
            </w:r>
          </w:p>
        </w:tc>
      </w:tr>
      <w:tr w:rsidRPr="003448B6" w:rsidR="00730239" w14:paraId="200C9DE0" w14:textId="77777777">
        <w:tc>
          <w:tcPr>
            <w:tcW w:w="909" w:type="pct"/>
          </w:tcPr>
          <w:p w:rsidRPr="003448B6" w:rsidR="00730239" w:rsidP="005B2164" w:rsidRDefault="00730239" w14:paraId="06FDC893"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Uvas Creek</w:t>
            </w:r>
          </w:p>
        </w:tc>
        <w:tc>
          <w:tcPr>
            <w:tcW w:w="571" w:type="pct"/>
          </w:tcPr>
          <w:p w:rsidRPr="003448B6" w:rsidR="00730239" w:rsidP="004B43B0" w:rsidRDefault="00730239" w14:paraId="5104714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w:t>
            </w:r>
          </w:p>
        </w:tc>
        <w:tc>
          <w:tcPr>
            <w:tcW w:w="823" w:type="pct"/>
          </w:tcPr>
          <w:p w:rsidRPr="003448B6" w:rsidR="00730239" w:rsidP="004B43B0" w:rsidRDefault="00730239" w14:paraId="327A0A9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0EF4B78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7</w:t>
            </w:r>
          </w:p>
        </w:tc>
        <w:tc>
          <w:tcPr>
            <w:tcW w:w="725" w:type="pct"/>
          </w:tcPr>
          <w:p w:rsidRPr="003448B6" w:rsidR="00730239" w:rsidP="004B43B0" w:rsidRDefault="00730239" w14:paraId="5D3218E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65F3163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12</w:t>
            </w:r>
          </w:p>
        </w:tc>
        <w:tc>
          <w:tcPr>
            <w:tcW w:w="788" w:type="pct"/>
          </w:tcPr>
          <w:p w:rsidRPr="003448B6" w:rsidR="00730239" w:rsidP="004B43B0" w:rsidRDefault="00730239" w14:paraId="39A8E95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r>
      <w:tr w:rsidRPr="003448B6" w:rsidR="00730239" w14:paraId="2BB92D0A" w14:textId="77777777">
        <w:tc>
          <w:tcPr>
            <w:tcW w:w="909" w:type="pct"/>
          </w:tcPr>
          <w:p w:rsidRPr="003448B6" w:rsidR="00730239" w:rsidP="005B2164" w:rsidRDefault="00730239" w14:paraId="1F116A1A"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Uvas Creek</w:t>
            </w:r>
          </w:p>
        </w:tc>
        <w:tc>
          <w:tcPr>
            <w:tcW w:w="571" w:type="pct"/>
          </w:tcPr>
          <w:p w:rsidRPr="003448B6" w:rsidR="00730239" w:rsidP="004B43B0" w:rsidRDefault="00730239" w14:paraId="7A20251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14</w:t>
            </w:r>
          </w:p>
        </w:tc>
        <w:tc>
          <w:tcPr>
            <w:tcW w:w="823" w:type="pct"/>
          </w:tcPr>
          <w:p w:rsidRPr="003448B6" w:rsidR="00730239" w:rsidP="004B43B0" w:rsidRDefault="00730239" w14:paraId="3E3C8FD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34662D7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c>
          <w:tcPr>
            <w:tcW w:w="725" w:type="pct"/>
          </w:tcPr>
          <w:p w:rsidRPr="003448B6" w:rsidR="00730239" w:rsidP="004B43B0" w:rsidRDefault="00730239" w14:paraId="4EEA7D87"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14DE7B5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788" w:type="pct"/>
          </w:tcPr>
          <w:p w:rsidRPr="003448B6" w:rsidR="00730239" w:rsidP="004B43B0" w:rsidRDefault="00730239" w14:paraId="362E5D2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r>
      <w:tr w:rsidRPr="003448B6" w:rsidR="00730239" w14:paraId="7D26E33A" w14:textId="77777777">
        <w:tc>
          <w:tcPr>
            <w:tcW w:w="909" w:type="pct"/>
          </w:tcPr>
          <w:p w:rsidRPr="003448B6" w:rsidR="00730239" w:rsidP="005B2164" w:rsidRDefault="00730239" w14:paraId="7A019A1E"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Uvas Creek</w:t>
            </w:r>
          </w:p>
        </w:tc>
        <w:tc>
          <w:tcPr>
            <w:tcW w:w="571" w:type="pct"/>
          </w:tcPr>
          <w:p w:rsidRPr="003448B6" w:rsidR="00730239" w:rsidP="004B43B0" w:rsidRDefault="00730239" w14:paraId="2A8267A9"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49</w:t>
            </w:r>
          </w:p>
        </w:tc>
        <w:tc>
          <w:tcPr>
            <w:tcW w:w="823" w:type="pct"/>
          </w:tcPr>
          <w:p w:rsidRPr="003448B6" w:rsidR="00730239" w:rsidP="004B43B0" w:rsidRDefault="00730239" w14:paraId="67CF947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33 – 90</w:t>
            </w:r>
          </w:p>
        </w:tc>
        <w:tc>
          <w:tcPr>
            <w:tcW w:w="625" w:type="pct"/>
          </w:tcPr>
          <w:p w:rsidRPr="003448B6" w:rsidR="00730239" w:rsidP="004B43B0" w:rsidRDefault="00730239" w14:paraId="21804DF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50</w:t>
            </w:r>
          </w:p>
        </w:tc>
        <w:tc>
          <w:tcPr>
            <w:tcW w:w="725" w:type="pct"/>
          </w:tcPr>
          <w:p w:rsidRPr="003448B6" w:rsidR="00730239" w:rsidP="004B43B0" w:rsidRDefault="00730239" w14:paraId="523AB17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&gt;90</w:t>
            </w:r>
          </w:p>
        </w:tc>
        <w:tc>
          <w:tcPr>
            <w:tcW w:w="559" w:type="pct"/>
          </w:tcPr>
          <w:p w:rsidRPr="003448B6" w:rsidR="00730239" w:rsidP="004B43B0" w:rsidRDefault="00730239" w14:paraId="30B66AA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6125AB3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18</w:t>
            </w:r>
          </w:p>
        </w:tc>
      </w:tr>
      <w:tr w:rsidRPr="003448B6" w:rsidR="00730239" w14:paraId="61AA5A30" w14:textId="77777777">
        <w:tc>
          <w:tcPr>
            <w:tcW w:w="909" w:type="pct"/>
          </w:tcPr>
          <w:p w:rsidRPr="003448B6" w:rsidR="00730239" w:rsidP="005B2164" w:rsidRDefault="00730239" w14:paraId="57E81E62"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Upper Pajaro River</w:t>
            </w:r>
          </w:p>
        </w:tc>
        <w:tc>
          <w:tcPr>
            <w:tcW w:w="571" w:type="pct"/>
          </w:tcPr>
          <w:p w:rsidRPr="003448B6" w:rsidR="00730239" w:rsidP="004B43B0" w:rsidRDefault="00730239" w14:paraId="7EE2683E"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823" w:type="pct"/>
          </w:tcPr>
          <w:p w:rsidRPr="003448B6" w:rsidR="00730239" w:rsidP="004B43B0" w:rsidRDefault="00730239" w14:paraId="4EC6202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666 – 1808</w:t>
            </w:r>
          </w:p>
        </w:tc>
        <w:tc>
          <w:tcPr>
            <w:tcW w:w="625" w:type="pct"/>
          </w:tcPr>
          <w:p w:rsidRPr="003448B6" w:rsidR="00730239" w:rsidP="004B43B0" w:rsidRDefault="00730239" w14:paraId="21CBC43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25" w:type="pct"/>
          </w:tcPr>
          <w:p w:rsidRPr="003448B6" w:rsidR="00730239" w:rsidP="004B43B0" w:rsidRDefault="00730239" w14:paraId="21345D1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&gt;1808</w:t>
            </w:r>
          </w:p>
        </w:tc>
        <w:tc>
          <w:tcPr>
            <w:tcW w:w="559" w:type="pct"/>
          </w:tcPr>
          <w:p w:rsidRPr="003448B6" w:rsidR="00730239" w:rsidP="004B43B0" w:rsidRDefault="00730239" w14:paraId="70E3D14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6EE1A60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r>
      <w:tr w:rsidRPr="003448B6" w:rsidR="00730239" w14:paraId="0D5ADF73" w14:textId="77777777">
        <w:tc>
          <w:tcPr>
            <w:tcW w:w="909" w:type="pct"/>
          </w:tcPr>
          <w:p w:rsidRPr="003448B6" w:rsidR="00730239" w:rsidP="005B2164" w:rsidRDefault="00730239" w14:paraId="5F52DDF2"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Upper Pajaro River</w:t>
            </w:r>
          </w:p>
        </w:tc>
        <w:tc>
          <w:tcPr>
            <w:tcW w:w="571" w:type="pct"/>
          </w:tcPr>
          <w:p w:rsidRPr="003448B6" w:rsidR="00730239" w:rsidP="004B43B0" w:rsidRDefault="00730239" w14:paraId="0919661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823" w:type="pct"/>
          </w:tcPr>
          <w:p w:rsidRPr="003448B6" w:rsidR="00730239" w:rsidP="004B43B0" w:rsidRDefault="00730239" w14:paraId="2E6DECF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245 – 665</w:t>
            </w:r>
          </w:p>
        </w:tc>
        <w:tc>
          <w:tcPr>
            <w:tcW w:w="625" w:type="pct"/>
          </w:tcPr>
          <w:p w:rsidRPr="003448B6" w:rsidR="00730239" w:rsidP="004B43B0" w:rsidRDefault="00730239" w14:paraId="4A27FE6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c>
          <w:tcPr>
            <w:tcW w:w="725" w:type="pct"/>
          </w:tcPr>
          <w:p w:rsidRPr="003448B6" w:rsidR="00730239" w:rsidP="004B43B0" w:rsidRDefault="00730239" w14:paraId="7B57338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&gt;665</w:t>
            </w:r>
          </w:p>
        </w:tc>
        <w:tc>
          <w:tcPr>
            <w:tcW w:w="559" w:type="pct"/>
          </w:tcPr>
          <w:p w:rsidRPr="003448B6" w:rsidR="00730239" w:rsidP="004B43B0" w:rsidRDefault="00730239" w14:paraId="5B6146F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c>
          <w:tcPr>
            <w:tcW w:w="788" w:type="pct"/>
          </w:tcPr>
          <w:p w:rsidRPr="003448B6" w:rsidR="00730239" w:rsidP="004B43B0" w:rsidRDefault="00730239" w14:paraId="3DEB77A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r>
      <w:tr w:rsidRPr="003448B6" w:rsidR="00730239" w14:paraId="0CA5BAEA" w14:textId="77777777">
        <w:tc>
          <w:tcPr>
            <w:tcW w:w="909" w:type="pct"/>
          </w:tcPr>
          <w:p w:rsidRPr="003448B6" w:rsidR="00730239" w:rsidP="005B2164" w:rsidRDefault="00730239" w14:paraId="723AE9B5"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Upper Pajaro River</w:t>
            </w:r>
          </w:p>
        </w:tc>
        <w:tc>
          <w:tcPr>
            <w:tcW w:w="571" w:type="pct"/>
          </w:tcPr>
          <w:p w:rsidRPr="003448B6" w:rsidR="00730239" w:rsidP="004B43B0" w:rsidRDefault="00730239" w14:paraId="5924C807"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w:t>
            </w:r>
          </w:p>
        </w:tc>
        <w:tc>
          <w:tcPr>
            <w:tcW w:w="823" w:type="pct"/>
          </w:tcPr>
          <w:p w:rsidRPr="003448B6" w:rsidR="00730239" w:rsidP="004B43B0" w:rsidRDefault="00730239" w14:paraId="731A975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5E2E07C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7</w:t>
            </w:r>
          </w:p>
        </w:tc>
        <w:tc>
          <w:tcPr>
            <w:tcW w:w="725" w:type="pct"/>
          </w:tcPr>
          <w:p w:rsidRPr="003448B6" w:rsidR="00730239" w:rsidP="004B43B0" w:rsidRDefault="00730239" w14:paraId="26EC54D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537FEB9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88" w:type="pct"/>
          </w:tcPr>
          <w:p w:rsidRPr="003448B6" w:rsidR="00730239" w:rsidP="004B43B0" w:rsidRDefault="00730239" w14:paraId="6D7DC2C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w:t>
            </w:r>
          </w:p>
        </w:tc>
      </w:tr>
      <w:tr w:rsidRPr="003448B6" w:rsidR="00730239" w14:paraId="4344A6DB" w14:textId="77777777">
        <w:tc>
          <w:tcPr>
            <w:tcW w:w="909" w:type="pct"/>
          </w:tcPr>
          <w:p w:rsidRPr="003448B6" w:rsidR="00730239" w:rsidP="005B2164" w:rsidRDefault="00730239" w14:paraId="4D005117"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Upper Pajaro River</w:t>
            </w:r>
          </w:p>
        </w:tc>
        <w:tc>
          <w:tcPr>
            <w:tcW w:w="571" w:type="pct"/>
          </w:tcPr>
          <w:p w:rsidRPr="003448B6" w:rsidR="00730239" w:rsidP="004B43B0" w:rsidRDefault="00730239" w14:paraId="2033AE0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14</w:t>
            </w:r>
          </w:p>
        </w:tc>
        <w:tc>
          <w:tcPr>
            <w:tcW w:w="823" w:type="pct"/>
          </w:tcPr>
          <w:p w:rsidRPr="003448B6" w:rsidR="00730239" w:rsidP="004B43B0" w:rsidRDefault="00730239" w14:paraId="79A8381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457D3D6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c>
          <w:tcPr>
            <w:tcW w:w="725" w:type="pct"/>
          </w:tcPr>
          <w:p w:rsidRPr="003448B6" w:rsidR="00730239" w:rsidP="004B43B0" w:rsidRDefault="00730239" w14:paraId="70AA3B5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4DB4448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17B62F6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w:t>
            </w:r>
          </w:p>
        </w:tc>
      </w:tr>
      <w:tr w:rsidRPr="003448B6" w:rsidR="00730239" w14:paraId="6CEA4563" w14:textId="77777777">
        <w:tc>
          <w:tcPr>
            <w:tcW w:w="909" w:type="pct"/>
          </w:tcPr>
          <w:p w:rsidRPr="003448B6" w:rsidR="00730239" w:rsidP="005B2164" w:rsidRDefault="00730239" w14:paraId="3BC1FABF"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Upper Pajaro River</w:t>
            </w:r>
          </w:p>
        </w:tc>
        <w:tc>
          <w:tcPr>
            <w:tcW w:w="571" w:type="pct"/>
          </w:tcPr>
          <w:p w:rsidRPr="003448B6" w:rsidR="00730239" w:rsidP="004B43B0" w:rsidRDefault="00730239" w14:paraId="1BBD4D67"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49</w:t>
            </w:r>
          </w:p>
        </w:tc>
        <w:tc>
          <w:tcPr>
            <w:tcW w:w="823" w:type="pct"/>
          </w:tcPr>
          <w:p w:rsidRPr="003448B6" w:rsidR="00730239" w:rsidP="004B43B0" w:rsidRDefault="00730239" w14:paraId="484F1DFE"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33 – 90</w:t>
            </w:r>
          </w:p>
        </w:tc>
        <w:tc>
          <w:tcPr>
            <w:tcW w:w="625" w:type="pct"/>
          </w:tcPr>
          <w:p w:rsidRPr="003448B6" w:rsidR="00730239" w:rsidP="004B43B0" w:rsidRDefault="00730239" w14:paraId="1E3E6E3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50</w:t>
            </w:r>
          </w:p>
        </w:tc>
        <w:tc>
          <w:tcPr>
            <w:tcW w:w="725" w:type="pct"/>
          </w:tcPr>
          <w:p w:rsidRPr="003448B6" w:rsidR="00730239" w:rsidP="004B43B0" w:rsidRDefault="00730239" w14:paraId="5C18199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&gt;90</w:t>
            </w:r>
          </w:p>
        </w:tc>
        <w:tc>
          <w:tcPr>
            <w:tcW w:w="559" w:type="pct"/>
          </w:tcPr>
          <w:p w:rsidRPr="003448B6" w:rsidR="00730239" w:rsidP="004B43B0" w:rsidRDefault="00730239" w14:paraId="239B74C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1DDAC5F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33</w:t>
            </w:r>
          </w:p>
        </w:tc>
      </w:tr>
      <w:tr w:rsidRPr="003448B6" w:rsidR="00730239" w14:paraId="0B097993" w14:textId="77777777">
        <w:tc>
          <w:tcPr>
            <w:tcW w:w="909" w:type="pct"/>
          </w:tcPr>
          <w:p w:rsidRPr="003448B6" w:rsidR="00730239" w:rsidP="005B2164" w:rsidRDefault="00730239" w14:paraId="7274D5EE"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 xml:space="preserve">Corralitos </w:t>
            </w:r>
          </w:p>
        </w:tc>
        <w:tc>
          <w:tcPr>
            <w:tcW w:w="571" w:type="pct"/>
          </w:tcPr>
          <w:p w:rsidRPr="003448B6" w:rsidR="00730239" w:rsidP="004B43B0" w:rsidRDefault="00730239" w14:paraId="07400C1E"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823" w:type="pct"/>
          </w:tcPr>
          <w:p w:rsidRPr="003448B6" w:rsidR="00730239" w:rsidP="004B43B0" w:rsidRDefault="00730239" w14:paraId="3F1D89B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666 – 1808</w:t>
            </w:r>
          </w:p>
        </w:tc>
        <w:tc>
          <w:tcPr>
            <w:tcW w:w="625" w:type="pct"/>
          </w:tcPr>
          <w:p w:rsidRPr="003448B6" w:rsidR="00730239" w:rsidP="004B43B0" w:rsidRDefault="00730239" w14:paraId="6B39929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25" w:type="pct"/>
          </w:tcPr>
          <w:p w:rsidRPr="003448B6" w:rsidR="00730239" w:rsidP="004B43B0" w:rsidRDefault="00730239" w14:paraId="1AB8910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&gt;1808</w:t>
            </w:r>
          </w:p>
        </w:tc>
        <w:tc>
          <w:tcPr>
            <w:tcW w:w="559" w:type="pct"/>
          </w:tcPr>
          <w:p w:rsidRPr="003448B6" w:rsidR="00730239" w:rsidP="004B43B0" w:rsidRDefault="00730239" w14:paraId="35A096F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6CCCE21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r>
      <w:tr w:rsidRPr="003448B6" w:rsidR="00730239" w14:paraId="02DEC1A9" w14:textId="77777777">
        <w:tc>
          <w:tcPr>
            <w:tcW w:w="909" w:type="pct"/>
          </w:tcPr>
          <w:p w:rsidRPr="003448B6" w:rsidR="00730239" w:rsidP="005B2164" w:rsidRDefault="00730239" w14:paraId="0589B653"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 xml:space="preserve">Corralitos </w:t>
            </w:r>
          </w:p>
        </w:tc>
        <w:tc>
          <w:tcPr>
            <w:tcW w:w="571" w:type="pct"/>
          </w:tcPr>
          <w:p w:rsidRPr="003448B6" w:rsidR="00730239" w:rsidP="004B43B0" w:rsidRDefault="00730239" w14:paraId="0F24514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823" w:type="pct"/>
          </w:tcPr>
          <w:p w:rsidRPr="003448B6" w:rsidR="00730239" w:rsidP="004B43B0" w:rsidRDefault="00730239" w14:paraId="7F4F542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245 – 665</w:t>
            </w:r>
          </w:p>
        </w:tc>
        <w:tc>
          <w:tcPr>
            <w:tcW w:w="625" w:type="pct"/>
          </w:tcPr>
          <w:p w:rsidRPr="003448B6" w:rsidR="00730239" w:rsidP="004B43B0" w:rsidRDefault="00730239" w14:paraId="215B646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c>
          <w:tcPr>
            <w:tcW w:w="725" w:type="pct"/>
          </w:tcPr>
          <w:p w:rsidRPr="003448B6" w:rsidR="00730239" w:rsidP="004B43B0" w:rsidRDefault="00730239" w14:paraId="4A28C64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&gt;665</w:t>
            </w:r>
          </w:p>
        </w:tc>
        <w:tc>
          <w:tcPr>
            <w:tcW w:w="559" w:type="pct"/>
          </w:tcPr>
          <w:p w:rsidRPr="003448B6" w:rsidR="00730239" w:rsidP="004B43B0" w:rsidRDefault="00730239" w14:paraId="194B3E0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7696664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r>
      <w:tr w:rsidRPr="003448B6" w:rsidR="00730239" w14:paraId="1B68B5D3" w14:textId="77777777">
        <w:tc>
          <w:tcPr>
            <w:tcW w:w="909" w:type="pct"/>
          </w:tcPr>
          <w:p w:rsidRPr="003448B6" w:rsidR="00730239" w:rsidP="005B2164" w:rsidRDefault="00730239" w14:paraId="36B81A48"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Corralitos</w:t>
            </w:r>
          </w:p>
        </w:tc>
        <w:tc>
          <w:tcPr>
            <w:tcW w:w="571" w:type="pct"/>
          </w:tcPr>
          <w:p w:rsidRPr="003448B6" w:rsidR="00730239" w:rsidP="004B43B0" w:rsidRDefault="00730239" w14:paraId="4FD5043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w:t>
            </w:r>
          </w:p>
        </w:tc>
        <w:tc>
          <w:tcPr>
            <w:tcW w:w="823" w:type="pct"/>
          </w:tcPr>
          <w:p w:rsidRPr="003448B6" w:rsidR="00730239" w:rsidP="004B43B0" w:rsidRDefault="00730239" w14:paraId="3A107EF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25E3854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7</w:t>
            </w:r>
          </w:p>
        </w:tc>
        <w:tc>
          <w:tcPr>
            <w:tcW w:w="725" w:type="pct"/>
          </w:tcPr>
          <w:p w:rsidRPr="003448B6" w:rsidR="00730239" w:rsidP="004B43B0" w:rsidRDefault="00730239" w14:paraId="247D9DF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0221A8A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8</w:t>
            </w:r>
          </w:p>
        </w:tc>
        <w:tc>
          <w:tcPr>
            <w:tcW w:w="788" w:type="pct"/>
          </w:tcPr>
          <w:p w:rsidRPr="003448B6" w:rsidR="00730239" w:rsidP="004B43B0" w:rsidRDefault="00730239" w14:paraId="6050EB8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11</w:t>
            </w:r>
          </w:p>
        </w:tc>
      </w:tr>
      <w:tr w:rsidRPr="003448B6" w:rsidR="00730239" w14:paraId="3DD77A69" w14:textId="77777777">
        <w:tc>
          <w:tcPr>
            <w:tcW w:w="909" w:type="pct"/>
          </w:tcPr>
          <w:p w:rsidRPr="003448B6" w:rsidR="00730239" w:rsidP="005B2164" w:rsidRDefault="00730239" w14:paraId="1B141BF9"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Corralitos</w:t>
            </w:r>
          </w:p>
        </w:tc>
        <w:tc>
          <w:tcPr>
            <w:tcW w:w="571" w:type="pct"/>
          </w:tcPr>
          <w:p w:rsidRPr="003448B6" w:rsidR="00730239" w:rsidP="004B43B0" w:rsidRDefault="00730239" w14:paraId="6D81DB6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14</w:t>
            </w:r>
          </w:p>
        </w:tc>
        <w:tc>
          <w:tcPr>
            <w:tcW w:w="823" w:type="pct"/>
          </w:tcPr>
          <w:p w:rsidRPr="003448B6" w:rsidR="00730239" w:rsidP="004B43B0" w:rsidRDefault="00730239" w14:paraId="29CABDE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61E35B3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c>
          <w:tcPr>
            <w:tcW w:w="725" w:type="pct"/>
          </w:tcPr>
          <w:p w:rsidRPr="003448B6" w:rsidR="00730239" w:rsidP="004B43B0" w:rsidRDefault="00730239" w14:paraId="6A30590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5BD5276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1B5598E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36</w:t>
            </w:r>
          </w:p>
        </w:tc>
      </w:tr>
      <w:tr w:rsidRPr="003448B6" w:rsidR="00730239" w14:paraId="019BB12A" w14:textId="77777777">
        <w:tc>
          <w:tcPr>
            <w:tcW w:w="909" w:type="pct"/>
          </w:tcPr>
          <w:p w:rsidRPr="003448B6" w:rsidR="00730239" w:rsidP="005B2164" w:rsidRDefault="00730239" w14:paraId="0E7FD33B"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Corralitos</w:t>
            </w:r>
          </w:p>
        </w:tc>
        <w:tc>
          <w:tcPr>
            <w:tcW w:w="571" w:type="pct"/>
          </w:tcPr>
          <w:p w:rsidRPr="003448B6" w:rsidR="00730239" w:rsidP="004B43B0" w:rsidRDefault="00730239" w14:paraId="58D7440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49</w:t>
            </w:r>
          </w:p>
        </w:tc>
        <w:tc>
          <w:tcPr>
            <w:tcW w:w="823" w:type="pct"/>
          </w:tcPr>
          <w:p w:rsidRPr="003448B6" w:rsidR="00730239" w:rsidP="004B43B0" w:rsidRDefault="00730239" w14:paraId="555A2A0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33 – 90</w:t>
            </w:r>
          </w:p>
        </w:tc>
        <w:tc>
          <w:tcPr>
            <w:tcW w:w="625" w:type="pct"/>
          </w:tcPr>
          <w:p w:rsidRPr="003448B6" w:rsidR="00730239" w:rsidP="004B43B0" w:rsidRDefault="00730239" w14:paraId="7F0ADB5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50</w:t>
            </w:r>
          </w:p>
        </w:tc>
        <w:tc>
          <w:tcPr>
            <w:tcW w:w="725" w:type="pct"/>
          </w:tcPr>
          <w:p w:rsidRPr="003448B6" w:rsidR="00730239" w:rsidP="004B43B0" w:rsidRDefault="00730239" w14:paraId="5E8E0E3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&gt;90</w:t>
            </w:r>
          </w:p>
        </w:tc>
        <w:tc>
          <w:tcPr>
            <w:tcW w:w="559" w:type="pct"/>
          </w:tcPr>
          <w:p w:rsidRPr="003448B6" w:rsidR="00730239" w:rsidP="004B43B0" w:rsidRDefault="00730239" w14:paraId="0AC4645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2B4B44D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r>
      <w:tr w:rsidRPr="003448B6" w:rsidR="00730239" w14:paraId="106B8521" w14:textId="77777777">
        <w:tc>
          <w:tcPr>
            <w:tcW w:w="909" w:type="pct"/>
          </w:tcPr>
          <w:p w:rsidRPr="003448B6" w:rsidR="00730239" w:rsidP="005B2164" w:rsidRDefault="00730239" w14:paraId="4CE84451"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Mouth of Pajaro River</w:t>
            </w:r>
          </w:p>
        </w:tc>
        <w:tc>
          <w:tcPr>
            <w:tcW w:w="571" w:type="pct"/>
          </w:tcPr>
          <w:p w:rsidRPr="003448B6" w:rsidR="00730239" w:rsidP="004B43B0" w:rsidRDefault="00730239" w14:paraId="0591A9C7"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c>
          <w:tcPr>
            <w:tcW w:w="823" w:type="pct"/>
          </w:tcPr>
          <w:p w:rsidRPr="003448B6" w:rsidR="00730239" w:rsidP="004B43B0" w:rsidRDefault="00730239" w14:paraId="402AE7C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666 – 1808</w:t>
            </w:r>
          </w:p>
        </w:tc>
        <w:tc>
          <w:tcPr>
            <w:tcW w:w="625" w:type="pct"/>
          </w:tcPr>
          <w:p w:rsidRPr="003448B6" w:rsidR="00730239" w:rsidP="004B43B0" w:rsidRDefault="00730239" w14:paraId="490A5E69"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725" w:type="pct"/>
          </w:tcPr>
          <w:p w:rsidRPr="003448B6" w:rsidR="00730239" w:rsidP="004B43B0" w:rsidRDefault="00730239" w14:paraId="2DD4C6E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&gt;1808</w:t>
            </w:r>
          </w:p>
        </w:tc>
        <w:tc>
          <w:tcPr>
            <w:tcW w:w="559" w:type="pct"/>
          </w:tcPr>
          <w:p w:rsidRPr="003448B6" w:rsidR="00730239" w:rsidP="004B43B0" w:rsidRDefault="00730239" w14:paraId="56E0315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71D195C4"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w:t>
            </w:r>
          </w:p>
        </w:tc>
      </w:tr>
      <w:tr w:rsidRPr="003448B6" w:rsidR="00730239" w14:paraId="356896D5" w14:textId="77777777">
        <w:tc>
          <w:tcPr>
            <w:tcW w:w="909" w:type="pct"/>
          </w:tcPr>
          <w:p w:rsidRPr="003448B6" w:rsidR="00730239" w:rsidP="005B2164" w:rsidRDefault="00730239" w14:paraId="07DEFF76"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Mouth of Pajaro River</w:t>
            </w:r>
          </w:p>
        </w:tc>
        <w:tc>
          <w:tcPr>
            <w:tcW w:w="571" w:type="pct"/>
          </w:tcPr>
          <w:p w:rsidRPr="003448B6" w:rsidR="00730239" w:rsidP="004B43B0" w:rsidRDefault="00730239" w14:paraId="10FAF56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c>
          <w:tcPr>
            <w:tcW w:w="823" w:type="pct"/>
          </w:tcPr>
          <w:p w:rsidRPr="003448B6" w:rsidR="00730239" w:rsidP="004B43B0" w:rsidRDefault="00730239" w14:paraId="06A48E3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245 – 665</w:t>
            </w:r>
          </w:p>
        </w:tc>
        <w:tc>
          <w:tcPr>
            <w:tcW w:w="625" w:type="pct"/>
          </w:tcPr>
          <w:p w:rsidRPr="003448B6" w:rsidR="00730239" w:rsidP="004B43B0" w:rsidRDefault="00730239" w14:paraId="71EF9C41"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w:t>
            </w:r>
          </w:p>
        </w:tc>
        <w:tc>
          <w:tcPr>
            <w:tcW w:w="725" w:type="pct"/>
          </w:tcPr>
          <w:p w:rsidRPr="003448B6" w:rsidR="00730239" w:rsidP="004B43B0" w:rsidRDefault="00730239" w14:paraId="104A5B2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&gt;665</w:t>
            </w:r>
          </w:p>
        </w:tc>
        <w:tc>
          <w:tcPr>
            <w:tcW w:w="559" w:type="pct"/>
          </w:tcPr>
          <w:p w:rsidRPr="003448B6" w:rsidR="00730239" w:rsidP="004B43B0" w:rsidRDefault="00730239" w14:paraId="0F96E20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2A69BC4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2</w:t>
            </w:r>
          </w:p>
        </w:tc>
      </w:tr>
      <w:tr w:rsidRPr="003448B6" w:rsidR="00730239" w14:paraId="205BA862" w14:textId="77777777">
        <w:tc>
          <w:tcPr>
            <w:tcW w:w="909" w:type="pct"/>
          </w:tcPr>
          <w:p w:rsidRPr="003448B6" w:rsidR="00730239" w:rsidP="005B2164" w:rsidRDefault="00730239" w14:paraId="086F3536"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Mouth of Pajaro River</w:t>
            </w:r>
          </w:p>
        </w:tc>
        <w:tc>
          <w:tcPr>
            <w:tcW w:w="571" w:type="pct"/>
          </w:tcPr>
          <w:p w:rsidRPr="003448B6" w:rsidR="00730239" w:rsidP="004B43B0" w:rsidRDefault="00730239" w14:paraId="2D590533"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6</w:t>
            </w:r>
          </w:p>
        </w:tc>
        <w:tc>
          <w:tcPr>
            <w:tcW w:w="823" w:type="pct"/>
          </w:tcPr>
          <w:p w:rsidRPr="003448B6" w:rsidR="00730239" w:rsidP="004B43B0" w:rsidRDefault="00730239" w14:paraId="4B29524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0B46B5C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7</w:t>
            </w:r>
          </w:p>
        </w:tc>
        <w:tc>
          <w:tcPr>
            <w:tcW w:w="725" w:type="pct"/>
          </w:tcPr>
          <w:p w:rsidRPr="003448B6" w:rsidR="00730239" w:rsidP="004B43B0" w:rsidRDefault="00730239" w14:paraId="32B8656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6717705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8</w:t>
            </w:r>
          </w:p>
        </w:tc>
        <w:tc>
          <w:tcPr>
            <w:tcW w:w="788" w:type="pct"/>
          </w:tcPr>
          <w:p w:rsidRPr="003448B6" w:rsidR="00730239" w:rsidP="004B43B0" w:rsidRDefault="00730239" w14:paraId="093DBBD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11</w:t>
            </w:r>
          </w:p>
        </w:tc>
      </w:tr>
      <w:tr w:rsidRPr="003448B6" w:rsidR="00730239" w14:paraId="5CEFA1DC" w14:textId="77777777">
        <w:tc>
          <w:tcPr>
            <w:tcW w:w="909" w:type="pct"/>
          </w:tcPr>
          <w:p w:rsidRPr="003448B6" w:rsidR="00730239" w:rsidP="005B2164" w:rsidRDefault="00730239" w14:paraId="77576E72"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Mouth of Pajaro River</w:t>
            </w:r>
          </w:p>
        </w:tc>
        <w:tc>
          <w:tcPr>
            <w:tcW w:w="571" w:type="pct"/>
          </w:tcPr>
          <w:p w:rsidRPr="003448B6" w:rsidR="00730239" w:rsidP="004B43B0" w:rsidRDefault="00730239" w14:paraId="70350A1D"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14</w:t>
            </w:r>
          </w:p>
        </w:tc>
        <w:tc>
          <w:tcPr>
            <w:tcW w:w="823" w:type="pct"/>
          </w:tcPr>
          <w:p w:rsidRPr="003448B6" w:rsidR="00730239" w:rsidP="004B43B0" w:rsidRDefault="00730239" w14:paraId="3DD200BB"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91 – 244</w:t>
            </w:r>
          </w:p>
        </w:tc>
        <w:tc>
          <w:tcPr>
            <w:tcW w:w="625" w:type="pct"/>
          </w:tcPr>
          <w:p w:rsidRPr="003448B6" w:rsidR="00730239" w:rsidP="004B43B0" w:rsidRDefault="00730239" w14:paraId="3C72EC10"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15</w:t>
            </w:r>
          </w:p>
        </w:tc>
        <w:tc>
          <w:tcPr>
            <w:tcW w:w="725" w:type="pct"/>
          </w:tcPr>
          <w:p w:rsidRPr="003448B6" w:rsidR="00730239" w:rsidP="004B43B0" w:rsidRDefault="00730239" w14:paraId="1FD6EB65"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&gt;244</w:t>
            </w:r>
          </w:p>
        </w:tc>
        <w:tc>
          <w:tcPr>
            <w:tcW w:w="559" w:type="pct"/>
          </w:tcPr>
          <w:p w:rsidRPr="003448B6" w:rsidR="00730239" w:rsidP="004B43B0" w:rsidRDefault="00730239" w14:paraId="13114368"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1853ABB9"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11</w:t>
            </w:r>
          </w:p>
        </w:tc>
      </w:tr>
      <w:tr w:rsidRPr="003448B6" w:rsidR="00730239" w14:paraId="33343C8C" w14:textId="77777777">
        <w:tc>
          <w:tcPr>
            <w:tcW w:w="909" w:type="pct"/>
          </w:tcPr>
          <w:p w:rsidRPr="003448B6" w:rsidR="00730239" w:rsidP="005B2164" w:rsidRDefault="00730239" w14:paraId="702163F7" w14:textId="77777777">
            <w:pPr>
              <w:spacing w:before="40" w:after="40" w:line="240" w:lineRule="auto"/>
              <w:ind w:left="-30"/>
              <w:rPr>
                <w:rFonts w:ascii="Arial" w:hAnsi="Arial" w:cs="Arial" w:eastAsiaTheme="minorHAnsi"/>
                <w:sz w:val="22"/>
                <w:szCs w:val="22"/>
              </w:rPr>
            </w:pPr>
            <w:r w:rsidRPr="003448B6">
              <w:rPr>
                <w:rFonts w:ascii="Arial" w:hAnsi="Arial" w:cs="Arial" w:eastAsiaTheme="minorHAnsi"/>
                <w:sz w:val="22"/>
                <w:szCs w:val="22"/>
              </w:rPr>
              <w:t>Mouth of Pajaro River</w:t>
            </w:r>
          </w:p>
        </w:tc>
        <w:tc>
          <w:tcPr>
            <w:tcW w:w="571" w:type="pct"/>
          </w:tcPr>
          <w:p w:rsidRPr="003448B6" w:rsidR="00730239" w:rsidP="004B43B0" w:rsidRDefault="00730239" w14:paraId="4C04DBE9"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49</w:t>
            </w:r>
          </w:p>
        </w:tc>
        <w:tc>
          <w:tcPr>
            <w:tcW w:w="823" w:type="pct"/>
          </w:tcPr>
          <w:p w:rsidRPr="003448B6" w:rsidR="00730239" w:rsidP="004B43B0" w:rsidRDefault="00730239" w14:paraId="71756A1C"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33 – 90</w:t>
            </w:r>
          </w:p>
        </w:tc>
        <w:tc>
          <w:tcPr>
            <w:tcW w:w="625" w:type="pct"/>
          </w:tcPr>
          <w:p w:rsidRPr="003448B6" w:rsidR="00730239" w:rsidP="004B43B0" w:rsidRDefault="00730239" w14:paraId="4074A6AA"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50</w:t>
            </w:r>
          </w:p>
        </w:tc>
        <w:tc>
          <w:tcPr>
            <w:tcW w:w="725" w:type="pct"/>
          </w:tcPr>
          <w:p w:rsidRPr="003448B6" w:rsidR="00730239" w:rsidP="004B43B0" w:rsidRDefault="00730239" w14:paraId="562A9036"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&gt;90</w:t>
            </w:r>
          </w:p>
        </w:tc>
        <w:tc>
          <w:tcPr>
            <w:tcW w:w="559" w:type="pct"/>
          </w:tcPr>
          <w:p w:rsidRPr="003448B6" w:rsidR="00730239" w:rsidP="004B43B0" w:rsidRDefault="00730239" w14:paraId="39EB5A42"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0</w:t>
            </w:r>
          </w:p>
        </w:tc>
        <w:tc>
          <w:tcPr>
            <w:tcW w:w="788" w:type="pct"/>
          </w:tcPr>
          <w:p w:rsidRPr="003448B6" w:rsidR="00730239" w:rsidP="004B43B0" w:rsidRDefault="00730239" w14:paraId="14F26C5F" w14:textId="77777777">
            <w:pPr>
              <w:spacing w:before="40" w:after="40" w:line="240" w:lineRule="auto"/>
              <w:jc w:val="center"/>
              <w:rPr>
                <w:rFonts w:ascii="Arial" w:hAnsi="Arial" w:cs="Arial" w:eastAsiaTheme="minorHAnsi"/>
                <w:sz w:val="22"/>
                <w:szCs w:val="22"/>
              </w:rPr>
            </w:pPr>
            <w:r w:rsidRPr="003448B6">
              <w:rPr>
                <w:rFonts w:ascii="Arial" w:hAnsi="Arial" w:cs="Arial" w:eastAsiaTheme="minorHAnsi"/>
                <w:sz w:val="22"/>
                <w:szCs w:val="22"/>
              </w:rPr>
              <w:t>36</w:t>
            </w:r>
          </w:p>
        </w:tc>
      </w:tr>
    </w:tbl>
    <w:p w:rsidR="00730239" w:rsidP="00730239" w:rsidRDefault="00730239" w14:paraId="0712B58D" w14:textId="77777777">
      <w:pPr>
        <w:spacing w:before="240"/>
        <w:rPr>
          <w:b/>
        </w:rPr>
        <w:sectPr w:rsidR="00730239" w:rsidSect="00A86034">
          <w:pgSz w:w="15840" w:h="12240" w:orient="landscape"/>
          <w:pgMar w:top="1440" w:right="1440" w:bottom="1440" w:left="1440" w:header="630" w:footer="510" w:gutter="0"/>
          <w:cols w:space="720"/>
          <w:docGrid w:linePitch="360"/>
        </w:sectPr>
      </w:pPr>
    </w:p>
    <w:p w:rsidRPr="00D705B2" w:rsidR="005F4C33" w:rsidP="005F4C33" w:rsidRDefault="005F4C33" w14:paraId="5F37BF91" w14:textId="77777777">
      <w:pPr>
        <w:spacing w:before="240"/>
        <w:ind w:left="1267"/>
        <w:rPr>
          <w:bCs/>
        </w:rPr>
      </w:pPr>
      <w:r w:rsidRPr="00D705B2">
        <w:rPr>
          <w:bCs/>
        </w:rPr>
        <w:t xml:space="preserve">The TMDL specifies </w:t>
      </w:r>
      <w:r>
        <w:rPr>
          <w:bCs/>
        </w:rPr>
        <w:t>Central Coast</w:t>
      </w:r>
      <w:r w:rsidRPr="00D705B2">
        <w:rPr>
          <w:bCs/>
        </w:rPr>
        <w:t xml:space="preserve"> Water Board staff for development of a monitoring program to measure instream numeric targets, which will be executed in cooperation with implementing parties (e.g., </w:t>
      </w:r>
      <w:r w:rsidRPr="00D705B2">
        <w:rPr>
          <w:rFonts w:cs="Arial"/>
          <w:bCs/>
        </w:rPr>
        <w:t>City of Gilroy, City of Hollister, City of Morgan Hill, and City of Watsonville).</w:t>
      </w:r>
    </w:p>
    <w:p w:rsidRPr="00D52F4F" w:rsidR="005F4C33" w:rsidP="005F4C33" w:rsidRDefault="005F4C33" w14:paraId="78BD097F" w14:textId="77777777">
      <w:pPr>
        <w:spacing w:before="240"/>
        <w:ind w:left="1267"/>
        <w:rPr>
          <w:rFonts w:cs="Arial"/>
        </w:rPr>
      </w:pPr>
      <w:r w:rsidRPr="000F391B">
        <w:rPr>
          <w:b/>
          <w:bCs/>
        </w:rPr>
        <w:t>Final Compliance Deadline</w:t>
      </w:r>
      <w:r w:rsidRPr="000F391B">
        <w:t>:</w:t>
      </w:r>
      <w:r w:rsidRPr="000F391B">
        <w:rPr>
          <w:rFonts w:cs="Arial"/>
        </w:rPr>
        <w:t xml:space="preserve"> The final compliance deadline to achieve the numeric targets is November 27, 2051.</w:t>
      </w:r>
    </w:p>
    <w:p w:rsidRPr="00F33B01" w:rsidR="005F4C33" w:rsidP="00F33B01" w:rsidRDefault="00836361" w14:paraId="07223597" w14:textId="4812F847">
      <w:pPr>
        <w:pStyle w:val="Heading3"/>
        <w:tabs>
          <w:tab w:val="clear" w:pos="720"/>
          <w:tab w:val="left" w:pos="1260"/>
        </w:tabs>
        <w:ind w:left="1260" w:hanging="1260"/>
        <w:rPr>
          <w:i/>
          <w:iCs/>
        </w:rPr>
      </w:pPr>
      <w:r>
        <w:rPr>
          <w:i/>
          <w:iCs/>
        </w:rPr>
        <w:t>A13</w:t>
      </w:r>
      <w:r w:rsidRPr="00F33B01" w:rsidR="000432A5">
        <w:rPr>
          <w:i/>
          <w:iCs/>
        </w:rPr>
        <w:t>.</w:t>
      </w:r>
      <w:r w:rsidRPr="00F33B01" w:rsidR="005F4C33">
        <w:rPr>
          <w:i/>
          <w:iCs/>
        </w:rPr>
        <w:t>3.7</w:t>
      </w:r>
      <w:r w:rsidRPr="00F33B01" w:rsidR="005F4C33">
        <w:rPr>
          <w:i/>
          <w:iCs/>
        </w:rPr>
        <w:tab/>
      </w:r>
      <w:r w:rsidRPr="00F33B01" w:rsidR="005F4C33">
        <w:rPr>
          <w:i/>
          <w:iCs/>
        </w:rPr>
        <w:t>TMDL for Pathogens in San Luis Obispo Creek</w:t>
      </w:r>
    </w:p>
    <w:p w:rsidRPr="003D3284" w:rsidR="005F4C33" w:rsidP="005F4C33" w:rsidRDefault="005F4C33" w14:paraId="466E9D6C" w14:textId="26D205CD">
      <w:pPr>
        <w:ind w:left="1260"/>
        <w:rPr>
          <w:rFonts w:cs="Arial"/>
        </w:rPr>
      </w:pPr>
      <w:r w:rsidRPr="002904F6">
        <w:rPr>
          <w:b/>
          <w:bCs/>
        </w:rPr>
        <w:t>Description</w:t>
      </w:r>
      <w:r>
        <w:t xml:space="preserve">: </w:t>
      </w:r>
      <w:r w:rsidR="00CC169C">
        <w:t>USEPA</w:t>
      </w:r>
      <w:r w:rsidR="00C56C92">
        <w:t xml:space="preserve"> </w:t>
      </w:r>
      <w:r>
        <w:t xml:space="preserve">approved the TMDL on </w:t>
      </w:r>
      <w:r w:rsidRPr="003F5598">
        <w:t>September 23, 2005</w:t>
      </w:r>
      <w:r>
        <w:t xml:space="preserve">. </w:t>
      </w:r>
      <w:r w:rsidRPr="003D3284">
        <w:t xml:space="preserve">Fecal coliform concentration in San Luis Obispo Creek exceeds the numeric objectives for protecting </w:t>
      </w:r>
      <w:r>
        <w:t xml:space="preserve">recreational </w:t>
      </w:r>
      <w:r w:rsidRPr="003D3284">
        <w:t>beneficial uses</w:t>
      </w:r>
      <w:r>
        <w:t>. The TMDL identifies u</w:t>
      </w:r>
      <w:r w:rsidRPr="003D3284">
        <w:t>rban stormwater runoff is identified as a primary source of pathogens.</w:t>
      </w:r>
    </w:p>
    <w:p w:rsidRPr="003D3284" w:rsidR="005F4C33" w:rsidP="005F4C33" w:rsidRDefault="005F4C33" w14:paraId="1C9A2196" w14:textId="2324CA7E">
      <w:pPr>
        <w:ind w:left="1260"/>
        <w:rPr>
          <w:rFonts w:cs="Arial"/>
        </w:rPr>
      </w:pPr>
      <w:r w:rsidRPr="003D3284">
        <w:rPr>
          <w:b/>
        </w:rPr>
        <w:t>Responsible Permit</w:t>
      </w:r>
      <w:r w:rsidR="0091593F">
        <w:rPr>
          <w:b/>
        </w:rPr>
        <w:t>t</w:t>
      </w:r>
      <w:r w:rsidRPr="003D3284">
        <w:rPr>
          <w:b/>
        </w:rPr>
        <w:t>ees:</w:t>
      </w:r>
      <w:r w:rsidRPr="003D3284">
        <w:rPr>
          <w:rFonts w:cs="Arial"/>
        </w:rPr>
        <w:t xml:space="preserve"> City of San Luis Obispo</w:t>
      </w:r>
      <w:r>
        <w:rPr>
          <w:rFonts w:cs="Arial"/>
        </w:rPr>
        <w:t>;</w:t>
      </w:r>
      <w:r w:rsidRPr="003D3284">
        <w:rPr>
          <w:rFonts w:cs="Arial"/>
        </w:rPr>
        <w:t xml:space="preserve"> the County of San Luis Obispo</w:t>
      </w:r>
      <w:r>
        <w:rPr>
          <w:rFonts w:cs="Arial"/>
        </w:rPr>
        <w:t>;</w:t>
      </w:r>
      <w:r w:rsidRPr="003D3284">
        <w:rPr>
          <w:rFonts w:cs="Arial"/>
        </w:rPr>
        <w:t xml:space="preserve"> and California Polytechnic State University, San Luis Obispo Campus.</w:t>
      </w:r>
    </w:p>
    <w:p w:rsidRPr="003D3284" w:rsidR="005F4C33" w:rsidP="005F4C33" w:rsidRDefault="005F4C33" w14:paraId="600739CD" w14:textId="77777777">
      <w:pPr>
        <w:ind w:left="1260"/>
        <w:rPr>
          <w:rFonts w:cs="Arial"/>
        </w:rPr>
      </w:pPr>
      <w:r w:rsidRPr="003D3284">
        <w:rPr>
          <w:b/>
        </w:rPr>
        <w:t xml:space="preserve">Wasteload Allocations: </w:t>
      </w:r>
      <w:r>
        <w:rPr>
          <w:rFonts w:cs="Arial"/>
        </w:rPr>
        <w:t xml:space="preserve">Wasteload allocation </w:t>
      </w:r>
      <w:r w:rsidRPr="003D3284">
        <w:rPr>
          <w:rFonts w:cs="Arial"/>
        </w:rPr>
        <w:t xml:space="preserve">are concentration-based for fecal coliform. The wasteload allocations are receiving water allocations. </w:t>
      </w:r>
    </w:p>
    <w:p w:rsidR="005F4C33" w:rsidP="00E8254E" w:rsidRDefault="005F4C33" w14:paraId="1041642A" w14:textId="77777777">
      <w:pPr>
        <w:pStyle w:val="ListParagraph"/>
        <w:numPr>
          <w:ilvl w:val="0"/>
          <w:numId w:val="66"/>
        </w:numPr>
        <w:ind w:left="1620"/>
        <w:rPr>
          <w:rFonts w:cs="Arial"/>
          <w:szCs w:val="24"/>
        </w:rPr>
      </w:pPr>
      <w:r w:rsidRPr="00021F62">
        <w:rPr>
          <w:rFonts w:cs="Arial"/>
          <w:szCs w:val="24"/>
        </w:rPr>
        <w:t xml:space="preserve">City of San Luis Obispo is assigned wasteload allocations in San Luis Obispo Creek and Stenner Creek; </w:t>
      </w:r>
    </w:p>
    <w:p w:rsidR="005F4C33" w:rsidP="00E8254E" w:rsidRDefault="005F4C33" w14:paraId="37AC47F2" w14:textId="77777777">
      <w:pPr>
        <w:pStyle w:val="ListParagraph"/>
        <w:numPr>
          <w:ilvl w:val="0"/>
          <w:numId w:val="66"/>
        </w:numPr>
        <w:ind w:left="1620"/>
        <w:rPr>
          <w:rFonts w:cs="Arial"/>
          <w:szCs w:val="24"/>
        </w:rPr>
      </w:pPr>
      <w:r w:rsidRPr="00021F62">
        <w:rPr>
          <w:rFonts w:cs="Arial"/>
          <w:szCs w:val="24"/>
        </w:rPr>
        <w:t xml:space="preserve"> County of San Luis Obispo is assigned wasteload allocations in San Luis Obispo Creek; and </w:t>
      </w:r>
    </w:p>
    <w:p w:rsidRPr="00021F62" w:rsidR="005F4C33" w:rsidP="00E8254E" w:rsidRDefault="005F4C33" w14:paraId="6750DA97" w14:textId="77777777">
      <w:pPr>
        <w:pStyle w:val="ListParagraph"/>
        <w:numPr>
          <w:ilvl w:val="0"/>
          <w:numId w:val="66"/>
        </w:numPr>
        <w:ind w:left="1620"/>
        <w:rPr>
          <w:rFonts w:cs="Arial"/>
          <w:szCs w:val="24"/>
        </w:rPr>
      </w:pPr>
      <w:r w:rsidRPr="00021F62">
        <w:rPr>
          <w:rFonts w:cs="Arial"/>
          <w:szCs w:val="24"/>
        </w:rPr>
        <w:t>California Polytechnic State University, San Luis Obispo Campus, is assigned wasteload allocations in Stenner Creek and Brizziolari Creek.</w:t>
      </w:r>
    </w:p>
    <w:p w:rsidRPr="00063966" w:rsidR="005F4C33" w:rsidP="00E24940" w:rsidRDefault="00F8740A" w14:paraId="23DEBE3B" w14:textId="168A402F">
      <w:pPr>
        <w:pStyle w:val="TableHead"/>
      </w:pPr>
      <w:r w:rsidRPr="00F8740A">
        <w:t>TMDL for Pathogens in San Luis Obispo Creek:</w:t>
      </w:r>
      <w:r>
        <w:t xml:space="preserve"> </w:t>
      </w:r>
      <w:r w:rsidRPr="00063966" w:rsidR="005F4C33">
        <w:t>Wasteload Allocations as Fecal Coliform Concentration in San Luis Obispo Creek, Stenner Creek, and Brizziolari Creek</w:t>
      </w:r>
    </w:p>
    <w:tbl>
      <w:tblPr>
        <w:tblStyle w:val="TableGrid"/>
        <w:tblW w:w="4950" w:type="pct"/>
        <w:jc w:val="center"/>
        <w:tblLook w:val="04A0" w:firstRow="1" w:lastRow="0" w:firstColumn="1" w:lastColumn="0" w:noHBand="0" w:noVBand="1"/>
      </w:tblPr>
      <w:tblGrid>
        <w:gridCol w:w="2695"/>
        <w:gridCol w:w="6562"/>
      </w:tblGrid>
      <w:tr w:rsidRPr="002616E5" w:rsidR="005F4C33" w:rsidTr="005A5453" w14:paraId="32E8FA86" w14:textId="77777777">
        <w:trPr>
          <w:tblHeader/>
          <w:jc w:val="center"/>
        </w:trPr>
        <w:tc>
          <w:tcPr>
            <w:tcW w:w="2695" w:type="dxa"/>
            <w:shd w:val="clear" w:color="auto" w:fill="D6E3BC" w:themeFill="accent3" w:themeFillTint="66"/>
          </w:tcPr>
          <w:p w:rsidRPr="002616E5" w:rsidR="005F4C33" w:rsidP="003448B6" w:rsidRDefault="005F4C33" w14:paraId="33349C13" w14:textId="77777777">
            <w:pPr>
              <w:spacing w:before="40" w:after="40" w:line="240" w:lineRule="auto"/>
              <w:rPr>
                <w:rFonts w:ascii="Arial" w:hAnsi="Arial" w:cs="Arial" w:eastAsiaTheme="minorHAnsi"/>
                <w:b/>
                <w:bCs/>
                <w:sz w:val="22"/>
                <w:szCs w:val="22"/>
              </w:rPr>
            </w:pPr>
            <w:r w:rsidRPr="002616E5">
              <w:rPr>
                <w:rFonts w:ascii="Arial" w:hAnsi="Arial" w:cs="Arial" w:eastAsiaTheme="minorHAnsi"/>
                <w:b/>
                <w:bCs/>
                <w:sz w:val="22"/>
                <w:szCs w:val="22"/>
              </w:rPr>
              <w:t>Creek</w:t>
            </w:r>
          </w:p>
        </w:tc>
        <w:tc>
          <w:tcPr>
            <w:tcW w:w="6562" w:type="dxa"/>
            <w:shd w:val="clear" w:color="auto" w:fill="D6E3BC" w:themeFill="accent3" w:themeFillTint="66"/>
          </w:tcPr>
          <w:p w:rsidRPr="002616E5" w:rsidR="005F4C33" w:rsidP="003448B6" w:rsidRDefault="005F4C33" w14:paraId="0454590D" w14:textId="77777777">
            <w:pPr>
              <w:spacing w:before="40" w:after="40" w:line="240" w:lineRule="auto"/>
              <w:rPr>
                <w:rFonts w:ascii="Arial" w:hAnsi="Arial" w:cs="Arial" w:eastAsiaTheme="minorHAnsi"/>
                <w:b/>
                <w:bCs/>
                <w:sz w:val="22"/>
                <w:szCs w:val="22"/>
              </w:rPr>
            </w:pPr>
            <w:r w:rsidRPr="002616E5">
              <w:rPr>
                <w:rFonts w:ascii="Arial" w:hAnsi="Arial" w:cs="Arial"/>
                <w:b/>
                <w:bCs/>
                <w:sz w:val="22"/>
                <w:szCs w:val="22"/>
              </w:rPr>
              <w:t xml:space="preserve">Receiving Water Fecal Coliform Concentration (Most Probable Number per 100 Milliliters) </w:t>
            </w:r>
            <w:r w:rsidRPr="002616E5">
              <w:rPr>
                <w:rFonts w:ascii="Arial" w:hAnsi="Arial" w:cs="Arial"/>
                <w:b/>
                <w:bCs/>
                <w:sz w:val="22"/>
                <w:szCs w:val="22"/>
                <w:vertAlign w:val="superscript"/>
              </w:rPr>
              <w:t>1</w:t>
            </w:r>
          </w:p>
        </w:tc>
      </w:tr>
      <w:tr w:rsidRPr="002616E5" w:rsidR="005F4C33" w:rsidTr="005A5453" w14:paraId="2A5429C6" w14:textId="77777777">
        <w:trPr>
          <w:jc w:val="center"/>
        </w:trPr>
        <w:tc>
          <w:tcPr>
            <w:tcW w:w="2695" w:type="dxa"/>
          </w:tcPr>
          <w:p w:rsidRPr="002616E5" w:rsidR="005F4C33" w:rsidP="003448B6" w:rsidRDefault="005F4C33" w14:paraId="2EDFC65D" w14:textId="77777777">
            <w:pPr>
              <w:spacing w:before="40" w:after="40" w:line="240" w:lineRule="auto"/>
              <w:rPr>
                <w:rFonts w:ascii="Arial" w:hAnsi="Arial" w:cs="Arial" w:eastAsiaTheme="minorHAnsi"/>
                <w:b/>
                <w:bCs/>
                <w:sz w:val="22"/>
                <w:szCs w:val="22"/>
              </w:rPr>
            </w:pPr>
            <w:r w:rsidRPr="002616E5">
              <w:rPr>
                <w:rFonts w:ascii="Arial" w:hAnsi="Arial" w:cs="Arial"/>
                <w:sz w:val="22"/>
                <w:szCs w:val="22"/>
              </w:rPr>
              <w:t>San Luis Obispo Creek</w:t>
            </w:r>
          </w:p>
        </w:tc>
        <w:tc>
          <w:tcPr>
            <w:tcW w:w="6562" w:type="dxa"/>
          </w:tcPr>
          <w:p w:rsidRPr="002616E5" w:rsidR="005F4C33" w:rsidP="003448B6" w:rsidRDefault="005F4C33" w14:paraId="59C9B5E6" w14:textId="77777777">
            <w:pPr>
              <w:autoSpaceDE w:val="0"/>
              <w:autoSpaceDN w:val="0"/>
              <w:adjustRightInd w:val="0"/>
              <w:spacing w:before="40" w:after="40" w:line="240" w:lineRule="auto"/>
              <w:rPr>
                <w:rFonts w:ascii="Arial" w:hAnsi="Arial" w:cs="Arial" w:eastAsiaTheme="minorHAnsi"/>
                <w:sz w:val="22"/>
                <w:szCs w:val="22"/>
              </w:rPr>
            </w:pPr>
            <w:r w:rsidRPr="002616E5">
              <w:rPr>
                <w:rFonts w:ascii="Arial" w:hAnsi="Arial" w:cs="Arial" w:eastAsiaTheme="minorHAnsi"/>
                <w:sz w:val="22"/>
                <w:szCs w:val="22"/>
              </w:rPr>
              <w:t>Fecal coliform concentration, based on a minimum of not less than five samples for any 30-day period, shall not exceed a log mean of 200 most probable number per 100 milliliters, nor shall more than 10 percent of total samples collected during any 30-day period exceed 400 most probable number per 100 milliliters.</w:t>
            </w:r>
          </w:p>
        </w:tc>
      </w:tr>
      <w:tr w:rsidRPr="002616E5" w:rsidR="005F4C33" w:rsidTr="005A5453" w14:paraId="42713EE9" w14:textId="77777777">
        <w:trPr>
          <w:jc w:val="center"/>
        </w:trPr>
        <w:tc>
          <w:tcPr>
            <w:tcW w:w="2695" w:type="dxa"/>
          </w:tcPr>
          <w:p w:rsidRPr="002616E5" w:rsidR="005F4C33" w:rsidP="003448B6" w:rsidRDefault="005F4C33" w14:paraId="79D35603" w14:textId="77777777">
            <w:pPr>
              <w:spacing w:before="40" w:after="40" w:line="240" w:lineRule="auto"/>
              <w:rPr>
                <w:rFonts w:ascii="Arial" w:hAnsi="Arial" w:cs="Arial"/>
                <w:sz w:val="22"/>
                <w:szCs w:val="22"/>
              </w:rPr>
            </w:pPr>
            <w:r w:rsidRPr="002616E5">
              <w:rPr>
                <w:rFonts w:ascii="Arial" w:hAnsi="Arial" w:cs="Arial"/>
                <w:sz w:val="22"/>
                <w:szCs w:val="22"/>
              </w:rPr>
              <w:t>Stenner Creek and Brizziolari Creek</w:t>
            </w:r>
          </w:p>
        </w:tc>
        <w:tc>
          <w:tcPr>
            <w:tcW w:w="6562" w:type="dxa"/>
          </w:tcPr>
          <w:p w:rsidRPr="002616E5" w:rsidR="005F4C33" w:rsidP="003448B6" w:rsidRDefault="005F4C33" w14:paraId="3B979D10" w14:textId="77777777">
            <w:pPr>
              <w:autoSpaceDE w:val="0"/>
              <w:autoSpaceDN w:val="0"/>
              <w:adjustRightInd w:val="0"/>
              <w:spacing w:before="40" w:after="40" w:line="240" w:lineRule="auto"/>
              <w:rPr>
                <w:rFonts w:ascii="Arial" w:hAnsi="Arial" w:cs="Arial" w:eastAsiaTheme="minorHAnsi"/>
                <w:sz w:val="22"/>
                <w:szCs w:val="22"/>
              </w:rPr>
            </w:pPr>
            <w:r w:rsidRPr="002616E5">
              <w:rPr>
                <w:rFonts w:ascii="Arial" w:hAnsi="Arial" w:cs="Arial" w:eastAsiaTheme="minorHAnsi"/>
                <w:sz w:val="22"/>
                <w:szCs w:val="22"/>
              </w:rPr>
              <w:t>Fecal coliform concentration, based on a minimum of not less than five samples for any 30-day period, shall not exceed a log mean of 200 most probable number per 100 milliliters, nor shall more than 10 percent of total samples collected during any 30-day period exceed 400 most probable number per 100 milliliters.</w:t>
            </w:r>
          </w:p>
        </w:tc>
      </w:tr>
    </w:tbl>
    <w:p w:rsidRPr="00D52F4F" w:rsidR="005F4C33" w:rsidP="005F4C33" w:rsidRDefault="005F4C33" w14:paraId="2C0A6481" w14:textId="77777777">
      <w:pPr>
        <w:spacing w:before="240"/>
        <w:ind w:left="1267"/>
        <w:rPr>
          <w:rFonts w:cs="Arial"/>
        </w:rPr>
      </w:pPr>
      <w:r w:rsidRPr="0039102F">
        <w:rPr>
          <w:rFonts w:cs="Arial"/>
          <w:b/>
          <w:bCs/>
        </w:rPr>
        <w:t>Final Compliance Deadline</w:t>
      </w:r>
      <w:r w:rsidRPr="0039102F">
        <w:rPr>
          <w:rFonts w:cs="Arial"/>
        </w:rPr>
        <w:t>: The final compliance deadline to meet the wasteload allocations was July 25, 2015.</w:t>
      </w:r>
      <w:r w:rsidRPr="00D52F4F">
        <w:rPr>
          <w:rFonts w:cs="Arial"/>
        </w:rPr>
        <w:t xml:space="preserve"> </w:t>
      </w:r>
    </w:p>
    <w:p w:rsidRPr="00F33B01" w:rsidR="005F4C33" w:rsidP="00F33B01" w:rsidRDefault="00836361" w14:paraId="25BE7212" w14:textId="5403D1BE">
      <w:pPr>
        <w:pStyle w:val="Heading3"/>
        <w:tabs>
          <w:tab w:val="clear" w:pos="720"/>
          <w:tab w:val="left" w:pos="1260"/>
        </w:tabs>
        <w:ind w:left="1260" w:hanging="1260"/>
        <w:rPr>
          <w:i/>
          <w:iCs/>
        </w:rPr>
      </w:pPr>
      <w:r>
        <w:rPr>
          <w:i/>
          <w:iCs/>
        </w:rPr>
        <w:t>A13</w:t>
      </w:r>
      <w:r w:rsidRPr="00F33B01" w:rsidR="0051459D">
        <w:rPr>
          <w:i/>
          <w:iCs/>
        </w:rPr>
        <w:t>.3</w:t>
      </w:r>
      <w:r w:rsidRPr="00F33B01" w:rsidR="005F4C33">
        <w:rPr>
          <w:i/>
          <w:iCs/>
        </w:rPr>
        <w:t>.8</w:t>
      </w:r>
      <w:r w:rsidRPr="00F33B01" w:rsidR="005F4C33">
        <w:rPr>
          <w:i/>
          <w:iCs/>
        </w:rPr>
        <w:tab/>
      </w:r>
      <w:r w:rsidRPr="00F33B01" w:rsidR="005F4C33">
        <w:rPr>
          <w:i/>
          <w:iCs/>
        </w:rPr>
        <w:t>TMDLs for Nitrate-Nitrogen in San Luis Obispo Creek</w:t>
      </w:r>
    </w:p>
    <w:p w:rsidRPr="0088649E" w:rsidR="005F4C33" w:rsidP="005F4C33" w:rsidRDefault="005F4C33" w14:paraId="162AE1C7" w14:textId="62354929">
      <w:pPr>
        <w:ind w:left="1260"/>
        <w:rPr>
          <w:rFonts w:cs="Arial"/>
        </w:rPr>
      </w:pPr>
      <w:r w:rsidRPr="0088649E">
        <w:rPr>
          <w:rFonts w:cs="Arial"/>
        </w:rPr>
        <w:t xml:space="preserve">Description: </w:t>
      </w:r>
      <w:r w:rsidR="00CC169C">
        <w:rPr>
          <w:rFonts w:cs="Arial"/>
        </w:rPr>
        <w:t>USEPA</w:t>
      </w:r>
      <w:r w:rsidR="00C56C92">
        <w:rPr>
          <w:rFonts w:cs="Arial"/>
        </w:rPr>
        <w:t xml:space="preserve"> </w:t>
      </w:r>
      <w:r w:rsidRPr="0088649E">
        <w:rPr>
          <w:rFonts w:cs="Arial"/>
        </w:rPr>
        <w:t xml:space="preserve">approved the TMDL on January 10, 2007. San Luis Obispo Creek exceeds the nitrate-nitrogen numeric objective in the Central Coast Water Board Basin Plan. The TMDL states that stormwater discharges currently meet the numeric standards and that stormwater discharge shall not cause an increase in receiving water nitrate-nitrogen. </w:t>
      </w:r>
      <w:r>
        <w:rPr>
          <w:rFonts w:cs="Arial"/>
        </w:rPr>
        <w:t xml:space="preserve">Residential stormwater sources are </w:t>
      </w:r>
      <w:r w:rsidRPr="0088649E">
        <w:rPr>
          <w:rFonts w:cs="Arial"/>
        </w:rPr>
        <w:t>identified as a source.</w:t>
      </w:r>
    </w:p>
    <w:p w:rsidRPr="0088649E" w:rsidR="005F4C33" w:rsidP="005F4C33" w:rsidRDefault="005F4C33" w14:paraId="06243C7B" w14:textId="5578FBAB">
      <w:pPr>
        <w:ind w:left="1260"/>
        <w:rPr>
          <w:rFonts w:cs="Arial"/>
        </w:rPr>
      </w:pPr>
      <w:r w:rsidRPr="0088649E">
        <w:rPr>
          <w:b/>
        </w:rPr>
        <w:t>Responsible Permi</w:t>
      </w:r>
      <w:r w:rsidR="0091593F">
        <w:rPr>
          <w:b/>
        </w:rPr>
        <w:t>t</w:t>
      </w:r>
      <w:r w:rsidRPr="0088649E">
        <w:rPr>
          <w:b/>
        </w:rPr>
        <w:t xml:space="preserve">tees: </w:t>
      </w:r>
      <w:r w:rsidRPr="0088649E">
        <w:rPr>
          <w:rFonts w:cs="Arial"/>
        </w:rPr>
        <w:t>City of San Luis Obispo</w:t>
      </w:r>
      <w:r>
        <w:rPr>
          <w:rFonts w:cs="Arial"/>
        </w:rPr>
        <w:t>;</w:t>
      </w:r>
      <w:r w:rsidRPr="0088649E">
        <w:rPr>
          <w:rFonts w:cs="Arial"/>
        </w:rPr>
        <w:t xml:space="preserve"> County of San Luis Obispo</w:t>
      </w:r>
      <w:r>
        <w:rPr>
          <w:rFonts w:cs="Arial"/>
        </w:rPr>
        <w:t>;</w:t>
      </w:r>
      <w:r w:rsidRPr="0088649E">
        <w:rPr>
          <w:rFonts w:cs="Arial"/>
        </w:rPr>
        <w:t xml:space="preserve"> and California Polytechnic State University, San Luis Obispo campus.</w:t>
      </w:r>
    </w:p>
    <w:p w:rsidRPr="0088649E" w:rsidR="005F4C33" w:rsidP="005F4C33" w:rsidRDefault="005F4C33" w14:paraId="3730DC1A" w14:textId="77777777">
      <w:pPr>
        <w:ind w:left="1260"/>
        <w:rPr>
          <w:rFonts w:cs="Arial"/>
        </w:rPr>
      </w:pPr>
      <w:r w:rsidRPr="0088649E">
        <w:rPr>
          <w:b/>
        </w:rPr>
        <w:t>Wasteload Allocations:</w:t>
      </w:r>
      <w:r w:rsidRPr="0088649E">
        <w:rPr>
          <w:bCs/>
        </w:rPr>
        <w:t xml:space="preserve"> Residential</w:t>
      </w:r>
      <w:r w:rsidRPr="0088649E">
        <w:rPr>
          <w:rFonts w:cs="Arial"/>
          <w:bCs/>
        </w:rPr>
        <w:t xml:space="preserve"> </w:t>
      </w:r>
      <w:r w:rsidRPr="0088649E">
        <w:rPr>
          <w:rFonts w:cs="Arial"/>
        </w:rPr>
        <w:t xml:space="preserve">stormwater from the City of San Luis Obispo, County of San Luis Obispo, and California Polytechnic State University, San Luis Obispo campus. </w:t>
      </w:r>
    </w:p>
    <w:p w:rsidRPr="0088649E" w:rsidR="005F4C33" w:rsidP="005F4C33" w:rsidRDefault="005F4C33" w14:paraId="6878ABBB" w14:textId="77777777">
      <w:pPr>
        <w:ind w:left="1260"/>
        <w:rPr>
          <w:rFonts w:cs="Arial"/>
        </w:rPr>
      </w:pPr>
      <w:r w:rsidRPr="0088649E">
        <w:rPr>
          <w:rFonts w:cs="Arial"/>
        </w:rPr>
        <w:t>The following residential sources wasteload allocations ensure that the receiving water will achieve compliance with water quality standards at the earliest possible date and will continue to meet water quality standards after the wasteload are attained, as follows:</w:t>
      </w:r>
    </w:p>
    <w:p w:rsidRPr="00CE5DC6" w:rsidR="00CE5DC6" w:rsidP="00E8254E" w:rsidRDefault="005F4C33" w14:paraId="27424116" w14:textId="77777777">
      <w:pPr>
        <w:pStyle w:val="ListParagraph"/>
        <w:numPr>
          <w:ilvl w:val="2"/>
          <w:numId w:val="65"/>
        </w:numPr>
        <w:tabs>
          <w:tab w:val="left" w:pos="1620"/>
        </w:tabs>
        <w:ind w:left="1620" w:right="907"/>
        <w:rPr>
          <w:rFonts w:cs="Arial"/>
        </w:rPr>
      </w:pPr>
      <w:r w:rsidRPr="00CE5DC6">
        <w:rPr>
          <w:rFonts w:cs="Arial"/>
          <w:szCs w:val="24"/>
        </w:rPr>
        <w:t xml:space="preserve">Stormwater discharge shall not cause an increase in the receiving water nitrate-nitrogen concentration greater than the current increase in nitrate-nitrogen concentration resulting from the discharge. </w:t>
      </w:r>
    </w:p>
    <w:p w:rsidRPr="006F12ED" w:rsidR="005F4C33" w:rsidP="00E8254E" w:rsidRDefault="005F4C33" w14:paraId="41256989" w14:textId="3B40BF57">
      <w:pPr>
        <w:pStyle w:val="ListParagraph"/>
        <w:numPr>
          <w:ilvl w:val="2"/>
          <w:numId w:val="65"/>
        </w:numPr>
        <w:tabs>
          <w:tab w:val="left" w:pos="1620"/>
        </w:tabs>
        <w:ind w:left="1620" w:right="907"/>
        <w:rPr>
          <w:rFonts w:cs="Arial"/>
        </w:rPr>
      </w:pPr>
      <w:r w:rsidRPr="00CE5DC6">
        <w:rPr>
          <w:rFonts w:cs="Arial"/>
        </w:rPr>
        <w:t>The current increase in nitrate-nitrogen (i.e., the 2006 concentration) concentration in stormwater discharge was 0.3 milligrams per liter.</w:t>
      </w:r>
      <w:r>
        <w:rPr>
          <w:rStyle w:val="FootnoteReference"/>
          <w:rFonts w:cs="Arial"/>
        </w:rPr>
        <w:footnoteReference w:id="19"/>
      </w:r>
      <w:r w:rsidR="00530810">
        <w:rPr>
          <w:rFonts w:cs="Arial"/>
        </w:rPr>
        <w:t xml:space="preserve"> </w:t>
      </w:r>
      <w:r w:rsidRPr="006F12ED">
        <w:rPr>
          <w:rFonts w:cs="Arial"/>
        </w:rPr>
        <w:t xml:space="preserve">Thus, in 2006 the City of San Luis Obispo; County of San Luis Obispo; and California Polytechnic State University, San Luis Obispo campus were achieving their wasteload allocations at the time the TMDL became effective. </w:t>
      </w:r>
    </w:p>
    <w:p w:rsidRPr="00D52F4F" w:rsidR="005F4C33" w:rsidP="005F4C33" w:rsidRDefault="005F4C33" w14:paraId="534E7D51" w14:textId="77777777">
      <w:pPr>
        <w:ind w:left="1260"/>
        <w:rPr>
          <w:rFonts w:cs="Arial"/>
        </w:rPr>
      </w:pPr>
      <w:r w:rsidRPr="0013319D">
        <w:rPr>
          <w:rFonts w:cs="Arial"/>
          <w:b/>
          <w:bCs/>
        </w:rPr>
        <w:t>Final Compliance Deadline</w:t>
      </w:r>
      <w:r w:rsidRPr="0013319D">
        <w:rPr>
          <w:rFonts w:cs="Arial"/>
        </w:rPr>
        <w:t xml:space="preserve">: The final compliance deadline was during or before the year 2012. </w:t>
      </w:r>
      <w:r w:rsidRPr="0013319D">
        <w:rPr>
          <w:bCs/>
        </w:rPr>
        <w:t>Therefore, compliance with the wasteload allocation is required immediately.</w:t>
      </w:r>
      <w:r w:rsidRPr="00D52F4F">
        <w:rPr>
          <w:rFonts w:cs="Arial"/>
        </w:rPr>
        <w:t xml:space="preserve"> </w:t>
      </w:r>
    </w:p>
    <w:p w:rsidRPr="0013319D" w:rsidR="005F4C33" w:rsidP="00F33B01" w:rsidRDefault="00836361" w14:paraId="052A7062" w14:textId="7FA94582">
      <w:pPr>
        <w:pStyle w:val="Heading3"/>
        <w:tabs>
          <w:tab w:val="clear" w:pos="720"/>
          <w:tab w:val="left" w:pos="1260"/>
        </w:tabs>
        <w:ind w:left="1260" w:hanging="1260"/>
      </w:pPr>
      <w:r>
        <w:rPr>
          <w:i/>
          <w:iCs/>
        </w:rPr>
        <w:t>A13</w:t>
      </w:r>
      <w:r w:rsidRPr="00F33B01" w:rsidR="0051459D">
        <w:rPr>
          <w:i/>
          <w:iCs/>
        </w:rPr>
        <w:t>.3</w:t>
      </w:r>
      <w:r w:rsidRPr="00F33B01" w:rsidR="005F4C33">
        <w:rPr>
          <w:i/>
          <w:iCs/>
        </w:rPr>
        <w:t>.9</w:t>
      </w:r>
      <w:r w:rsidRPr="00F33B01" w:rsidR="005F4C33">
        <w:rPr>
          <w:i/>
          <w:iCs/>
        </w:rPr>
        <w:tab/>
      </w:r>
      <w:r w:rsidRPr="00F33B01" w:rsidR="005F4C33">
        <w:rPr>
          <w:i/>
          <w:iCs/>
        </w:rPr>
        <w:t>TMDL for Fecal Coliform in Corralitos and Salsipuedes Creeks</w:t>
      </w:r>
    </w:p>
    <w:p w:rsidRPr="00D52F4F" w:rsidR="005F4C33" w:rsidP="005F4C33" w:rsidRDefault="005F4C33" w14:paraId="48261EEA" w14:textId="314492DF">
      <w:pPr>
        <w:ind w:left="1260"/>
        <w:rPr>
          <w:rFonts w:cs="Arial"/>
          <w:highlight w:val="green"/>
        </w:rPr>
      </w:pPr>
      <w:r w:rsidRPr="0013319D">
        <w:rPr>
          <w:rFonts w:cs="Arial"/>
          <w:b/>
          <w:bCs/>
        </w:rPr>
        <w:t>Description:</w:t>
      </w:r>
      <w:r w:rsidRPr="0013319D">
        <w:rPr>
          <w:rFonts w:cs="Arial"/>
        </w:rPr>
        <w:t xml:space="preserve"> </w:t>
      </w:r>
      <w:r w:rsidR="00CC169C">
        <w:rPr>
          <w:rFonts w:cs="Arial"/>
        </w:rPr>
        <w:t>USEPA</w:t>
      </w:r>
      <w:r w:rsidR="00C56C92">
        <w:rPr>
          <w:rFonts w:cs="Arial"/>
        </w:rPr>
        <w:t xml:space="preserve"> </w:t>
      </w:r>
      <w:r w:rsidRPr="0013319D">
        <w:rPr>
          <w:rFonts w:cs="Arial"/>
        </w:rPr>
        <w:t xml:space="preserve">approved the TMDL on January 17, 2012. Fecal coliform concentrations in Corralitos Creek and Salsipuedes Creek exceed numeric water quality objectives </w:t>
      </w:r>
      <w:r>
        <w:rPr>
          <w:rFonts w:cs="Arial"/>
        </w:rPr>
        <w:t>for</w:t>
      </w:r>
      <w:r w:rsidRPr="0013319D">
        <w:rPr>
          <w:rFonts w:cs="Arial"/>
        </w:rPr>
        <w:t xml:space="preserve"> water contact beneficial use. The impaired reaches are: (1) all reaches of Corralitos Creek downstream of Browns Valley Bridge, and (2) all reaches of Salsipuedes Creek. The TMDL </w:t>
      </w:r>
      <w:r w:rsidRPr="0013319D">
        <w:rPr>
          <w:rFonts w:cs="Arial"/>
        </w:rPr>
        <w:t xml:space="preserve">identifies storm drain discharges to municipally owned and operated storm sewer system as a contributing source. </w:t>
      </w:r>
    </w:p>
    <w:p w:rsidRPr="0013319D" w:rsidR="005F4C33" w:rsidP="005F4C33" w:rsidRDefault="005F4C33" w14:paraId="797CE380" w14:textId="2731A858">
      <w:pPr>
        <w:ind w:left="1260"/>
        <w:rPr>
          <w:rFonts w:cs="Arial"/>
        </w:rPr>
      </w:pPr>
      <w:r w:rsidRPr="0013319D">
        <w:rPr>
          <w:b/>
        </w:rPr>
        <w:t>Responsible Permit</w:t>
      </w:r>
      <w:r w:rsidR="0091593F">
        <w:rPr>
          <w:b/>
        </w:rPr>
        <w:t>t</w:t>
      </w:r>
      <w:r w:rsidRPr="0013319D">
        <w:rPr>
          <w:b/>
        </w:rPr>
        <w:t xml:space="preserve">ees: </w:t>
      </w:r>
      <w:r w:rsidRPr="0013319D">
        <w:rPr>
          <w:rFonts w:cs="Arial"/>
        </w:rPr>
        <w:t>City of Watsonville</w:t>
      </w:r>
      <w:r w:rsidR="00553DBE">
        <w:rPr>
          <w:rFonts w:cs="Arial"/>
        </w:rPr>
        <w:t>,</w:t>
      </w:r>
      <w:r w:rsidRPr="0013319D">
        <w:rPr>
          <w:rFonts w:cs="Arial"/>
        </w:rPr>
        <w:t xml:space="preserve"> the County of Santa Cruz</w:t>
      </w:r>
      <w:r w:rsidR="00A64DB6">
        <w:rPr>
          <w:rFonts w:cs="Arial"/>
        </w:rPr>
        <w:t>, and Santa Cruz County Fairgrounds</w:t>
      </w:r>
      <w:r w:rsidRPr="0013319D" w:rsidDel="00553DBE">
        <w:rPr>
          <w:rFonts w:cs="Arial"/>
        </w:rPr>
        <w:t>.</w:t>
      </w:r>
    </w:p>
    <w:p w:rsidRPr="00602430" w:rsidR="005F4C33" w:rsidP="005F4C33" w:rsidRDefault="005F4C33" w14:paraId="4730A64D" w14:textId="3713F14A">
      <w:pPr>
        <w:ind w:left="1260"/>
      </w:pPr>
      <w:r w:rsidRPr="00602430">
        <w:rPr>
          <w:b/>
        </w:rPr>
        <w:t>Wasteload Allocations:</w:t>
      </w:r>
      <w:r w:rsidRPr="00602430">
        <w:rPr>
          <w:b/>
          <w:bCs/>
        </w:rPr>
        <w:t xml:space="preserve"> </w:t>
      </w:r>
      <w:r w:rsidRPr="00602430">
        <w:t xml:space="preserve">The </w:t>
      </w:r>
      <w:r w:rsidRPr="0013319D">
        <w:rPr>
          <w:rFonts w:cs="Arial"/>
        </w:rPr>
        <w:t>City of Watsonville and the County of Santa Cruz</w:t>
      </w:r>
      <w:r w:rsidRPr="00602430">
        <w:t xml:space="preserve"> are assigned concentration-based wasteload allocations for a</w:t>
      </w:r>
      <w:r w:rsidRPr="00602430">
        <w:rPr>
          <w:rFonts w:eastAsiaTheme="minorHAnsi"/>
        </w:rPr>
        <w:t>ll reaches of Corralitos Creek downstream of Browns Valley Bridge and all reaches of Salsipuedes Creek, as follows</w:t>
      </w:r>
      <w:r w:rsidR="00A64DB6">
        <w:t>:</w:t>
      </w:r>
    </w:p>
    <w:p w:rsidRPr="00602430" w:rsidR="005F4C33" w:rsidP="00E8254E" w:rsidRDefault="005F4C33" w14:paraId="3068BB1B" w14:textId="77777777">
      <w:pPr>
        <w:pStyle w:val="ListParagraph"/>
        <w:numPr>
          <w:ilvl w:val="0"/>
          <w:numId w:val="64"/>
        </w:numPr>
        <w:tabs>
          <w:tab w:val="left" w:pos="1620"/>
        </w:tabs>
        <w:ind w:left="1620"/>
        <w:rPr>
          <w:rFonts w:cs="Arial" w:eastAsiaTheme="minorHAnsi"/>
          <w:szCs w:val="24"/>
        </w:rPr>
      </w:pPr>
      <w:r w:rsidRPr="00602430">
        <w:rPr>
          <w:rFonts w:cs="Arial" w:eastAsiaTheme="minorHAnsi"/>
          <w:szCs w:val="24"/>
        </w:rPr>
        <w:t>The fecal coliform concentration in the receiving water (based on a minimum of five samples) for any consecutive 30-day period shall not exceed a log mean of 200 Most Probable Number per 100 milliliters, and</w:t>
      </w:r>
    </w:p>
    <w:p w:rsidRPr="00602430" w:rsidR="005F4C33" w:rsidP="00E8254E" w:rsidRDefault="005F4C33" w14:paraId="3CDEBA33" w14:textId="77777777">
      <w:pPr>
        <w:pStyle w:val="ListParagraph"/>
        <w:numPr>
          <w:ilvl w:val="0"/>
          <w:numId w:val="64"/>
        </w:numPr>
        <w:tabs>
          <w:tab w:val="left" w:pos="1620"/>
        </w:tabs>
        <w:ind w:left="1620"/>
        <w:rPr>
          <w:rFonts w:cs="Arial" w:eastAsiaTheme="minorHAnsi"/>
          <w:szCs w:val="24"/>
        </w:rPr>
      </w:pPr>
      <w:r w:rsidRPr="00602430">
        <w:rPr>
          <w:rFonts w:cs="Arial" w:eastAsiaTheme="minorHAnsi"/>
          <w:szCs w:val="24"/>
        </w:rPr>
        <w:t>The fecal coliform concentration (of each individual sample) of more than ten percent of the total samples collected during the same 30-day period, as above, shall not exceed 400 Most Probable Number per 100 milliliters.</w:t>
      </w:r>
    </w:p>
    <w:p w:rsidRPr="00D52F4F" w:rsidR="005F4C33" w:rsidP="005F4C33" w:rsidRDefault="005F4C33" w14:paraId="479A03A1" w14:textId="733AD081">
      <w:pPr>
        <w:ind w:left="1260"/>
        <w:rPr>
          <w:rFonts w:cs="Arial"/>
        </w:rPr>
      </w:pPr>
      <w:r w:rsidRPr="00602430">
        <w:rPr>
          <w:b/>
        </w:rPr>
        <w:t>Final Compliance Deadline:</w:t>
      </w:r>
      <w:r w:rsidR="00B7271E">
        <w:rPr>
          <w:rFonts w:cs="Arial"/>
        </w:rPr>
        <w:t xml:space="preserve"> </w:t>
      </w:r>
      <w:r w:rsidRPr="00602430">
        <w:rPr>
          <w:rFonts w:cs="Arial"/>
        </w:rPr>
        <w:t>The final compliance deadline to achieve wasteload allocations is September 8, 2024.</w:t>
      </w:r>
    </w:p>
    <w:p w:rsidRPr="00F33B01" w:rsidR="005F4C33" w:rsidP="00F33B01" w:rsidRDefault="00836361" w14:paraId="7A8A0DCD" w14:textId="5C5EDAE4">
      <w:pPr>
        <w:pStyle w:val="Heading3"/>
        <w:tabs>
          <w:tab w:val="clear" w:pos="720"/>
          <w:tab w:val="left" w:pos="1260"/>
        </w:tabs>
        <w:ind w:left="1260" w:hanging="1260"/>
        <w:rPr>
          <w:i/>
          <w:iCs/>
        </w:rPr>
      </w:pPr>
      <w:r>
        <w:rPr>
          <w:i/>
          <w:iCs/>
        </w:rPr>
        <w:t>A13</w:t>
      </w:r>
      <w:r w:rsidRPr="00F33B01" w:rsidR="0051459D">
        <w:rPr>
          <w:i/>
          <w:iCs/>
        </w:rPr>
        <w:t>.3</w:t>
      </w:r>
      <w:r w:rsidRPr="00F33B01" w:rsidR="005F4C33">
        <w:rPr>
          <w:i/>
          <w:iCs/>
        </w:rPr>
        <w:t>.10</w:t>
      </w:r>
      <w:r w:rsidRPr="00F33B01" w:rsidR="005F4C33">
        <w:rPr>
          <w:i/>
          <w:iCs/>
        </w:rPr>
        <w:tab/>
      </w:r>
      <w:r w:rsidRPr="00F33B01" w:rsidR="005F4C33">
        <w:rPr>
          <w:i/>
          <w:iCs/>
        </w:rPr>
        <w:t>TMDL for Fecal Coliform in Lower Salinas River Watershed</w:t>
      </w:r>
      <w:r w:rsidR="00F82E19">
        <w:rPr>
          <w:i/>
          <w:iCs/>
        </w:rPr>
        <w:t xml:space="preserve"> </w:t>
      </w:r>
    </w:p>
    <w:p w:rsidRPr="00D90EBD" w:rsidR="005F4C33" w:rsidP="005F4C33" w:rsidRDefault="005F4C33" w14:paraId="1D407B45" w14:textId="2EC33AD9">
      <w:pPr>
        <w:ind w:left="1260"/>
        <w:rPr>
          <w:bCs/>
        </w:rPr>
      </w:pPr>
      <w:r w:rsidRPr="00D90EBD">
        <w:rPr>
          <w:b/>
        </w:rPr>
        <w:t>Description:</w:t>
      </w:r>
      <w:r w:rsidRPr="00D90EBD">
        <w:rPr>
          <w:bCs/>
        </w:rPr>
        <w:t xml:space="preserve"> </w:t>
      </w:r>
      <w:r w:rsidR="00CC169C">
        <w:rPr>
          <w:bCs/>
        </w:rPr>
        <w:t>USEPA</w:t>
      </w:r>
      <w:r w:rsidR="00C56C92">
        <w:rPr>
          <w:bCs/>
        </w:rPr>
        <w:t xml:space="preserve"> </w:t>
      </w:r>
      <w:r w:rsidRPr="00D90EBD">
        <w:rPr>
          <w:bCs/>
        </w:rPr>
        <w:t>approved the TMDL n January 31, 2012. Reaches of the Lower Salinas River Watershed are impaired due to fecal coliform. Impaired reaches include</w:t>
      </w:r>
      <w:r w:rsidRPr="00D90EBD">
        <w:rPr>
          <w:rFonts w:cs="Arial"/>
        </w:rPr>
        <w:t xml:space="preserve"> the Lower Salinas River, Old Salinas River, Tembladero Slough, Salinas Reclamation Canal, Alisal Creek, Gabilan Creek, Salinas River Lagoon, and the Santa Rita Creek.</w:t>
      </w:r>
      <w:r w:rsidRPr="00D90EBD">
        <w:rPr>
          <w:bCs/>
        </w:rPr>
        <w:t xml:space="preserve"> The beneficial use of water contact recreation is not protected in the impaired reaches. The TMDL identifies storm drain discharges into municipal separate storm sewer systems as a contributing source of fecal coliform. </w:t>
      </w:r>
    </w:p>
    <w:p w:rsidRPr="00C972DB" w:rsidR="005F4C33" w:rsidP="005F4C33" w:rsidRDefault="005F4C33" w14:paraId="4DC5BB0A" w14:textId="635355AC">
      <w:pPr>
        <w:ind w:left="1260"/>
        <w:rPr>
          <w:rFonts w:cs="Arial"/>
        </w:rPr>
      </w:pPr>
      <w:r w:rsidRPr="00C972DB">
        <w:rPr>
          <w:rFonts w:cs="Arial"/>
          <w:b/>
        </w:rPr>
        <w:t>Responsible Permit</w:t>
      </w:r>
      <w:r w:rsidR="0091593F">
        <w:rPr>
          <w:rFonts w:cs="Arial"/>
          <w:b/>
        </w:rPr>
        <w:t>t</w:t>
      </w:r>
      <w:r w:rsidRPr="00C972DB">
        <w:rPr>
          <w:rFonts w:cs="Arial"/>
          <w:b/>
        </w:rPr>
        <w:t>ees:</w:t>
      </w:r>
      <w:r w:rsidRPr="00C972DB">
        <w:rPr>
          <w:rFonts w:cs="Arial"/>
        </w:rPr>
        <w:t xml:space="preserve"> County of Monterey.</w:t>
      </w:r>
    </w:p>
    <w:p w:rsidRPr="00C972DB" w:rsidR="005F4C33" w:rsidP="005F4C33" w:rsidRDefault="005F4C33" w14:paraId="35A55895" w14:textId="77777777">
      <w:pPr>
        <w:ind w:left="1260"/>
        <w:rPr>
          <w:rFonts w:cs="Arial"/>
        </w:rPr>
      </w:pPr>
      <w:r>
        <w:rPr>
          <w:rFonts w:cs="Arial"/>
          <w:b/>
        </w:rPr>
        <w:t>Wasteload</w:t>
      </w:r>
      <w:r w:rsidRPr="00C972DB">
        <w:rPr>
          <w:rFonts w:cs="Arial"/>
          <w:b/>
        </w:rPr>
        <w:t xml:space="preserve"> Allocations: </w:t>
      </w:r>
      <w:r w:rsidRPr="00C972DB">
        <w:rPr>
          <w:rFonts w:cs="Arial"/>
        </w:rPr>
        <w:t>The County of Monterey is assigned allocations in the following water bodies:</w:t>
      </w:r>
    </w:p>
    <w:p w:rsidRPr="00726A5B" w:rsidR="005F4C33" w:rsidP="0025287E" w:rsidRDefault="003949D5" w14:paraId="23441FD3" w14:textId="5618469A">
      <w:pPr>
        <w:keepNext/>
        <w:keepLines/>
        <w:spacing w:after="0" w:line="240" w:lineRule="auto"/>
        <w:ind w:left="90"/>
        <w:rPr>
          <w:rFonts w:cs="Arial"/>
          <w:b/>
          <w:bCs/>
          <w:sz w:val="22"/>
          <w:szCs w:val="22"/>
        </w:rPr>
      </w:pPr>
      <w:r w:rsidRPr="006A6529">
        <w:rPr>
          <w:b/>
          <w:bCs/>
        </w:rPr>
        <w:t>TMDL for Fecal Coliform in Lower Salinas River Watershed</w:t>
      </w:r>
      <w:r w:rsidRPr="006A6529" w:rsidR="006A6529">
        <w:rPr>
          <w:rFonts w:cs="Arial"/>
          <w:b/>
          <w:bCs/>
          <w:sz w:val="22"/>
          <w:szCs w:val="22"/>
        </w:rPr>
        <w:t>:</w:t>
      </w:r>
      <w:r w:rsidR="006A6529">
        <w:rPr>
          <w:rFonts w:cs="Arial"/>
          <w:b/>
          <w:bCs/>
          <w:sz w:val="22"/>
          <w:szCs w:val="22"/>
        </w:rPr>
        <w:t xml:space="preserve"> </w:t>
      </w:r>
      <w:r w:rsidRPr="00726A5B" w:rsidR="005F4C33">
        <w:rPr>
          <w:rFonts w:cs="Arial"/>
          <w:b/>
          <w:bCs/>
          <w:sz w:val="22"/>
          <w:szCs w:val="22"/>
        </w:rPr>
        <w:t>County of Monterey Wasteload Allocations in the Lower Salinas River Watershed</w:t>
      </w:r>
    </w:p>
    <w:tbl>
      <w:tblPr>
        <w:tblStyle w:val="TableGrid"/>
        <w:tblW w:w="4916" w:type="pct"/>
        <w:tblInd w:w="85" w:type="dxa"/>
        <w:tblLook w:val="04A0" w:firstRow="1" w:lastRow="0" w:firstColumn="1" w:lastColumn="0" w:noHBand="0" w:noVBand="1"/>
      </w:tblPr>
      <w:tblGrid>
        <w:gridCol w:w="3696"/>
        <w:gridCol w:w="5497"/>
      </w:tblGrid>
      <w:tr w:rsidRPr="00726A5B" w:rsidR="005F4C33" w:rsidTr="002616E5" w14:paraId="212208D2" w14:textId="77777777">
        <w:tc>
          <w:tcPr>
            <w:tcW w:w="3960" w:type="dxa"/>
            <w:shd w:val="clear" w:color="auto" w:fill="D6E3BC" w:themeFill="accent3" w:themeFillTint="66"/>
          </w:tcPr>
          <w:p w:rsidRPr="0025287E" w:rsidR="005F4C33" w:rsidP="0025287E" w:rsidRDefault="005F4C33" w14:paraId="0785B760" w14:textId="77777777">
            <w:pPr>
              <w:keepNext/>
              <w:keepLines/>
              <w:rPr>
                <w:rFonts w:ascii="Arial" w:hAnsi="Arial" w:cs="Arial"/>
                <w:sz w:val="22"/>
                <w:szCs w:val="22"/>
              </w:rPr>
            </w:pPr>
            <w:r w:rsidRPr="0025287E">
              <w:rPr>
                <w:rFonts w:ascii="Arial" w:hAnsi="Arial" w:cs="Arial"/>
                <w:sz w:val="22"/>
                <w:szCs w:val="22"/>
              </w:rPr>
              <w:t>Waterbody</w:t>
            </w:r>
          </w:p>
        </w:tc>
        <w:tc>
          <w:tcPr>
            <w:tcW w:w="5941" w:type="dxa"/>
            <w:shd w:val="clear" w:color="auto" w:fill="D6E3BC" w:themeFill="accent3" w:themeFillTint="66"/>
          </w:tcPr>
          <w:p w:rsidRPr="0025287E" w:rsidR="005F4C33" w:rsidP="0025287E" w:rsidRDefault="005F4C33" w14:paraId="2FD8898F" w14:textId="77777777">
            <w:pPr>
              <w:keepNext/>
              <w:keepLines/>
              <w:rPr>
                <w:rFonts w:ascii="Arial" w:hAnsi="Arial" w:cs="Arial"/>
                <w:sz w:val="22"/>
                <w:szCs w:val="22"/>
              </w:rPr>
            </w:pPr>
            <w:r w:rsidRPr="0025287E">
              <w:rPr>
                <w:rFonts w:ascii="Arial" w:hAnsi="Arial" w:cs="Arial"/>
                <w:sz w:val="22"/>
                <w:szCs w:val="22"/>
              </w:rPr>
              <w:t>Receiving Water Fecal Coliform Concentrations</w:t>
            </w:r>
          </w:p>
        </w:tc>
      </w:tr>
      <w:tr w:rsidRPr="00726A5B" w:rsidR="005F4C33" w14:paraId="6986B0CC" w14:textId="77777777">
        <w:trPr>
          <w:trHeight w:val="1862"/>
        </w:trPr>
        <w:tc>
          <w:tcPr>
            <w:tcW w:w="3960" w:type="dxa"/>
          </w:tcPr>
          <w:p w:rsidRPr="0025287E" w:rsidR="005F4C33" w:rsidP="0025287E" w:rsidRDefault="005F4C33" w14:paraId="31B919E9" w14:textId="77777777">
            <w:pPr>
              <w:keepNext/>
              <w:keepLines/>
              <w:rPr>
                <w:rFonts w:ascii="Arial" w:hAnsi="Arial" w:cs="Arial"/>
                <w:sz w:val="22"/>
                <w:szCs w:val="22"/>
              </w:rPr>
            </w:pPr>
            <w:r w:rsidRPr="0025287E">
              <w:rPr>
                <w:rFonts w:ascii="Arial" w:hAnsi="Arial" w:cs="Arial"/>
                <w:sz w:val="22"/>
                <w:szCs w:val="22"/>
              </w:rPr>
              <w:t>Lower Salinas River, Old Salinas River, Tembladero Slough, Salinas Reclamation Canal, Alisal Creek, Gabilan Creek, Salinas River Lagoon, and the Santa Rita Creek</w:t>
            </w:r>
          </w:p>
        </w:tc>
        <w:tc>
          <w:tcPr>
            <w:tcW w:w="5941" w:type="dxa"/>
          </w:tcPr>
          <w:p w:rsidRPr="0025287E" w:rsidR="005F4C33" w:rsidP="0025287E" w:rsidRDefault="005F4C33" w14:paraId="2523CD46" w14:textId="77777777">
            <w:pPr>
              <w:keepNext/>
              <w:keepLines/>
              <w:rPr>
                <w:rFonts w:ascii="Arial" w:hAnsi="Arial" w:cs="Arial"/>
                <w:sz w:val="22"/>
                <w:szCs w:val="22"/>
              </w:rPr>
            </w:pPr>
            <w:r w:rsidRPr="0025287E">
              <w:rPr>
                <w:rFonts w:ascii="Arial" w:hAnsi="Arial" w:cs="Arial"/>
                <w:sz w:val="22"/>
                <w:szCs w:val="22"/>
              </w:rPr>
              <w:t>Fecal coliform concentration, based on a minimum of not less than five samples for any 30-day period, shall not exceed a log mean of 200 Most Probably Number per 100 milliliters, nor shall more than ten percent of total samples during any 30-day period exceed 400 Most Probably Number per 100 milliliters.</w:t>
            </w:r>
          </w:p>
        </w:tc>
      </w:tr>
    </w:tbl>
    <w:p w:rsidRPr="00D52F4F" w:rsidR="005F4C33" w:rsidP="005F4C33" w:rsidRDefault="005F4C33" w14:paraId="6F396F0D" w14:textId="77777777">
      <w:pPr>
        <w:spacing w:before="240"/>
        <w:ind w:left="1267"/>
        <w:rPr>
          <w:rFonts w:cs="Arial"/>
        </w:rPr>
      </w:pPr>
      <w:r w:rsidRPr="00170D08">
        <w:rPr>
          <w:rFonts w:cs="Arial"/>
          <w:b/>
        </w:rPr>
        <w:t>Final Compliance Deadline</w:t>
      </w:r>
      <w:r w:rsidRPr="00170D08">
        <w:rPr>
          <w:rFonts w:cs="Arial"/>
        </w:rPr>
        <w:t>: The final compliance deadline is December 20, 2024.</w:t>
      </w:r>
    </w:p>
    <w:p w:rsidRPr="00F33B01" w:rsidR="005F4C33" w:rsidP="00F33B01" w:rsidRDefault="00836361" w14:paraId="096649FA" w14:textId="08EC487F">
      <w:pPr>
        <w:pStyle w:val="Heading3"/>
        <w:tabs>
          <w:tab w:val="clear" w:pos="720"/>
          <w:tab w:val="left" w:pos="1260"/>
        </w:tabs>
        <w:ind w:left="1260" w:hanging="1260"/>
        <w:rPr>
          <w:i/>
          <w:iCs/>
        </w:rPr>
      </w:pPr>
      <w:r>
        <w:rPr>
          <w:i/>
          <w:iCs/>
        </w:rPr>
        <w:t>A13</w:t>
      </w:r>
      <w:r w:rsidRPr="00F33B01" w:rsidR="000432A5">
        <w:rPr>
          <w:i/>
          <w:iCs/>
        </w:rPr>
        <w:t>.</w:t>
      </w:r>
      <w:r w:rsidRPr="00F33B01" w:rsidR="005F4C33">
        <w:rPr>
          <w:i/>
          <w:iCs/>
        </w:rPr>
        <w:t>3.11</w:t>
      </w:r>
      <w:r w:rsidRPr="00F33B01" w:rsidR="005F4C33">
        <w:rPr>
          <w:i/>
          <w:iCs/>
        </w:rPr>
        <w:tab/>
      </w:r>
      <w:r w:rsidRPr="00F33B01" w:rsidR="005F4C33">
        <w:rPr>
          <w:i/>
          <w:iCs/>
        </w:rPr>
        <w:t>TMDL for Pathogens in San Lorenzo Estuary</w:t>
      </w:r>
      <w:r w:rsidR="00B23CAC">
        <w:rPr>
          <w:i/>
          <w:iCs/>
        </w:rPr>
        <w:t>,</w:t>
      </w:r>
      <w:r w:rsidRPr="00B23CAC" w:rsidR="00B23CAC">
        <w:rPr>
          <w:i/>
          <w:iCs/>
        </w:rPr>
        <w:t xml:space="preserve"> San Lorenzo River, Branciforte Creek, Camp Evers Creek, Carbonera Creek, and Lompico Creek</w:t>
      </w:r>
    </w:p>
    <w:p w:rsidRPr="00781338" w:rsidR="005F4C33" w:rsidP="005F4C33" w:rsidRDefault="005F4C33" w14:paraId="34309FDD" w14:textId="12B55566">
      <w:pPr>
        <w:ind w:left="1260"/>
        <w:rPr>
          <w:rFonts w:cs="Arial"/>
        </w:rPr>
      </w:pPr>
      <w:r w:rsidRPr="00781338">
        <w:rPr>
          <w:rFonts w:cs="Arial"/>
          <w:b/>
          <w:bCs/>
        </w:rPr>
        <w:t>Description:</w:t>
      </w:r>
      <w:r w:rsidRPr="00781338">
        <w:rPr>
          <w:rFonts w:cs="Arial"/>
        </w:rPr>
        <w:t xml:space="preserve"> </w:t>
      </w:r>
      <w:r w:rsidR="00CC169C">
        <w:rPr>
          <w:rFonts w:cs="Arial"/>
        </w:rPr>
        <w:t>USEPA</w:t>
      </w:r>
      <w:r w:rsidR="00C56C92">
        <w:rPr>
          <w:rFonts w:cs="Arial"/>
        </w:rPr>
        <w:t xml:space="preserve"> </w:t>
      </w:r>
      <w:r w:rsidRPr="00781338">
        <w:rPr>
          <w:rFonts w:cs="Arial"/>
        </w:rPr>
        <w:t>approved the TMDL on July 20, 2011. Reaches in the San Lorenzo Estuary and River are impaired for pathogens and t</w:t>
      </w:r>
      <w:r w:rsidRPr="00781338">
        <w:t xml:space="preserve">he beneficial use of water contact recreation is not protected in the impaired reaches. </w:t>
      </w:r>
      <w:r w:rsidRPr="00781338">
        <w:rPr>
          <w:rFonts w:cs="Arial"/>
        </w:rPr>
        <w:t xml:space="preserve">The impaired reaches include </w:t>
      </w:r>
      <w:r w:rsidRPr="00781338">
        <w:rPr>
          <w:rFonts w:cs="Arial" w:eastAsiaTheme="minorHAnsi"/>
        </w:rPr>
        <w:t>Branciforte Creek, Carbonera Creek</w:t>
      </w:r>
      <w:r w:rsidRPr="00781338">
        <w:rPr>
          <w:rFonts w:cs="Arial"/>
        </w:rPr>
        <w:t xml:space="preserve">, </w:t>
      </w:r>
      <w:r w:rsidRPr="00781338">
        <w:rPr>
          <w:rFonts w:cs="Arial" w:eastAsiaTheme="minorHAnsi"/>
        </w:rPr>
        <w:t>Lompico Creek</w:t>
      </w:r>
      <w:r w:rsidRPr="00781338">
        <w:rPr>
          <w:rFonts w:cs="Arial"/>
        </w:rPr>
        <w:t xml:space="preserve">, </w:t>
      </w:r>
      <w:r w:rsidRPr="00781338">
        <w:rPr>
          <w:rFonts w:cs="Arial" w:eastAsiaTheme="minorHAnsi"/>
        </w:rPr>
        <w:t>San Lorenzo River,</w:t>
      </w:r>
      <w:r w:rsidRPr="00781338">
        <w:rPr>
          <w:rFonts w:cs="Arial"/>
        </w:rPr>
        <w:t xml:space="preserve"> and </w:t>
      </w:r>
      <w:r w:rsidRPr="00781338">
        <w:rPr>
          <w:rFonts w:cs="Arial" w:eastAsiaTheme="minorHAnsi"/>
        </w:rPr>
        <w:t>San Lorenzo River Estuary</w:t>
      </w:r>
      <w:r w:rsidRPr="00781338">
        <w:rPr>
          <w:rFonts w:cs="Arial"/>
        </w:rPr>
        <w:t>. The TMDL identifies contributing pathogen sources as storm drain discharges into municipal separate storm sewer systems.</w:t>
      </w:r>
    </w:p>
    <w:p w:rsidRPr="00781338" w:rsidR="005F4C33" w:rsidP="005F4C33" w:rsidRDefault="005F4C33" w14:paraId="4871A2EC" w14:textId="0F0A8BD1">
      <w:pPr>
        <w:ind w:left="1260"/>
        <w:rPr>
          <w:rFonts w:cs="Arial"/>
        </w:rPr>
      </w:pPr>
      <w:r w:rsidRPr="00781338">
        <w:rPr>
          <w:b/>
        </w:rPr>
        <w:t>Responsible Permit</w:t>
      </w:r>
      <w:r w:rsidR="0091593F">
        <w:rPr>
          <w:b/>
        </w:rPr>
        <w:t>t</w:t>
      </w:r>
      <w:r w:rsidRPr="00781338">
        <w:rPr>
          <w:b/>
        </w:rPr>
        <w:t>ees:</w:t>
      </w:r>
      <w:r w:rsidRPr="00781338">
        <w:rPr>
          <w:b/>
          <w:bCs/>
        </w:rPr>
        <w:t xml:space="preserve"> </w:t>
      </w:r>
      <w:r w:rsidRPr="00781338">
        <w:rPr>
          <w:rFonts w:cs="Arial"/>
        </w:rPr>
        <w:t>City of Santa Cruz, City of Scotts Valley, and the County of Santa Cruz.</w:t>
      </w:r>
    </w:p>
    <w:p w:rsidRPr="00D52F4F" w:rsidR="005F4C33" w:rsidP="005F4C33" w:rsidRDefault="005F4C33" w14:paraId="4A841612" w14:textId="77777777">
      <w:pPr>
        <w:spacing w:after="240"/>
        <w:ind w:left="1267"/>
        <w:rPr>
          <w:rFonts w:cs="Arial"/>
        </w:rPr>
      </w:pPr>
      <w:r w:rsidRPr="00781338">
        <w:rPr>
          <w:b/>
        </w:rPr>
        <w:t>Wasteload Allocations:</w:t>
      </w:r>
      <w:r w:rsidRPr="00781338">
        <w:rPr>
          <w:b/>
          <w:bCs/>
        </w:rPr>
        <w:t xml:space="preserve"> </w:t>
      </w:r>
      <w:r w:rsidRPr="00781338">
        <w:rPr>
          <w:rFonts w:cs="Arial"/>
        </w:rPr>
        <w:t>City of Santa Cruz, City of Scotts Valley, and the County of Santa Cruz are assigned the following concentration based wasteload allocation for fecal coliform:</w:t>
      </w:r>
      <w:r w:rsidRPr="00D52F4F">
        <w:rPr>
          <w:rFonts w:cs="Arial"/>
        </w:rPr>
        <w:t xml:space="preserve"> </w:t>
      </w:r>
    </w:p>
    <w:p w:rsidRPr="0025287E" w:rsidR="005F4C33" w:rsidP="00A03AB5" w:rsidRDefault="005F4C33" w14:paraId="484F7E50" w14:textId="30A44BD7">
      <w:pPr>
        <w:pStyle w:val="TableHead"/>
        <w:widowControl w:val="0"/>
        <w:spacing w:before="120"/>
        <w:ind w:left="1260"/>
      </w:pPr>
      <w:r w:rsidRPr="0025287E">
        <w:t xml:space="preserve">Fecal Coliform Wasteload Allocations for </w:t>
      </w:r>
      <w:r w:rsidR="006A6529">
        <w:t xml:space="preserve">Pathogens TMDL in </w:t>
      </w:r>
      <w:r w:rsidRPr="0025287E">
        <w:t>San Lorenzo Estuary</w:t>
      </w:r>
      <w:r w:rsidR="00081E81">
        <w:t>, Reaches</w:t>
      </w:r>
      <w:r w:rsidR="00446D5A">
        <w:t>,</w:t>
      </w:r>
      <w:r w:rsidRPr="0025287E">
        <w:t xml:space="preserve"> and River </w:t>
      </w:r>
    </w:p>
    <w:tbl>
      <w:tblPr>
        <w:tblStyle w:val="TableGrid"/>
        <w:tblW w:w="4245" w:type="pct"/>
        <w:tblInd w:w="1255" w:type="dxa"/>
        <w:tblLook w:val="04A0" w:firstRow="1" w:lastRow="0" w:firstColumn="1" w:lastColumn="0" w:noHBand="0" w:noVBand="1"/>
      </w:tblPr>
      <w:tblGrid>
        <w:gridCol w:w="2070"/>
        <w:gridCol w:w="1620"/>
        <w:gridCol w:w="4248"/>
      </w:tblGrid>
      <w:tr w:rsidRPr="00D44AFE" w:rsidR="005F4C33" w:rsidTr="00A03AB5" w14:paraId="1369DC7C" w14:textId="77777777">
        <w:trPr>
          <w:trHeight w:val="683"/>
          <w:tblHeader/>
        </w:trPr>
        <w:tc>
          <w:tcPr>
            <w:tcW w:w="2070" w:type="dxa"/>
            <w:shd w:val="clear" w:color="auto" w:fill="D6E3BC" w:themeFill="accent3" w:themeFillTint="66"/>
          </w:tcPr>
          <w:p w:rsidRPr="00D44AFE" w:rsidR="005F4C33" w:rsidP="00DF3B18" w:rsidRDefault="005F4C33" w14:paraId="2CADB1BC" w14:textId="77777777">
            <w:pPr>
              <w:widowControl w:val="0"/>
              <w:jc w:val="center"/>
              <w:rPr>
                <w:rFonts w:ascii="Arial" w:hAnsi="Arial" w:cs="Arial"/>
                <w:b/>
                <w:bCs/>
                <w:sz w:val="22"/>
                <w:szCs w:val="22"/>
              </w:rPr>
            </w:pPr>
            <w:r w:rsidRPr="00D44AFE">
              <w:rPr>
                <w:rFonts w:ascii="Arial" w:hAnsi="Arial" w:cs="Arial"/>
                <w:b/>
                <w:bCs/>
                <w:sz w:val="22"/>
                <w:szCs w:val="22"/>
              </w:rPr>
              <w:t>Waterbody</w:t>
            </w:r>
          </w:p>
        </w:tc>
        <w:tc>
          <w:tcPr>
            <w:tcW w:w="1620" w:type="dxa"/>
            <w:shd w:val="clear" w:color="auto" w:fill="D6E3BC" w:themeFill="accent3" w:themeFillTint="66"/>
          </w:tcPr>
          <w:p w:rsidRPr="00D44AFE" w:rsidR="005F4C33" w:rsidP="00DF3B18" w:rsidRDefault="005F4C33" w14:paraId="1E8837A4" w14:textId="77777777">
            <w:pPr>
              <w:widowControl w:val="0"/>
              <w:jc w:val="center"/>
              <w:rPr>
                <w:rFonts w:ascii="Arial" w:hAnsi="Arial" w:cs="Arial"/>
                <w:b/>
                <w:bCs/>
                <w:sz w:val="22"/>
                <w:szCs w:val="22"/>
              </w:rPr>
            </w:pPr>
            <w:r w:rsidRPr="00D44AFE">
              <w:rPr>
                <w:rFonts w:ascii="Arial" w:hAnsi="Arial" w:cs="Arial"/>
                <w:b/>
                <w:bCs/>
                <w:sz w:val="22"/>
                <w:szCs w:val="22"/>
              </w:rPr>
              <w:t>Responsible Permittee</w:t>
            </w:r>
          </w:p>
        </w:tc>
        <w:tc>
          <w:tcPr>
            <w:tcW w:w="4248" w:type="dxa"/>
            <w:shd w:val="clear" w:color="auto" w:fill="D6E3BC" w:themeFill="accent3" w:themeFillTint="66"/>
          </w:tcPr>
          <w:p w:rsidRPr="00D44AFE" w:rsidR="005F4C33" w:rsidP="00DF3B18" w:rsidRDefault="005F4C33" w14:paraId="6ACB46D9" w14:textId="77777777">
            <w:pPr>
              <w:widowControl w:val="0"/>
              <w:jc w:val="center"/>
              <w:rPr>
                <w:rFonts w:ascii="Arial" w:hAnsi="Arial" w:cs="Arial"/>
                <w:b/>
                <w:bCs/>
                <w:sz w:val="22"/>
                <w:szCs w:val="22"/>
              </w:rPr>
            </w:pPr>
            <w:r w:rsidRPr="00D44AFE">
              <w:rPr>
                <w:rFonts w:ascii="Arial" w:hAnsi="Arial" w:cs="Arial"/>
                <w:b/>
                <w:bCs/>
                <w:sz w:val="22"/>
                <w:szCs w:val="22"/>
              </w:rPr>
              <w:t>Receiving Water Fecal Coliform Concentrations</w:t>
            </w:r>
          </w:p>
        </w:tc>
      </w:tr>
      <w:tr w:rsidRPr="00D44AFE" w:rsidR="005F4C33" w:rsidTr="00A03AB5" w14:paraId="13B7BE63" w14:textId="77777777">
        <w:trPr>
          <w:trHeight w:val="431"/>
        </w:trPr>
        <w:tc>
          <w:tcPr>
            <w:tcW w:w="2070" w:type="dxa"/>
          </w:tcPr>
          <w:p w:rsidRPr="00D44AFE" w:rsidR="005F4C33" w:rsidP="00D44AFE" w:rsidRDefault="005F4C33" w14:paraId="5F3C3904" w14:textId="77777777">
            <w:pPr>
              <w:widowControl w:val="0"/>
              <w:autoSpaceDE w:val="0"/>
              <w:autoSpaceDN w:val="0"/>
              <w:adjustRightInd w:val="0"/>
              <w:spacing w:before="0" w:after="0" w:line="240" w:lineRule="auto"/>
              <w:rPr>
                <w:rFonts w:ascii="Arial" w:hAnsi="Arial" w:cs="Arial" w:eastAsiaTheme="minorHAnsi"/>
                <w:sz w:val="22"/>
                <w:szCs w:val="22"/>
              </w:rPr>
            </w:pPr>
            <w:r w:rsidRPr="00D44AFE">
              <w:rPr>
                <w:rFonts w:ascii="Arial" w:hAnsi="Arial" w:cs="Arial" w:eastAsiaTheme="minorHAnsi"/>
                <w:sz w:val="22"/>
                <w:szCs w:val="22"/>
              </w:rPr>
              <w:t>San Lorenzo River Estuary, San Lorenzo River, Branciforte Creek, and Carbonera Creek</w:t>
            </w:r>
          </w:p>
        </w:tc>
        <w:tc>
          <w:tcPr>
            <w:tcW w:w="1620" w:type="dxa"/>
          </w:tcPr>
          <w:p w:rsidRPr="00D44AFE" w:rsidR="005F4C33" w:rsidP="00D44AFE" w:rsidRDefault="005F4C33" w14:paraId="24644298" w14:textId="77777777">
            <w:pPr>
              <w:widowControl w:val="0"/>
              <w:spacing w:before="0" w:after="0" w:line="240" w:lineRule="auto"/>
              <w:rPr>
                <w:rFonts w:ascii="Arial" w:hAnsi="Arial" w:cs="Arial"/>
                <w:sz w:val="22"/>
                <w:szCs w:val="22"/>
              </w:rPr>
            </w:pPr>
            <w:r w:rsidRPr="00D44AFE">
              <w:rPr>
                <w:rFonts w:ascii="Arial" w:hAnsi="Arial" w:cs="Arial"/>
                <w:sz w:val="22"/>
                <w:szCs w:val="22"/>
              </w:rPr>
              <w:t>City of Santa Cruz</w:t>
            </w:r>
          </w:p>
        </w:tc>
        <w:tc>
          <w:tcPr>
            <w:tcW w:w="4248" w:type="dxa"/>
          </w:tcPr>
          <w:p w:rsidRPr="00D44AFE" w:rsidR="005F4C33" w:rsidP="00D44AFE" w:rsidRDefault="005F4C33" w14:paraId="355B8987" w14:textId="77777777">
            <w:pPr>
              <w:widowControl w:val="0"/>
              <w:spacing w:before="0" w:after="0" w:line="240" w:lineRule="auto"/>
              <w:rPr>
                <w:rFonts w:ascii="Arial" w:hAnsi="Arial" w:cs="Arial"/>
                <w:sz w:val="22"/>
                <w:szCs w:val="22"/>
              </w:rPr>
            </w:pPr>
            <w:r w:rsidRPr="00D44AFE">
              <w:rPr>
                <w:rFonts w:ascii="Arial" w:hAnsi="Arial" w:cs="Arial"/>
                <w:sz w:val="22"/>
                <w:szCs w:val="22"/>
              </w:rPr>
              <w:t>Fecal coliform concentration, based on a minimum of not less than five samples for any 30-day period, shall not exceed a log mean of 200 Most Probably Number per 100 milliliters, nor shall more than ten percent of total samples during any 30-day period exceed 400 Most Probably Number per 100 milliliters.</w:t>
            </w:r>
          </w:p>
        </w:tc>
      </w:tr>
      <w:tr w:rsidRPr="00D44AFE" w:rsidR="005F4C33" w:rsidTr="00A03AB5" w14:paraId="0EC25DDD" w14:textId="77777777">
        <w:trPr>
          <w:trHeight w:val="2155"/>
        </w:trPr>
        <w:tc>
          <w:tcPr>
            <w:tcW w:w="2070" w:type="dxa"/>
          </w:tcPr>
          <w:p w:rsidRPr="00D44AFE" w:rsidR="005F4C33" w:rsidP="00D44AFE" w:rsidRDefault="005F4C33" w14:paraId="0B0F943D" w14:textId="77777777">
            <w:pPr>
              <w:widowControl w:val="0"/>
              <w:autoSpaceDE w:val="0"/>
              <w:autoSpaceDN w:val="0"/>
              <w:adjustRightInd w:val="0"/>
              <w:spacing w:before="0" w:after="0" w:line="240" w:lineRule="auto"/>
              <w:rPr>
                <w:rFonts w:ascii="Arial" w:hAnsi="Arial" w:cs="Arial" w:eastAsiaTheme="minorHAnsi"/>
                <w:sz w:val="22"/>
                <w:szCs w:val="22"/>
              </w:rPr>
            </w:pPr>
            <w:r w:rsidRPr="00D44AFE">
              <w:rPr>
                <w:rFonts w:ascii="Arial" w:hAnsi="Arial" w:cs="Arial" w:eastAsiaTheme="minorHAnsi"/>
                <w:sz w:val="22"/>
                <w:szCs w:val="22"/>
              </w:rPr>
              <w:t>Camp Evers Creek and Carbonera Creek</w:t>
            </w:r>
          </w:p>
        </w:tc>
        <w:tc>
          <w:tcPr>
            <w:tcW w:w="1620" w:type="dxa"/>
          </w:tcPr>
          <w:p w:rsidRPr="00D44AFE" w:rsidR="005F4C33" w:rsidP="00D44AFE" w:rsidRDefault="005F4C33" w14:paraId="6FB6AB71" w14:textId="77777777">
            <w:pPr>
              <w:widowControl w:val="0"/>
              <w:spacing w:before="0" w:after="0" w:line="240" w:lineRule="auto"/>
              <w:rPr>
                <w:rFonts w:ascii="Arial" w:hAnsi="Arial" w:cs="Arial"/>
                <w:sz w:val="22"/>
                <w:szCs w:val="22"/>
              </w:rPr>
            </w:pPr>
            <w:r w:rsidRPr="00D44AFE">
              <w:rPr>
                <w:rFonts w:ascii="Arial" w:hAnsi="Arial" w:cs="Arial" w:eastAsiaTheme="minorHAnsi"/>
                <w:sz w:val="22"/>
                <w:szCs w:val="22"/>
              </w:rPr>
              <w:t>City of Scotts Valley</w:t>
            </w:r>
          </w:p>
        </w:tc>
        <w:tc>
          <w:tcPr>
            <w:tcW w:w="4248" w:type="dxa"/>
          </w:tcPr>
          <w:p w:rsidRPr="00D44AFE" w:rsidR="005F4C33" w:rsidP="00D44AFE" w:rsidRDefault="005F4C33" w14:paraId="4DDC1299" w14:textId="77777777">
            <w:pPr>
              <w:widowControl w:val="0"/>
              <w:spacing w:before="0" w:after="0" w:line="240" w:lineRule="auto"/>
              <w:rPr>
                <w:rFonts w:ascii="Arial" w:hAnsi="Arial" w:cs="Arial"/>
                <w:sz w:val="22"/>
                <w:szCs w:val="22"/>
              </w:rPr>
            </w:pPr>
            <w:r w:rsidRPr="00D44AFE">
              <w:rPr>
                <w:rFonts w:ascii="Arial" w:hAnsi="Arial" w:cs="Arial"/>
                <w:sz w:val="22"/>
                <w:szCs w:val="22"/>
              </w:rPr>
              <w:t>Fecal coliform concentration, based on a minimum of not less than five samples for any 30-day period, shall not exceed a log mean of 200 Most Probably Number per 100 milliliters, nor shall more than ten percent of total samples during any 30-day period exceed 400 Most Probably Number per 100 milliliters.</w:t>
            </w:r>
          </w:p>
        </w:tc>
      </w:tr>
      <w:tr w:rsidRPr="00D44AFE" w:rsidR="005F4C33" w:rsidTr="00A03AB5" w14:paraId="2B86E320" w14:textId="77777777">
        <w:trPr>
          <w:trHeight w:val="2144"/>
        </w:trPr>
        <w:tc>
          <w:tcPr>
            <w:tcW w:w="2070" w:type="dxa"/>
          </w:tcPr>
          <w:p w:rsidRPr="00D44AFE" w:rsidR="005F4C33" w:rsidP="00D44AFE" w:rsidRDefault="005F4C33" w14:paraId="51979870" w14:textId="77777777">
            <w:pPr>
              <w:widowControl w:val="0"/>
              <w:autoSpaceDE w:val="0"/>
              <w:autoSpaceDN w:val="0"/>
              <w:adjustRightInd w:val="0"/>
              <w:spacing w:before="0" w:after="0" w:line="240" w:lineRule="auto"/>
              <w:rPr>
                <w:rFonts w:ascii="Arial" w:hAnsi="Arial" w:cs="Arial" w:eastAsiaTheme="minorHAnsi"/>
                <w:sz w:val="22"/>
                <w:szCs w:val="22"/>
              </w:rPr>
            </w:pPr>
            <w:r w:rsidRPr="00D44AFE">
              <w:rPr>
                <w:rFonts w:ascii="Arial" w:hAnsi="Arial" w:cs="Arial" w:eastAsiaTheme="minorHAnsi"/>
                <w:sz w:val="22"/>
                <w:szCs w:val="22"/>
              </w:rPr>
              <w:t>San Lorenzo River, Branciforte Creek, Lompico Creek, and Carbonera Creek</w:t>
            </w:r>
          </w:p>
        </w:tc>
        <w:tc>
          <w:tcPr>
            <w:tcW w:w="1620" w:type="dxa"/>
          </w:tcPr>
          <w:p w:rsidRPr="00D44AFE" w:rsidR="005F4C33" w:rsidP="00D44AFE" w:rsidRDefault="005F4C33" w14:paraId="3FBFE085" w14:textId="77777777">
            <w:pPr>
              <w:widowControl w:val="0"/>
              <w:spacing w:before="0" w:after="0" w:line="240" w:lineRule="auto"/>
              <w:rPr>
                <w:rFonts w:ascii="Arial" w:hAnsi="Arial" w:cs="Arial" w:eastAsiaTheme="minorHAnsi"/>
                <w:sz w:val="22"/>
                <w:szCs w:val="22"/>
              </w:rPr>
            </w:pPr>
            <w:r w:rsidRPr="00D44AFE">
              <w:rPr>
                <w:rFonts w:ascii="Arial" w:hAnsi="Arial" w:cs="Arial" w:eastAsiaTheme="minorHAnsi"/>
                <w:sz w:val="22"/>
                <w:szCs w:val="22"/>
              </w:rPr>
              <w:t>County of Santa Cruz</w:t>
            </w:r>
          </w:p>
        </w:tc>
        <w:tc>
          <w:tcPr>
            <w:tcW w:w="4248" w:type="dxa"/>
          </w:tcPr>
          <w:p w:rsidRPr="00D44AFE" w:rsidR="005F4C33" w:rsidP="00D44AFE" w:rsidRDefault="005F4C33" w14:paraId="3F15345E" w14:textId="77777777">
            <w:pPr>
              <w:widowControl w:val="0"/>
              <w:spacing w:before="0" w:after="0" w:line="240" w:lineRule="auto"/>
              <w:rPr>
                <w:rFonts w:ascii="Arial" w:hAnsi="Arial" w:cs="Arial"/>
                <w:sz w:val="22"/>
                <w:szCs w:val="22"/>
              </w:rPr>
            </w:pPr>
            <w:r w:rsidRPr="00D44AFE">
              <w:rPr>
                <w:rFonts w:ascii="Arial" w:hAnsi="Arial" w:cs="Arial"/>
                <w:sz w:val="22"/>
                <w:szCs w:val="22"/>
              </w:rPr>
              <w:t>Fecal coliform concentration, based on a minimum of not less than five samples for any 30-day period, shall not exceed a log mean of 200 Most Probably Number per 100 milliliters, nor shall more than ten percent of total samples during any 30-day period exceed 400 Most Probably Number per 100 milliliters.</w:t>
            </w:r>
          </w:p>
        </w:tc>
      </w:tr>
    </w:tbl>
    <w:p w:rsidRPr="00D52F4F" w:rsidR="005F4C33" w:rsidP="00FC6ACE" w:rsidRDefault="005F4C33" w14:paraId="70C40875" w14:textId="7409863E">
      <w:pPr>
        <w:spacing w:before="240"/>
        <w:ind w:left="1260" w:firstLine="7"/>
        <w:rPr>
          <w:rFonts w:cs="Arial"/>
        </w:rPr>
      </w:pPr>
      <w:r w:rsidRPr="00781338">
        <w:rPr>
          <w:rFonts w:cs="Arial"/>
          <w:b/>
        </w:rPr>
        <w:t>Final Compliance Deadline</w:t>
      </w:r>
      <w:r w:rsidRPr="00781338">
        <w:rPr>
          <w:rFonts w:cs="Arial"/>
        </w:rPr>
        <w:t>: The final compliance deadline is June</w:t>
      </w:r>
      <w:r w:rsidR="00B31F2F">
        <w:rPr>
          <w:rFonts w:cs="Arial"/>
        </w:rPr>
        <w:t> </w:t>
      </w:r>
      <w:r w:rsidRPr="00781338">
        <w:rPr>
          <w:rFonts w:cs="Arial"/>
        </w:rPr>
        <w:t>6,</w:t>
      </w:r>
      <w:r w:rsidR="00CA5311">
        <w:rPr>
          <w:rFonts w:cs="Arial"/>
        </w:rPr>
        <w:t> </w:t>
      </w:r>
      <w:r w:rsidRPr="00781338">
        <w:rPr>
          <w:rFonts w:cs="Arial"/>
        </w:rPr>
        <w:t>2024.</w:t>
      </w:r>
    </w:p>
    <w:p w:rsidRPr="00F33B01" w:rsidR="005F4C33" w:rsidP="00F33B01" w:rsidRDefault="00836361" w14:paraId="2B85556F" w14:textId="38F5810D">
      <w:pPr>
        <w:pStyle w:val="Heading3"/>
        <w:tabs>
          <w:tab w:val="clear" w:pos="720"/>
          <w:tab w:val="left" w:pos="1260"/>
        </w:tabs>
        <w:ind w:left="1260" w:hanging="1260"/>
        <w:rPr>
          <w:i/>
          <w:iCs/>
        </w:rPr>
      </w:pPr>
      <w:r>
        <w:rPr>
          <w:i/>
          <w:iCs/>
        </w:rPr>
        <w:t>A13</w:t>
      </w:r>
      <w:r w:rsidRPr="00F33B01" w:rsidR="000432A5">
        <w:rPr>
          <w:i/>
          <w:iCs/>
        </w:rPr>
        <w:t>.</w:t>
      </w:r>
      <w:r w:rsidRPr="00F33B01" w:rsidR="005F4C33">
        <w:rPr>
          <w:i/>
          <w:iCs/>
        </w:rPr>
        <w:t>3.12</w:t>
      </w:r>
      <w:r w:rsidRPr="00F33B01" w:rsidR="005F4C33">
        <w:rPr>
          <w:i/>
          <w:iCs/>
        </w:rPr>
        <w:tab/>
      </w:r>
      <w:r w:rsidRPr="00F33B01" w:rsidR="005F4C33">
        <w:rPr>
          <w:i/>
          <w:iCs/>
        </w:rPr>
        <w:t xml:space="preserve">TMDLs for Pathogens in Soquel Lagoon, Soquel Creek, and Noble Gulch </w:t>
      </w:r>
    </w:p>
    <w:p w:rsidRPr="00417710" w:rsidR="005F4C33" w:rsidP="005F4C33" w:rsidRDefault="005F4C33" w14:paraId="352B5094" w14:textId="5199F73B">
      <w:pPr>
        <w:ind w:left="1260"/>
        <w:rPr>
          <w:rFonts w:cs="Arial"/>
        </w:rPr>
      </w:pPr>
      <w:r w:rsidRPr="00417710">
        <w:rPr>
          <w:rFonts w:cs="Arial"/>
          <w:b/>
          <w:bCs/>
        </w:rPr>
        <w:t>Description:</w:t>
      </w:r>
      <w:r w:rsidRPr="00417710">
        <w:rPr>
          <w:rFonts w:cs="Arial"/>
        </w:rPr>
        <w:t xml:space="preserve"> </w:t>
      </w:r>
      <w:r w:rsidR="00CC169C">
        <w:rPr>
          <w:rFonts w:cs="Arial"/>
        </w:rPr>
        <w:t>USEPA</w:t>
      </w:r>
      <w:r w:rsidR="00C56C92">
        <w:rPr>
          <w:rFonts w:cs="Arial"/>
        </w:rPr>
        <w:t xml:space="preserve"> </w:t>
      </w:r>
      <w:r>
        <w:rPr>
          <w:rFonts w:cs="Arial"/>
        </w:rPr>
        <w:t>approved the TMDL on November 17, 2010.</w:t>
      </w:r>
      <w:r w:rsidR="00B7271E">
        <w:rPr>
          <w:rFonts w:cs="Arial"/>
        </w:rPr>
        <w:t xml:space="preserve"> </w:t>
      </w:r>
      <w:r w:rsidRPr="00417710">
        <w:rPr>
          <w:rFonts w:cs="Arial"/>
        </w:rPr>
        <w:t>The TMDL identifies Soquel Lagoon, Soquel Creek, and Noble Gulch as impaired by pathogens (i.e., fecal coliform). The beneficial use of water contact recreation is not protected in the impaired reaches because fecal coliform concentrations exceed water quality objectives protecting this beneficial use.</w:t>
      </w:r>
      <w:r>
        <w:rPr>
          <w:rFonts w:cs="Arial"/>
        </w:rPr>
        <w:t xml:space="preserve"> </w:t>
      </w:r>
      <w:r w:rsidRPr="00417710">
        <w:rPr>
          <w:rFonts w:cs="Arial"/>
        </w:rPr>
        <w:t xml:space="preserve">Contributing and controllable sources of fecal coliform are storm drain discharges into municipal separate storm sewer systems. </w:t>
      </w:r>
    </w:p>
    <w:p w:rsidRPr="00417710" w:rsidR="005F4C33" w:rsidP="005F4C33" w:rsidRDefault="005F4C33" w14:paraId="59BEFBA8" w14:textId="22A28CB8">
      <w:pPr>
        <w:ind w:left="1260"/>
        <w:rPr>
          <w:rFonts w:cs="Arial"/>
        </w:rPr>
      </w:pPr>
      <w:r w:rsidRPr="00417710">
        <w:rPr>
          <w:b/>
        </w:rPr>
        <w:t>Responsible Permit</w:t>
      </w:r>
      <w:r w:rsidR="0091593F">
        <w:rPr>
          <w:b/>
        </w:rPr>
        <w:t>t</w:t>
      </w:r>
      <w:r w:rsidRPr="00417710">
        <w:rPr>
          <w:b/>
        </w:rPr>
        <w:t>ees:</w:t>
      </w:r>
      <w:r w:rsidRPr="00417710">
        <w:rPr>
          <w:b/>
          <w:bCs/>
        </w:rPr>
        <w:t xml:space="preserve"> </w:t>
      </w:r>
      <w:r w:rsidRPr="00417710">
        <w:rPr>
          <w:rFonts w:cs="Arial"/>
        </w:rPr>
        <w:t>City of Capitola and the County of Santa Cruz.</w:t>
      </w:r>
    </w:p>
    <w:p w:rsidR="005F4C33" w:rsidP="005F4C33" w:rsidRDefault="005F4C33" w14:paraId="0EC93739" w14:textId="77777777">
      <w:pPr>
        <w:ind w:left="1260"/>
        <w:rPr>
          <w:rFonts w:cs="Arial"/>
        </w:rPr>
      </w:pPr>
      <w:r w:rsidRPr="00417710">
        <w:rPr>
          <w:b/>
        </w:rPr>
        <w:t>Wasteload Allocations:</w:t>
      </w:r>
      <w:r w:rsidRPr="00417710">
        <w:rPr>
          <w:b/>
          <w:bCs/>
        </w:rPr>
        <w:t xml:space="preserve"> </w:t>
      </w:r>
      <w:r w:rsidRPr="00417710">
        <w:rPr>
          <w:rFonts w:cs="Arial"/>
        </w:rPr>
        <w:t>The City of Capitola and the County of Santa Cruz are assigned the following concentration-based wasteload allocation for fecal coliform:</w:t>
      </w:r>
    </w:p>
    <w:p w:rsidRPr="00DC2970" w:rsidR="00DC2970" w:rsidP="00DC2970" w:rsidRDefault="00DC2970" w14:paraId="0DE902AD" w14:textId="77777777">
      <w:pPr>
        <w:pStyle w:val="Heading3"/>
        <w:tabs>
          <w:tab w:val="clear" w:pos="720"/>
          <w:tab w:val="left" w:pos="1260"/>
        </w:tabs>
        <w:spacing w:after="0"/>
        <w:ind w:left="1267" w:firstLine="0"/>
      </w:pPr>
      <w:r w:rsidRPr="00DC2970">
        <w:rPr>
          <w:b w:val="0"/>
        </w:rPr>
        <w:t xml:space="preserve">Fecal Coliform Concentrations for the </w:t>
      </w:r>
      <w:r w:rsidRPr="00DC2970">
        <w:t xml:space="preserve">TMDLs for Pathogens in Soquel Lagoon, Soquel Creek, and Noble Gulch </w:t>
      </w:r>
    </w:p>
    <w:tbl>
      <w:tblPr>
        <w:tblStyle w:val="TableGrid"/>
        <w:tblW w:w="4359" w:type="pct"/>
        <w:tblInd w:w="1165" w:type="dxa"/>
        <w:tblLook w:val="04A0" w:firstRow="1" w:lastRow="0" w:firstColumn="1" w:lastColumn="0" w:noHBand="0" w:noVBand="1"/>
      </w:tblPr>
      <w:tblGrid>
        <w:gridCol w:w="1525"/>
        <w:gridCol w:w="2161"/>
        <w:gridCol w:w="4465"/>
      </w:tblGrid>
      <w:tr w:rsidRPr="0025287E" w:rsidR="005F4C33" w:rsidTr="00DC2970" w14:paraId="24F54CC6" w14:textId="77777777">
        <w:trPr>
          <w:tblHeader/>
        </w:trPr>
        <w:tc>
          <w:tcPr>
            <w:tcW w:w="1525" w:type="dxa"/>
            <w:shd w:val="clear" w:color="auto" w:fill="D6E3BC" w:themeFill="accent3" w:themeFillTint="66"/>
          </w:tcPr>
          <w:p w:rsidRPr="0025287E" w:rsidR="005F4C33" w:rsidP="00BE1F07" w:rsidRDefault="005F4C33" w14:paraId="4BE9EDFF" w14:textId="77777777">
            <w:pPr>
              <w:widowControl w:val="0"/>
              <w:spacing w:before="0" w:after="0" w:line="240" w:lineRule="auto"/>
              <w:jc w:val="center"/>
              <w:rPr>
                <w:rFonts w:ascii="Arial" w:hAnsi="Arial" w:cs="Arial"/>
                <w:b/>
                <w:bCs/>
                <w:sz w:val="22"/>
                <w:szCs w:val="22"/>
              </w:rPr>
            </w:pPr>
            <w:r w:rsidRPr="0025287E">
              <w:rPr>
                <w:rFonts w:ascii="Arial" w:hAnsi="Arial" w:cs="Arial"/>
                <w:b/>
                <w:bCs/>
                <w:sz w:val="22"/>
                <w:szCs w:val="22"/>
              </w:rPr>
              <w:t>Responsible Permittee</w:t>
            </w:r>
          </w:p>
        </w:tc>
        <w:tc>
          <w:tcPr>
            <w:tcW w:w="2161" w:type="dxa"/>
            <w:shd w:val="clear" w:color="auto" w:fill="D6E3BC" w:themeFill="accent3" w:themeFillTint="66"/>
          </w:tcPr>
          <w:p w:rsidRPr="0025287E" w:rsidR="005F4C33" w:rsidP="00BE1F07" w:rsidRDefault="005F4C33" w14:paraId="685C249A" w14:textId="77777777">
            <w:pPr>
              <w:widowControl w:val="0"/>
              <w:spacing w:before="0" w:after="0" w:line="240" w:lineRule="auto"/>
              <w:jc w:val="center"/>
              <w:rPr>
                <w:rFonts w:ascii="Arial" w:hAnsi="Arial" w:cs="Arial"/>
                <w:b/>
                <w:bCs/>
                <w:sz w:val="22"/>
                <w:szCs w:val="22"/>
              </w:rPr>
            </w:pPr>
            <w:r w:rsidRPr="0025287E">
              <w:rPr>
                <w:rFonts w:ascii="Arial" w:hAnsi="Arial" w:cs="Arial"/>
                <w:b/>
                <w:bCs/>
                <w:sz w:val="22"/>
                <w:szCs w:val="22"/>
              </w:rPr>
              <w:t>Waterbody Subject to Wasteload Allocations</w:t>
            </w:r>
          </w:p>
        </w:tc>
        <w:tc>
          <w:tcPr>
            <w:tcW w:w="4465" w:type="dxa"/>
            <w:shd w:val="clear" w:color="auto" w:fill="D6E3BC" w:themeFill="accent3" w:themeFillTint="66"/>
          </w:tcPr>
          <w:p w:rsidRPr="0025287E" w:rsidR="005F4C33" w:rsidP="00BE1F07" w:rsidRDefault="005F4C33" w14:paraId="31F52766" w14:textId="77777777">
            <w:pPr>
              <w:widowControl w:val="0"/>
              <w:spacing w:before="0" w:after="0" w:line="240" w:lineRule="auto"/>
              <w:jc w:val="center"/>
              <w:rPr>
                <w:rFonts w:ascii="Arial" w:hAnsi="Arial" w:cs="Arial"/>
                <w:b/>
                <w:bCs/>
                <w:sz w:val="22"/>
                <w:szCs w:val="22"/>
              </w:rPr>
            </w:pPr>
            <w:r w:rsidRPr="0025287E">
              <w:rPr>
                <w:rFonts w:ascii="Arial" w:hAnsi="Arial" w:cs="Arial"/>
                <w:b/>
                <w:bCs/>
                <w:sz w:val="22"/>
                <w:szCs w:val="22"/>
              </w:rPr>
              <w:t>Receiving Water Fecal Coliform Concentrations</w:t>
            </w:r>
          </w:p>
        </w:tc>
      </w:tr>
      <w:tr w:rsidRPr="0025287E" w:rsidR="005F4C33" w:rsidTr="00DC2970" w14:paraId="42A92ADD" w14:textId="77777777">
        <w:tc>
          <w:tcPr>
            <w:tcW w:w="1525" w:type="dxa"/>
          </w:tcPr>
          <w:p w:rsidRPr="0025287E" w:rsidR="005F4C33" w:rsidP="00BE1F07" w:rsidRDefault="005F4C33" w14:paraId="718EFDCD" w14:textId="77777777">
            <w:pPr>
              <w:widowControl w:val="0"/>
              <w:autoSpaceDE w:val="0"/>
              <w:autoSpaceDN w:val="0"/>
              <w:adjustRightInd w:val="0"/>
              <w:spacing w:before="0" w:after="0" w:line="240" w:lineRule="auto"/>
              <w:rPr>
                <w:rFonts w:ascii="Arial" w:hAnsi="Arial" w:cs="Arial" w:eastAsiaTheme="minorHAnsi"/>
                <w:sz w:val="22"/>
                <w:szCs w:val="22"/>
              </w:rPr>
            </w:pPr>
            <w:r w:rsidRPr="0025287E">
              <w:rPr>
                <w:rFonts w:ascii="Arial" w:hAnsi="Arial" w:cs="Arial"/>
                <w:sz w:val="22"/>
                <w:szCs w:val="22"/>
              </w:rPr>
              <w:t>City of Capitola</w:t>
            </w:r>
          </w:p>
        </w:tc>
        <w:tc>
          <w:tcPr>
            <w:tcW w:w="2161" w:type="dxa"/>
          </w:tcPr>
          <w:p w:rsidRPr="0025287E" w:rsidR="005F4C33" w:rsidP="00BE1F07" w:rsidRDefault="005F4C33" w14:paraId="15AB9251" w14:textId="77777777">
            <w:pPr>
              <w:widowControl w:val="0"/>
              <w:autoSpaceDE w:val="0"/>
              <w:autoSpaceDN w:val="0"/>
              <w:adjustRightInd w:val="0"/>
              <w:spacing w:before="0" w:after="0" w:line="240" w:lineRule="auto"/>
              <w:rPr>
                <w:rFonts w:ascii="Arial" w:hAnsi="Arial" w:cs="Arial" w:eastAsiaTheme="minorHAnsi"/>
                <w:sz w:val="22"/>
                <w:szCs w:val="22"/>
              </w:rPr>
            </w:pPr>
            <w:r w:rsidRPr="0025287E">
              <w:rPr>
                <w:rFonts w:ascii="Arial" w:hAnsi="Arial" w:cs="Arial" w:eastAsiaTheme="minorHAnsi"/>
                <w:sz w:val="22"/>
                <w:szCs w:val="22"/>
              </w:rPr>
              <w:t>All waters of the Soquel Lagoon</w:t>
            </w:r>
          </w:p>
        </w:tc>
        <w:tc>
          <w:tcPr>
            <w:tcW w:w="4465" w:type="dxa"/>
          </w:tcPr>
          <w:p w:rsidRPr="0025287E" w:rsidR="005F4C33" w:rsidP="00BE1F07" w:rsidRDefault="005F4C33" w14:paraId="7218F62E" w14:textId="77777777">
            <w:pPr>
              <w:widowControl w:val="0"/>
              <w:autoSpaceDE w:val="0"/>
              <w:autoSpaceDN w:val="0"/>
              <w:adjustRightInd w:val="0"/>
              <w:spacing w:before="0" w:after="0" w:line="240" w:lineRule="auto"/>
              <w:rPr>
                <w:rFonts w:ascii="Arial" w:hAnsi="Arial" w:cs="Arial"/>
                <w:sz w:val="22"/>
                <w:szCs w:val="22"/>
              </w:rPr>
            </w:pPr>
            <w:r w:rsidRPr="0025287E">
              <w:rPr>
                <w:rFonts w:ascii="Arial" w:hAnsi="Arial" w:cs="Arial"/>
                <w:sz w:val="22"/>
                <w:szCs w:val="22"/>
              </w:rPr>
              <w:t xml:space="preserve">Fecal coliform concentration, based on a minimum of not less than five samples for </w:t>
            </w:r>
            <w:r w:rsidRPr="0025287E">
              <w:rPr>
                <w:rFonts w:ascii="Arial" w:hAnsi="Arial" w:cs="Arial"/>
                <w:sz w:val="22"/>
                <w:szCs w:val="22"/>
              </w:rPr>
              <w:t>any 30-day period, shall not exceed a log mean of 200 Most Probably Number per 100 milliliters, nor shall more than 10 percent of total samples during any 30-day period exceed 400 Most Probably Number per 100 milliliters.</w:t>
            </w:r>
          </w:p>
        </w:tc>
      </w:tr>
      <w:tr w:rsidRPr="0025287E" w:rsidR="005F4C33" w:rsidTr="00DC2970" w14:paraId="1FA06870" w14:textId="77777777">
        <w:tc>
          <w:tcPr>
            <w:tcW w:w="1525" w:type="dxa"/>
          </w:tcPr>
          <w:p w:rsidRPr="0025287E" w:rsidR="005F4C33" w:rsidP="00BE1F07" w:rsidRDefault="005F4C33" w14:paraId="6EDE2657" w14:textId="77777777">
            <w:pPr>
              <w:widowControl w:val="0"/>
              <w:autoSpaceDE w:val="0"/>
              <w:autoSpaceDN w:val="0"/>
              <w:adjustRightInd w:val="0"/>
              <w:spacing w:before="0" w:after="0" w:line="240" w:lineRule="auto"/>
              <w:rPr>
                <w:rFonts w:ascii="Arial" w:hAnsi="Arial" w:cs="Arial" w:eastAsiaTheme="minorHAnsi"/>
                <w:sz w:val="22"/>
                <w:szCs w:val="22"/>
              </w:rPr>
            </w:pPr>
            <w:r w:rsidRPr="0025287E">
              <w:rPr>
                <w:rFonts w:ascii="Arial" w:hAnsi="Arial" w:cs="Arial" w:eastAsiaTheme="minorHAnsi"/>
                <w:sz w:val="22"/>
                <w:szCs w:val="22"/>
              </w:rPr>
              <w:t>County of Santa Cruz and City of Capitola</w:t>
            </w:r>
          </w:p>
        </w:tc>
        <w:tc>
          <w:tcPr>
            <w:tcW w:w="2161" w:type="dxa"/>
          </w:tcPr>
          <w:p w:rsidRPr="0025287E" w:rsidR="005F4C33" w:rsidP="00BE1F07" w:rsidRDefault="005F4C33" w14:paraId="5B71D170" w14:textId="77777777">
            <w:pPr>
              <w:widowControl w:val="0"/>
              <w:autoSpaceDE w:val="0"/>
              <w:autoSpaceDN w:val="0"/>
              <w:adjustRightInd w:val="0"/>
              <w:spacing w:before="0" w:after="0" w:line="240" w:lineRule="auto"/>
              <w:rPr>
                <w:rFonts w:ascii="Arial" w:hAnsi="Arial" w:cs="Arial" w:eastAsiaTheme="minorHAnsi"/>
                <w:sz w:val="22"/>
                <w:szCs w:val="22"/>
                <w:highlight w:val="green"/>
              </w:rPr>
            </w:pPr>
            <w:r w:rsidRPr="0025287E">
              <w:rPr>
                <w:rFonts w:ascii="Arial" w:hAnsi="Arial" w:cs="Arial" w:eastAsiaTheme="minorHAnsi"/>
                <w:sz w:val="22"/>
                <w:szCs w:val="22"/>
              </w:rPr>
              <w:t xml:space="preserve">Soquel Creek </w:t>
            </w:r>
            <w:r w:rsidRPr="0025287E">
              <w:rPr>
                <w:rFonts w:ascii="Arial" w:hAnsi="Arial" w:cs="Arial" w:eastAsiaTheme="minorHAnsi"/>
                <w:sz w:val="22"/>
                <w:szCs w:val="22"/>
                <w:vertAlign w:val="superscript"/>
              </w:rPr>
              <w:t>1</w:t>
            </w:r>
            <w:r w:rsidRPr="0025287E">
              <w:rPr>
                <w:rFonts w:ascii="Arial" w:hAnsi="Arial" w:cs="Arial" w:eastAsiaTheme="minorHAnsi"/>
                <w:sz w:val="22"/>
                <w:szCs w:val="22"/>
              </w:rPr>
              <w:t xml:space="preserve"> and all reaches of Nobel Gluch</w:t>
            </w:r>
          </w:p>
        </w:tc>
        <w:tc>
          <w:tcPr>
            <w:tcW w:w="4465" w:type="dxa"/>
          </w:tcPr>
          <w:p w:rsidRPr="0025287E" w:rsidR="005F4C33" w:rsidP="00BE1F07" w:rsidRDefault="005F4C33" w14:paraId="387C9D04" w14:textId="77777777">
            <w:pPr>
              <w:widowControl w:val="0"/>
              <w:autoSpaceDE w:val="0"/>
              <w:autoSpaceDN w:val="0"/>
              <w:adjustRightInd w:val="0"/>
              <w:spacing w:before="0" w:after="0" w:line="240" w:lineRule="auto"/>
              <w:rPr>
                <w:rFonts w:ascii="Arial" w:hAnsi="Arial" w:cs="Arial"/>
                <w:sz w:val="22"/>
                <w:szCs w:val="22"/>
                <w:highlight w:val="green"/>
              </w:rPr>
            </w:pPr>
            <w:r w:rsidRPr="0025287E">
              <w:rPr>
                <w:rFonts w:ascii="Arial" w:hAnsi="Arial" w:cs="Arial"/>
                <w:sz w:val="22"/>
                <w:szCs w:val="22"/>
              </w:rPr>
              <w:t>Fecal coliform concentration, based on a minimum of not less than five samples for any 30-day period, shall not exceed a log mean of 200 Most Probably Number per 100 milliliters, nor shall more than 10 percent of total samples during any 30-day period exceed 400 Most Probably Number per 100 milliliters.</w:t>
            </w:r>
          </w:p>
        </w:tc>
      </w:tr>
    </w:tbl>
    <w:p w:rsidRPr="00CA5311" w:rsidR="005F4C33" w:rsidP="006F5DAB" w:rsidRDefault="005F4C33" w14:paraId="67D35D30" w14:textId="77777777">
      <w:pPr>
        <w:tabs>
          <w:tab w:val="left" w:pos="360"/>
        </w:tabs>
        <w:spacing w:after="0" w:line="240" w:lineRule="auto"/>
        <w:ind w:left="360" w:firstLine="810"/>
        <w:rPr>
          <w:bCs/>
          <w:sz w:val="22"/>
          <w:szCs w:val="22"/>
          <w:u w:val="single"/>
        </w:rPr>
      </w:pPr>
      <w:r w:rsidRPr="00CA5311">
        <w:rPr>
          <w:bCs/>
          <w:sz w:val="22"/>
          <w:szCs w:val="22"/>
          <w:u w:val="single"/>
        </w:rPr>
        <w:t>Table Notes</w:t>
      </w:r>
    </w:p>
    <w:p w:rsidRPr="00950843" w:rsidR="005F4C33" w:rsidP="006F5DAB" w:rsidRDefault="005F4C33" w14:paraId="32AAE5BC" w14:textId="1C7ED87A">
      <w:pPr>
        <w:spacing w:after="0" w:line="240" w:lineRule="auto"/>
        <w:ind w:left="1710" w:hanging="270"/>
        <w:rPr>
          <w:bCs/>
          <w:sz w:val="22"/>
          <w:szCs w:val="22"/>
        </w:rPr>
      </w:pPr>
      <w:r w:rsidRPr="00CA5311">
        <w:rPr>
          <w:bCs/>
          <w:sz w:val="22"/>
          <w:szCs w:val="22"/>
          <w:vertAlign w:val="superscript"/>
        </w:rPr>
        <w:t>1</w:t>
      </w:r>
      <w:r w:rsidRPr="00CA5311">
        <w:rPr>
          <w:bCs/>
          <w:sz w:val="22"/>
          <w:szCs w:val="22"/>
        </w:rPr>
        <w:t xml:space="preserve"> </w:t>
      </w:r>
      <w:r w:rsidRPr="00CA5311" w:rsidR="007F219A">
        <w:rPr>
          <w:bCs/>
          <w:sz w:val="22"/>
          <w:szCs w:val="22"/>
        </w:rPr>
        <w:tab/>
      </w:r>
      <w:r w:rsidRPr="00CA5311">
        <w:rPr>
          <w:bCs/>
          <w:sz w:val="22"/>
          <w:szCs w:val="22"/>
        </w:rPr>
        <w:t>Beginning and including the downstream most reach of Soquel Creek, up to and including Soquel Creek at the bridge crossing at Porter Street</w:t>
      </w:r>
      <w:r w:rsidR="00B7271E">
        <w:rPr>
          <w:bCs/>
          <w:sz w:val="22"/>
          <w:szCs w:val="22"/>
        </w:rPr>
        <w:t xml:space="preserve"> </w:t>
      </w:r>
    </w:p>
    <w:p w:rsidRPr="00D52F4F" w:rsidR="005F4C33" w:rsidP="005F4C33" w:rsidRDefault="005F4C33" w14:paraId="613C3B55" w14:textId="77777777">
      <w:pPr>
        <w:spacing w:before="240"/>
        <w:ind w:left="1267"/>
        <w:rPr>
          <w:rFonts w:cs="Arial"/>
        </w:rPr>
      </w:pPr>
      <w:r w:rsidRPr="00417710">
        <w:rPr>
          <w:b/>
        </w:rPr>
        <w:t>Final Compliance Deadline:</w:t>
      </w:r>
      <w:r w:rsidRPr="00417710">
        <w:rPr>
          <w:rFonts w:cs="Arial"/>
        </w:rPr>
        <w:t xml:space="preserve"> The final compliance deadline is September 15, 2023.</w:t>
      </w:r>
    </w:p>
    <w:p w:rsidRPr="00F33B01" w:rsidR="005F4C33" w:rsidP="00F33B01" w:rsidRDefault="00836361" w14:paraId="5EBD0425" w14:textId="550F6094">
      <w:pPr>
        <w:pStyle w:val="Heading3"/>
        <w:tabs>
          <w:tab w:val="clear" w:pos="720"/>
          <w:tab w:val="left" w:pos="1260"/>
        </w:tabs>
        <w:ind w:left="1260" w:hanging="1260"/>
        <w:rPr>
          <w:i/>
          <w:iCs/>
        </w:rPr>
      </w:pPr>
      <w:r>
        <w:rPr>
          <w:i/>
          <w:iCs/>
        </w:rPr>
        <w:t>A13</w:t>
      </w:r>
      <w:r w:rsidRPr="00F33B01" w:rsidR="000432A5">
        <w:rPr>
          <w:i/>
          <w:iCs/>
        </w:rPr>
        <w:t>.</w:t>
      </w:r>
      <w:r w:rsidRPr="00F33B01" w:rsidR="005F4C33">
        <w:rPr>
          <w:i/>
          <w:iCs/>
        </w:rPr>
        <w:t>3.13</w:t>
      </w:r>
      <w:r w:rsidRPr="00F33B01" w:rsidR="005F4C33">
        <w:rPr>
          <w:i/>
          <w:iCs/>
        </w:rPr>
        <w:tab/>
      </w:r>
      <w:r w:rsidRPr="00F33B01" w:rsidR="005F4C33">
        <w:rPr>
          <w:i/>
          <w:iCs/>
        </w:rPr>
        <w:t>TMDL for Pathogens in Aptos Creek, Valencia Creek, and Trout Gulch</w:t>
      </w:r>
    </w:p>
    <w:p w:rsidRPr="00262443" w:rsidR="005F4C33" w:rsidP="005F4C33" w:rsidRDefault="005F4C33" w14:paraId="1454D83C" w14:textId="1AAE6FB9">
      <w:pPr>
        <w:ind w:left="1260"/>
        <w:rPr>
          <w:rFonts w:cs="Arial"/>
        </w:rPr>
      </w:pPr>
      <w:r w:rsidRPr="00262443">
        <w:rPr>
          <w:rFonts w:cs="Arial"/>
          <w:b/>
          <w:bCs/>
        </w:rPr>
        <w:t>Description:</w:t>
      </w:r>
      <w:r w:rsidRPr="00262443">
        <w:rPr>
          <w:rFonts w:cs="Arial"/>
        </w:rPr>
        <w:t xml:space="preserve"> </w:t>
      </w:r>
      <w:r w:rsidR="00766ACF">
        <w:rPr>
          <w:rFonts w:cs="Arial"/>
        </w:rPr>
        <w:t>USEPA</w:t>
      </w:r>
      <w:r w:rsidR="00C56C92">
        <w:rPr>
          <w:rFonts w:cs="Arial"/>
        </w:rPr>
        <w:t xml:space="preserve"> </w:t>
      </w:r>
      <w:r w:rsidRPr="00262443">
        <w:rPr>
          <w:rFonts w:cs="Arial"/>
        </w:rPr>
        <w:t xml:space="preserve">approved the TMDL on January 20, 2011. The beneficial use of water contact recreation is not being attained in Aptos Creek, Valencia Creek and Trout Gulch because fecal coliform concentrations exceed numeric water quality objectives. Contributing and controllable sources of fecal coliform are storm drain discharges into municipal separate storm sewer systems. </w:t>
      </w:r>
    </w:p>
    <w:p w:rsidRPr="00262443" w:rsidR="005F4C33" w:rsidP="005F4C33" w:rsidRDefault="005F4C33" w14:paraId="15F832A4" w14:textId="77777777">
      <w:pPr>
        <w:ind w:left="1260"/>
        <w:rPr>
          <w:rFonts w:cs="Arial"/>
        </w:rPr>
      </w:pPr>
      <w:r>
        <w:rPr>
          <w:b/>
        </w:rPr>
        <w:t>Responsible Permittee</w:t>
      </w:r>
      <w:r w:rsidRPr="00262443">
        <w:rPr>
          <w:b/>
        </w:rPr>
        <w:t>:</w:t>
      </w:r>
      <w:r w:rsidRPr="00262443">
        <w:rPr>
          <w:b/>
          <w:bCs/>
        </w:rPr>
        <w:t xml:space="preserve"> </w:t>
      </w:r>
      <w:r w:rsidRPr="00262443">
        <w:rPr>
          <w:rFonts w:cs="Arial"/>
        </w:rPr>
        <w:t>County of Santa Cruz.</w:t>
      </w:r>
    </w:p>
    <w:p w:rsidRPr="007F219A" w:rsidR="005F4C33" w:rsidP="00F54AD1" w:rsidRDefault="005F4C33" w14:paraId="6DBB83EF" w14:textId="77777777">
      <w:pPr>
        <w:pStyle w:val="TableHead"/>
        <w:keepNext/>
        <w:keepLines/>
        <w:spacing w:before="0"/>
        <w:ind w:left="1260"/>
      </w:pPr>
      <w:r w:rsidRPr="007F219A">
        <w:t>Pathogen Wasteload Allocations for Aptos Creek, Trout Gulch, and Valencia Creek</w:t>
      </w:r>
    </w:p>
    <w:tbl>
      <w:tblPr>
        <w:tblStyle w:val="TableGrid"/>
        <w:tblW w:w="4327" w:type="pct"/>
        <w:tblInd w:w="1255" w:type="dxa"/>
        <w:tblLook w:val="04A0" w:firstRow="1" w:lastRow="0" w:firstColumn="1" w:lastColumn="0" w:noHBand="0" w:noVBand="1"/>
      </w:tblPr>
      <w:tblGrid>
        <w:gridCol w:w="1890"/>
        <w:gridCol w:w="1800"/>
        <w:gridCol w:w="4401"/>
      </w:tblGrid>
      <w:tr w:rsidRPr="007F219A" w:rsidR="005F4C33" w:rsidTr="00F54AD1" w14:paraId="7C7911E4" w14:textId="77777777">
        <w:tc>
          <w:tcPr>
            <w:tcW w:w="1890" w:type="dxa"/>
            <w:shd w:val="clear" w:color="auto" w:fill="D6E3BC" w:themeFill="accent3" w:themeFillTint="66"/>
          </w:tcPr>
          <w:p w:rsidRPr="007F219A" w:rsidR="005F4C33" w:rsidP="004D3C70" w:rsidRDefault="005F4C33" w14:paraId="4DC1572B" w14:textId="77777777">
            <w:pPr>
              <w:widowControl w:val="0"/>
              <w:spacing w:before="0" w:after="0" w:line="240" w:lineRule="auto"/>
              <w:jc w:val="center"/>
              <w:rPr>
                <w:rFonts w:ascii="Arial" w:hAnsi="Arial" w:cs="Arial"/>
                <w:b/>
                <w:bCs/>
                <w:sz w:val="22"/>
                <w:szCs w:val="22"/>
              </w:rPr>
            </w:pPr>
            <w:r w:rsidRPr="007F219A">
              <w:rPr>
                <w:rFonts w:ascii="Arial" w:hAnsi="Arial" w:cs="Arial"/>
                <w:b/>
                <w:bCs/>
                <w:sz w:val="22"/>
                <w:szCs w:val="22"/>
              </w:rPr>
              <w:t>Waterbody</w:t>
            </w:r>
          </w:p>
        </w:tc>
        <w:tc>
          <w:tcPr>
            <w:tcW w:w="1800" w:type="dxa"/>
            <w:shd w:val="clear" w:color="auto" w:fill="D6E3BC" w:themeFill="accent3" w:themeFillTint="66"/>
          </w:tcPr>
          <w:p w:rsidRPr="007F219A" w:rsidR="005F4C33" w:rsidP="004D3C70" w:rsidRDefault="005F4C33" w14:paraId="0D39E377" w14:textId="77777777">
            <w:pPr>
              <w:widowControl w:val="0"/>
              <w:spacing w:before="0" w:after="0" w:line="240" w:lineRule="auto"/>
              <w:jc w:val="center"/>
              <w:rPr>
                <w:rFonts w:ascii="Arial" w:hAnsi="Arial" w:cs="Arial"/>
                <w:b/>
                <w:bCs/>
                <w:sz w:val="22"/>
                <w:szCs w:val="22"/>
              </w:rPr>
            </w:pPr>
            <w:r w:rsidRPr="007F219A">
              <w:rPr>
                <w:rFonts w:ascii="Arial" w:hAnsi="Arial" w:cs="Arial"/>
                <w:b/>
                <w:bCs/>
                <w:sz w:val="22"/>
                <w:szCs w:val="22"/>
              </w:rPr>
              <w:t>Responsible Permittee</w:t>
            </w:r>
          </w:p>
        </w:tc>
        <w:tc>
          <w:tcPr>
            <w:tcW w:w="4401" w:type="dxa"/>
            <w:shd w:val="clear" w:color="auto" w:fill="D6E3BC" w:themeFill="accent3" w:themeFillTint="66"/>
          </w:tcPr>
          <w:p w:rsidRPr="007F219A" w:rsidR="005F4C33" w:rsidP="004D3C70" w:rsidRDefault="005F4C33" w14:paraId="00D813B7" w14:textId="77777777">
            <w:pPr>
              <w:widowControl w:val="0"/>
              <w:spacing w:before="0" w:after="0" w:line="240" w:lineRule="auto"/>
              <w:jc w:val="center"/>
              <w:rPr>
                <w:rFonts w:ascii="Arial" w:hAnsi="Arial" w:cs="Arial"/>
                <w:b/>
                <w:bCs/>
                <w:sz w:val="22"/>
                <w:szCs w:val="22"/>
              </w:rPr>
            </w:pPr>
            <w:r w:rsidRPr="007F219A">
              <w:rPr>
                <w:rFonts w:ascii="Arial" w:hAnsi="Arial" w:cs="Arial"/>
                <w:b/>
                <w:bCs/>
                <w:sz w:val="22"/>
                <w:szCs w:val="22"/>
              </w:rPr>
              <w:t>Receiving Water Fecal Coliform Concentrations</w:t>
            </w:r>
          </w:p>
        </w:tc>
      </w:tr>
      <w:tr w:rsidRPr="007F219A" w:rsidR="005F4C33" w:rsidTr="00F54AD1" w14:paraId="602616C0" w14:textId="77777777">
        <w:tc>
          <w:tcPr>
            <w:tcW w:w="1890" w:type="dxa"/>
          </w:tcPr>
          <w:p w:rsidRPr="007F219A" w:rsidR="005F4C33" w:rsidP="004D3C70" w:rsidRDefault="005F4C33" w14:paraId="4BB063CC" w14:textId="77777777">
            <w:pPr>
              <w:widowControl w:val="0"/>
              <w:autoSpaceDE w:val="0"/>
              <w:autoSpaceDN w:val="0"/>
              <w:adjustRightInd w:val="0"/>
              <w:spacing w:before="0" w:after="0" w:line="240" w:lineRule="auto"/>
              <w:rPr>
                <w:rFonts w:ascii="Arial" w:hAnsi="Arial" w:cs="Arial" w:eastAsiaTheme="minorHAnsi"/>
                <w:sz w:val="22"/>
                <w:szCs w:val="22"/>
              </w:rPr>
            </w:pPr>
            <w:r w:rsidRPr="007F219A">
              <w:rPr>
                <w:rFonts w:ascii="Arial" w:hAnsi="Arial" w:cs="Arial" w:eastAsiaTheme="minorHAnsi"/>
                <w:sz w:val="22"/>
                <w:szCs w:val="22"/>
              </w:rPr>
              <w:t>Aptos Creek</w:t>
            </w:r>
            <w:r w:rsidRPr="007F219A">
              <w:rPr>
                <w:rFonts w:ascii="Arial" w:hAnsi="Arial" w:cs="Arial" w:eastAsiaTheme="minorHAnsi"/>
                <w:sz w:val="22"/>
                <w:szCs w:val="22"/>
                <w:vertAlign w:val="superscript"/>
              </w:rPr>
              <w:t>1</w:t>
            </w:r>
            <w:r w:rsidRPr="007F219A">
              <w:rPr>
                <w:rFonts w:ascii="Arial" w:hAnsi="Arial" w:cs="Arial" w:eastAsiaTheme="minorHAnsi"/>
                <w:sz w:val="22"/>
                <w:szCs w:val="22"/>
              </w:rPr>
              <w:t>, Trout Gulch</w:t>
            </w:r>
            <w:r w:rsidRPr="007F219A">
              <w:rPr>
                <w:rFonts w:ascii="Arial" w:hAnsi="Arial" w:cs="Arial" w:eastAsiaTheme="minorHAnsi"/>
                <w:sz w:val="22"/>
                <w:szCs w:val="22"/>
                <w:vertAlign w:val="superscript"/>
              </w:rPr>
              <w:t>2</w:t>
            </w:r>
            <w:r w:rsidRPr="007F219A">
              <w:rPr>
                <w:rFonts w:ascii="Arial" w:hAnsi="Arial" w:cs="Arial" w:eastAsiaTheme="minorHAnsi"/>
                <w:sz w:val="22"/>
                <w:szCs w:val="22"/>
              </w:rPr>
              <w:t>, Valencia Creek</w:t>
            </w:r>
            <w:r w:rsidRPr="007F219A">
              <w:rPr>
                <w:rFonts w:ascii="Arial" w:hAnsi="Arial" w:cs="Arial" w:eastAsiaTheme="minorHAnsi"/>
                <w:sz w:val="22"/>
                <w:szCs w:val="22"/>
                <w:vertAlign w:val="superscript"/>
              </w:rPr>
              <w:t>3</w:t>
            </w:r>
          </w:p>
        </w:tc>
        <w:tc>
          <w:tcPr>
            <w:tcW w:w="1800" w:type="dxa"/>
          </w:tcPr>
          <w:p w:rsidRPr="007F219A" w:rsidR="005F4C33" w:rsidP="004D3C70" w:rsidRDefault="005F4C33" w14:paraId="48F153D0" w14:textId="77777777">
            <w:pPr>
              <w:widowControl w:val="0"/>
              <w:spacing w:before="0" w:after="0" w:line="240" w:lineRule="auto"/>
              <w:rPr>
                <w:rFonts w:ascii="Arial" w:hAnsi="Arial" w:cs="Arial"/>
                <w:sz w:val="22"/>
                <w:szCs w:val="22"/>
              </w:rPr>
            </w:pPr>
            <w:r w:rsidRPr="007F219A">
              <w:rPr>
                <w:rFonts w:ascii="Arial" w:hAnsi="Arial" w:cs="Arial"/>
                <w:sz w:val="22"/>
                <w:szCs w:val="22"/>
              </w:rPr>
              <w:t>County of Santa Cruz</w:t>
            </w:r>
          </w:p>
        </w:tc>
        <w:tc>
          <w:tcPr>
            <w:tcW w:w="4401" w:type="dxa"/>
          </w:tcPr>
          <w:p w:rsidRPr="007F219A" w:rsidR="005F4C33" w:rsidP="004D3C70" w:rsidRDefault="005F4C33" w14:paraId="6D293012" w14:textId="77777777">
            <w:pPr>
              <w:widowControl w:val="0"/>
              <w:autoSpaceDE w:val="0"/>
              <w:autoSpaceDN w:val="0"/>
              <w:adjustRightInd w:val="0"/>
              <w:spacing w:before="0" w:after="0" w:line="240" w:lineRule="auto"/>
              <w:rPr>
                <w:rFonts w:ascii="Arial" w:hAnsi="Arial" w:cs="Arial"/>
                <w:sz w:val="22"/>
                <w:szCs w:val="22"/>
              </w:rPr>
            </w:pPr>
            <w:r w:rsidRPr="007F219A">
              <w:rPr>
                <w:rFonts w:ascii="Arial" w:hAnsi="Arial" w:cs="Arial"/>
                <w:sz w:val="22"/>
                <w:szCs w:val="22"/>
              </w:rPr>
              <w:t>Fecal coliform concentration, based on a minimum of not less than five samples for any 30-day period, shall not exceed a log mean of 200 Most Probably Number per 100 milliliters, nor shall more than 10 percent of total samples during any 30-day period exceed 400 Most Probably Number per 100 milliliters.</w:t>
            </w:r>
          </w:p>
        </w:tc>
      </w:tr>
    </w:tbl>
    <w:p w:rsidRPr="003A1653" w:rsidR="005F4C33" w:rsidP="00F54AD1" w:rsidRDefault="005F4C33" w14:paraId="3043B977" w14:textId="77777777">
      <w:pPr>
        <w:tabs>
          <w:tab w:val="left" w:pos="1440"/>
        </w:tabs>
        <w:spacing w:after="0" w:line="240" w:lineRule="auto"/>
        <w:ind w:left="1710" w:hanging="360"/>
        <w:rPr>
          <w:rFonts w:cs="Arial"/>
          <w:sz w:val="22"/>
          <w:szCs w:val="22"/>
        </w:rPr>
      </w:pPr>
      <w:r w:rsidRPr="003A1653">
        <w:rPr>
          <w:rFonts w:cs="Arial"/>
          <w:sz w:val="22"/>
          <w:szCs w:val="22"/>
          <w:u w:val="single"/>
        </w:rPr>
        <w:t>Table Notes</w:t>
      </w:r>
      <w:r w:rsidRPr="003A1653">
        <w:rPr>
          <w:rFonts w:cs="Arial"/>
          <w:sz w:val="22"/>
          <w:szCs w:val="22"/>
        </w:rPr>
        <w:t>:</w:t>
      </w:r>
    </w:p>
    <w:p w:rsidRPr="00A80C85" w:rsidR="005F4C33" w:rsidP="00F54AD1" w:rsidRDefault="005F4C33" w14:paraId="312ECB6B" w14:textId="7F2DB1B6">
      <w:pPr>
        <w:spacing w:before="0" w:after="0" w:line="240" w:lineRule="auto"/>
        <w:ind w:left="1710" w:hanging="360"/>
        <w:rPr>
          <w:rFonts w:cs="Arial"/>
          <w:sz w:val="22"/>
          <w:szCs w:val="22"/>
        </w:rPr>
      </w:pPr>
      <w:r w:rsidRPr="00A80C85">
        <w:rPr>
          <w:rFonts w:cs="Arial"/>
          <w:sz w:val="22"/>
          <w:szCs w:val="22"/>
          <w:vertAlign w:val="superscript"/>
        </w:rPr>
        <w:t>1</w:t>
      </w:r>
      <w:r w:rsidRPr="00A80C85">
        <w:rPr>
          <w:rFonts w:cs="Arial"/>
          <w:sz w:val="22"/>
          <w:szCs w:val="22"/>
        </w:rPr>
        <w:t xml:space="preserve"> </w:t>
      </w:r>
      <w:r w:rsidRPr="00A80C85" w:rsidR="007F219A">
        <w:rPr>
          <w:rFonts w:cs="Arial"/>
          <w:sz w:val="22"/>
          <w:szCs w:val="22"/>
        </w:rPr>
        <w:tab/>
      </w:r>
      <w:r w:rsidRPr="00A80C85">
        <w:rPr>
          <w:rFonts w:cs="Arial"/>
          <w:sz w:val="22"/>
          <w:szCs w:val="22"/>
        </w:rPr>
        <w:t>Aptos Creek from the Pacific Ocean to the confluence of Aptos and Valencia Creeks</w:t>
      </w:r>
    </w:p>
    <w:p w:rsidRPr="00A80C85" w:rsidR="005F4C33" w:rsidP="00F54AD1" w:rsidRDefault="005F4C33" w14:paraId="6B3EA2C2" w14:textId="2FDEE87D">
      <w:pPr>
        <w:spacing w:before="0" w:after="0" w:line="240" w:lineRule="auto"/>
        <w:ind w:left="1710" w:hanging="360"/>
        <w:rPr>
          <w:rFonts w:cs="Arial"/>
          <w:sz w:val="22"/>
          <w:szCs w:val="22"/>
        </w:rPr>
      </w:pPr>
      <w:r w:rsidRPr="00A80C85">
        <w:rPr>
          <w:rFonts w:cs="Arial"/>
          <w:sz w:val="22"/>
          <w:szCs w:val="22"/>
          <w:vertAlign w:val="superscript"/>
        </w:rPr>
        <w:t>2</w:t>
      </w:r>
      <w:r w:rsidRPr="00A80C85">
        <w:rPr>
          <w:rFonts w:cs="Arial"/>
          <w:sz w:val="22"/>
          <w:szCs w:val="22"/>
        </w:rPr>
        <w:t xml:space="preserve"> </w:t>
      </w:r>
      <w:r w:rsidRPr="00A80C85" w:rsidR="00104DDC">
        <w:rPr>
          <w:rFonts w:cs="Arial"/>
          <w:sz w:val="22"/>
          <w:szCs w:val="22"/>
        </w:rPr>
        <w:tab/>
      </w:r>
      <w:r w:rsidRPr="00A80C85">
        <w:rPr>
          <w:rFonts w:cs="Arial"/>
          <w:sz w:val="22"/>
          <w:szCs w:val="22"/>
        </w:rPr>
        <w:t>All reaches of Trout Gulch</w:t>
      </w:r>
    </w:p>
    <w:p w:rsidRPr="00A80C85" w:rsidR="005F4C33" w:rsidP="000E51A8" w:rsidRDefault="005F4C33" w14:paraId="5CF6D2FA" w14:textId="1589D768">
      <w:pPr>
        <w:spacing w:before="0" w:after="0" w:line="240" w:lineRule="auto"/>
        <w:ind w:left="1620" w:hanging="270"/>
        <w:rPr>
          <w:rFonts w:cs="Arial"/>
          <w:sz w:val="22"/>
          <w:szCs w:val="22"/>
        </w:rPr>
      </w:pPr>
      <w:r w:rsidRPr="00A80C85">
        <w:rPr>
          <w:rFonts w:cs="Arial"/>
          <w:sz w:val="22"/>
          <w:szCs w:val="22"/>
          <w:vertAlign w:val="superscript"/>
        </w:rPr>
        <w:t>3</w:t>
      </w:r>
      <w:r w:rsidRPr="00A80C85">
        <w:rPr>
          <w:rFonts w:cs="Arial"/>
          <w:sz w:val="22"/>
          <w:szCs w:val="22"/>
        </w:rPr>
        <w:t xml:space="preserve"> </w:t>
      </w:r>
      <w:r w:rsidRPr="00A80C85" w:rsidR="00104DDC">
        <w:rPr>
          <w:rFonts w:cs="Arial"/>
          <w:sz w:val="22"/>
          <w:szCs w:val="22"/>
        </w:rPr>
        <w:tab/>
      </w:r>
      <w:r w:rsidRPr="00A80C85">
        <w:rPr>
          <w:rFonts w:cs="Arial"/>
          <w:sz w:val="22"/>
          <w:szCs w:val="22"/>
        </w:rPr>
        <w:t>Valencia Creek from the confluence with Aptos Creek upstream to the west fork, where it intersects with Valencia Road, and to the east fork at the intersection of McKay and Cox Roads.</w:t>
      </w:r>
    </w:p>
    <w:p w:rsidRPr="00D52F4F" w:rsidR="005F4C33" w:rsidP="005F4C33" w:rsidRDefault="005F4C33" w14:paraId="0408AD3F" w14:textId="0797747A">
      <w:pPr>
        <w:spacing w:before="240"/>
        <w:ind w:left="1267"/>
        <w:rPr>
          <w:rFonts w:cs="Arial"/>
        </w:rPr>
      </w:pPr>
      <w:r w:rsidRPr="00262443">
        <w:rPr>
          <w:b/>
          <w:bCs/>
        </w:rPr>
        <w:t xml:space="preserve">Final Compliance Deadline: </w:t>
      </w:r>
      <w:r w:rsidR="00F90EEA">
        <w:rPr>
          <w:rFonts w:cs="Arial"/>
        </w:rPr>
        <w:t>Wasteload</w:t>
      </w:r>
      <w:r w:rsidRPr="00262443">
        <w:rPr>
          <w:rFonts w:cs="Arial"/>
        </w:rPr>
        <w:t xml:space="preserve"> allocations </w:t>
      </w:r>
      <w:r w:rsidR="004B7049">
        <w:rPr>
          <w:rFonts w:cs="Arial"/>
        </w:rPr>
        <w:t>was required to</w:t>
      </w:r>
      <w:r w:rsidRPr="00262443">
        <w:rPr>
          <w:rFonts w:cs="Arial"/>
        </w:rPr>
        <w:t xml:space="preserve"> be achieved October 29, 2023.</w:t>
      </w:r>
    </w:p>
    <w:p w:rsidRPr="00F33B01" w:rsidR="005F4C33" w:rsidP="00F33B01" w:rsidRDefault="00836361" w14:paraId="5BEAF6FE" w14:textId="46B153E1">
      <w:pPr>
        <w:pStyle w:val="Heading3"/>
        <w:tabs>
          <w:tab w:val="clear" w:pos="720"/>
          <w:tab w:val="left" w:pos="1260"/>
        </w:tabs>
        <w:ind w:left="1260" w:hanging="1260"/>
        <w:rPr>
          <w:i/>
          <w:iCs/>
        </w:rPr>
      </w:pPr>
      <w:r>
        <w:rPr>
          <w:i/>
          <w:iCs/>
        </w:rPr>
        <w:t>A13</w:t>
      </w:r>
      <w:r w:rsidRPr="00F33B01" w:rsidR="0051459D">
        <w:rPr>
          <w:i/>
          <w:iCs/>
        </w:rPr>
        <w:t>.3</w:t>
      </w:r>
      <w:r w:rsidRPr="00F33B01" w:rsidR="005F4C33">
        <w:rPr>
          <w:i/>
          <w:iCs/>
        </w:rPr>
        <w:t>.14</w:t>
      </w:r>
      <w:r w:rsidRPr="00F33B01" w:rsidR="005F4C33">
        <w:rPr>
          <w:i/>
          <w:iCs/>
        </w:rPr>
        <w:tab/>
      </w:r>
      <w:r w:rsidRPr="00F33B01" w:rsidR="005F4C33">
        <w:rPr>
          <w:i/>
          <w:iCs/>
        </w:rPr>
        <w:t>TMDL for Fecal Indicator Bacteria in Santa Maria River Watershed</w:t>
      </w:r>
    </w:p>
    <w:p w:rsidRPr="00B36742" w:rsidR="005F4C33" w:rsidP="005F4C33" w:rsidRDefault="005F4C33" w14:paraId="60125573" w14:textId="3379D29B">
      <w:pPr>
        <w:ind w:left="1260"/>
        <w:rPr>
          <w:rFonts w:cs="Arial"/>
        </w:rPr>
      </w:pPr>
      <w:r w:rsidRPr="00B36742">
        <w:rPr>
          <w:rFonts w:cs="Arial"/>
          <w:b/>
          <w:bCs/>
        </w:rPr>
        <w:t>Description:</w:t>
      </w:r>
      <w:r w:rsidRPr="00B36742">
        <w:rPr>
          <w:rFonts w:cs="Arial"/>
        </w:rPr>
        <w:t xml:space="preserve"> </w:t>
      </w:r>
      <w:r w:rsidR="00766ACF">
        <w:rPr>
          <w:rFonts w:cs="Arial"/>
        </w:rPr>
        <w:t>USEPA</w:t>
      </w:r>
      <w:r w:rsidR="00C56C92">
        <w:rPr>
          <w:rFonts w:cs="Arial"/>
        </w:rPr>
        <w:t xml:space="preserve"> </w:t>
      </w:r>
      <w:r w:rsidRPr="00B36742">
        <w:rPr>
          <w:rFonts w:cs="Arial"/>
        </w:rPr>
        <w:t xml:space="preserve">approved the </w:t>
      </w:r>
      <w:r>
        <w:rPr>
          <w:rFonts w:cs="Arial"/>
        </w:rPr>
        <w:t>fecal indicator bacteria</w:t>
      </w:r>
      <w:r w:rsidRPr="00B36742">
        <w:rPr>
          <w:rFonts w:cs="Arial"/>
        </w:rPr>
        <w:t xml:space="preserve"> TMDL on April 24, 2013</w:t>
      </w:r>
      <w:r>
        <w:rPr>
          <w:rFonts w:cs="Arial"/>
        </w:rPr>
        <w:t xml:space="preserve">. </w:t>
      </w:r>
      <w:r w:rsidRPr="00B36742">
        <w:t xml:space="preserve">The beneficial use of water contact recreation is not protected in the impaired reaches of the Santa Maria River Watershed, including </w:t>
      </w:r>
      <w:r w:rsidRPr="00B36742">
        <w:rPr>
          <w:rFonts w:cs="Arial"/>
        </w:rPr>
        <w:t xml:space="preserve">Santa Maria River, Main Street Canal, Blosser Channel, Bradley Channel, and Nipomo Creek. Contributing and controllable sources of fecal indictor bacteria are storm drain discharges into municipal separate storm sewer systems. </w:t>
      </w:r>
    </w:p>
    <w:p w:rsidRPr="00D52F4F" w:rsidR="005F4C33" w:rsidP="005F4C33" w:rsidRDefault="005F4C33" w14:paraId="3A64FB30" w14:textId="4FFB8D98">
      <w:pPr>
        <w:ind w:left="1260"/>
        <w:rPr>
          <w:rFonts w:cs="Arial"/>
        </w:rPr>
      </w:pPr>
      <w:r w:rsidRPr="006A53D3">
        <w:rPr>
          <w:b/>
        </w:rPr>
        <w:t>Responsible Permit</w:t>
      </w:r>
      <w:r w:rsidR="0091593F">
        <w:rPr>
          <w:b/>
        </w:rPr>
        <w:t>t</w:t>
      </w:r>
      <w:r w:rsidRPr="006A53D3">
        <w:rPr>
          <w:b/>
        </w:rPr>
        <w:t>ees</w:t>
      </w:r>
      <w:r w:rsidRPr="00315677">
        <w:rPr>
          <w:b/>
        </w:rPr>
        <w:t>:</w:t>
      </w:r>
      <w:r w:rsidRPr="00B36742">
        <w:t xml:space="preserve"> </w:t>
      </w:r>
      <w:r w:rsidRPr="00D52F4F" w:rsidR="00EA46E5">
        <w:rPr>
          <w:rFonts w:cs="Arial"/>
        </w:rPr>
        <w:t xml:space="preserve">City of </w:t>
      </w:r>
      <w:r w:rsidR="00EA46E5">
        <w:t xml:space="preserve">Guadalupe, </w:t>
      </w:r>
      <w:r w:rsidRPr="00D52F4F">
        <w:rPr>
          <w:rFonts w:cs="Arial"/>
        </w:rPr>
        <w:t xml:space="preserve">City of Santa Maria, County of Santa Barbara, and County of San Luis Obispo. </w:t>
      </w:r>
    </w:p>
    <w:p w:rsidRPr="00D52F4F" w:rsidR="005F4C33" w:rsidP="005F4C33" w:rsidRDefault="005F4C33" w14:paraId="4F05352E" w14:textId="77777777">
      <w:pPr>
        <w:ind w:left="1260"/>
      </w:pPr>
      <w:r w:rsidRPr="00D52F4F">
        <w:rPr>
          <w:b/>
        </w:rPr>
        <w:t>Wasteload Allocations:</w:t>
      </w:r>
      <w:r w:rsidRPr="00D52F4F">
        <w:rPr>
          <w:b/>
          <w:bCs/>
        </w:rPr>
        <w:t xml:space="preserve"> </w:t>
      </w:r>
      <w:r w:rsidRPr="00D52F4F">
        <w:t xml:space="preserve">The </w:t>
      </w:r>
      <w:r>
        <w:t>wasteload</w:t>
      </w:r>
      <w:r w:rsidRPr="00D52F4F">
        <w:t xml:space="preserve"> allocations for the Santa Maria River Watershed, including the reaches, are identified in the following table:</w:t>
      </w:r>
    </w:p>
    <w:p w:rsidRPr="007F219A" w:rsidR="005F4C33" w:rsidP="00EE7F2E" w:rsidRDefault="005F4C33" w14:paraId="15D61043" w14:textId="46DF4D37">
      <w:pPr>
        <w:pStyle w:val="TableHead"/>
        <w:widowControl w:val="0"/>
        <w:ind w:left="1170"/>
      </w:pPr>
      <w:r w:rsidRPr="007F219A">
        <w:t>Fecal Coliform Wasteload Allocations for Santa Maria Watershed and</w:t>
      </w:r>
      <w:r w:rsidR="00EE7F2E">
        <w:t> </w:t>
      </w:r>
      <w:r w:rsidRPr="007F219A">
        <w:t xml:space="preserve">Reaches </w:t>
      </w:r>
    </w:p>
    <w:tbl>
      <w:tblPr>
        <w:tblStyle w:val="TableGrid"/>
        <w:tblW w:w="4452" w:type="pct"/>
        <w:tblInd w:w="1165" w:type="dxa"/>
        <w:tblLook w:val="04A0" w:firstRow="1" w:lastRow="0" w:firstColumn="1" w:lastColumn="0" w:noHBand="0" w:noVBand="1"/>
      </w:tblPr>
      <w:tblGrid>
        <w:gridCol w:w="1309"/>
        <w:gridCol w:w="1986"/>
        <w:gridCol w:w="5030"/>
      </w:tblGrid>
      <w:tr w:rsidRPr="007F219A" w:rsidR="005F4C33" w:rsidTr="000E51A8" w14:paraId="4417472C" w14:textId="77777777">
        <w:trPr>
          <w:trHeight w:val="327"/>
          <w:tblHeader/>
        </w:trPr>
        <w:tc>
          <w:tcPr>
            <w:tcW w:w="1309" w:type="dxa"/>
            <w:shd w:val="clear" w:color="auto" w:fill="D6E3BC" w:themeFill="accent3" w:themeFillTint="66"/>
          </w:tcPr>
          <w:p w:rsidRPr="007F219A" w:rsidR="005F4C33" w:rsidP="00056020" w:rsidRDefault="005F4C33" w14:paraId="503A990E" w14:textId="77777777">
            <w:pPr>
              <w:widowControl w:val="0"/>
              <w:spacing w:before="40" w:after="40" w:line="240" w:lineRule="auto"/>
              <w:jc w:val="center"/>
              <w:rPr>
                <w:rFonts w:ascii="Arial" w:hAnsi="Arial" w:cs="Arial"/>
                <w:b/>
                <w:bCs/>
                <w:sz w:val="22"/>
                <w:szCs w:val="22"/>
              </w:rPr>
            </w:pPr>
            <w:r w:rsidRPr="007F219A">
              <w:rPr>
                <w:rFonts w:ascii="Arial" w:hAnsi="Arial" w:cs="Arial"/>
                <w:b/>
                <w:bCs/>
                <w:sz w:val="22"/>
                <w:szCs w:val="22"/>
              </w:rPr>
              <w:t>Permittee</w:t>
            </w:r>
          </w:p>
        </w:tc>
        <w:tc>
          <w:tcPr>
            <w:tcW w:w="1986" w:type="dxa"/>
            <w:shd w:val="clear" w:color="auto" w:fill="D6E3BC" w:themeFill="accent3" w:themeFillTint="66"/>
          </w:tcPr>
          <w:p w:rsidRPr="007F219A" w:rsidR="005F4C33" w:rsidP="00056020" w:rsidRDefault="005F4C33" w14:paraId="730E8932" w14:textId="77777777">
            <w:pPr>
              <w:widowControl w:val="0"/>
              <w:spacing w:before="40" w:after="40" w:line="240" w:lineRule="auto"/>
              <w:jc w:val="center"/>
              <w:rPr>
                <w:rFonts w:ascii="Arial" w:hAnsi="Arial" w:cs="Arial"/>
                <w:b/>
                <w:bCs/>
                <w:sz w:val="22"/>
                <w:szCs w:val="22"/>
              </w:rPr>
            </w:pPr>
            <w:r w:rsidRPr="007F219A">
              <w:rPr>
                <w:rFonts w:ascii="Arial" w:hAnsi="Arial" w:cs="Arial"/>
                <w:b/>
                <w:bCs/>
                <w:sz w:val="22"/>
                <w:szCs w:val="22"/>
              </w:rPr>
              <w:t xml:space="preserve">Waterbody </w:t>
            </w:r>
          </w:p>
        </w:tc>
        <w:tc>
          <w:tcPr>
            <w:tcW w:w="5030" w:type="dxa"/>
            <w:shd w:val="clear" w:color="auto" w:fill="D6E3BC" w:themeFill="accent3" w:themeFillTint="66"/>
          </w:tcPr>
          <w:p w:rsidRPr="007F219A" w:rsidR="005F4C33" w:rsidP="00056020" w:rsidRDefault="005F4C33" w14:paraId="0FB23E93" w14:textId="77777777">
            <w:pPr>
              <w:widowControl w:val="0"/>
              <w:spacing w:before="40" w:after="40" w:line="240" w:lineRule="auto"/>
              <w:jc w:val="center"/>
              <w:rPr>
                <w:rFonts w:ascii="Arial" w:hAnsi="Arial" w:cs="Arial"/>
                <w:b/>
                <w:bCs/>
                <w:sz w:val="22"/>
                <w:szCs w:val="22"/>
              </w:rPr>
            </w:pPr>
            <w:r w:rsidRPr="007F219A">
              <w:rPr>
                <w:rFonts w:ascii="Arial" w:hAnsi="Arial" w:cs="Arial"/>
                <w:b/>
                <w:bCs/>
                <w:sz w:val="22"/>
                <w:szCs w:val="22"/>
              </w:rPr>
              <w:t>Receiving Water Fecal Coliform Concentrations</w:t>
            </w:r>
          </w:p>
        </w:tc>
      </w:tr>
      <w:tr w:rsidRPr="007F219A" w:rsidR="005F4C33" w:rsidTr="00B867D2" w14:paraId="63D17862" w14:textId="77777777">
        <w:trPr>
          <w:trHeight w:val="3614"/>
        </w:trPr>
        <w:tc>
          <w:tcPr>
            <w:tcW w:w="1309" w:type="dxa"/>
            <w:vAlign w:val="center"/>
          </w:tcPr>
          <w:p w:rsidRPr="007F219A" w:rsidR="005F4C33" w:rsidP="00056020" w:rsidRDefault="005F4C33" w14:paraId="4C123E8C" w14:textId="77777777">
            <w:pPr>
              <w:widowControl w:val="0"/>
              <w:autoSpaceDE w:val="0"/>
              <w:autoSpaceDN w:val="0"/>
              <w:adjustRightInd w:val="0"/>
              <w:spacing w:before="40" w:after="40" w:line="240" w:lineRule="auto"/>
              <w:rPr>
                <w:rFonts w:ascii="Arial" w:hAnsi="Arial" w:cs="Arial" w:eastAsiaTheme="minorHAnsi"/>
                <w:sz w:val="22"/>
                <w:szCs w:val="22"/>
              </w:rPr>
            </w:pPr>
            <w:r w:rsidRPr="007F219A">
              <w:rPr>
                <w:rFonts w:ascii="Arial" w:hAnsi="Arial" w:cs="Arial" w:eastAsiaTheme="minorHAnsi"/>
                <w:sz w:val="22"/>
                <w:szCs w:val="22"/>
              </w:rPr>
              <w:t>City of Santa Maria</w:t>
            </w:r>
          </w:p>
        </w:tc>
        <w:tc>
          <w:tcPr>
            <w:tcW w:w="1986" w:type="dxa"/>
            <w:vAlign w:val="center"/>
          </w:tcPr>
          <w:p w:rsidRPr="007F219A" w:rsidR="005F4C33" w:rsidP="00056020" w:rsidRDefault="005F4C33" w14:paraId="72F65959" w14:textId="77777777">
            <w:pPr>
              <w:widowControl w:val="0"/>
              <w:autoSpaceDE w:val="0"/>
              <w:autoSpaceDN w:val="0"/>
              <w:adjustRightInd w:val="0"/>
              <w:spacing w:before="40" w:after="40" w:line="240" w:lineRule="auto"/>
              <w:rPr>
                <w:rFonts w:ascii="Arial" w:hAnsi="Arial" w:cs="Arial" w:eastAsiaTheme="minorHAnsi"/>
                <w:sz w:val="22"/>
                <w:szCs w:val="22"/>
              </w:rPr>
            </w:pPr>
            <w:r w:rsidRPr="007F219A">
              <w:rPr>
                <w:rFonts w:ascii="Arial" w:hAnsi="Arial" w:cs="Arial" w:eastAsiaTheme="minorHAnsi"/>
                <w:sz w:val="22"/>
                <w:szCs w:val="22"/>
              </w:rPr>
              <w:t>Santa Maria River, Main Street Canal, Blosser Channel, and Bradley Channel</w:t>
            </w:r>
          </w:p>
        </w:tc>
        <w:tc>
          <w:tcPr>
            <w:tcW w:w="5030" w:type="dxa"/>
          </w:tcPr>
          <w:p w:rsidRPr="007F219A" w:rsidR="005F4C33" w:rsidP="00056020" w:rsidRDefault="005F4C33" w14:paraId="6FCE9906" w14:textId="77777777">
            <w:pPr>
              <w:widowControl w:val="0"/>
              <w:autoSpaceDE w:val="0"/>
              <w:autoSpaceDN w:val="0"/>
              <w:adjustRightInd w:val="0"/>
              <w:spacing w:before="40" w:after="40" w:line="240" w:lineRule="auto"/>
              <w:rPr>
                <w:rFonts w:ascii="Arial" w:hAnsi="Arial" w:cs="Arial"/>
                <w:sz w:val="22"/>
                <w:szCs w:val="22"/>
              </w:rPr>
            </w:pPr>
            <w:r w:rsidRPr="007F219A">
              <w:rPr>
                <w:rFonts w:ascii="Arial" w:hAnsi="Arial" w:cs="Arial"/>
                <w:sz w:val="22"/>
                <w:szCs w:val="22"/>
              </w:rPr>
              <w:t>Fecal coliform concentration, based on a minimum of not less than five samples for any 30-day period, shall not exceed a log mean of 200 Most Probably Number per 100 milliliters, nor shall more than 10 percent of total samples during any 30-day period exceed 400 Most Probably Number per 100 milliliters.</w:t>
            </w:r>
            <w:r w:rsidRPr="007F219A">
              <w:rPr>
                <w:rFonts w:ascii="Arial" w:hAnsi="Arial" w:cs="Arial"/>
                <w:sz w:val="22"/>
                <w:szCs w:val="22"/>
              </w:rPr>
              <w:br/>
            </w:r>
            <w:r w:rsidRPr="007F219A">
              <w:rPr>
                <w:rFonts w:ascii="Arial" w:hAnsi="Arial" w:cs="Arial"/>
                <w:sz w:val="22"/>
                <w:szCs w:val="22"/>
              </w:rPr>
              <w:t xml:space="preserve">Based on a statistically sufficient number of samples (generally not less than five samples equally spaced over a 30-day period), the geometric mean of </w:t>
            </w:r>
            <w:r w:rsidRPr="007F219A">
              <w:rPr>
                <w:rFonts w:ascii="Arial" w:hAnsi="Arial" w:cs="Arial"/>
                <w:i/>
                <w:iCs/>
                <w:sz w:val="22"/>
                <w:szCs w:val="22"/>
              </w:rPr>
              <w:t xml:space="preserve">E. coli </w:t>
            </w:r>
            <w:r w:rsidRPr="007F219A">
              <w:rPr>
                <w:rFonts w:ascii="Arial" w:hAnsi="Arial" w:cs="Arial"/>
                <w:sz w:val="22"/>
                <w:szCs w:val="22"/>
              </w:rPr>
              <w:t xml:space="preserve">densities shall not exceed 126 per 100 milliliters, and no sample shall exceed a one-sided confidence limit calculated using the following guidance: lightly used for contact recreation (90% confidence limit) = 409 per 100 milliliter. </w:t>
            </w:r>
          </w:p>
        </w:tc>
      </w:tr>
      <w:tr w:rsidRPr="007F219A" w:rsidR="005F4C33" w:rsidTr="00B867D2" w14:paraId="6EB65D9F" w14:textId="77777777">
        <w:trPr>
          <w:trHeight w:val="1039"/>
        </w:trPr>
        <w:tc>
          <w:tcPr>
            <w:tcW w:w="1309" w:type="dxa"/>
            <w:vAlign w:val="center"/>
          </w:tcPr>
          <w:p w:rsidRPr="007F219A" w:rsidR="005F4C33" w:rsidP="00056020" w:rsidRDefault="005F4C33" w14:paraId="76043585" w14:textId="77777777">
            <w:pPr>
              <w:widowControl w:val="0"/>
              <w:autoSpaceDE w:val="0"/>
              <w:autoSpaceDN w:val="0"/>
              <w:adjustRightInd w:val="0"/>
              <w:spacing w:before="40" w:after="40" w:line="240" w:lineRule="auto"/>
              <w:rPr>
                <w:rFonts w:ascii="Arial" w:hAnsi="Arial" w:cs="Arial" w:eastAsiaTheme="minorHAnsi"/>
                <w:sz w:val="22"/>
                <w:szCs w:val="22"/>
              </w:rPr>
            </w:pPr>
            <w:r w:rsidRPr="007F219A">
              <w:rPr>
                <w:rFonts w:ascii="Arial" w:hAnsi="Arial" w:cs="Arial"/>
                <w:sz w:val="22"/>
                <w:szCs w:val="22"/>
              </w:rPr>
              <w:t>County of San Luis Obispo</w:t>
            </w:r>
          </w:p>
        </w:tc>
        <w:tc>
          <w:tcPr>
            <w:tcW w:w="1986" w:type="dxa"/>
            <w:vAlign w:val="center"/>
          </w:tcPr>
          <w:p w:rsidRPr="007F219A" w:rsidR="005F4C33" w:rsidP="00056020" w:rsidRDefault="005F4C33" w14:paraId="1A861B11" w14:textId="77777777">
            <w:pPr>
              <w:widowControl w:val="0"/>
              <w:autoSpaceDE w:val="0"/>
              <w:autoSpaceDN w:val="0"/>
              <w:adjustRightInd w:val="0"/>
              <w:spacing w:before="40" w:after="40" w:line="240" w:lineRule="auto"/>
              <w:rPr>
                <w:rFonts w:ascii="Arial" w:hAnsi="Arial" w:cs="Arial" w:eastAsiaTheme="minorHAnsi"/>
                <w:sz w:val="22"/>
                <w:szCs w:val="22"/>
              </w:rPr>
            </w:pPr>
            <w:r w:rsidRPr="007F219A">
              <w:rPr>
                <w:rFonts w:ascii="Arial" w:hAnsi="Arial" w:cs="Arial" w:eastAsiaTheme="minorHAnsi"/>
                <w:sz w:val="22"/>
                <w:szCs w:val="22"/>
              </w:rPr>
              <w:t>Nipomo Creek</w:t>
            </w:r>
          </w:p>
        </w:tc>
        <w:tc>
          <w:tcPr>
            <w:tcW w:w="5030" w:type="dxa"/>
          </w:tcPr>
          <w:p w:rsidRPr="007F219A" w:rsidR="005F4C33" w:rsidP="00056020" w:rsidRDefault="005F4C33" w14:paraId="25C91672" w14:textId="77777777">
            <w:pPr>
              <w:widowControl w:val="0"/>
              <w:spacing w:before="40" w:after="40" w:line="240" w:lineRule="auto"/>
              <w:rPr>
                <w:rFonts w:ascii="Arial" w:hAnsi="Arial" w:cs="Arial"/>
                <w:sz w:val="22"/>
                <w:szCs w:val="22"/>
              </w:rPr>
            </w:pPr>
            <w:r w:rsidRPr="007F219A">
              <w:rPr>
                <w:rFonts w:ascii="Arial" w:hAnsi="Arial" w:cs="Arial"/>
                <w:sz w:val="22"/>
                <w:szCs w:val="22"/>
              </w:rPr>
              <w:t>Fecal coliform concentration, based on a minimum of not less than five samples for any 30-day period, shall not exceed a log mean of 200 Most Probably Number per 100 milliliters, nor shall more than 10 percent of total samples during any 30-day period exceed 400 Most Probably Number per 100 milliliters.</w:t>
            </w:r>
          </w:p>
          <w:p w:rsidRPr="007F219A" w:rsidR="005F4C33" w:rsidP="00056020" w:rsidRDefault="005F4C33" w14:paraId="2E6EE0E4" w14:textId="77777777">
            <w:pPr>
              <w:widowControl w:val="0"/>
              <w:autoSpaceDE w:val="0"/>
              <w:autoSpaceDN w:val="0"/>
              <w:adjustRightInd w:val="0"/>
              <w:spacing w:before="40" w:after="40" w:line="240" w:lineRule="auto"/>
              <w:rPr>
                <w:rFonts w:ascii="Arial" w:hAnsi="Arial" w:cs="Arial"/>
                <w:sz w:val="22"/>
                <w:szCs w:val="22"/>
              </w:rPr>
            </w:pPr>
            <w:r w:rsidRPr="007F219A">
              <w:rPr>
                <w:rFonts w:ascii="Arial" w:hAnsi="Arial" w:cs="Arial"/>
                <w:sz w:val="22"/>
                <w:szCs w:val="22"/>
              </w:rPr>
              <w:t xml:space="preserve">Based on a statistically sufficient number of samples (generally not less than five samples equally spaced over a 30-day period), the geometric mean of </w:t>
            </w:r>
            <w:r w:rsidRPr="007F219A">
              <w:rPr>
                <w:rFonts w:ascii="Arial" w:hAnsi="Arial" w:cs="Arial"/>
                <w:i/>
                <w:iCs/>
                <w:sz w:val="22"/>
                <w:szCs w:val="22"/>
              </w:rPr>
              <w:t xml:space="preserve">E. coli </w:t>
            </w:r>
            <w:r w:rsidRPr="007F219A">
              <w:rPr>
                <w:rFonts w:ascii="Arial" w:hAnsi="Arial" w:cs="Arial"/>
                <w:sz w:val="22"/>
                <w:szCs w:val="22"/>
              </w:rPr>
              <w:t xml:space="preserve">densities shall not exceed 126 per 100 milliliters, and no sample shall exceed a one-sided confidence limit calculated using the following guidance: lightly used for contact recreation (90% confidence limit) = 409 per 100 milliliter. </w:t>
            </w:r>
          </w:p>
        </w:tc>
      </w:tr>
      <w:tr w:rsidRPr="007F219A" w:rsidR="005F4C33" w:rsidTr="00B867D2" w14:paraId="0FD22A1C" w14:textId="77777777">
        <w:trPr>
          <w:trHeight w:val="3648"/>
        </w:trPr>
        <w:tc>
          <w:tcPr>
            <w:tcW w:w="1309" w:type="dxa"/>
            <w:vAlign w:val="center"/>
          </w:tcPr>
          <w:p w:rsidRPr="007F219A" w:rsidR="005F4C33" w:rsidP="00056020" w:rsidRDefault="005F4C33" w14:paraId="653291F3" w14:textId="77777777">
            <w:pPr>
              <w:widowControl w:val="0"/>
              <w:autoSpaceDE w:val="0"/>
              <w:autoSpaceDN w:val="0"/>
              <w:adjustRightInd w:val="0"/>
              <w:spacing w:before="40" w:after="40" w:line="240" w:lineRule="auto"/>
              <w:rPr>
                <w:rFonts w:ascii="Arial" w:hAnsi="Arial" w:cs="Arial" w:eastAsiaTheme="minorHAnsi"/>
                <w:sz w:val="22"/>
                <w:szCs w:val="22"/>
              </w:rPr>
            </w:pPr>
            <w:r w:rsidRPr="007F219A">
              <w:rPr>
                <w:rFonts w:ascii="Arial" w:hAnsi="Arial" w:cs="Arial" w:eastAsiaTheme="minorHAnsi"/>
                <w:sz w:val="22"/>
                <w:szCs w:val="22"/>
              </w:rPr>
              <w:t>County of Santa Barbara</w:t>
            </w:r>
          </w:p>
        </w:tc>
        <w:tc>
          <w:tcPr>
            <w:tcW w:w="1986" w:type="dxa"/>
            <w:vAlign w:val="center"/>
          </w:tcPr>
          <w:p w:rsidRPr="007F219A" w:rsidR="005F4C33" w:rsidP="00056020" w:rsidRDefault="005F4C33" w14:paraId="6015F469" w14:textId="77777777">
            <w:pPr>
              <w:widowControl w:val="0"/>
              <w:autoSpaceDE w:val="0"/>
              <w:autoSpaceDN w:val="0"/>
              <w:adjustRightInd w:val="0"/>
              <w:spacing w:before="40" w:after="40" w:line="240" w:lineRule="auto"/>
              <w:rPr>
                <w:rFonts w:ascii="Arial" w:hAnsi="Arial" w:cs="Arial" w:eastAsiaTheme="minorHAnsi"/>
                <w:sz w:val="22"/>
                <w:szCs w:val="22"/>
              </w:rPr>
            </w:pPr>
            <w:r w:rsidRPr="007F219A">
              <w:rPr>
                <w:rFonts w:ascii="Arial" w:hAnsi="Arial" w:cs="Arial" w:eastAsiaTheme="minorHAnsi"/>
                <w:sz w:val="22"/>
                <w:szCs w:val="22"/>
              </w:rPr>
              <w:t>Orcutt Creek</w:t>
            </w:r>
          </w:p>
        </w:tc>
        <w:tc>
          <w:tcPr>
            <w:tcW w:w="5030" w:type="dxa"/>
          </w:tcPr>
          <w:p w:rsidRPr="007F219A" w:rsidR="005F4C33" w:rsidP="00056020" w:rsidRDefault="005F4C33" w14:paraId="454E57E1" w14:textId="77777777">
            <w:pPr>
              <w:widowControl w:val="0"/>
              <w:spacing w:before="40" w:after="40" w:line="240" w:lineRule="auto"/>
              <w:rPr>
                <w:rFonts w:ascii="Arial" w:hAnsi="Arial" w:cs="Arial"/>
                <w:sz w:val="22"/>
                <w:szCs w:val="22"/>
              </w:rPr>
            </w:pPr>
            <w:r w:rsidRPr="007F219A">
              <w:rPr>
                <w:rFonts w:ascii="Arial" w:hAnsi="Arial" w:cs="Arial"/>
                <w:sz w:val="22"/>
                <w:szCs w:val="22"/>
              </w:rPr>
              <w:t>Fecal coliform concentration, based on a minimum of not less than five samples for any 30-day period, shall not exceed a log mean of 200 Most Probably Number per 100 milliliters, nor shall more than 10 percent of total samples during any 30-day period exceed 400 Most Probably Number per 100 milliliters.</w:t>
            </w:r>
          </w:p>
          <w:p w:rsidRPr="007F219A" w:rsidR="005F4C33" w:rsidP="00056020" w:rsidRDefault="005F4C33" w14:paraId="698E369E" w14:textId="77777777">
            <w:pPr>
              <w:widowControl w:val="0"/>
              <w:autoSpaceDE w:val="0"/>
              <w:autoSpaceDN w:val="0"/>
              <w:adjustRightInd w:val="0"/>
              <w:spacing w:before="40" w:after="40" w:line="240" w:lineRule="auto"/>
              <w:rPr>
                <w:rFonts w:ascii="Arial" w:hAnsi="Arial" w:cs="Arial"/>
                <w:sz w:val="22"/>
                <w:szCs w:val="22"/>
              </w:rPr>
            </w:pPr>
            <w:r w:rsidRPr="007F219A">
              <w:rPr>
                <w:rFonts w:ascii="Arial" w:hAnsi="Arial" w:cs="Arial"/>
                <w:sz w:val="22"/>
                <w:szCs w:val="22"/>
              </w:rPr>
              <w:t xml:space="preserve">Based on a statistically sufficient number of samples (generally not less than five samples equally spaced over a 30-day period), the geometric mean of </w:t>
            </w:r>
            <w:r w:rsidRPr="007F219A">
              <w:rPr>
                <w:rFonts w:ascii="Arial" w:hAnsi="Arial" w:cs="Arial"/>
                <w:i/>
                <w:iCs/>
                <w:sz w:val="22"/>
                <w:szCs w:val="22"/>
              </w:rPr>
              <w:t xml:space="preserve">E. coli </w:t>
            </w:r>
            <w:r w:rsidRPr="007F219A">
              <w:rPr>
                <w:rFonts w:ascii="Arial" w:hAnsi="Arial" w:cs="Arial"/>
                <w:sz w:val="22"/>
                <w:szCs w:val="22"/>
              </w:rPr>
              <w:t xml:space="preserve">densities shall not exceed 126 per 100 milliliters, and no sample shall exceed a one-sided confidence limit calculated using the following guidance: lightly used for contact recreation (90% confidence limit) = 409 per 100 milliliter. </w:t>
            </w:r>
          </w:p>
        </w:tc>
      </w:tr>
    </w:tbl>
    <w:p w:rsidRPr="00D52F4F" w:rsidR="005F4C33" w:rsidP="005F4C33" w:rsidRDefault="005F4C33" w14:paraId="0CA63E6E" w14:textId="77777777">
      <w:pPr>
        <w:spacing w:before="240"/>
        <w:ind w:left="1267"/>
        <w:rPr>
          <w:rFonts w:cs="Arial"/>
        </w:rPr>
      </w:pPr>
      <w:r w:rsidRPr="00B36742">
        <w:rPr>
          <w:rFonts w:cs="Arial"/>
          <w:b/>
          <w:bCs/>
        </w:rPr>
        <w:t>Final Compliance Deadline</w:t>
      </w:r>
      <w:r w:rsidRPr="00B36742">
        <w:rPr>
          <w:rFonts w:cs="Arial"/>
        </w:rPr>
        <w:t>: The final compliance deadline is February 21, 2028.</w:t>
      </w:r>
    </w:p>
    <w:p w:rsidRPr="00EE509F" w:rsidR="005F4C33" w:rsidP="00EE509F" w:rsidRDefault="00836361" w14:paraId="60B5B5A9" w14:textId="1C3CB1F7">
      <w:pPr>
        <w:pStyle w:val="Heading3"/>
        <w:tabs>
          <w:tab w:val="clear" w:pos="720"/>
          <w:tab w:val="left" w:pos="1260"/>
        </w:tabs>
        <w:ind w:left="1260" w:hanging="1260"/>
        <w:rPr>
          <w:i/>
          <w:iCs/>
        </w:rPr>
      </w:pPr>
      <w:r>
        <w:rPr>
          <w:i/>
          <w:iCs/>
        </w:rPr>
        <w:t>A13</w:t>
      </w:r>
      <w:r w:rsidRPr="00EE509F" w:rsidR="0051459D">
        <w:rPr>
          <w:i/>
          <w:iCs/>
        </w:rPr>
        <w:t>.3</w:t>
      </w:r>
      <w:r w:rsidRPr="00EE509F" w:rsidR="005F4C33">
        <w:rPr>
          <w:i/>
          <w:iCs/>
        </w:rPr>
        <w:t>.15</w:t>
      </w:r>
      <w:r w:rsidRPr="00EE509F" w:rsidR="005F4C33">
        <w:rPr>
          <w:i/>
          <w:iCs/>
        </w:rPr>
        <w:tab/>
      </w:r>
      <w:r w:rsidRPr="00EE509F" w:rsidR="005F4C33">
        <w:rPr>
          <w:i/>
          <w:iCs/>
        </w:rPr>
        <w:t>TMDL for Nitrogen Compounds and Orthophosphate in Lower Santa Maria River Watersheds</w:t>
      </w:r>
      <w:r w:rsidR="00D60945">
        <w:rPr>
          <w:i/>
          <w:iCs/>
        </w:rPr>
        <w:t xml:space="preserve"> </w:t>
      </w:r>
      <w:r w:rsidRPr="00D60945" w:rsidR="00D60945">
        <w:rPr>
          <w:i/>
          <w:iCs/>
        </w:rPr>
        <w:t>and Tributaries to Oso Flaco Lake</w:t>
      </w:r>
    </w:p>
    <w:p w:rsidRPr="00BA0699" w:rsidR="005F4C33" w:rsidP="005F4C33" w:rsidRDefault="005F4C33" w14:paraId="3606FAF9" w14:textId="2EB9DA77">
      <w:pPr>
        <w:ind w:left="1260"/>
        <w:rPr>
          <w:rFonts w:cs="Arial"/>
        </w:rPr>
      </w:pPr>
      <w:r w:rsidRPr="004E58C4">
        <w:rPr>
          <w:rFonts w:cs="Arial"/>
          <w:b/>
          <w:bCs/>
        </w:rPr>
        <w:t>Description</w:t>
      </w:r>
      <w:r w:rsidRPr="00BA0699">
        <w:rPr>
          <w:rFonts w:cs="Arial"/>
        </w:rPr>
        <w:t xml:space="preserve">: </w:t>
      </w:r>
      <w:r w:rsidR="00B337BE">
        <w:rPr>
          <w:rFonts w:cs="Arial"/>
        </w:rPr>
        <w:t xml:space="preserve">The Central Coast Water Board adopted the TMDL in 2013, and </w:t>
      </w:r>
      <w:r w:rsidR="00766ACF">
        <w:rPr>
          <w:rFonts w:cs="Arial"/>
        </w:rPr>
        <w:t>USEPA</w:t>
      </w:r>
      <w:r w:rsidR="00C56C92">
        <w:rPr>
          <w:rFonts w:cs="Arial"/>
        </w:rPr>
        <w:t xml:space="preserve"> </w:t>
      </w:r>
      <w:r w:rsidRPr="00BA0699">
        <w:rPr>
          <w:rFonts w:cs="Arial"/>
        </w:rPr>
        <w:t xml:space="preserve">approved </w:t>
      </w:r>
      <w:r w:rsidR="00B337BE">
        <w:rPr>
          <w:rFonts w:cs="Arial"/>
        </w:rPr>
        <w:t xml:space="preserve">it </w:t>
      </w:r>
      <w:r w:rsidRPr="00BA0699">
        <w:rPr>
          <w:rFonts w:cs="Arial"/>
        </w:rPr>
        <w:t xml:space="preserve">on </w:t>
      </w:r>
      <w:r>
        <w:rPr>
          <w:rFonts w:cs="Arial"/>
        </w:rPr>
        <w:t>March 8, 2016</w:t>
      </w:r>
      <w:r w:rsidRPr="00BA0699">
        <w:rPr>
          <w:rFonts w:cs="Arial"/>
        </w:rPr>
        <w:t xml:space="preserve">. </w:t>
      </w:r>
      <w:r w:rsidRPr="004E58C4">
        <w:t>Discharges of nitrogen compounds and orthophosphate are occurring at levels in surface waters which are impairing a spectrum of beneficial uses.</w:t>
      </w:r>
      <w:r w:rsidRPr="004E58C4">
        <w:rPr>
          <w:rFonts w:cs="Arial"/>
        </w:rPr>
        <w:t xml:space="preserve"> </w:t>
      </w:r>
      <w:r>
        <w:rPr>
          <w:rFonts w:cs="Arial"/>
        </w:rPr>
        <w:t>T</w:t>
      </w:r>
      <w:r w:rsidRPr="00BA0699">
        <w:rPr>
          <w:rFonts w:cs="Arial"/>
        </w:rPr>
        <w:t>he Lower Santa Maria River Watersheds are impaired by nitrogen compounds and orthophosphate. Urban stormwater is identified as a relatively minor source (but can be locally significant) of these pollutants.</w:t>
      </w:r>
    </w:p>
    <w:p w:rsidRPr="00BA0699" w:rsidR="005F4C33" w:rsidP="005F4C33" w:rsidRDefault="005F4C33" w14:paraId="44D6EF7C" w14:textId="5BE0B014">
      <w:pPr>
        <w:ind w:left="1260"/>
        <w:rPr>
          <w:rFonts w:cs="Arial"/>
        </w:rPr>
      </w:pPr>
      <w:r w:rsidRPr="00BA0699">
        <w:rPr>
          <w:b/>
        </w:rPr>
        <w:t>Responsible Permit</w:t>
      </w:r>
      <w:r w:rsidR="0091593F">
        <w:rPr>
          <w:b/>
        </w:rPr>
        <w:t>t</w:t>
      </w:r>
      <w:r w:rsidRPr="00BA0699">
        <w:rPr>
          <w:b/>
        </w:rPr>
        <w:t>ees:</w:t>
      </w:r>
      <w:r w:rsidRPr="00BA0699">
        <w:rPr>
          <w:b/>
          <w:bCs/>
        </w:rPr>
        <w:t xml:space="preserve"> </w:t>
      </w:r>
      <w:r w:rsidRPr="00BA0699">
        <w:rPr>
          <w:rFonts w:cs="Arial"/>
        </w:rPr>
        <w:t xml:space="preserve">City of Guadalupe, City of Santa Maria, County of Santa Barbara, </w:t>
      </w:r>
      <w:r w:rsidR="00E459AF">
        <w:rPr>
          <w:rFonts w:cs="Arial"/>
        </w:rPr>
        <w:t xml:space="preserve">and </w:t>
      </w:r>
      <w:r w:rsidRPr="00BA0699">
        <w:rPr>
          <w:rFonts w:cs="Arial"/>
        </w:rPr>
        <w:t>County of San Luis Obispo</w:t>
      </w:r>
      <w:r w:rsidR="00E459AF">
        <w:rPr>
          <w:rFonts w:cs="Arial"/>
        </w:rPr>
        <w:t>.</w:t>
      </w:r>
    </w:p>
    <w:p w:rsidR="005F4C33" w:rsidP="005F4C33" w:rsidRDefault="005F4C33" w14:paraId="04AE3766" w14:textId="77777777">
      <w:pPr>
        <w:ind w:left="1260"/>
      </w:pPr>
      <w:r w:rsidRPr="00BA0699">
        <w:rPr>
          <w:b/>
        </w:rPr>
        <w:t>Wasteload Allocations:</w:t>
      </w:r>
      <w:r w:rsidRPr="00BA0699">
        <w:rPr>
          <w:b/>
          <w:bCs/>
        </w:rPr>
        <w:t xml:space="preserve"> </w:t>
      </w:r>
      <w:r w:rsidRPr="00BA0699">
        <w:rPr>
          <w:rFonts w:cs="Arial"/>
        </w:rPr>
        <w:t>The TMDL specifies concentration-based wasteload allocations in all receiving surface waterbodies, including reaches and tributaries, as listed in the table, below. Wasteload allocation apply to the City of Santa Maria, County of Santa Barbara, County of San Luis Obispo, and City of Guadalupe.</w:t>
      </w:r>
      <w:r>
        <w:rPr>
          <w:rFonts w:cs="Arial"/>
        </w:rPr>
        <w:t xml:space="preserve"> </w:t>
      </w:r>
      <w:r w:rsidRPr="00BA0699">
        <w:rPr>
          <w:rFonts w:cs="Arial"/>
        </w:rPr>
        <w:t xml:space="preserve">The wasteload allocations identify </w:t>
      </w:r>
      <w:r w:rsidRPr="00BA0699">
        <w:t>the dry season as May 1 through October 31 and the wet season as November 1 through April 30</w:t>
      </w:r>
      <w:r>
        <w:t>. See the two tables on the next two pages.</w:t>
      </w:r>
    </w:p>
    <w:p w:rsidR="005F4C33" w:rsidP="005F4C33" w:rsidRDefault="005F4C33" w14:paraId="2A90053E" w14:textId="77777777">
      <w:pPr>
        <w:ind w:left="1260"/>
        <w:rPr>
          <w:sz w:val="20"/>
        </w:rPr>
      </w:pPr>
      <w:r w:rsidRPr="001E08C6">
        <w:rPr>
          <w:rFonts w:cs="Arial"/>
          <w:b/>
          <w:bCs/>
        </w:rPr>
        <w:t xml:space="preserve">Final compliance </w:t>
      </w:r>
      <w:r w:rsidRPr="00A53808">
        <w:rPr>
          <w:rFonts w:cs="Arial"/>
          <w:b/>
          <w:bCs/>
        </w:rPr>
        <w:t>Deadline</w:t>
      </w:r>
      <w:r w:rsidRPr="00A53808">
        <w:rPr>
          <w:rFonts w:cs="Arial"/>
        </w:rPr>
        <w:t xml:space="preserve">: </w:t>
      </w:r>
      <w:r w:rsidRPr="00A53808">
        <w:t>The compliance schedule for achieving the final wasteload allocations is May 17, 2044</w:t>
      </w:r>
      <w:r w:rsidRPr="00A53808">
        <w:rPr>
          <w:sz w:val="20"/>
        </w:rPr>
        <w:t>.</w:t>
      </w:r>
      <w:r>
        <w:rPr>
          <w:sz w:val="20"/>
        </w:rPr>
        <w:t xml:space="preserve"> </w:t>
      </w:r>
    </w:p>
    <w:p w:rsidR="00D427AA" w:rsidP="005F4C33" w:rsidRDefault="00D427AA" w14:paraId="5E3F6F38" w14:textId="77777777">
      <w:pPr>
        <w:ind w:left="1260"/>
        <w:rPr>
          <w:rFonts w:cs="Arial"/>
        </w:rPr>
      </w:pPr>
    </w:p>
    <w:p w:rsidRPr="00D52F4F" w:rsidR="00D427AA" w:rsidP="005F4C33" w:rsidRDefault="00D427AA" w14:paraId="41A068A4" w14:textId="77777777">
      <w:pPr>
        <w:ind w:left="1260"/>
        <w:rPr>
          <w:rFonts w:cs="Arial"/>
        </w:rPr>
      </w:pPr>
    </w:p>
    <w:p w:rsidR="005F4C33" w:rsidP="00730239" w:rsidRDefault="005F4C33" w14:paraId="4656170E" w14:textId="77777777">
      <w:pPr>
        <w:spacing w:before="240"/>
        <w:rPr>
          <w:bCs/>
        </w:rPr>
        <w:sectPr w:rsidR="005F4C33" w:rsidSect="00A86034">
          <w:pgSz w:w="12240" w:h="15840" w:orient="portrait"/>
          <w:pgMar w:top="1440" w:right="1440" w:bottom="1440" w:left="1440" w:header="630" w:footer="510" w:gutter="0"/>
          <w:cols w:space="720"/>
          <w:docGrid w:linePitch="360"/>
        </w:sectPr>
      </w:pPr>
    </w:p>
    <w:p w:rsidRPr="000E0527" w:rsidR="000E0527" w:rsidP="0064603B" w:rsidRDefault="000E0527" w14:paraId="00378A37" w14:textId="51CAC9F2">
      <w:pPr>
        <w:pStyle w:val="TableHead"/>
      </w:pPr>
      <w:r w:rsidRPr="000E0527">
        <w:t>Final Nitrogen Compounds and Orthophosphate Receiving Water Wasteload Allocations, Lower Santa Maria River Watersheds (units in milligrams per liter</w:t>
      </w:r>
      <w:r w:rsidR="00EE509F">
        <w:t>;</w:t>
      </w:r>
      <w:r w:rsidRPr="000E0527">
        <w:t xml:space="preserve"> Dry Season is May 1 through October 31</w:t>
      </w:r>
      <w:r w:rsidR="00EE509F">
        <w:t>;</w:t>
      </w:r>
      <w:r w:rsidRPr="000E0527">
        <w:t xml:space="preserve"> Wet Season is November 1 through April 30</w:t>
      </w:r>
      <w:r w:rsidR="00EE509F">
        <w:t>.</w:t>
      </w:r>
      <w:r w:rsidRPr="000E0527">
        <w:t>)</w:t>
      </w:r>
    </w:p>
    <w:tbl>
      <w:tblPr>
        <w:tblStyle w:val="TableGrid"/>
        <w:tblW w:w="4887" w:type="pct"/>
        <w:tblLook w:val="0620" w:firstRow="1" w:lastRow="0" w:firstColumn="0" w:lastColumn="0" w:noHBand="1" w:noVBand="1"/>
        <w:tblCaption w:val="Lower Santa Maria River Watershed Final Wasteload Allocations (WLAs) Table"/>
      </w:tblPr>
      <w:tblGrid>
        <w:gridCol w:w="2487"/>
        <w:gridCol w:w="3238"/>
        <w:gridCol w:w="2407"/>
        <w:gridCol w:w="2656"/>
        <w:gridCol w:w="2573"/>
      </w:tblGrid>
      <w:tr w:rsidRPr="000E0527" w:rsidR="000E0527" w:rsidTr="00CA33B0" w14:paraId="1F357553" w14:textId="77777777">
        <w:trPr>
          <w:trHeight w:val="632"/>
          <w:tblHeader/>
        </w:trPr>
        <w:tc>
          <w:tcPr>
            <w:tcW w:w="2486" w:type="dxa"/>
            <w:shd w:val="clear" w:color="auto" w:fill="D6E3BC" w:themeFill="accent3" w:themeFillTint="66"/>
            <w:vAlign w:val="center"/>
          </w:tcPr>
          <w:p w:rsidRPr="000E0527" w:rsidR="000E0527" w:rsidP="00AD16A5" w:rsidRDefault="000E0527" w14:paraId="6DBE1C5F" w14:textId="77777777">
            <w:pPr>
              <w:pStyle w:val="TableText"/>
              <w:widowControl w:val="0"/>
              <w:spacing w:before="40" w:after="40" w:line="240" w:lineRule="auto"/>
              <w:jc w:val="center"/>
              <w:rPr>
                <w:rFonts w:ascii="Arial" w:hAnsi="Arial"/>
                <w:b/>
                <w:bCs/>
                <w:sz w:val="22"/>
                <w:szCs w:val="22"/>
              </w:rPr>
            </w:pPr>
            <w:r w:rsidRPr="000E0527">
              <w:rPr>
                <w:rFonts w:ascii="Arial" w:hAnsi="Arial"/>
                <w:b/>
                <w:bCs/>
                <w:sz w:val="22"/>
                <w:szCs w:val="22"/>
              </w:rPr>
              <w:t>Permittee</w:t>
            </w:r>
          </w:p>
        </w:tc>
        <w:tc>
          <w:tcPr>
            <w:tcW w:w="3238" w:type="dxa"/>
            <w:shd w:val="clear" w:color="auto" w:fill="D6E3BC" w:themeFill="accent3" w:themeFillTint="66"/>
            <w:vAlign w:val="center"/>
          </w:tcPr>
          <w:p w:rsidRPr="000E0527" w:rsidR="000E0527" w:rsidP="00AD16A5" w:rsidRDefault="000E0527" w14:paraId="315351CA" w14:textId="77777777">
            <w:pPr>
              <w:pStyle w:val="TableText"/>
              <w:widowControl w:val="0"/>
              <w:spacing w:before="40" w:after="40" w:line="240" w:lineRule="auto"/>
              <w:jc w:val="center"/>
              <w:rPr>
                <w:rFonts w:ascii="Arial" w:hAnsi="Arial"/>
                <w:b/>
                <w:bCs/>
                <w:sz w:val="22"/>
                <w:szCs w:val="22"/>
              </w:rPr>
            </w:pPr>
            <w:r w:rsidRPr="000E0527">
              <w:rPr>
                <w:rFonts w:ascii="Arial" w:hAnsi="Arial"/>
                <w:b/>
                <w:bCs/>
                <w:sz w:val="22"/>
                <w:szCs w:val="22"/>
              </w:rPr>
              <w:t>Waterbody</w:t>
            </w:r>
          </w:p>
        </w:tc>
        <w:tc>
          <w:tcPr>
            <w:tcW w:w="2407" w:type="dxa"/>
            <w:shd w:val="clear" w:color="auto" w:fill="D6E3BC" w:themeFill="accent3" w:themeFillTint="66"/>
            <w:vAlign w:val="center"/>
          </w:tcPr>
          <w:p w:rsidRPr="000E0527" w:rsidR="000E0527" w:rsidP="00AD16A5" w:rsidRDefault="000E0527" w14:paraId="64757C2F" w14:textId="77777777">
            <w:pPr>
              <w:pStyle w:val="TableText"/>
              <w:widowControl w:val="0"/>
              <w:spacing w:before="40" w:after="40" w:line="240" w:lineRule="auto"/>
              <w:jc w:val="center"/>
              <w:rPr>
                <w:rFonts w:ascii="Arial" w:hAnsi="Arial"/>
                <w:b/>
                <w:bCs/>
                <w:sz w:val="22"/>
                <w:szCs w:val="22"/>
              </w:rPr>
            </w:pPr>
            <w:r w:rsidRPr="000E0527">
              <w:rPr>
                <w:rFonts w:ascii="Arial" w:hAnsi="Arial"/>
                <w:b/>
                <w:bCs/>
                <w:sz w:val="22"/>
                <w:szCs w:val="22"/>
              </w:rPr>
              <w:t xml:space="preserve">Nitrate as Nitrogen </w:t>
            </w:r>
          </w:p>
        </w:tc>
        <w:tc>
          <w:tcPr>
            <w:tcW w:w="2656" w:type="dxa"/>
            <w:shd w:val="clear" w:color="auto" w:fill="D6E3BC" w:themeFill="accent3" w:themeFillTint="66"/>
            <w:vAlign w:val="center"/>
          </w:tcPr>
          <w:p w:rsidRPr="000E0527" w:rsidR="000E0527" w:rsidP="00AD16A5" w:rsidRDefault="000E0527" w14:paraId="0A2A140F" w14:textId="77777777">
            <w:pPr>
              <w:pStyle w:val="TableText"/>
              <w:widowControl w:val="0"/>
              <w:spacing w:before="40" w:after="40" w:line="240" w:lineRule="auto"/>
              <w:jc w:val="center"/>
              <w:rPr>
                <w:rFonts w:ascii="Arial" w:hAnsi="Arial"/>
                <w:b/>
                <w:bCs/>
                <w:sz w:val="22"/>
                <w:szCs w:val="22"/>
              </w:rPr>
            </w:pPr>
            <w:r w:rsidRPr="000E0527">
              <w:rPr>
                <w:rFonts w:ascii="Arial" w:hAnsi="Arial"/>
                <w:b/>
                <w:bCs/>
                <w:sz w:val="22"/>
                <w:szCs w:val="22"/>
              </w:rPr>
              <w:t xml:space="preserve">Orthophosphate as Phosphorous </w:t>
            </w:r>
          </w:p>
        </w:tc>
        <w:tc>
          <w:tcPr>
            <w:tcW w:w="2573" w:type="dxa"/>
            <w:shd w:val="clear" w:color="auto" w:fill="D6E3BC" w:themeFill="accent3" w:themeFillTint="66"/>
            <w:vAlign w:val="center"/>
          </w:tcPr>
          <w:p w:rsidRPr="000E0527" w:rsidR="000E0527" w:rsidP="00AD16A5" w:rsidRDefault="000E0527" w14:paraId="0B503608" w14:textId="77777777">
            <w:pPr>
              <w:pStyle w:val="TableText"/>
              <w:widowControl w:val="0"/>
              <w:spacing w:before="40" w:after="40" w:line="240" w:lineRule="auto"/>
              <w:jc w:val="center"/>
              <w:rPr>
                <w:rFonts w:ascii="Arial" w:hAnsi="Arial"/>
                <w:b/>
                <w:bCs/>
                <w:sz w:val="22"/>
                <w:szCs w:val="22"/>
              </w:rPr>
            </w:pPr>
            <w:r w:rsidRPr="000E0527">
              <w:rPr>
                <w:rFonts w:ascii="Arial" w:hAnsi="Arial"/>
                <w:b/>
                <w:bCs/>
                <w:sz w:val="22"/>
                <w:szCs w:val="22"/>
              </w:rPr>
              <w:t xml:space="preserve">Un-ionized Ammonia as Nitrogen </w:t>
            </w:r>
          </w:p>
        </w:tc>
      </w:tr>
      <w:tr w:rsidRPr="000E0527" w:rsidR="000E0527" w:rsidTr="00F47021" w14:paraId="5D8220A9" w14:textId="77777777">
        <w:trPr>
          <w:trHeight w:val="1450"/>
        </w:trPr>
        <w:tc>
          <w:tcPr>
            <w:tcW w:w="2486" w:type="dxa"/>
            <w:vAlign w:val="center"/>
          </w:tcPr>
          <w:p w:rsidRPr="000E0527" w:rsidR="000E0527" w:rsidP="00AD16A5" w:rsidRDefault="000E0527" w14:paraId="60E2AF44" w14:textId="77777777">
            <w:pPr>
              <w:pStyle w:val="TableText"/>
              <w:widowControl w:val="0"/>
              <w:spacing w:before="40" w:after="40" w:line="240" w:lineRule="auto"/>
              <w:rPr>
                <w:rFonts w:ascii="Arial" w:hAnsi="Arial"/>
                <w:sz w:val="22"/>
                <w:szCs w:val="22"/>
              </w:rPr>
            </w:pPr>
            <w:r w:rsidRPr="000E0527">
              <w:rPr>
                <w:rFonts w:ascii="Arial" w:hAnsi="Arial"/>
                <w:sz w:val="22"/>
                <w:szCs w:val="22"/>
              </w:rPr>
              <w:t>City of Santa Maria and City of Guadalupe</w:t>
            </w:r>
          </w:p>
        </w:tc>
        <w:tc>
          <w:tcPr>
            <w:tcW w:w="3238" w:type="dxa"/>
          </w:tcPr>
          <w:p w:rsidRPr="000E0527" w:rsidR="000E0527" w:rsidP="00AD16A5" w:rsidRDefault="000E0527" w14:paraId="736AB3CB" w14:textId="77777777">
            <w:pPr>
              <w:pStyle w:val="TableText"/>
              <w:widowControl w:val="0"/>
              <w:spacing w:before="40" w:after="40" w:line="240" w:lineRule="auto"/>
              <w:rPr>
                <w:rFonts w:ascii="Arial" w:hAnsi="Arial"/>
                <w:sz w:val="22"/>
                <w:szCs w:val="22"/>
              </w:rPr>
            </w:pPr>
            <w:r w:rsidRPr="000E0527">
              <w:rPr>
                <w:rFonts w:ascii="Arial" w:hAnsi="Arial"/>
                <w:sz w:val="22"/>
                <w:szCs w:val="22"/>
              </w:rPr>
              <w:t>Santa Maria River (upstream from Highway 1), Blosser Channel, Bradley Channel, Main Street Canal, North Main Street Channel</w:t>
            </w:r>
          </w:p>
        </w:tc>
        <w:tc>
          <w:tcPr>
            <w:tcW w:w="2407" w:type="dxa"/>
          </w:tcPr>
          <w:p w:rsidRPr="000E0527" w:rsidR="000E0527" w:rsidP="00AD16A5" w:rsidRDefault="000E0527" w14:paraId="5F8068C2" w14:textId="77777777">
            <w:pPr>
              <w:pStyle w:val="TableText"/>
              <w:widowControl w:val="0"/>
              <w:spacing w:before="40" w:after="40" w:line="240" w:lineRule="auto"/>
              <w:ind w:left="455" w:hanging="450"/>
              <w:rPr>
                <w:rFonts w:ascii="Arial" w:hAnsi="Arial"/>
                <w:sz w:val="22"/>
                <w:szCs w:val="22"/>
              </w:rPr>
            </w:pPr>
            <w:r w:rsidRPr="000E0527">
              <w:rPr>
                <w:rFonts w:ascii="Arial" w:hAnsi="Arial"/>
                <w:sz w:val="22"/>
                <w:szCs w:val="22"/>
              </w:rPr>
              <w:t>10 year round</w:t>
            </w:r>
          </w:p>
        </w:tc>
        <w:tc>
          <w:tcPr>
            <w:tcW w:w="2656" w:type="dxa"/>
          </w:tcPr>
          <w:p w:rsidRPr="000E0527" w:rsidR="000E0527" w:rsidP="00AD16A5" w:rsidRDefault="000E0527" w14:paraId="5C3FB79C" w14:textId="77777777">
            <w:pPr>
              <w:pStyle w:val="TableText"/>
              <w:widowControl w:val="0"/>
              <w:spacing w:before="40" w:after="40" w:line="240" w:lineRule="auto"/>
              <w:rPr>
                <w:rFonts w:ascii="Arial" w:hAnsi="Arial"/>
                <w:bCs/>
                <w:sz w:val="22"/>
                <w:szCs w:val="22"/>
              </w:rPr>
            </w:pPr>
            <w:r w:rsidRPr="000E0527">
              <w:rPr>
                <w:rFonts w:ascii="Arial" w:hAnsi="Arial"/>
                <w:bCs/>
                <w:sz w:val="22"/>
                <w:szCs w:val="22"/>
              </w:rPr>
              <w:t>Not Applicable</w:t>
            </w:r>
          </w:p>
        </w:tc>
        <w:tc>
          <w:tcPr>
            <w:tcW w:w="2573" w:type="dxa"/>
          </w:tcPr>
          <w:p w:rsidRPr="000E0527" w:rsidR="000E0527" w:rsidP="00AD16A5" w:rsidRDefault="000E0527" w14:paraId="1373D369" w14:textId="77777777">
            <w:pPr>
              <w:pStyle w:val="TableText"/>
              <w:widowControl w:val="0"/>
              <w:spacing w:before="40" w:after="40" w:line="240" w:lineRule="auto"/>
              <w:rPr>
                <w:rFonts w:ascii="Arial" w:hAnsi="Arial"/>
                <w:bCs/>
                <w:sz w:val="22"/>
                <w:szCs w:val="22"/>
              </w:rPr>
            </w:pPr>
            <w:r w:rsidRPr="000E0527">
              <w:rPr>
                <w:rFonts w:ascii="Arial" w:hAnsi="Arial"/>
                <w:sz w:val="22"/>
                <w:szCs w:val="22"/>
              </w:rPr>
              <w:t>0.025 year round</w:t>
            </w:r>
          </w:p>
        </w:tc>
      </w:tr>
      <w:tr w:rsidRPr="000E0527" w:rsidR="000E0527" w:rsidTr="00F47021" w14:paraId="28D556F1" w14:textId="77777777">
        <w:trPr>
          <w:trHeight w:val="922"/>
        </w:trPr>
        <w:tc>
          <w:tcPr>
            <w:tcW w:w="2486" w:type="dxa"/>
            <w:vAlign w:val="center"/>
          </w:tcPr>
          <w:p w:rsidRPr="000E0527" w:rsidR="000E0527" w:rsidP="00AD16A5" w:rsidRDefault="000E0527" w14:paraId="642BD21A"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City of Guadalupe </w:t>
            </w:r>
          </w:p>
        </w:tc>
        <w:tc>
          <w:tcPr>
            <w:tcW w:w="3238" w:type="dxa"/>
          </w:tcPr>
          <w:p w:rsidRPr="000E0527" w:rsidR="000E0527" w:rsidP="00AD16A5" w:rsidRDefault="000E0527" w14:paraId="00282011"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Santa Maria River (downstream from </w:t>
            </w:r>
          </w:p>
          <w:p w:rsidRPr="000E0527" w:rsidR="000E0527" w:rsidP="00AD16A5" w:rsidRDefault="000E0527" w14:paraId="1E62DFE1" w14:textId="77777777">
            <w:pPr>
              <w:pStyle w:val="TableText"/>
              <w:widowControl w:val="0"/>
              <w:spacing w:before="40" w:after="40" w:line="240" w:lineRule="auto"/>
              <w:rPr>
                <w:rFonts w:ascii="Arial" w:hAnsi="Arial"/>
                <w:sz w:val="22"/>
                <w:szCs w:val="22"/>
              </w:rPr>
            </w:pPr>
            <w:r w:rsidRPr="000E0527">
              <w:rPr>
                <w:rFonts w:ascii="Arial" w:hAnsi="Arial"/>
                <w:sz w:val="22"/>
                <w:szCs w:val="22"/>
              </w:rPr>
              <w:t>Highway 1)</w:t>
            </w:r>
          </w:p>
        </w:tc>
        <w:tc>
          <w:tcPr>
            <w:tcW w:w="2407" w:type="dxa"/>
          </w:tcPr>
          <w:p w:rsidRPr="000E0527" w:rsidR="000E0527" w:rsidP="00AD16A5" w:rsidRDefault="000E0527" w14:paraId="52337AF4" w14:textId="77777777">
            <w:pPr>
              <w:pStyle w:val="TableText"/>
              <w:widowControl w:val="0"/>
              <w:tabs>
                <w:tab w:val="left" w:pos="637"/>
              </w:tabs>
              <w:spacing w:before="40" w:after="40" w:line="240" w:lineRule="auto"/>
              <w:ind w:left="702" w:hanging="697"/>
              <w:rPr>
                <w:rFonts w:ascii="Arial" w:hAnsi="Arial"/>
                <w:sz w:val="22"/>
                <w:szCs w:val="22"/>
              </w:rPr>
            </w:pPr>
            <w:r w:rsidRPr="000E0527">
              <w:rPr>
                <w:rFonts w:ascii="Arial" w:hAnsi="Arial"/>
                <w:bCs/>
                <w:sz w:val="22"/>
                <w:szCs w:val="22"/>
              </w:rPr>
              <w:t>4.3</w:t>
            </w:r>
            <w:r w:rsidRPr="000E0527">
              <w:rPr>
                <w:rFonts w:ascii="Arial" w:hAnsi="Arial"/>
                <w:bCs/>
                <w:sz w:val="22"/>
                <w:szCs w:val="22"/>
              </w:rPr>
              <w:tab/>
            </w:r>
            <w:r w:rsidRPr="000E0527">
              <w:rPr>
                <w:rFonts w:ascii="Arial" w:hAnsi="Arial"/>
                <w:sz w:val="22"/>
                <w:szCs w:val="22"/>
              </w:rPr>
              <w:t>Dry Season</w:t>
            </w:r>
          </w:p>
          <w:p w:rsidRPr="000E0527" w:rsidR="000E0527" w:rsidP="00AD16A5" w:rsidRDefault="000E0527" w14:paraId="1C00BE0E" w14:textId="77777777">
            <w:pPr>
              <w:pStyle w:val="TableText"/>
              <w:widowControl w:val="0"/>
              <w:tabs>
                <w:tab w:val="left" w:pos="637"/>
              </w:tabs>
              <w:spacing w:before="40" w:after="40" w:line="240" w:lineRule="auto"/>
              <w:ind w:left="702" w:hanging="697"/>
              <w:rPr>
                <w:rFonts w:ascii="Arial" w:hAnsi="Arial"/>
                <w:sz w:val="22"/>
                <w:szCs w:val="22"/>
              </w:rPr>
            </w:pPr>
            <w:r w:rsidRPr="000E0527">
              <w:rPr>
                <w:rFonts w:ascii="Arial" w:hAnsi="Arial"/>
                <w:bCs/>
                <w:sz w:val="22"/>
                <w:szCs w:val="22"/>
              </w:rPr>
              <w:t>8.0</w:t>
            </w:r>
            <w:r w:rsidRPr="000E0527">
              <w:rPr>
                <w:rFonts w:ascii="Arial" w:hAnsi="Arial"/>
                <w:b/>
                <w:sz w:val="22"/>
                <w:szCs w:val="22"/>
              </w:rPr>
              <w:tab/>
            </w:r>
            <w:r w:rsidRPr="000E0527">
              <w:rPr>
                <w:rFonts w:ascii="Arial" w:hAnsi="Arial"/>
                <w:sz w:val="22"/>
                <w:szCs w:val="22"/>
              </w:rPr>
              <w:t>Wet Season</w:t>
            </w:r>
          </w:p>
        </w:tc>
        <w:tc>
          <w:tcPr>
            <w:tcW w:w="2656" w:type="dxa"/>
          </w:tcPr>
          <w:p w:rsidRPr="000E0527" w:rsidR="000E0527" w:rsidP="00AD16A5" w:rsidRDefault="000E0527" w14:paraId="6387E9A3" w14:textId="77777777">
            <w:pPr>
              <w:pStyle w:val="TableText"/>
              <w:widowControl w:val="0"/>
              <w:tabs>
                <w:tab w:val="left" w:pos="797"/>
              </w:tabs>
              <w:spacing w:before="40" w:after="40" w:line="240" w:lineRule="auto"/>
              <w:ind w:left="797" w:hanging="725"/>
              <w:rPr>
                <w:rFonts w:ascii="Arial" w:hAnsi="Arial"/>
                <w:sz w:val="22"/>
                <w:szCs w:val="22"/>
              </w:rPr>
            </w:pPr>
            <w:r w:rsidRPr="000E0527">
              <w:rPr>
                <w:rFonts w:ascii="Arial" w:hAnsi="Arial"/>
                <w:sz w:val="22"/>
                <w:szCs w:val="22"/>
              </w:rPr>
              <w:t>0.19</w:t>
            </w:r>
            <w:r w:rsidRPr="000E0527">
              <w:rPr>
                <w:rFonts w:ascii="Arial" w:hAnsi="Arial"/>
                <w:b/>
                <w:bCs/>
                <w:sz w:val="22"/>
                <w:szCs w:val="22"/>
              </w:rPr>
              <w:tab/>
            </w:r>
            <w:r w:rsidRPr="000E0527">
              <w:rPr>
                <w:rFonts w:ascii="Arial" w:hAnsi="Arial"/>
                <w:sz w:val="22"/>
                <w:szCs w:val="22"/>
              </w:rPr>
              <w:t>Dry Season</w:t>
            </w:r>
          </w:p>
          <w:p w:rsidRPr="000E0527" w:rsidR="000E0527" w:rsidP="00AD16A5" w:rsidRDefault="000E0527" w14:paraId="701B0826" w14:textId="77777777">
            <w:pPr>
              <w:pStyle w:val="TableText"/>
              <w:widowControl w:val="0"/>
              <w:tabs>
                <w:tab w:val="left" w:pos="797"/>
              </w:tabs>
              <w:spacing w:before="40" w:after="40" w:line="240" w:lineRule="auto"/>
              <w:ind w:left="797" w:hanging="725"/>
              <w:rPr>
                <w:rFonts w:ascii="Arial" w:hAnsi="Arial"/>
                <w:sz w:val="22"/>
                <w:szCs w:val="22"/>
              </w:rPr>
            </w:pPr>
            <w:r w:rsidRPr="000E0527">
              <w:rPr>
                <w:rFonts w:ascii="Arial" w:hAnsi="Arial"/>
                <w:sz w:val="22"/>
                <w:szCs w:val="22"/>
              </w:rPr>
              <w:t>0.3</w:t>
            </w:r>
            <w:r w:rsidRPr="000E0527">
              <w:rPr>
                <w:rFonts w:ascii="Arial" w:hAnsi="Arial"/>
                <w:sz w:val="22"/>
                <w:szCs w:val="22"/>
              </w:rPr>
              <w:tab/>
            </w:r>
            <w:r w:rsidRPr="000E0527">
              <w:rPr>
                <w:rFonts w:ascii="Arial" w:hAnsi="Arial"/>
                <w:sz w:val="22"/>
                <w:szCs w:val="22"/>
              </w:rPr>
              <w:t>Wet Season</w:t>
            </w:r>
          </w:p>
        </w:tc>
        <w:tc>
          <w:tcPr>
            <w:tcW w:w="2573" w:type="dxa"/>
          </w:tcPr>
          <w:p w:rsidRPr="000E0527" w:rsidR="000E0527" w:rsidP="00AD16A5" w:rsidRDefault="000E0527" w14:paraId="58149642" w14:textId="77777777">
            <w:pPr>
              <w:pStyle w:val="TableText"/>
              <w:widowControl w:val="0"/>
              <w:spacing w:before="40" w:after="40" w:line="240" w:lineRule="auto"/>
              <w:rPr>
                <w:rFonts w:ascii="Arial" w:hAnsi="Arial"/>
                <w:sz w:val="22"/>
                <w:szCs w:val="22"/>
              </w:rPr>
            </w:pPr>
            <w:r w:rsidRPr="000E0527">
              <w:rPr>
                <w:rFonts w:ascii="Arial" w:hAnsi="Arial"/>
                <w:sz w:val="22"/>
                <w:szCs w:val="22"/>
              </w:rPr>
              <w:t>0.025 year round</w:t>
            </w:r>
          </w:p>
        </w:tc>
      </w:tr>
      <w:tr w:rsidRPr="000E0527" w:rsidR="000E0527" w:rsidTr="00F47021" w14:paraId="70BC1B38" w14:textId="77777777">
        <w:trPr>
          <w:trHeight w:val="632"/>
        </w:trPr>
        <w:tc>
          <w:tcPr>
            <w:tcW w:w="2486" w:type="dxa"/>
            <w:vAlign w:val="center"/>
          </w:tcPr>
          <w:p w:rsidRPr="000E0527" w:rsidR="000E0527" w:rsidP="00AD16A5" w:rsidRDefault="000E0527" w14:paraId="1B7523C9"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County of San Luis Obispo </w:t>
            </w:r>
          </w:p>
        </w:tc>
        <w:tc>
          <w:tcPr>
            <w:tcW w:w="3238" w:type="dxa"/>
          </w:tcPr>
          <w:p w:rsidRPr="000E0527" w:rsidR="000E0527" w:rsidP="00AD16A5" w:rsidRDefault="000E0527" w14:paraId="77EA8D63" w14:textId="77777777">
            <w:pPr>
              <w:pStyle w:val="TableText"/>
              <w:widowControl w:val="0"/>
              <w:spacing w:before="40" w:after="40" w:line="240" w:lineRule="auto"/>
              <w:rPr>
                <w:rFonts w:ascii="Arial" w:hAnsi="Arial"/>
                <w:sz w:val="22"/>
                <w:szCs w:val="22"/>
              </w:rPr>
            </w:pPr>
            <w:r w:rsidRPr="000E0527">
              <w:rPr>
                <w:rFonts w:ascii="Arial" w:hAnsi="Arial"/>
                <w:sz w:val="22"/>
                <w:szCs w:val="22"/>
              </w:rPr>
              <w:t>Nipomo Creek</w:t>
            </w:r>
          </w:p>
        </w:tc>
        <w:tc>
          <w:tcPr>
            <w:tcW w:w="2407" w:type="dxa"/>
          </w:tcPr>
          <w:p w:rsidRPr="000E0527" w:rsidR="000E0527" w:rsidP="00AD16A5" w:rsidRDefault="000E0527" w14:paraId="7C3F1815" w14:textId="77777777">
            <w:pPr>
              <w:pStyle w:val="TableText"/>
              <w:widowControl w:val="0"/>
              <w:spacing w:before="40" w:after="40" w:line="240" w:lineRule="auto"/>
              <w:ind w:left="455" w:hanging="450"/>
              <w:rPr>
                <w:rFonts w:ascii="Arial" w:hAnsi="Arial"/>
                <w:sz w:val="22"/>
                <w:szCs w:val="22"/>
              </w:rPr>
            </w:pPr>
            <w:r w:rsidRPr="000E0527">
              <w:rPr>
                <w:rFonts w:ascii="Arial" w:hAnsi="Arial"/>
                <w:sz w:val="22"/>
                <w:szCs w:val="22"/>
              </w:rPr>
              <w:t>10 year round</w:t>
            </w:r>
          </w:p>
        </w:tc>
        <w:tc>
          <w:tcPr>
            <w:tcW w:w="2656" w:type="dxa"/>
          </w:tcPr>
          <w:p w:rsidRPr="000E0527" w:rsidR="000E0527" w:rsidP="00AD16A5" w:rsidRDefault="000E0527" w14:paraId="1B8BC70E" w14:textId="77777777">
            <w:pPr>
              <w:pStyle w:val="TableText"/>
              <w:widowControl w:val="0"/>
              <w:spacing w:before="40" w:after="40" w:line="240" w:lineRule="auto"/>
              <w:rPr>
                <w:rFonts w:ascii="Arial" w:hAnsi="Arial"/>
                <w:sz w:val="22"/>
                <w:szCs w:val="22"/>
              </w:rPr>
            </w:pPr>
            <w:r w:rsidRPr="000E0527">
              <w:rPr>
                <w:rFonts w:ascii="Arial" w:hAnsi="Arial"/>
                <w:sz w:val="22"/>
                <w:szCs w:val="22"/>
              </w:rPr>
              <w:t>Not Applicable</w:t>
            </w:r>
          </w:p>
        </w:tc>
        <w:tc>
          <w:tcPr>
            <w:tcW w:w="2573" w:type="dxa"/>
          </w:tcPr>
          <w:p w:rsidRPr="000E0527" w:rsidR="000E0527" w:rsidP="00AD16A5" w:rsidRDefault="000E0527" w14:paraId="5C602D70" w14:textId="77777777">
            <w:pPr>
              <w:pStyle w:val="TableText"/>
              <w:widowControl w:val="0"/>
              <w:spacing w:before="40" w:after="40" w:line="240" w:lineRule="auto"/>
              <w:rPr>
                <w:rFonts w:ascii="Arial" w:hAnsi="Arial"/>
                <w:sz w:val="22"/>
                <w:szCs w:val="22"/>
              </w:rPr>
            </w:pPr>
            <w:r w:rsidRPr="000E0527">
              <w:rPr>
                <w:rFonts w:ascii="Arial" w:hAnsi="Arial"/>
                <w:sz w:val="22"/>
                <w:szCs w:val="22"/>
              </w:rPr>
              <w:t>0.025 year round</w:t>
            </w:r>
          </w:p>
        </w:tc>
      </w:tr>
      <w:tr w:rsidRPr="000E0527" w:rsidR="000E0527" w:rsidTr="00F47021" w14:paraId="406793DF" w14:textId="77777777">
        <w:trPr>
          <w:trHeight w:val="685"/>
        </w:trPr>
        <w:tc>
          <w:tcPr>
            <w:tcW w:w="2486" w:type="dxa"/>
            <w:vAlign w:val="center"/>
          </w:tcPr>
          <w:p w:rsidRPr="000E0527" w:rsidR="000E0527" w:rsidP="00AD16A5" w:rsidRDefault="000E0527" w14:paraId="7B6D2502"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County of Santa Barbara </w:t>
            </w:r>
          </w:p>
        </w:tc>
        <w:tc>
          <w:tcPr>
            <w:tcW w:w="3238" w:type="dxa"/>
          </w:tcPr>
          <w:p w:rsidRPr="000E0527" w:rsidR="000E0527" w:rsidP="00AD16A5" w:rsidRDefault="000E0527" w14:paraId="2531ACB3" w14:textId="77777777">
            <w:pPr>
              <w:pStyle w:val="TableText"/>
              <w:widowControl w:val="0"/>
              <w:spacing w:before="40" w:after="40" w:line="240" w:lineRule="auto"/>
              <w:rPr>
                <w:rFonts w:ascii="Arial" w:hAnsi="Arial"/>
                <w:sz w:val="22"/>
                <w:szCs w:val="22"/>
              </w:rPr>
            </w:pPr>
            <w:r w:rsidRPr="000E0527">
              <w:rPr>
                <w:rFonts w:ascii="Arial" w:hAnsi="Arial"/>
                <w:sz w:val="22"/>
                <w:szCs w:val="22"/>
              </w:rPr>
              <w:t>Orcutt Creek</w:t>
            </w:r>
          </w:p>
        </w:tc>
        <w:tc>
          <w:tcPr>
            <w:tcW w:w="2407" w:type="dxa"/>
          </w:tcPr>
          <w:p w:rsidRPr="000E0527" w:rsidR="000E0527" w:rsidP="00AD16A5" w:rsidRDefault="000E0527" w14:paraId="7DBB02F3" w14:textId="77777777">
            <w:pPr>
              <w:pStyle w:val="TableText"/>
              <w:widowControl w:val="0"/>
              <w:tabs>
                <w:tab w:val="left" w:pos="612"/>
              </w:tabs>
              <w:spacing w:before="40" w:after="40" w:line="240" w:lineRule="auto"/>
              <w:ind w:left="612" w:hanging="607"/>
              <w:rPr>
                <w:rFonts w:ascii="Arial" w:hAnsi="Arial"/>
                <w:sz w:val="22"/>
                <w:szCs w:val="22"/>
              </w:rPr>
            </w:pPr>
            <w:r w:rsidRPr="000E0527">
              <w:rPr>
                <w:rFonts w:ascii="Arial" w:hAnsi="Arial"/>
                <w:bCs/>
                <w:sz w:val="22"/>
                <w:szCs w:val="22"/>
              </w:rPr>
              <w:t xml:space="preserve">4.3 </w:t>
            </w:r>
            <w:r w:rsidRPr="000E0527">
              <w:rPr>
                <w:rFonts w:ascii="Arial" w:hAnsi="Arial"/>
                <w:bCs/>
                <w:sz w:val="22"/>
                <w:szCs w:val="22"/>
              </w:rPr>
              <w:tab/>
            </w:r>
            <w:r w:rsidRPr="000E0527">
              <w:rPr>
                <w:rFonts w:ascii="Arial" w:hAnsi="Arial"/>
                <w:sz w:val="22"/>
                <w:szCs w:val="22"/>
              </w:rPr>
              <w:t>Dry Season</w:t>
            </w:r>
          </w:p>
          <w:p w:rsidRPr="000E0527" w:rsidR="000E0527" w:rsidP="00AD16A5" w:rsidRDefault="000E0527" w14:paraId="0A6D1FC3" w14:textId="77777777">
            <w:pPr>
              <w:pStyle w:val="TableText"/>
              <w:widowControl w:val="0"/>
              <w:tabs>
                <w:tab w:val="left" w:pos="612"/>
              </w:tabs>
              <w:spacing w:before="40" w:after="40" w:line="240" w:lineRule="auto"/>
              <w:ind w:left="612" w:hanging="607"/>
              <w:rPr>
                <w:rFonts w:ascii="Arial" w:hAnsi="Arial"/>
                <w:sz w:val="22"/>
                <w:szCs w:val="22"/>
              </w:rPr>
            </w:pPr>
            <w:r w:rsidRPr="000E0527">
              <w:rPr>
                <w:rFonts w:ascii="Arial" w:hAnsi="Arial"/>
                <w:bCs/>
                <w:sz w:val="22"/>
                <w:szCs w:val="22"/>
              </w:rPr>
              <w:t>8.0</w:t>
            </w:r>
            <w:r w:rsidRPr="000E0527">
              <w:rPr>
                <w:rFonts w:ascii="Arial" w:hAnsi="Arial"/>
                <w:b/>
                <w:sz w:val="22"/>
                <w:szCs w:val="22"/>
              </w:rPr>
              <w:t xml:space="preserve"> </w:t>
            </w:r>
            <w:r w:rsidRPr="000E0527">
              <w:rPr>
                <w:rFonts w:ascii="Arial" w:hAnsi="Arial"/>
                <w:b/>
                <w:sz w:val="22"/>
                <w:szCs w:val="22"/>
              </w:rPr>
              <w:tab/>
            </w:r>
            <w:r w:rsidRPr="000E0527">
              <w:rPr>
                <w:rFonts w:ascii="Arial" w:hAnsi="Arial"/>
                <w:sz w:val="22"/>
                <w:szCs w:val="22"/>
              </w:rPr>
              <w:t>Wet Season</w:t>
            </w:r>
          </w:p>
        </w:tc>
        <w:tc>
          <w:tcPr>
            <w:tcW w:w="2656" w:type="dxa"/>
          </w:tcPr>
          <w:p w:rsidRPr="000E0527" w:rsidR="000E0527" w:rsidP="00AD16A5" w:rsidRDefault="000E0527" w14:paraId="17683C81" w14:textId="77777777">
            <w:pPr>
              <w:pStyle w:val="TableText"/>
              <w:tabs>
                <w:tab w:val="left" w:pos="887"/>
              </w:tabs>
              <w:spacing w:before="40" w:after="40" w:line="240" w:lineRule="auto"/>
              <w:ind w:left="887" w:hanging="815"/>
              <w:rPr>
                <w:rFonts w:ascii="Arial" w:hAnsi="Arial"/>
                <w:sz w:val="22"/>
                <w:szCs w:val="22"/>
              </w:rPr>
            </w:pPr>
            <w:r w:rsidRPr="000E0527">
              <w:rPr>
                <w:rFonts w:ascii="Arial" w:hAnsi="Arial"/>
                <w:sz w:val="22"/>
                <w:szCs w:val="22"/>
              </w:rPr>
              <w:t>0.19</w:t>
            </w:r>
            <w:r w:rsidRPr="000E0527">
              <w:rPr>
                <w:rFonts w:ascii="Arial" w:hAnsi="Arial"/>
                <w:b/>
                <w:bCs/>
                <w:sz w:val="22"/>
                <w:szCs w:val="22"/>
              </w:rPr>
              <w:tab/>
            </w:r>
            <w:r w:rsidRPr="000E0527">
              <w:rPr>
                <w:rFonts w:ascii="Arial" w:hAnsi="Arial"/>
                <w:sz w:val="22"/>
                <w:szCs w:val="22"/>
              </w:rPr>
              <w:t>Dry Season</w:t>
            </w:r>
          </w:p>
          <w:p w:rsidRPr="000E0527" w:rsidR="000E0527" w:rsidP="00AD16A5" w:rsidRDefault="000E0527" w14:paraId="14E5F157" w14:textId="77777777">
            <w:pPr>
              <w:pStyle w:val="TableText"/>
              <w:widowControl w:val="0"/>
              <w:tabs>
                <w:tab w:val="left" w:pos="887"/>
              </w:tabs>
              <w:spacing w:before="40" w:after="40" w:line="240" w:lineRule="auto"/>
              <w:ind w:left="887" w:hanging="815"/>
              <w:rPr>
                <w:rFonts w:ascii="Arial" w:hAnsi="Arial"/>
                <w:sz w:val="22"/>
                <w:szCs w:val="22"/>
              </w:rPr>
            </w:pPr>
            <w:r w:rsidRPr="000E0527">
              <w:rPr>
                <w:rFonts w:ascii="Arial" w:hAnsi="Arial"/>
                <w:sz w:val="22"/>
                <w:szCs w:val="22"/>
              </w:rPr>
              <w:t xml:space="preserve">0.3 </w:t>
            </w:r>
            <w:r w:rsidRPr="000E0527">
              <w:rPr>
                <w:rFonts w:ascii="Arial" w:hAnsi="Arial"/>
                <w:sz w:val="22"/>
                <w:szCs w:val="22"/>
              </w:rPr>
              <w:tab/>
            </w:r>
            <w:r w:rsidRPr="000E0527">
              <w:rPr>
                <w:rFonts w:ascii="Arial" w:hAnsi="Arial"/>
                <w:sz w:val="22"/>
                <w:szCs w:val="22"/>
              </w:rPr>
              <w:t>Wet Season</w:t>
            </w:r>
          </w:p>
        </w:tc>
        <w:tc>
          <w:tcPr>
            <w:tcW w:w="2573" w:type="dxa"/>
          </w:tcPr>
          <w:p w:rsidRPr="000E0527" w:rsidR="000E0527" w:rsidP="00AD16A5" w:rsidRDefault="000E0527" w14:paraId="54684D3A" w14:textId="77777777">
            <w:pPr>
              <w:pStyle w:val="TableText"/>
              <w:widowControl w:val="0"/>
              <w:spacing w:before="40" w:after="40" w:line="240" w:lineRule="auto"/>
              <w:rPr>
                <w:rFonts w:ascii="Arial" w:hAnsi="Arial"/>
                <w:sz w:val="22"/>
                <w:szCs w:val="22"/>
              </w:rPr>
            </w:pPr>
            <w:r w:rsidRPr="000E0527">
              <w:rPr>
                <w:rFonts w:ascii="Arial" w:hAnsi="Arial"/>
                <w:sz w:val="22"/>
                <w:szCs w:val="22"/>
              </w:rPr>
              <w:t>0.025 year round</w:t>
            </w:r>
          </w:p>
        </w:tc>
      </w:tr>
    </w:tbl>
    <w:p w:rsidRPr="000E0527" w:rsidR="000E0527" w:rsidP="0064603B" w:rsidRDefault="000E0527" w14:paraId="60A097C5" w14:textId="77777777">
      <w:pPr>
        <w:pStyle w:val="TableHead"/>
        <w:keepNext/>
        <w:keepLines/>
      </w:pPr>
      <w:r w:rsidRPr="000E0527">
        <w:t>Interim Nitrogen Compounds and Orthophosphate Receiving Water Wasteload Allocations, Lower Santa Maria River Watersheds (units in milligrams per liter, Dry Season is May 1 through October 31. Wet Season is November 1 through April 30)</w:t>
      </w:r>
    </w:p>
    <w:tbl>
      <w:tblPr>
        <w:tblStyle w:val="TableGrid"/>
        <w:tblW w:w="4870" w:type="pct"/>
        <w:tblLook w:val="0620" w:firstRow="1" w:lastRow="0" w:firstColumn="0" w:lastColumn="0" w:noHBand="1" w:noVBand="1"/>
        <w:tblCaption w:val="Lower Santa Maria River Watershed Final Wasteload Allocations (WLAs) Table"/>
      </w:tblPr>
      <w:tblGrid>
        <w:gridCol w:w="2042"/>
        <w:gridCol w:w="2453"/>
        <w:gridCol w:w="3109"/>
        <w:gridCol w:w="2535"/>
        <w:gridCol w:w="3176"/>
      </w:tblGrid>
      <w:tr w:rsidRPr="000E0527" w:rsidR="000E0527" w:rsidTr="00CA33B0" w14:paraId="4DADC724" w14:textId="77777777">
        <w:trPr>
          <w:tblHeader/>
        </w:trPr>
        <w:tc>
          <w:tcPr>
            <w:tcW w:w="2042" w:type="dxa"/>
            <w:shd w:val="clear" w:color="auto" w:fill="D6E3BC" w:themeFill="accent3" w:themeFillTint="66"/>
            <w:vAlign w:val="center"/>
          </w:tcPr>
          <w:p w:rsidRPr="000E0527" w:rsidR="000E0527" w:rsidP="001318E1" w:rsidRDefault="000E0527" w14:paraId="0BEB3E88" w14:textId="77777777">
            <w:pPr>
              <w:pStyle w:val="TableText"/>
              <w:keepNext/>
              <w:keepLines/>
              <w:widowControl w:val="0"/>
              <w:spacing w:before="40" w:after="40" w:line="240" w:lineRule="auto"/>
              <w:jc w:val="center"/>
              <w:rPr>
                <w:rFonts w:ascii="Arial" w:hAnsi="Arial"/>
                <w:b/>
                <w:bCs/>
                <w:sz w:val="22"/>
                <w:szCs w:val="22"/>
              </w:rPr>
            </w:pPr>
            <w:r w:rsidRPr="000E0527">
              <w:rPr>
                <w:rFonts w:ascii="Arial" w:hAnsi="Arial"/>
                <w:b/>
                <w:bCs/>
                <w:sz w:val="22"/>
                <w:szCs w:val="22"/>
              </w:rPr>
              <w:t>Permittee</w:t>
            </w:r>
          </w:p>
        </w:tc>
        <w:tc>
          <w:tcPr>
            <w:tcW w:w="2453" w:type="dxa"/>
            <w:shd w:val="clear" w:color="auto" w:fill="D6E3BC" w:themeFill="accent3" w:themeFillTint="66"/>
            <w:vAlign w:val="center"/>
          </w:tcPr>
          <w:p w:rsidRPr="000E0527" w:rsidR="000E0527" w:rsidP="001318E1" w:rsidRDefault="000E0527" w14:paraId="5ACA9257" w14:textId="77777777">
            <w:pPr>
              <w:pStyle w:val="TableText"/>
              <w:keepNext/>
              <w:keepLines/>
              <w:widowControl w:val="0"/>
              <w:spacing w:before="40" w:after="40" w:line="240" w:lineRule="auto"/>
              <w:jc w:val="center"/>
              <w:rPr>
                <w:rFonts w:ascii="Arial" w:hAnsi="Arial"/>
                <w:b/>
                <w:bCs/>
                <w:sz w:val="22"/>
                <w:szCs w:val="22"/>
              </w:rPr>
            </w:pPr>
            <w:r w:rsidRPr="000E0527">
              <w:rPr>
                <w:rFonts w:ascii="Arial" w:hAnsi="Arial"/>
                <w:b/>
                <w:bCs/>
                <w:sz w:val="22"/>
                <w:szCs w:val="22"/>
              </w:rPr>
              <w:t>Waterbody</w:t>
            </w:r>
          </w:p>
        </w:tc>
        <w:tc>
          <w:tcPr>
            <w:tcW w:w="3109" w:type="dxa"/>
            <w:shd w:val="clear" w:color="auto" w:fill="D6E3BC" w:themeFill="accent3" w:themeFillTint="66"/>
            <w:vAlign w:val="center"/>
          </w:tcPr>
          <w:p w:rsidRPr="000E0527" w:rsidR="000E0527" w:rsidP="001318E1" w:rsidRDefault="000E0527" w14:paraId="285CF085" w14:textId="77777777">
            <w:pPr>
              <w:pStyle w:val="TableText"/>
              <w:keepNext/>
              <w:keepLines/>
              <w:widowControl w:val="0"/>
              <w:spacing w:before="40" w:after="40" w:line="240" w:lineRule="auto"/>
              <w:jc w:val="center"/>
              <w:rPr>
                <w:rFonts w:ascii="Arial" w:hAnsi="Arial"/>
                <w:b/>
                <w:bCs/>
                <w:sz w:val="22"/>
                <w:szCs w:val="22"/>
              </w:rPr>
            </w:pPr>
            <w:r w:rsidRPr="000E0527">
              <w:rPr>
                <w:rFonts w:ascii="Arial" w:hAnsi="Arial"/>
                <w:b/>
                <w:bCs/>
                <w:sz w:val="22"/>
                <w:szCs w:val="22"/>
              </w:rPr>
              <w:t>First Interim Wasteload Allocation by May 22, 2028, for Un</w:t>
            </w:r>
            <w:r w:rsidRPr="000E0527">
              <w:rPr>
                <w:rFonts w:ascii="Arial" w:hAnsi="Arial"/>
                <w:b/>
                <w:bCs/>
                <w:sz w:val="22"/>
                <w:szCs w:val="22"/>
              </w:rPr>
              <w:noBreakHyphen/>
              <w:t xml:space="preserve">Ionized Ammonia as Nitrogen and Nitrate as Nitrogen </w:t>
            </w:r>
          </w:p>
        </w:tc>
        <w:tc>
          <w:tcPr>
            <w:tcW w:w="2535" w:type="dxa"/>
            <w:shd w:val="clear" w:color="auto" w:fill="D6E3BC" w:themeFill="accent3" w:themeFillTint="66"/>
            <w:vAlign w:val="center"/>
          </w:tcPr>
          <w:p w:rsidRPr="000E0527" w:rsidR="000E0527" w:rsidP="001318E1" w:rsidRDefault="000E0527" w14:paraId="1083DAC9" w14:textId="77777777">
            <w:pPr>
              <w:pStyle w:val="TableText"/>
              <w:keepNext/>
              <w:keepLines/>
              <w:widowControl w:val="0"/>
              <w:spacing w:before="40" w:after="40" w:line="240" w:lineRule="auto"/>
              <w:jc w:val="center"/>
              <w:rPr>
                <w:rFonts w:ascii="Arial" w:hAnsi="Arial"/>
                <w:b/>
                <w:bCs/>
                <w:sz w:val="22"/>
                <w:szCs w:val="22"/>
              </w:rPr>
            </w:pPr>
            <w:r w:rsidRPr="000E0527">
              <w:rPr>
                <w:rFonts w:ascii="Arial" w:hAnsi="Arial"/>
                <w:b/>
                <w:bCs/>
                <w:sz w:val="22"/>
                <w:szCs w:val="22"/>
              </w:rPr>
              <w:t xml:space="preserve">Second Interim Wasteload by May 22, 2036, Allocation for Nitrate as Nitrogen </w:t>
            </w:r>
          </w:p>
        </w:tc>
        <w:tc>
          <w:tcPr>
            <w:tcW w:w="3176" w:type="dxa"/>
            <w:shd w:val="clear" w:color="auto" w:fill="D6E3BC" w:themeFill="accent3" w:themeFillTint="66"/>
            <w:vAlign w:val="center"/>
          </w:tcPr>
          <w:p w:rsidRPr="000E0527" w:rsidR="000E0527" w:rsidP="001318E1" w:rsidRDefault="000E0527" w14:paraId="2D6D1AE6" w14:textId="77777777">
            <w:pPr>
              <w:pStyle w:val="TableText"/>
              <w:keepNext/>
              <w:keepLines/>
              <w:spacing w:before="40" w:after="40" w:line="240" w:lineRule="auto"/>
              <w:jc w:val="center"/>
              <w:rPr>
                <w:rFonts w:ascii="Arial" w:hAnsi="Arial"/>
                <w:b/>
                <w:bCs/>
                <w:sz w:val="22"/>
                <w:szCs w:val="22"/>
              </w:rPr>
            </w:pPr>
            <w:r w:rsidRPr="000E0527">
              <w:rPr>
                <w:rFonts w:ascii="Arial" w:hAnsi="Arial"/>
                <w:b/>
                <w:bCs/>
                <w:sz w:val="22"/>
                <w:szCs w:val="22"/>
              </w:rPr>
              <w:t>Second Interim Wasteload Allocation by May 22, 2036, for Orthophosphate as Phosphorous</w:t>
            </w:r>
          </w:p>
        </w:tc>
      </w:tr>
      <w:tr w:rsidRPr="000E0527" w:rsidR="000E0527" w:rsidTr="00F47021" w14:paraId="7A13B4D4" w14:textId="77777777">
        <w:tc>
          <w:tcPr>
            <w:tcW w:w="2042" w:type="dxa"/>
            <w:vAlign w:val="center"/>
          </w:tcPr>
          <w:p w:rsidRPr="000E0527" w:rsidR="000E0527" w:rsidP="001318E1" w:rsidRDefault="000E0527" w14:paraId="1EBD84E6" w14:textId="77777777">
            <w:pPr>
              <w:pStyle w:val="TableText"/>
              <w:widowControl w:val="0"/>
              <w:spacing w:before="40" w:after="40" w:line="240" w:lineRule="auto"/>
              <w:rPr>
                <w:rFonts w:ascii="Arial" w:hAnsi="Arial"/>
                <w:sz w:val="22"/>
                <w:szCs w:val="22"/>
              </w:rPr>
            </w:pPr>
            <w:r w:rsidRPr="000E0527">
              <w:rPr>
                <w:rFonts w:ascii="Arial" w:hAnsi="Arial"/>
                <w:sz w:val="22"/>
                <w:szCs w:val="22"/>
              </w:rPr>
              <w:t>City of Santa Maria and City of Guadalupe</w:t>
            </w:r>
          </w:p>
        </w:tc>
        <w:tc>
          <w:tcPr>
            <w:tcW w:w="2453" w:type="dxa"/>
          </w:tcPr>
          <w:p w:rsidRPr="000E0527" w:rsidR="000E0527" w:rsidP="001318E1" w:rsidRDefault="000E0527" w14:paraId="67A036B5" w14:textId="77777777">
            <w:pPr>
              <w:pStyle w:val="TableText"/>
              <w:widowControl w:val="0"/>
              <w:spacing w:before="40" w:after="40" w:line="240" w:lineRule="auto"/>
              <w:rPr>
                <w:rFonts w:ascii="Arial" w:hAnsi="Arial"/>
                <w:sz w:val="22"/>
                <w:szCs w:val="22"/>
              </w:rPr>
            </w:pPr>
            <w:r w:rsidRPr="000E0527">
              <w:rPr>
                <w:rFonts w:ascii="Arial" w:hAnsi="Arial"/>
                <w:sz w:val="22"/>
                <w:szCs w:val="22"/>
              </w:rPr>
              <w:t>Santa Maria River (upstream from Highway 1), Blosser Channel, Bradley Channel, Main Street Canal, North Main Street Channel</w:t>
            </w:r>
          </w:p>
        </w:tc>
        <w:tc>
          <w:tcPr>
            <w:tcW w:w="3109" w:type="dxa"/>
          </w:tcPr>
          <w:p w:rsidRPr="000E0527" w:rsidR="000E0527" w:rsidP="001318E1" w:rsidRDefault="000E0527" w14:paraId="085F9EB7" w14:textId="77777777">
            <w:pPr>
              <w:pStyle w:val="TableText"/>
              <w:widowControl w:val="0"/>
              <w:spacing w:before="40" w:after="40" w:line="240" w:lineRule="auto"/>
              <w:rPr>
                <w:rFonts w:ascii="Arial" w:hAnsi="Arial"/>
                <w:sz w:val="22"/>
                <w:szCs w:val="22"/>
              </w:rPr>
            </w:pPr>
            <w:r w:rsidRPr="000E0527">
              <w:rPr>
                <w:rFonts w:ascii="Arial" w:hAnsi="Arial"/>
                <w:sz w:val="22"/>
                <w:szCs w:val="22"/>
              </w:rPr>
              <w:t>0.025 of Un-Ionized Ammonia as Nitrogen and 10 Nitrate as Nitrogen</w:t>
            </w:r>
          </w:p>
        </w:tc>
        <w:tc>
          <w:tcPr>
            <w:tcW w:w="2535" w:type="dxa"/>
          </w:tcPr>
          <w:p w:rsidRPr="000E0527" w:rsidR="000E0527" w:rsidP="001318E1" w:rsidRDefault="000E0527" w14:paraId="5758879B" w14:textId="77777777">
            <w:pPr>
              <w:pStyle w:val="TableText"/>
              <w:widowControl w:val="0"/>
              <w:spacing w:before="40" w:after="40" w:line="240" w:lineRule="auto"/>
              <w:rPr>
                <w:rFonts w:ascii="Arial" w:hAnsi="Arial"/>
                <w:sz w:val="22"/>
                <w:szCs w:val="22"/>
              </w:rPr>
            </w:pPr>
            <w:r w:rsidRPr="000E0527">
              <w:rPr>
                <w:rFonts w:ascii="Arial" w:hAnsi="Arial"/>
                <w:sz w:val="22"/>
                <w:szCs w:val="22"/>
              </w:rPr>
              <w:t>4.3</w:t>
            </w:r>
            <w:r w:rsidRPr="000E0527">
              <w:rPr>
                <w:rFonts w:ascii="Arial" w:hAnsi="Arial"/>
                <w:sz w:val="22"/>
                <w:szCs w:val="22"/>
              </w:rPr>
              <w:tab/>
            </w:r>
            <w:r w:rsidRPr="000E0527">
              <w:rPr>
                <w:rFonts w:ascii="Arial" w:hAnsi="Arial"/>
                <w:sz w:val="22"/>
                <w:szCs w:val="22"/>
              </w:rPr>
              <w:t>Dry Season</w:t>
            </w:r>
            <w:r w:rsidRPr="000E0527">
              <w:rPr>
                <w:rFonts w:ascii="Arial" w:hAnsi="Arial"/>
                <w:sz w:val="22"/>
                <w:szCs w:val="22"/>
              </w:rPr>
              <w:br/>
            </w:r>
            <w:r w:rsidRPr="000E0527">
              <w:rPr>
                <w:rFonts w:ascii="Arial" w:hAnsi="Arial"/>
                <w:sz w:val="22"/>
                <w:szCs w:val="22"/>
              </w:rPr>
              <w:t>8.0</w:t>
            </w:r>
            <w:r w:rsidRPr="000E0527">
              <w:rPr>
                <w:rFonts w:ascii="Arial" w:hAnsi="Arial"/>
                <w:sz w:val="22"/>
                <w:szCs w:val="22"/>
              </w:rPr>
              <w:tab/>
            </w:r>
            <w:r w:rsidRPr="000E0527">
              <w:rPr>
                <w:rFonts w:ascii="Arial" w:hAnsi="Arial"/>
                <w:sz w:val="22"/>
                <w:szCs w:val="22"/>
              </w:rPr>
              <w:t>Wet Season</w:t>
            </w:r>
          </w:p>
        </w:tc>
        <w:tc>
          <w:tcPr>
            <w:tcW w:w="3176" w:type="dxa"/>
          </w:tcPr>
          <w:p w:rsidRPr="000E0527" w:rsidR="000E0527" w:rsidP="001318E1" w:rsidRDefault="000E0527" w14:paraId="7A5716D4" w14:textId="77777777">
            <w:pPr>
              <w:pStyle w:val="TableText"/>
              <w:widowControl w:val="0"/>
              <w:spacing w:before="40" w:after="40" w:line="240" w:lineRule="auto"/>
              <w:ind w:left="455" w:hanging="450"/>
              <w:rPr>
                <w:rFonts w:ascii="Arial" w:hAnsi="Arial"/>
                <w:sz w:val="22"/>
                <w:szCs w:val="22"/>
              </w:rPr>
            </w:pPr>
            <w:r w:rsidRPr="000E0527">
              <w:rPr>
                <w:rFonts w:ascii="Arial" w:hAnsi="Arial"/>
                <w:sz w:val="22"/>
                <w:szCs w:val="22"/>
              </w:rPr>
              <w:t>10 year round</w:t>
            </w:r>
          </w:p>
        </w:tc>
      </w:tr>
      <w:tr w:rsidRPr="000E0527" w:rsidR="000E0527" w:rsidTr="00F47021" w14:paraId="0286CAD4" w14:textId="77777777">
        <w:tc>
          <w:tcPr>
            <w:tcW w:w="2042" w:type="dxa"/>
            <w:vAlign w:val="center"/>
          </w:tcPr>
          <w:p w:rsidRPr="000E0527" w:rsidR="000E0527" w:rsidP="001318E1" w:rsidRDefault="000E0527" w14:paraId="610D25EB"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City of Guadalupe </w:t>
            </w:r>
          </w:p>
        </w:tc>
        <w:tc>
          <w:tcPr>
            <w:tcW w:w="2453" w:type="dxa"/>
          </w:tcPr>
          <w:p w:rsidRPr="000E0527" w:rsidR="000E0527" w:rsidP="001318E1" w:rsidRDefault="000E0527" w14:paraId="5074A0C8" w14:textId="2A6605B9">
            <w:pPr>
              <w:pStyle w:val="TableText"/>
              <w:widowControl w:val="0"/>
              <w:spacing w:before="40" w:after="40" w:line="240" w:lineRule="auto"/>
              <w:rPr>
                <w:rFonts w:ascii="Arial" w:hAnsi="Arial"/>
                <w:sz w:val="22"/>
                <w:szCs w:val="22"/>
              </w:rPr>
            </w:pPr>
            <w:r w:rsidRPr="000E0527">
              <w:rPr>
                <w:rFonts w:ascii="Arial" w:hAnsi="Arial"/>
                <w:sz w:val="22"/>
                <w:szCs w:val="22"/>
              </w:rPr>
              <w:t xml:space="preserve">Santa Maria River </w:t>
            </w:r>
            <w:r w:rsidRPr="000E0527">
              <w:rPr>
                <w:rFonts w:ascii="Arial" w:hAnsi="Arial"/>
                <w:sz w:val="22"/>
                <w:szCs w:val="22"/>
              </w:rPr>
              <w:t>(downstream from Highway</w:t>
            </w:r>
            <w:r w:rsidR="00B7271E">
              <w:rPr>
                <w:rFonts w:ascii="Arial" w:hAnsi="Arial"/>
                <w:sz w:val="22"/>
                <w:szCs w:val="22"/>
              </w:rPr>
              <w:t xml:space="preserve"> </w:t>
            </w:r>
            <w:r w:rsidRPr="000E0527">
              <w:rPr>
                <w:rFonts w:ascii="Arial" w:hAnsi="Arial"/>
                <w:sz w:val="22"/>
                <w:szCs w:val="22"/>
              </w:rPr>
              <w:t>1)</w:t>
            </w:r>
          </w:p>
        </w:tc>
        <w:tc>
          <w:tcPr>
            <w:tcW w:w="3109" w:type="dxa"/>
          </w:tcPr>
          <w:p w:rsidRPr="000E0527" w:rsidR="000E0527" w:rsidP="001318E1" w:rsidRDefault="000E0527" w14:paraId="2548EE87"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0.025 Un-ionized Ammonia </w:t>
            </w:r>
            <w:r w:rsidRPr="000E0527">
              <w:rPr>
                <w:rFonts w:ascii="Arial" w:hAnsi="Arial"/>
                <w:sz w:val="22"/>
                <w:szCs w:val="22"/>
              </w:rPr>
              <w:t>as Nitrogen and 10 Nitrate as Nitrogen</w:t>
            </w:r>
          </w:p>
        </w:tc>
        <w:tc>
          <w:tcPr>
            <w:tcW w:w="2535" w:type="dxa"/>
          </w:tcPr>
          <w:p w:rsidRPr="000E0527" w:rsidR="000E0527" w:rsidP="001318E1" w:rsidRDefault="000E0527" w14:paraId="79F36AA9" w14:textId="77777777">
            <w:pPr>
              <w:pStyle w:val="TableText"/>
              <w:widowControl w:val="0"/>
              <w:spacing w:before="40" w:after="40" w:line="240" w:lineRule="auto"/>
              <w:rPr>
                <w:rFonts w:ascii="Arial" w:hAnsi="Arial"/>
                <w:sz w:val="22"/>
                <w:szCs w:val="22"/>
              </w:rPr>
            </w:pPr>
            <w:r w:rsidRPr="000E0527">
              <w:rPr>
                <w:rFonts w:ascii="Arial" w:hAnsi="Arial"/>
                <w:sz w:val="22"/>
                <w:szCs w:val="22"/>
              </w:rPr>
              <w:t>4.3</w:t>
            </w:r>
            <w:r w:rsidRPr="000E0527">
              <w:rPr>
                <w:rFonts w:ascii="Arial" w:hAnsi="Arial"/>
                <w:sz w:val="22"/>
                <w:szCs w:val="22"/>
              </w:rPr>
              <w:tab/>
            </w:r>
            <w:r w:rsidRPr="000E0527">
              <w:rPr>
                <w:rFonts w:ascii="Arial" w:hAnsi="Arial"/>
                <w:sz w:val="22"/>
                <w:szCs w:val="22"/>
              </w:rPr>
              <w:t>Dry Season</w:t>
            </w:r>
          </w:p>
          <w:p w:rsidRPr="000E0527" w:rsidR="000E0527" w:rsidP="001318E1" w:rsidRDefault="000E0527" w14:paraId="0A4FC963"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8.0 </w:t>
            </w:r>
            <w:r w:rsidRPr="000E0527">
              <w:rPr>
                <w:rFonts w:ascii="Arial" w:hAnsi="Arial"/>
                <w:sz w:val="22"/>
                <w:szCs w:val="22"/>
              </w:rPr>
              <w:tab/>
            </w:r>
            <w:r w:rsidRPr="000E0527">
              <w:rPr>
                <w:rFonts w:ascii="Arial" w:hAnsi="Arial"/>
                <w:sz w:val="22"/>
                <w:szCs w:val="22"/>
              </w:rPr>
              <w:t>Wet Season</w:t>
            </w:r>
          </w:p>
        </w:tc>
        <w:tc>
          <w:tcPr>
            <w:tcW w:w="3176" w:type="dxa"/>
          </w:tcPr>
          <w:p w:rsidRPr="000E0527" w:rsidR="000E0527" w:rsidP="001318E1" w:rsidRDefault="000E0527" w14:paraId="31ED9556" w14:textId="77777777">
            <w:pPr>
              <w:pStyle w:val="TableText"/>
              <w:widowControl w:val="0"/>
              <w:spacing w:before="40" w:after="40" w:line="240" w:lineRule="auto"/>
              <w:rPr>
                <w:rFonts w:ascii="Arial" w:hAnsi="Arial"/>
                <w:sz w:val="22"/>
                <w:szCs w:val="22"/>
              </w:rPr>
            </w:pPr>
            <w:r w:rsidRPr="000E0527">
              <w:rPr>
                <w:rFonts w:ascii="Arial" w:hAnsi="Arial"/>
                <w:sz w:val="22"/>
                <w:szCs w:val="22"/>
              </w:rPr>
              <w:t>10 year round</w:t>
            </w:r>
          </w:p>
        </w:tc>
      </w:tr>
      <w:tr w:rsidRPr="000E0527" w:rsidR="000E0527" w:rsidTr="00F47021" w14:paraId="49643E11" w14:textId="77777777">
        <w:tc>
          <w:tcPr>
            <w:tcW w:w="2042" w:type="dxa"/>
            <w:vAlign w:val="center"/>
          </w:tcPr>
          <w:p w:rsidRPr="000E0527" w:rsidR="000E0527" w:rsidP="001318E1" w:rsidRDefault="000E0527" w14:paraId="081FDE8B"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County of San Luis Obispo </w:t>
            </w:r>
          </w:p>
        </w:tc>
        <w:tc>
          <w:tcPr>
            <w:tcW w:w="2453" w:type="dxa"/>
          </w:tcPr>
          <w:p w:rsidRPr="000E0527" w:rsidR="000E0527" w:rsidP="001318E1" w:rsidRDefault="000E0527" w14:paraId="49A91E77" w14:textId="77777777">
            <w:pPr>
              <w:pStyle w:val="TableText"/>
              <w:widowControl w:val="0"/>
              <w:spacing w:before="40" w:after="40" w:line="240" w:lineRule="auto"/>
              <w:rPr>
                <w:rFonts w:ascii="Arial" w:hAnsi="Arial"/>
                <w:sz w:val="22"/>
                <w:szCs w:val="22"/>
              </w:rPr>
            </w:pPr>
            <w:r w:rsidRPr="000E0527">
              <w:rPr>
                <w:rFonts w:ascii="Arial" w:hAnsi="Arial"/>
                <w:sz w:val="22"/>
                <w:szCs w:val="22"/>
              </w:rPr>
              <w:t>Nipomo Creek</w:t>
            </w:r>
          </w:p>
        </w:tc>
        <w:tc>
          <w:tcPr>
            <w:tcW w:w="3109" w:type="dxa"/>
          </w:tcPr>
          <w:p w:rsidRPr="000E0527" w:rsidR="000E0527" w:rsidP="001318E1" w:rsidRDefault="000E0527" w14:paraId="78028CE4" w14:textId="77777777">
            <w:pPr>
              <w:pStyle w:val="TableText"/>
              <w:widowControl w:val="0"/>
              <w:spacing w:before="40" w:after="40" w:line="240" w:lineRule="auto"/>
              <w:rPr>
                <w:rFonts w:ascii="Arial" w:hAnsi="Arial"/>
                <w:sz w:val="22"/>
                <w:szCs w:val="22"/>
              </w:rPr>
            </w:pPr>
            <w:r w:rsidRPr="000E0527">
              <w:rPr>
                <w:rFonts w:ascii="Arial" w:hAnsi="Arial"/>
                <w:sz w:val="22"/>
                <w:szCs w:val="22"/>
              </w:rPr>
              <w:t>0.025 Un-ionized Ammonia as Nitrogen and</w:t>
            </w:r>
            <w:r w:rsidRPr="000E0527">
              <w:rPr>
                <w:rFonts w:ascii="Arial" w:hAnsi="Arial"/>
                <w:sz w:val="22"/>
                <w:szCs w:val="22"/>
              </w:rPr>
              <w:br/>
            </w:r>
            <w:r w:rsidRPr="000E0527">
              <w:rPr>
                <w:rFonts w:ascii="Arial" w:hAnsi="Arial"/>
                <w:sz w:val="22"/>
                <w:szCs w:val="22"/>
              </w:rPr>
              <w:t>10 Nitrate as Nitrogen</w:t>
            </w:r>
          </w:p>
        </w:tc>
        <w:tc>
          <w:tcPr>
            <w:tcW w:w="2535" w:type="dxa"/>
          </w:tcPr>
          <w:p w:rsidRPr="000E0527" w:rsidR="000E0527" w:rsidP="001318E1" w:rsidRDefault="000E0527" w14:paraId="14E3F74C" w14:textId="77777777">
            <w:pPr>
              <w:pStyle w:val="TableText"/>
              <w:widowControl w:val="0"/>
              <w:spacing w:before="40" w:after="40" w:line="240" w:lineRule="auto"/>
              <w:rPr>
                <w:rFonts w:ascii="Arial" w:hAnsi="Arial"/>
                <w:sz w:val="22"/>
                <w:szCs w:val="22"/>
              </w:rPr>
            </w:pPr>
            <w:r w:rsidRPr="000E0527">
              <w:rPr>
                <w:rFonts w:ascii="Arial" w:hAnsi="Arial"/>
                <w:sz w:val="22"/>
                <w:szCs w:val="22"/>
              </w:rPr>
              <w:t>4.3</w:t>
            </w:r>
            <w:r w:rsidRPr="000E0527">
              <w:rPr>
                <w:rFonts w:ascii="Arial" w:hAnsi="Arial"/>
                <w:sz w:val="22"/>
                <w:szCs w:val="22"/>
              </w:rPr>
              <w:tab/>
            </w:r>
            <w:r w:rsidRPr="000E0527">
              <w:rPr>
                <w:rFonts w:ascii="Arial" w:hAnsi="Arial"/>
                <w:sz w:val="22"/>
                <w:szCs w:val="22"/>
              </w:rPr>
              <w:t>Dry Season</w:t>
            </w:r>
          </w:p>
          <w:p w:rsidRPr="000E0527" w:rsidR="000E0527" w:rsidP="001318E1" w:rsidRDefault="000E0527" w14:paraId="0892EAD1" w14:textId="77777777">
            <w:pPr>
              <w:pStyle w:val="TableText"/>
              <w:widowControl w:val="0"/>
              <w:spacing w:before="40" w:after="40" w:line="240" w:lineRule="auto"/>
              <w:rPr>
                <w:rFonts w:ascii="Arial" w:hAnsi="Arial"/>
                <w:sz w:val="22"/>
                <w:szCs w:val="22"/>
              </w:rPr>
            </w:pPr>
            <w:r w:rsidRPr="000E0527">
              <w:rPr>
                <w:rFonts w:ascii="Arial" w:hAnsi="Arial"/>
                <w:sz w:val="22"/>
                <w:szCs w:val="22"/>
              </w:rPr>
              <w:t>8.0</w:t>
            </w:r>
            <w:r w:rsidRPr="000E0527">
              <w:rPr>
                <w:rFonts w:ascii="Arial" w:hAnsi="Arial"/>
                <w:sz w:val="22"/>
                <w:szCs w:val="22"/>
              </w:rPr>
              <w:tab/>
            </w:r>
            <w:r w:rsidRPr="000E0527">
              <w:rPr>
                <w:rFonts w:ascii="Arial" w:hAnsi="Arial"/>
                <w:sz w:val="22"/>
                <w:szCs w:val="22"/>
              </w:rPr>
              <w:t>Wet Season</w:t>
            </w:r>
          </w:p>
        </w:tc>
        <w:tc>
          <w:tcPr>
            <w:tcW w:w="3176" w:type="dxa"/>
          </w:tcPr>
          <w:p w:rsidRPr="000E0527" w:rsidR="000E0527" w:rsidP="001318E1" w:rsidRDefault="000E0527" w14:paraId="0746FCFE" w14:textId="77777777">
            <w:pPr>
              <w:pStyle w:val="TableText"/>
              <w:widowControl w:val="0"/>
              <w:spacing w:before="40" w:after="40" w:line="240" w:lineRule="auto"/>
              <w:rPr>
                <w:rFonts w:ascii="Arial" w:hAnsi="Arial"/>
                <w:sz w:val="22"/>
                <w:szCs w:val="22"/>
              </w:rPr>
            </w:pPr>
            <w:r w:rsidRPr="000E0527">
              <w:rPr>
                <w:rFonts w:ascii="Arial" w:hAnsi="Arial"/>
                <w:sz w:val="22"/>
                <w:szCs w:val="22"/>
              </w:rPr>
              <w:t>10 year round</w:t>
            </w:r>
          </w:p>
        </w:tc>
      </w:tr>
      <w:tr w:rsidRPr="000E0527" w:rsidR="000E0527" w:rsidTr="00F47021" w14:paraId="41538E4E" w14:textId="77777777">
        <w:tc>
          <w:tcPr>
            <w:tcW w:w="2042" w:type="dxa"/>
            <w:vAlign w:val="center"/>
          </w:tcPr>
          <w:p w:rsidRPr="000E0527" w:rsidR="000E0527" w:rsidP="001318E1" w:rsidRDefault="000E0527" w14:paraId="25ADE8F2"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County of Santa Barbara </w:t>
            </w:r>
          </w:p>
        </w:tc>
        <w:tc>
          <w:tcPr>
            <w:tcW w:w="2453" w:type="dxa"/>
          </w:tcPr>
          <w:p w:rsidRPr="000E0527" w:rsidR="000E0527" w:rsidP="001318E1" w:rsidRDefault="000E0527" w14:paraId="1BCE4C6E" w14:textId="77777777">
            <w:pPr>
              <w:pStyle w:val="TableText"/>
              <w:widowControl w:val="0"/>
              <w:spacing w:before="40" w:after="40" w:line="240" w:lineRule="auto"/>
              <w:rPr>
                <w:rFonts w:ascii="Arial" w:hAnsi="Arial"/>
                <w:sz w:val="22"/>
                <w:szCs w:val="22"/>
              </w:rPr>
            </w:pPr>
            <w:r w:rsidRPr="000E0527">
              <w:rPr>
                <w:rFonts w:ascii="Arial" w:hAnsi="Arial"/>
                <w:sz w:val="22"/>
                <w:szCs w:val="22"/>
              </w:rPr>
              <w:t>Orcutt Creek</w:t>
            </w:r>
          </w:p>
        </w:tc>
        <w:tc>
          <w:tcPr>
            <w:tcW w:w="3109" w:type="dxa"/>
          </w:tcPr>
          <w:p w:rsidRPr="000E0527" w:rsidR="000E0527" w:rsidP="001318E1" w:rsidRDefault="000E0527" w14:paraId="5456DA7F" w14:textId="77777777">
            <w:pPr>
              <w:pStyle w:val="TableText"/>
              <w:widowControl w:val="0"/>
              <w:spacing w:before="40" w:after="40" w:line="240" w:lineRule="auto"/>
              <w:rPr>
                <w:rFonts w:ascii="Arial" w:hAnsi="Arial"/>
                <w:sz w:val="22"/>
                <w:szCs w:val="22"/>
              </w:rPr>
            </w:pPr>
            <w:r w:rsidRPr="000E0527">
              <w:rPr>
                <w:rFonts w:ascii="Arial" w:hAnsi="Arial"/>
                <w:sz w:val="22"/>
                <w:szCs w:val="22"/>
              </w:rPr>
              <w:t xml:space="preserve">0.025 Un-ionized Ammonia as Nitrogen and </w:t>
            </w:r>
            <w:r w:rsidRPr="000E0527">
              <w:rPr>
                <w:rFonts w:ascii="Arial" w:hAnsi="Arial"/>
                <w:sz w:val="22"/>
                <w:szCs w:val="22"/>
              </w:rPr>
              <w:br/>
            </w:r>
            <w:r w:rsidRPr="000E0527">
              <w:rPr>
                <w:rFonts w:ascii="Arial" w:hAnsi="Arial"/>
                <w:sz w:val="22"/>
                <w:szCs w:val="22"/>
              </w:rPr>
              <w:t>10 Nitrate as Nitrogen</w:t>
            </w:r>
          </w:p>
        </w:tc>
        <w:tc>
          <w:tcPr>
            <w:tcW w:w="2535" w:type="dxa"/>
          </w:tcPr>
          <w:p w:rsidRPr="000E0527" w:rsidR="000E0527" w:rsidP="001318E1" w:rsidRDefault="000E0527" w14:paraId="23091F5E" w14:textId="77777777">
            <w:pPr>
              <w:pStyle w:val="TableText"/>
              <w:widowControl w:val="0"/>
              <w:spacing w:before="40" w:after="40" w:line="240" w:lineRule="auto"/>
              <w:rPr>
                <w:rFonts w:ascii="Arial" w:hAnsi="Arial"/>
                <w:sz w:val="22"/>
                <w:szCs w:val="22"/>
              </w:rPr>
            </w:pPr>
            <w:r w:rsidRPr="000E0527">
              <w:rPr>
                <w:rFonts w:ascii="Arial" w:hAnsi="Arial"/>
                <w:sz w:val="22"/>
                <w:szCs w:val="22"/>
              </w:rPr>
              <w:t>4.3</w:t>
            </w:r>
            <w:r w:rsidRPr="000E0527">
              <w:rPr>
                <w:rFonts w:ascii="Arial" w:hAnsi="Arial"/>
                <w:sz w:val="22"/>
                <w:szCs w:val="22"/>
              </w:rPr>
              <w:tab/>
            </w:r>
            <w:r w:rsidRPr="000E0527">
              <w:rPr>
                <w:rFonts w:ascii="Arial" w:hAnsi="Arial"/>
                <w:sz w:val="22"/>
                <w:szCs w:val="22"/>
              </w:rPr>
              <w:t>Dry Season</w:t>
            </w:r>
          </w:p>
          <w:p w:rsidRPr="000E0527" w:rsidR="000E0527" w:rsidP="001318E1" w:rsidRDefault="000E0527" w14:paraId="30051BD6" w14:textId="77777777">
            <w:pPr>
              <w:pStyle w:val="TableText"/>
              <w:widowControl w:val="0"/>
              <w:spacing w:before="40" w:after="40" w:line="240" w:lineRule="auto"/>
              <w:rPr>
                <w:rFonts w:ascii="Arial" w:hAnsi="Arial"/>
                <w:sz w:val="22"/>
                <w:szCs w:val="22"/>
              </w:rPr>
            </w:pPr>
            <w:r w:rsidRPr="000E0527">
              <w:rPr>
                <w:rFonts w:ascii="Arial" w:hAnsi="Arial"/>
                <w:sz w:val="22"/>
                <w:szCs w:val="22"/>
              </w:rPr>
              <w:t>8.0</w:t>
            </w:r>
            <w:r w:rsidRPr="000E0527">
              <w:rPr>
                <w:rFonts w:ascii="Arial" w:hAnsi="Arial"/>
                <w:sz w:val="22"/>
                <w:szCs w:val="22"/>
              </w:rPr>
              <w:tab/>
            </w:r>
            <w:r w:rsidRPr="000E0527">
              <w:rPr>
                <w:rFonts w:ascii="Arial" w:hAnsi="Arial"/>
                <w:sz w:val="22"/>
                <w:szCs w:val="22"/>
              </w:rPr>
              <w:tab/>
            </w:r>
            <w:r w:rsidRPr="000E0527">
              <w:rPr>
                <w:rFonts w:ascii="Arial" w:hAnsi="Arial"/>
                <w:sz w:val="22"/>
                <w:szCs w:val="22"/>
              </w:rPr>
              <w:t>Wet Season</w:t>
            </w:r>
          </w:p>
        </w:tc>
        <w:tc>
          <w:tcPr>
            <w:tcW w:w="3176" w:type="dxa"/>
          </w:tcPr>
          <w:p w:rsidRPr="000E0527" w:rsidR="000E0527" w:rsidP="001318E1" w:rsidRDefault="000E0527" w14:paraId="4F09AD8B" w14:textId="77777777">
            <w:pPr>
              <w:pStyle w:val="TableText"/>
              <w:widowControl w:val="0"/>
              <w:spacing w:before="40" w:after="40" w:line="240" w:lineRule="auto"/>
              <w:rPr>
                <w:rFonts w:ascii="Arial" w:hAnsi="Arial"/>
                <w:sz w:val="22"/>
                <w:szCs w:val="22"/>
              </w:rPr>
            </w:pPr>
            <w:r w:rsidRPr="000E0527">
              <w:rPr>
                <w:rFonts w:ascii="Arial" w:hAnsi="Arial"/>
                <w:sz w:val="22"/>
                <w:szCs w:val="22"/>
              </w:rPr>
              <w:t>10 year round</w:t>
            </w:r>
          </w:p>
        </w:tc>
      </w:tr>
    </w:tbl>
    <w:p w:rsidRPr="00D52F4F" w:rsidR="000E0527" w:rsidP="000E0527" w:rsidRDefault="000E0527" w14:paraId="3D8713E3" w14:textId="77777777">
      <w:pPr>
        <w:rPr>
          <w:rFonts w:cs="Arial"/>
        </w:rPr>
      </w:pPr>
    </w:p>
    <w:p w:rsidRPr="00D52F4F" w:rsidR="000E0527" w:rsidP="000E0527" w:rsidRDefault="000E0527" w14:paraId="0212C53C" w14:textId="77777777">
      <w:pPr>
        <w:spacing w:after="160"/>
        <w:rPr>
          <w:rFonts w:cs="Arial"/>
        </w:rPr>
        <w:sectPr w:rsidRPr="00D52F4F" w:rsidR="000E0527" w:rsidSect="00A86034">
          <w:footnotePr>
            <w:numRestart w:val="eachSect"/>
          </w:footnotePr>
          <w:pgSz w:w="15840" w:h="12240" w:orient="landscape"/>
          <w:pgMar w:top="1080" w:right="1080" w:bottom="1080" w:left="1080" w:header="360" w:footer="530" w:gutter="0"/>
          <w:cols w:space="720"/>
          <w:titlePg/>
          <w:docGrid w:linePitch="360"/>
        </w:sectPr>
      </w:pPr>
      <w:r w:rsidRPr="00D52F4F">
        <w:rPr>
          <w:rFonts w:cs="Arial"/>
        </w:rPr>
        <w:br w:type="page"/>
      </w:r>
    </w:p>
    <w:p w:rsidRPr="000A1201" w:rsidR="00A866E4" w:rsidP="0040157E" w:rsidRDefault="00836361" w14:paraId="4B6F6B02" w14:textId="69F088CA">
      <w:pPr>
        <w:pStyle w:val="Heading3"/>
        <w:tabs>
          <w:tab w:val="clear" w:pos="720"/>
          <w:tab w:val="left" w:pos="1260"/>
        </w:tabs>
        <w:ind w:left="1260" w:hanging="1260"/>
        <w:rPr>
          <w:i/>
          <w:iCs/>
        </w:rPr>
      </w:pPr>
      <w:r>
        <w:rPr>
          <w:i/>
          <w:iCs/>
        </w:rPr>
        <w:t>A13</w:t>
      </w:r>
      <w:r w:rsidRPr="000A1201" w:rsidR="000432A5">
        <w:rPr>
          <w:i/>
          <w:iCs/>
        </w:rPr>
        <w:t>.</w:t>
      </w:r>
      <w:r w:rsidRPr="000A1201" w:rsidR="00A866E4">
        <w:rPr>
          <w:i/>
          <w:iCs/>
        </w:rPr>
        <w:t>3.16</w:t>
      </w:r>
      <w:r w:rsidRPr="000A1201" w:rsidR="00A866E4">
        <w:rPr>
          <w:i/>
          <w:iCs/>
        </w:rPr>
        <w:tab/>
      </w:r>
      <w:r w:rsidRPr="000A1201" w:rsidR="00A866E4">
        <w:rPr>
          <w:i/>
          <w:iCs/>
        </w:rPr>
        <w:t>TMDL for Nitrogen Compounds and Orthophosphate in the Lower Salinas River Watersheds</w:t>
      </w:r>
    </w:p>
    <w:p w:rsidRPr="0001306B" w:rsidR="00A866E4" w:rsidP="00A866E4" w:rsidRDefault="00A866E4" w14:paraId="0C691022" w14:textId="2D3717FF">
      <w:pPr>
        <w:ind w:left="1260"/>
        <w:rPr>
          <w:rFonts w:cs="Arial"/>
        </w:rPr>
      </w:pPr>
      <w:r w:rsidRPr="0001306B">
        <w:rPr>
          <w:rFonts w:cs="Arial"/>
          <w:b/>
          <w:bCs/>
        </w:rPr>
        <w:t>Description:</w:t>
      </w:r>
      <w:r w:rsidRPr="0001306B">
        <w:rPr>
          <w:rFonts w:cs="Arial"/>
        </w:rPr>
        <w:t xml:space="preserve"> </w:t>
      </w:r>
      <w:r w:rsidR="00766ACF">
        <w:rPr>
          <w:rFonts w:cs="Arial"/>
        </w:rPr>
        <w:t>USEPA</w:t>
      </w:r>
      <w:r w:rsidR="00C56C92">
        <w:rPr>
          <w:rFonts w:cs="Arial"/>
        </w:rPr>
        <w:t xml:space="preserve"> </w:t>
      </w:r>
      <w:r w:rsidRPr="0001306B">
        <w:rPr>
          <w:rFonts w:cs="Arial"/>
        </w:rPr>
        <w:t xml:space="preserve">approved the TMDL on October 13, 2015. The TMDL states that </w:t>
      </w:r>
      <w:r w:rsidRPr="0001306B">
        <w:t xml:space="preserve">nitrogen compounds and orthophosphate </w:t>
      </w:r>
      <w:r w:rsidRPr="0001306B">
        <w:rPr>
          <w:rFonts w:cs="Arial"/>
        </w:rPr>
        <w:t>d</w:t>
      </w:r>
      <w:r w:rsidRPr="0001306B">
        <w:t>ischarges into the Lower Salins River Watershed are occurring at levels that impair a spectrum of beneficial uses</w:t>
      </w:r>
      <w:r w:rsidRPr="0001306B">
        <w:rPr>
          <w:rFonts w:cs="Arial"/>
        </w:rPr>
        <w:t>. Urban stormwater is a relatively minor source of these pollutants but can be locally significant.</w:t>
      </w:r>
    </w:p>
    <w:p w:rsidRPr="0001306B" w:rsidR="00A866E4" w:rsidP="00A866E4" w:rsidRDefault="00A866E4" w14:paraId="359CAB1D" w14:textId="77777777">
      <w:pPr>
        <w:ind w:left="1260"/>
        <w:rPr>
          <w:rFonts w:cs="Arial"/>
        </w:rPr>
      </w:pPr>
      <w:r w:rsidRPr="0001306B">
        <w:rPr>
          <w:b/>
        </w:rPr>
        <w:t>Responsible Permittee:</w:t>
      </w:r>
      <w:r w:rsidRPr="0001306B">
        <w:rPr>
          <w:b/>
          <w:bCs/>
        </w:rPr>
        <w:t xml:space="preserve"> </w:t>
      </w:r>
      <w:r w:rsidRPr="0001306B">
        <w:rPr>
          <w:rFonts w:cs="Arial"/>
        </w:rPr>
        <w:t>County of Monterey.</w:t>
      </w:r>
    </w:p>
    <w:p w:rsidR="00A866E4" w:rsidP="00A866E4" w:rsidRDefault="00A866E4" w14:paraId="565D4B4E" w14:textId="18A35921">
      <w:pPr>
        <w:ind w:left="1260"/>
        <w:rPr>
          <w:rFonts w:cs="Arial"/>
        </w:rPr>
      </w:pPr>
      <w:r w:rsidRPr="0001306B">
        <w:rPr>
          <w:b/>
        </w:rPr>
        <w:t>Wasteload Allocations:</w:t>
      </w:r>
      <w:r w:rsidRPr="0001306B">
        <w:rPr>
          <w:b/>
          <w:bCs/>
        </w:rPr>
        <w:t xml:space="preserve"> </w:t>
      </w:r>
      <w:r w:rsidRPr="0001306B">
        <w:rPr>
          <w:rFonts w:cs="Arial"/>
        </w:rPr>
        <w:t xml:space="preserve">The County of Monterey is assigned interim and final wasteload allocations as shown in the three tables, below. The TMDL states that wasteload allocations will be achieved through a combination of implementation of </w:t>
      </w:r>
      <w:r w:rsidR="000A2877">
        <w:rPr>
          <w:rFonts w:cs="Arial"/>
        </w:rPr>
        <w:t>BMPs</w:t>
      </w:r>
      <w:r w:rsidRPr="0001306B">
        <w:rPr>
          <w:rFonts w:cs="Arial"/>
        </w:rPr>
        <w:t xml:space="preserve"> and strategies to reduce nitrogen compound, reduce orthophosphate loading, and implement water quality monitoring. </w:t>
      </w:r>
      <w:r w:rsidR="001318E1">
        <w:rPr>
          <w:rFonts w:cs="Arial"/>
        </w:rPr>
        <w:t>The wasteload allocations are found in the tables, below.</w:t>
      </w:r>
    </w:p>
    <w:p w:rsidRPr="00D52F4F" w:rsidR="00A866E4" w:rsidP="00A866E4" w:rsidRDefault="00A866E4" w14:paraId="541ECC05" w14:textId="77777777">
      <w:pPr>
        <w:ind w:left="1260"/>
        <w:rPr>
          <w:rFonts w:cs="Arial"/>
        </w:rPr>
      </w:pPr>
      <w:r w:rsidRPr="00D52F4F">
        <w:rPr>
          <w:b/>
        </w:rPr>
        <w:t>Final Compliance Deadline:</w:t>
      </w:r>
      <w:r w:rsidRPr="00D52F4F">
        <w:rPr>
          <w:rFonts w:cs="Arial"/>
        </w:rPr>
        <w:t xml:space="preserve"> The final compliance deadline </w:t>
      </w:r>
      <w:r w:rsidRPr="00BC3565">
        <w:rPr>
          <w:rFonts w:cs="Arial"/>
        </w:rPr>
        <w:t>is May 7, 2044.</w:t>
      </w:r>
    </w:p>
    <w:p w:rsidRPr="00D52F4F" w:rsidR="00A866E4" w:rsidP="00A866E4" w:rsidRDefault="00A866E4" w14:paraId="3C85D01B" w14:textId="77777777">
      <w:pPr>
        <w:ind w:left="86"/>
        <w:rPr>
          <w:rFonts w:cs="Arial"/>
        </w:rPr>
      </w:pPr>
    </w:p>
    <w:p w:rsidRPr="00D52F4F" w:rsidR="00A866E4" w:rsidP="00A866E4" w:rsidRDefault="00A866E4" w14:paraId="748D720C" w14:textId="77777777">
      <w:pPr>
        <w:ind w:left="1260"/>
        <w:rPr>
          <w:rFonts w:cs="Arial"/>
        </w:rPr>
        <w:sectPr w:rsidRPr="00D52F4F" w:rsidR="00A866E4" w:rsidSect="00A86034">
          <w:footnotePr>
            <w:numRestart w:val="eachSect"/>
          </w:footnotePr>
          <w:pgSz w:w="12240" w:h="15840" w:orient="portrait"/>
          <w:pgMar w:top="1080" w:right="1080" w:bottom="1080" w:left="1080" w:header="360" w:footer="530" w:gutter="0"/>
          <w:cols w:space="720"/>
          <w:titlePg/>
          <w:docGrid w:linePitch="360"/>
        </w:sectPr>
      </w:pPr>
    </w:p>
    <w:p w:rsidRPr="0001306B" w:rsidR="00F81D3A" w:rsidP="00604C21" w:rsidRDefault="00F81D3A" w14:paraId="429EF07B" w14:textId="77777777">
      <w:pPr>
        <w:pStyle w:val="TableHead"/>
      </w:pPr>
      <w:r w:rsidRPr="00D52F4F">
        <w:t>County of Monterey Final Wasteload Allocations in Receiving Water</w:t>
      </w:r>
      <w:r>
        <w:t xml:space="preserve"> for </w:t>
      </w:r>
      <w:r w:rsidRPr="00BF14A9">
        <w:t>Nitrogen Compounds and Orthophosphate in the Lower Salinas River Watersheds</w:t>
      </w:r>
      <w:r>
        <w:t xml:space="preserve"> (c</w:t>
      </w:r>
      <w:r w:rsidRPr="00D52F4F">
        <w:t xml:space="preserve">oncentration in </w:t>
      </w:r>
      <w:r>
        <w:t>m</w:t>
      </w:r>
      <w:r w:rsidRPr="00D52F4F">
        <w:t xml:space="preserve">illigrams per </w:t>
      </w:r>
      <w:r>
        <w:t>l</w:t>
      </w:r>
      <w:r w:rsidRPr="00D52F4F">
        <w:t>iter</w:t>
      </w:r>
      <w:r>
        <w:t xml:space="preserve">, </w:t>
      </w:r>
      <w:r w:rsidRPr="0001306B">
        <w:t>dry season is May 1 through October 31 and wet season is November 1 through April 30)</w:t>
      </w:r>
    </w:p>
    <w:tbl>
      <w:tblPr>
        <w:tblStyle w:val="TableGrid"/>
        <w:tblW w:w="4950" w:type="pct"/>
        <w:tblInd w:w="-63" w:type="dxa"/>
        <w:tblCellMar>
          <w:top w:w="29" w:type="dxa"/>
          <w:left w:w="58" w:type="dxa"/>
          <w:bottom w:w="29" w:type="dxa"/>
          <w:right w:w="58" w:type="dxa"/>
        </w:tblCellMar>
        <w:tblLook w:val="0620" w:firstRow="1" w:lastRow="0" w:firstColumn="0" w:lastColumn="0" w:noHBand="1" w:noVBand="1"/>
        <w:tblCaption w:val="County of Monterey Final Wasteload Allocations (WLAs) Table"/>
      </w:tblPr>
      <w:tblGrid>
        <w:gridCol w:w="4379"/>
        <w:gridCol w:w="1662"/>
        <w:gridCol w:w="1486"/>
        <w:gridCol w:w="1992"/>
        <w:gridCol w:w="2149"/>
        <w:gridCol w:w="1865"/>
      </w:tblGrid>
      <w:tr w:rsidRPr="00694029" w:rsidR="004315D2" w:rsidTr="00F56420" w14:paraId="16F1E5F9" w14:textId="77777777">
        <w:trPr>
          <w:tblHeader/>
        </w:trPr>
        <w:tc>
          <w:tcPr>
            <w:tcW w:w="1618" w:type="pct"/>
            <w:shd w:val="clear" w:color="auto" w:fill="D6E3BC" w:themeFill="accent3" w:themeFillTint="66"/>
          </w:tcPr>
          <w:p w:rsidRPr="00694029" w:rsidR="00F81D3A" w:rsidP="00604C21" w:rsidRDefault="00F81D3A" w14:paraId="667C657D" w14:textId="77777777">
            <w:pPr>
              <w:pStyle w:val="TableText"/>
              <w:spacing w:before="40" w:after="40" w:line="240" w:lineRule="auto"/>
              <w:jc w:val="center"/>
              <w:rPr>
                <w:rFonts w:ascii="Arial" w:hAnsi="Arial"/>
                <w:b/>
                <w:bCs/>
                <w:sz w:val="22"/>
                <w:szCs w:val="22"/>
                <w:vertAlign w:val="superscript"/>
              </w:rPr>
            </w:pPr>
            <w:r w:rsidRPr="00694029">
              <w:rPr>
                <w:rFonts w:ascii="Arial" w:hAnsi="Arial"/>
                <w:b/>
                <w:bCs/>
                <w:sz w:val="22"/>
                <w:szCs w:val="22"/>
              </w:rPr>
              <w:t>Waterbody</w:t>
            </w:r>
          </w:p>
        </w:tc>
        <w:tc>
          <w:tcPr>
            <w:tcW w:w="614" w:type="pct"/>
            <w:shd w:val="clear" w:color="auto" w:fill="D6E3BC" w:themeFill="accent3" w:themeFillTint="66"/>
          </w:tcPr>
          <w:p w:rsidRPr="00694029" w:rsidR="00F81D3A" w:rsidP="00604C21" w:rsidRDefault="00F81D3A" w14:paraId="4D4E5F33" w14:textId="77777777">
            <w:pPr>
              <w:pStyle w:val="TableText"/>
              <w:spacing w:before="40" w:after="40" w:line="240" w:lineRule="auto"/>
              <w:jc w:val="center"/>
              <w:rPr>
                <w:rFonts w:ascii="Arial" w:hAnsi="Arial"/>
                <w:b/>
                <w:bCs/>
                <w:sz w:val="22"/>
                <w:szCs w:val="22"/>
              </w:rPr>
            </w:pPr>
            <w:r w:rsidRPr="00694029">
              <w:rPr>
                <w:rFonts w:ascii="Arial" w:hAnsi="Arial"/>
                <w:b/>
                <w:bCs/>
                <w:sz w:val="22"/>
                <w:szCs w:val="22"/>
              </w:rPr>
              <w:t xml:space="preserve">Nitrate as Nitrogen </w:t>
            </w:r>
            <w:r w:rsidRPr="00694029">
              <w:rPr>
                <w:rFonts w:ascii="Arial" w:hAnsi="Arial"/>
                <w:b/>
                <w:bCs/>
                <w:sz w:val="22"/>
                <w:szCs w:val="22"/>
              </w:rPr>
              <w:br/>
            </w:r>
            <w:r w:rsidRPr="00694029">
              <w:rPr>
                <w:rFonts w:ascii="Arial" w:hAnsi="Arial"/>
                <w:b/>
                <w:bCs/>
                <w:sz w:val="22"/>
                <w:szCs w:val="22"/>
              </w:rPr>
              <w:t xml:space="preserve">Dry Season </w:t>
            </w:r>
          </w:p>
        </w:tc>
        <w:tc>
          <w:tcPr>
            <w:tcW w:w="549" w:type="pct"/>
            <w:shd w:val="clear" w:color="auto" w:fill="D6E3BC" w:themeFill="accent3" w:themeFillTint="66"/>
          </w:tcPr>
          <w:p w:rsidRPr="00694029" w:rsidR="00F81D3A" w:rsidP="00604C21" w:rsidRDefault="00F81D3A" w14:paraId="52A70BDB" w14:textId="77777777">
            <w:pPr>
              <w:pStyle w:val="TableText"/>
              <w:spacing w:before="40" w:after="40" w:line="240" w:lineRule="auto"/>
              <w:jc w:val="center"/>
              <w:rPr>
                <w:rFonts w:ascii="Arial" w:hAnsi="Arial"/>
                <w:b/>
                <w:bCs/>
                <w:sz w:val="22"/>
                <w:szCs w:val="22"/>
              </w:rPr>
            </w:pPr>
            <w:r w:rsidRPr="00694029">
              <w:rPr>
                <w:rFonts w:ascii="Arial" w:hAnsi="Arial"/>
                <w:b/>
                <w:bCs/>
                <w:sz w:val="22"/>
                <w:szCs w:val="22"/>
              </w:rPr>
              <w:t xml:space="preserve">Nitrate as Nitrogen </w:t>
            </w:r>
            <w:r w:rsidRPr="00694029">
              <w:rPr>
                <w:rFonts w:ascii="Arial" w:hAnsi="Arial"/>
                <w:b/>
                <w:bCs/>
                <w:sz w:val="22"/>
                <w:szCs w:val="22"/>
              </w:rPr>
              <w:br/>
            </w:r>
            <w:r w:rsidRPr="00694029">
              <w:rPr>
                <w:rFonts w:ascii="Arial" w:hAnsi="Arial"/>
                <w:b/>
                <w:bCs/>
                <w:sz w:val="22"/>
                <w:szCs w:val="22"/>
              </w:rPr>
              <w:t>Wet Season</w:t>
            </w:r>
          </w:p>
        </w:tc>
        <w:tc>
          <w:tcPr>
            <w:tcW w:w="736" w:type="pct"/>
            <w:shd w:val="clear" w:color="auto" w:fill="D6E3BC" w:themeFill="accent3" w:themeFillTint="66"/>
          </w:tcPr>
          <w:p w:rsidRPr="00694029" w:rsidR="00F81D3A" w:rsidP="00604C21" w:rsidRDefault="00F81D3A" w14:paraId="6D7EB2B6" w14:textId="77777777">
            <w:pPr>
              <w:pStyle w:val="TableText"/>
              <w:spacing w:before="40" w:after="40" w:line="240" w:lineRule="auto"/>
              <w:jc w:val="center"/>
              <w:rPr>
                <w:rFonts w:ascii="Arial" w:hAnsi="Arial"/>
                <w:b/>
                <w:bCs/>
                <w:sz w:val="22"/>
                <w:szCs w:val="22"/>
              </w:rPr>
            </w:pPr>
            <w:r w:rsidRPr="00694029">
              <w:rPr>
                <w:rFonts w:ascii="Arial" w:hAnsi="Arial"/>
                <w:b/>
                <w:bCs/>
                <w:sz w:val="22"/>
                <w:szCs w:val="22"/>
              </w:rPr>
              <w:t xml:space="preserve">Orthophosphate as Phosphorous </w:t>
            </w:r>
            <w:r w:rsidRPr="00694029">
              <w:rPr>
                <w:rFonts w:ascii="Arial" w:hAnsi="Arial"/>
                <w:b/>
                <w:bCs/>
                <w:sz w:val="22"/>
                <w:szCs w:val="22"/>
              </w:rPr>
              <w:br/>
            </w:r>
            <w:r w:rsidRPr="00694029">
              <w:rPr>
                <w:rFonts w:ascii="Arial" w:hAnsi="Arial"/>
                <w:b/>
                <w:bCs/>
                <w:sz w:val="22"/>
                <w:szCs w:val="22"/>
              </w:rPr>
              <w:t>Dry Season</w:t>
            </w:r>
          </w:p>
        </w:tc>
        <w:tc>
          <w:tcPr>
            <w:tcW w:w="794" w:type="pct"/>
            <w:shd w:val="clear" w:color="auto" w:fill="D6E3BC" w:themeFill="accent3" w:themeFillTint="66"/>
          </w:tcPr>
          <w:p w:rsidRPr="00694029" w:rsidR="00F81D3A" w:rsidP="00604C21" w:rsidRDefault="00F81D3A" w14:paraId="309AEE5F" w14:textId="77777777">
            <w:pPr>
              <w:pStyle w:val="TableText"/>
              <w:spacing w:before="40" w:after="40" w:line="240" w:lineRule="auto"/>
              <w:jc w:val="center"/>
              <w:rPr>
                <w:rFonts w:ascii="Arial" w:hAnsi="Arial"/>
                <w:b/>
                <w:bCs/>
                <w:sz w:val="22"/>
                <w:szCs w:val="22"/>
              </w:rPr>
            </w:pPr>
            <w:r w:rsidRPr="00694029">
              <w:rPr>
                <w:rFonts w:ascii="Arial" w:hAnsi="Arial"/>
                <w:b/>
                <w:bCs/>
                <w:sz w:val="22"/>
                <w:szCs w:val="22"/>
              </w:rPr>
              <w:t xml:space="preserve">Orthophosphate as Phosphorous Wet Season </w:t>
            </w:r>
          </w:p>
        </w:tc>
        <w:tc>
          <w:tcPr>
            <w:tcW w:w="689" w:type="pct"/>
            <w:shd w:val="clear" w:color="auto" w:fill="D6E3BC" w:themeFill="accent3" w:themeFillTint="66"/>
          </w:tcPr>
          <w:p w:rsidRPr="00694029" w:rsidR="00F81D3A" w:rsidP="00604C21" w:rsidRDefault="00F81D3A" w14:paraId="42B78EE6" w14:textId="77777777">
            <w:pPr>
              <w:pStyle w:val="TableText"/>
              <w:spacing w:before="40" w:after="40" w:line="240" w:lineRule="auto"/>
              <w:jc w:val="center"/>
              <w:rPr>
                <w:rFonts w:ascii="Arial" w:hAnsi="Arial"/>
                <w:b/>
                <w:bCs/>
                <w:sz w:val="22"/>
                <w:szCs w:val="22"/>
              </w:rPr>
            </w:pPr>
            <w:r w:rsidRPr="00694029">
              <w:rPr>
                <w:rFonts w:ascii="Arial" w:hAnsi="Arial"/>
                <w:b/>
                <w:bCs/>
                <w:sz w:val="22"/>
                <w:szCs w:val="22"/>
              </w:rPr>
              <w:t>Un-ionized Ammonia as Nitrogen</w:t>
            </w:r>
            <w:r w:rsidRPr="00694029">
              <w:rPr>
                <w:rFonts w:ascii="Arial" w:hAnsi="Arial"/>
                <w:b/>
                <w:bCs/>
                <w:sz w:val="22"/>
                <w:szCs w:val="22"/>
              </w:rPr>
              <w:br/>
            </w:r>
            <w:r w:rsidRPr="00694029">
              <w:rPr>
                <w:rFonts w:ascii="Arial" w:hAnsi="Arial"/>
                <w:b/>
                <w:bCs/>
                <w:sz w:val="22"/>
                <w:szCs w:val="22"/>
              </w:rPr>
              <w:t>Year Round</w:t>
            </w:r>
          </w:p>
        </w:tc>
      </w:tr>
      <w:tr w:rsidRPr="00694029" w:rsidR="00467297" w:rsidTr="00F56420" w14:paraId="2F867E27" w14:textId="77777777">
        <w:tc>
          <w:tcPr>
            <w:tcW w:w="1618" w:type="pct"/>
          </w:tcPr>
          <w:p w:rsidRPr="00694029" w:rsidR="00F81D3A" w:rsidP="00604C21" w:rsidRDefault="00F81D3A" w14:paraId="591041D2" w14:textId="77777777">
            <w:pPr>
              <w:pStyle w:val="TableText"/>
              <w:spacing w:before="40" w:after="40" w:line="240" w:lineRule="auto"/>
              <w:ind w:left="72"/>
              <w:rPr>
                <w:rFonts w:ascii="Arial" w:hAnsi="Arial"/>
                <w:sz w:val="22"/>
                <w:szCs w:val="22"/>
              </w:rPr>
            </w:pPr>
            <w:r w:rsidRPr="00694029">
              <w:rPr>
                <w:rFonts w:ascii="Arial" w:hAnsi="Arial"/>
                <w:sz w:val="22"/>
                <w:szCs w:val="22"/>
                <w:u w:val="single"/>
              </w:rPr>
              <w:t>Lower Salinas River:</w:t>
            </w:r>
            <w:r w:rsidRPr="00694029">
              <w:rPr>
                <w:rFonts w:ascii="Arial" w:hAnsi="Arial"/>
                <w:sz w:val="22"/>
                <w:szCs w:val="22"/>
              </w:rPr>
              <w:t xml:space="preserve"> all reaches from downstream of Spreckels (downstream of monitoring site 309SSP) to the confluence with the Pacific Ocean including Salinas River Lagoon (North)</w:t>
            </w:r>
          </w:p>
        </w:tc>
        <w:tc>
          <w:tcPr>
            <w:tcW w:w="614" w:type="pct"/>
            <w:vAlign w:val="center"/>
          </w:tcPr>
          <w:p w:rsidRPr="00694029" w:rsidR="00F81D3A" w:rsidP="00604C21" w:rsidRDefault="00F81D3A" w14:paraId="5FB9F040" w14:textId="77777777">
            <w:pPr>
              <w:pStyle w:val="TableText"/>
              <w:tabs>
                <w:tab w:val="left" w:pos="365"/>
              </w:tabs>
              <w:spacing w:before="40" w:after="40" w:line="240" w:lineRule="auto"/>
              <w:ind w:left="72"/>
              <w:jc w:val="center"/>
              <w:rPr>
                <w:rFonts w:ascii="Arial" w:hAnsi="Arial"/>
                <w:sz w:val="22"/>
                <w:szCs w:val="22"/>
              </w:rPr>
            </w:pPr>
            <w:r w:rsidRPr="00694029">
              <w:rPr>
                <w:rFonts w:ascii="Arial" w:hAnsi="Arial"/>
                <w:sz w:val="22"/>
                <w:szCs w:val="22"/>
              </w:rPr>
              <w:t>1.4</w:t>
            </w:r>
          </w:p>
        </w:tc>
        <w:tc>
          <w:tcPr>
            <w:tcW w:w="549" w:type="pct"/>
            <w:vAlign w:val="center"/>
          </w:tcPr>
          <w:p w:rsidRPr="00694029" w:rsidR="00F81D3A" w:rsidP="00604C21" w:rsidRDefault="00F81D3A" w14:paraId="7B42B4B8"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8.0</w:t>
            </w:r>
          </w:p>
        </w:tc>
        <w:tc>
          <w:tcPr>
            <w:tcW w:w="736" w:type="pct"/>
            <w:vAlign w:val="center"/>
          </w:tcPr>
          <w:p w:rsidRPr="00694029" w:rsidR="00F81D3A" w:rsidP="00604C21" w:rsidRDefault="00F81D3A" w14:paraId="491BDF25"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0.03</w:t>
            </w:r>
          </w:p>
        </w:tc>
        <w:tc>
          <w:tcPr>
            <w:tcW w:w="794" w:type="pct"/>
            <w:vAlign w:val="center"/>
          </w:tcPr>
          <w:p w:rsidRPr="00694029" w:rsidR="00F81D3A" w:rsidP="00604C21" w:rsidRDefault="00F81D3A" w14:paraId="4D4C6249" w14:textId="77777777">
            <w:pPr>
              <w:pStyle w:val="TableText"/>
              <w:spacing w:before="40" w:after="40" w:line="240" w:lineRule="auto"/>
              <w:ind w:left="665" w:hanging="593"/>
              <w:jc w:val="center"/>
              <w:rPr>
                <w:rFonts w:ascii="Arial" w:hAnsi="Arial"/>
                <w:sz w:val="22"/>
                <w:szCs w:val="22"/>
              </w:rPr>
            </w:pPr>
            <w:r w:rsidRPr="00694029">
              <w:rPr>
                <w:rFonts w:ascii="Arial" w:hAnsi="Arial"/>
                <w:sz w:val="22"/>
                <w:szCs w:val="22"/>
              </w:rPr>
              <w:t>0.3</w:t>
            </w:r>
          </w:p>
        </w:tc>
        <w:tc>
          <w:tcPr>
            <w:tcW w:w="689" w:type="pct"/>
            <w:vAlign w:val="center"/>
          </w:tcPr>
          <w:p w:rsidRPr="00694029" w:rsidR="00F81D3A" w:rsidP="00604C21" w:rsidRDefault="00F81D3A" w14:paraId="06636E2E" w14:textId="77777777">
            <w:pPr>
              <w:pStyle w:val="TableText"/>
              <w:spacing w:before="40" w:after="40" w:line="240" w:lineRule="auto"/>
              <w:ind w:left="665" w:hanging="593"/>
              <w:jc w:val="center"/>
              <w:rPr>
                <w:rFonts w:ascii="Arial" w:hAnsi="Arial"/>
                <w:sz w:val="22"/>
                <w:szCs w:val="22"/>
              </w:rPr>
            </w:pPr>
            <w:r w:rsidRPr="00694029">
              <w:rPr>
                <w:rFonts w:ascii="Arial" w:hAnsi="Arial"/>
                <w:sz w:val="22"/>
                <w:szCs w:val="22"/>
              </w:rPr>
              <w:t>0.025</w:t>
            </w:r>
          </w:p>
        </w:tc>
      </w:tr>
      <w:tr w:rsidRPr="00694029" w:rsidR="00467297" w:rsidTr="00F56420" w14:paraId="3AAD77BF" w14:textId="77777777">
        <w:tc>
          <w:tcPr>
            <w:tcW w:w="1618" w:type="pct"/>
          </w:tcPr>
          <w:p w:rsidRPr="00694029" w:rsidR="00F81D3A" w:rsidP="00604C21" w:rsidRDefault="00F81D3A" w14:paraId="55A274C9" w14:textId="77777777">
            <w:pPr>
              <w:spacing w:before="40" w:after="40" w:line="240" w:lineRule="auto"/>
              <w:ind w:left="72"/>
              <w:rPr>
                <w:rFonts w:ascii="Arial" w:hAnsi="Arial" w:cs="Arial"/>
                <w:sz w:val="22"/>
                <w:szCs w:val="22"/>
              </w:rPr>
            </w:pPr>
            <w:r w:rsidRPr="00694029">
              <w:rPr>
                <w:rFonts w:ascii="Arial" w:hAnsi="Arial" w:cs="Arial"/>
                <w:sz w:val="22"/>
                <w:szCs w:val="22"/>
                <w:u w:val="single"/>
              </w:rPr>
              <w:t xml:space="preserve">Santa Rita Creek: </w:t>
            </w:r>
            <w:r w:rsidRPr="00694029">
              <w:rPr>
                <w:rFonts w:ascii="Arial" w:hAnsi="Arial" w:cs="Arial"/>
                <w:sz w:val="22"/>
                <w:szCs w:val="22"/>
              </w:rPr>
              <w:t>all reaches and tributaries, from the confluence with the Reclamation Canal to the uppermost reach of the waterbody.</w:t>
            </w:r>
          </w:p>
          <w:p w:rsidRPr="00694029" w:rsidR="00F81D3A" w:rsidP="00604C21" w:rsidRDefault="00F81D3A" w14:paraId="54671BF5" w14:textId="77777777">
            <w:pPr>
              <w:pStyle w:val="TableText"/>
              <w:spacing w:before="40" w:after="40" w:line="240" w:lineRule="auto"/>
              <w:ind w:left="72"/>
              <w:rPr>
                <w:rFonts w:ascii="Arial" w:hAnsi="Arial"/>
                <w:sz w:val="22"/>
                <w:szCs w:val="22"/>
              </w:rPr>
            </w:pPr>
            <w:r w:rsidRPr="00694029">
              <w:rPr>
                <w:rFonts w:ascii="Arial" w:hAnsi="Arial"/>
                <w:sz w:val="22"/>
                <w:szCs w:val="22"/>
                <w:u w:val="single"/>
              </w:rPr>
              <w:t>Reclamation Canal</w:t>
            </w:r>
            <w:r w:rsidRPr="00694029">
              <w:rPr>
                <w:rFonts w:ascii="Arial" w:hAnsi="Arial"/>
                <w:sz w:val="22"/>
                <w:szCs w:val="22"/>
              </w:rPr>
              <w:t>: all reaches and tributaries, which includes from confluence with Tembladero Slough, to upstream confluence with Alisal Creek.</w:t>
            </w:r>
          </w:p>
        </w:tc>
        <w:tc>
          <w:tcPr>
            <w:tcW w:w="614" w:type="pct"/>
            <w:vAlign w:val="center"/>
          </w:tcPr>
          <w:p w:rsidRPr="00694029" w:rsidR="00F81D3A" w:rsidP="00604C21" w:rsidRDefault="00F81D3A" w14:paraId="12A87726"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6.4</w:t>
            </w:r>
          </w:p>
        </w:tc>
        <w:tc>
          <w:tcPr>
            <w:tcW w:w="549" w:type="pct"/>
            <w:vAlign w:val="center"/>
          </w:tcPr>
          <w:p w:rsidRPr="00694029" w:rsidR="00F81D3A" w:rsidP="00604C21" w:rsidRDefault="00F81D3A" w14:paraId="63EFAAEB"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8.0</w:t>
            </w:r>
          </w:p>
        </w:tc>
        <w:tc>
          <w:tcPr>
            <w:tcW w:w="736" w:type="pct"/>
            <w:vAlign w:val="center"/>
          </w:tcPr>
          <w:p w:rsidRPr="00694029" w:rsidR="00F81D3A" w:rsidP="00604C21" w:rsidRDefault="00F81D3A" w14:paraId="7C7CE976"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0.13</w:t>
            </w:r>
          </w:p>
        </w:tc>
        <w:tc>
          <w:tcPr>
            <w:tcW w:w="794" w:type="pct"/>
            <w:vAlign w:val="center"/>
          </w:tcPr>
          <w:p w:rsidRPr="00694029" w:rsidR="00F81D3A" w:rsidP="00604C21" w:rsidRDefault="00F81D3A" w14:paraId="5F1549E1"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0.3</w:t>
            </w:r>
          </w:p>
        </w:tc>
        <w:tc>
          <w:tcPr>
            <w:tcW w:w="689" w:type="pct"/>
            <w:vAlign w:val="center"/>
          </w:tcPr>
          <w:p w:rsidRPr="00694029" w:rsidR="00F81D3A" w:rsidP="00604C21" w:rsidRDefault="00F81D3A" w14:paraId="4EC019E0"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0.025</w:t>
            </w:r>
          </w:p>
        </w:tc>
      </w:tr>
      <w:tr w:rsidRPr="00694029" w:rsidR="00467297" w:rsidTr="00F56420" w14:paraId="7D51569A" w14:textId="77777777">
        <w:tc>
          <w:tcPr>
            <w:tcW w:w="1618" w:type="pct"/>
          </w:tcPr>
          <w:p w:rsidRPr="00694029" w:rsidR="00F81D3A" w:rsidP="00604C21" w:rsidRDefault="00F81D3A" w14:paraId="2BD7BE45" w14:textId="77777777">
            <w:pPr>
              <w:pStyle w:val="TableText"/>
              <w:spacing w:before="40" w:after="40" w:line="240" w:lineRule="auto"/>
              <w:ind w:left="72"/>
              <w:rPr>
                <w:rFonts w:ascii="Arial" w:hAnsi="Arial"/>
                <w:sz w:val="22"/>
                <w:szCs w:val="22"/>
              </w:rPr>
            </w:pPr>
            <w:r w:rsidRPr="00694029">
              <w:rPr>
                <w:rFonts w:ascii="Arial" w:hAnsi="Arial"/>
                <w:sz w:val="22"/>
                <w:szCs w:val="22"/>
                <w:u w:val="single"/>
              </w:rPr>
              <w:t>Gabilan Creek</w:t>
            </w:r>
            <w:r w:rsidRPr="00694029">
              <w:rPr>
                <w:rFonts w:ascii="Arial" w:hAnsi="Arial"/>
                <w:sz w:val="22"/>
                <w:szCs w:val="22"/>
              </w:rPr>
              <w:t>: all reaches and tributaries downstream of Crazy Horse Rd.</w:t>
            </w:r>
          </w:p>
        </w:tc>
        <w:tc>
          <w:tcPr>
            <w:tcW w:w="614" w:type="pct"/>
            <w:vAlign w:val="center"/>
          </w:tcPr>
          <w:p w:rsidRPr="00694029" w:rsidR="00F81D3A" w:rsidP="00604C21" w:rsidRDefault="00F81D3A" w14:paraId="0EAB156A"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2.0</w:t>
            </w:r>
          </w:p>
        </w:tc>
        <w:tc>
          <w:tcPr>
            <w:tcW w:w="549" w:type="pct"/>
            <w:vAlign w:val="center"/>
          </w:tcPr>
          <w:p w:rsidRPr="00694029" w:rsidR="00F81D3A" w:rsidP="00604C21" w:rsidRDefault="00F81D3A" w14:paraId="54614DC3"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8.0</w:t>
            </w:r>
          </w:p>
        </w:tc>
        <w:tc>
          <w:tcPr>
            <w:tcW w:w="736" w:type="pct"/>
            <w:vAlign w:val="center"/>
          </w:tcPr>
          <w:p w:rsidRPr="00694029" w:rsidR="00F81D3A" w:rsidP="00604C21" w:rsidRDefault="00F81D3A" w14:paraId="33F10BE8"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0.07</w:t>
            </w:r>
          </w:p>
        </w:tc>
        <w:tc>
          <w:tcPr>
            <w:tcW w:w="794" w:type="pct"/>
            <w:vAlign w:val="center"/>
          </w:tcPr>
          <w:p w:rsidRPr="00694029" w:rsidR="00F81D3A" w:rsidP="00604C21" w:rsidRDefault="00F81D3A" w14:paraId="4162837F"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0.3</w:t>
            </w:r>
          </w:p>
        </w:tc>
        <w:tc>
          <w:tcPr>
            <w:tcW w:w="689" w:type="pct"/>
            <w:vAlign w:val="center"/>
          </w:tcPr>
          <w:p w:rsidRPr="00694029" w:rsidR="00F81D3A" w:rsidP="00604C21" w:rsidRDefault="00F81D3A" w14:paraId="7B5B6C29"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0.25</w:t>
            </w:r>
          </w:p>
        </w:tc>
      </w:tr>
      <w:tr w:rsidRPr="00694029" w:rsidR="00467297" w:rsidTr="00F56420" w14:paraId="0994EDC4" w14:textId="77777777">
        <w:tc>
          <w:tcPr>
            <w:tcW w:w="1618" w:type="pct"/>
          </w:tcPr>
          <w:p w:rsidRPr="00694029" w:rsidR="00F81D3A" w:rsidP="00604C21" w:rsidRDefault="00F81D3A" w14:paraId="34745FEF" w14:textId="77777777">
            <w:pPr>
              <w:pStyle w:val="TableText"/>
              <w:spacing w:before="40" w:after="40" w:line="240" w:lineRule="auto"/>
              <w:ind w:left="72"/>
              <w:rPr>
                <w:rFonts w:ascii="Arial" w:hAnsi="Arial"/>
                <w:sz w:val="22"/>
                <w:szCs w:val="22"/>
              </w:rPr>
            </w:pPr>
            <w:r w:rsidRPr="00694029">
              <w:rPr>
                <w:rFonts w:ascii="Arial" w:hAnsi="Arial"/>
                <w:sz w:val="22"/>
                <w:szCs w:val="22"/>
                <w:u w:val="single"/>
              </w:rPr>
              <w:t>Natividad Creek</w:t>
            </w:r>
            <w:r w:rsidRPr="00694029">
              <w:rPr>
                <w:rFonts w:ascii="Arial" w:hAnsi="Arial"/>
                <w:sz w:val="22"/>
                <w:szCs w:val="22"/>
              </w:rPr>
              <w:t xml:space="preserve">: all reaches and tributaries, from the confluence with Carr Lake to the uppermost reach of the waterbody </w:t>
            </w:r>
            <w:r w:rsidRPr="00694029">
              <w:rPr>
                <w:rFonts w:ascii="Arial" w:hAnsi="Arial"/>
                <w:sz w:val="22"/>
                <w:szCs w:val="22"/>
              </w:rPr>
              <w:br/>
            </w:r>
            <w:r w:rsidRPr="00694029">
              <w:rPr>
                <w:rFonts w:ascii="Arial" w:hAnsi="Arial"/>
                <w:sz w:val="22"/>
                <w:szCs w:val="22"/>
                <w:u w:val="single"/>
              </w:rPr>
              <w:t>Alisal Creek</w:t>
            </w:r>
            <w:r w:rsidRPr="00694029">
              <w:rPr>
                <w:rFonts w:ascii="Arial" w:hAnsi="Arial"/>
                <w:sz w:val="22"/>
                <w:szCs w:val="22"/>
              </w:rPr>
              <w:t>: all reaches and tributaries from the confluence with the Reclamation Canal to the uppermost reach of the waterbody.</w:t>
            </w:r>
          </w:p>
        </w:tc>
        <w:tc>
          <w:tcPr>
            <w:tcW w:w="614" w:type="pct"/>
            <w:vAlign w:val="center"/>
          </w:tcPr>
          <w:p w:rsidRPr="00694029" w:rsidR="00F81D3A" w:rsidP="00604C21" w:rsidRDefault="00F81D3A" w14:paraId="6F9135C1"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2.0</w:t>
            </w:r>
          </w:p>
        </w:tc>
        <w:tc>
          <w:tcPr>
            <w:tcW w:w="549" w:type="pct"/>
            <w:vAlign w:val="center"/>
          </w:tcPr>
          <w:p w:rsidRPr="00694029" w:rsidR="00F81D3A" w:rsidP="00604C21" w:rsidRDefault="00F81D3A" w14:paraId="30C81677"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8.0</w:t>
            </w:r>
          </w:p>
        </w:tc>
        <w:tc>
          <w:tcPr>
            <w:tcW w:w="736" w:type="pct"/>
            <w:vAlign w:val="center"/>
          </w:tcPr>
          <w:p w:rsidRPr="00694029" w:rsidR="00F81D3A" w:rsidP="00604C21" w:rsidRDefault="00F81D3A" w14:paraId="071295B2"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0.07</w:t>
            </w:r>
          </w:p>
        </w:tc>
        <w:tc>
          <w:tcPr>
            <w:tcW w:w="794" w:type="pct"/>
            <w:vAlign w:val="center"/>
          </w:tcPr>
          <w:p w:rsidRPr="00694029" w:rsidR="00F81D3A" w:rsidP="00604C21" w:rsidRDefault="00F81D3A" w14:paraId="6F05858F"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0.3</w:t>
            </w:r>
          </w:p>
        </w:tc>
        <w:tc>
          <w:tcPr>
            <w:tcW w:w="689" w:type="pct"/>
            <w:vAlign w:val="center"/>
          </w:tcPr>
          <w:p w:rsidRPr="00694029" w:rsidR="00F81D3A" w:rsidP="00604C21" w:rsidRDefault="00F81D3A" w14:paraId="41E1AC1F" w14:textId="77777777">
            <w:pPr>
              <w:pStyle w:val="TableText"/>
              <w:spacing w:before="40" w:after="40" w:line="240" w:lineRule="auto"/>
              <w:ind w:left="72"/>
              <w:jc w:val="center"/>
              <w:rPr>
                <w:rFonts w:ascii="Arial" w:hAnsi="Arial"/>
                <w:sz w:val="22"/>
                <w:szCs w:val="22"/>
              </w:rPr>
            </w:pPr>
            <w:r w:rsidRPr="00694029">
              <w:rPr>
                <w:rFonts w:ascii="Arial" w:hAnsi="Arial"/>
                <w:sz w:val="22"/>
                <w:szCs w:val="22"/>
              </w:rPr>
              <w:t>0.025</w:t>
            </w:r>
          </w:p>
        </w:tc>
      </w:tr>
    </w:tbl>
    <w:p w:rsidRPr="00D52F4F" w:rsidR="00F81D3A" w:rsidP="00D30336" w:rsidRDefault="00F81D3A" w14:paraId="06A045C1" w14:textId="77777777">
      <w:pPr>
        <w:pStyle w:val="TableHead"/>
        <w:keepNext/>
        <w:keepLines/>
      </w:pPr>
      <w:r w:rsidRPr="00D52F4F">
        <w:t>County of Monterey First and Second Interim Wasteload Allocations</w:t>
      </w:r>
      <w:r>
        <w:t xml:space="preserve"> </w:t>
      </w:r>
      <w:r w:rsidRPr="00BC3565">
        <w:t>for Nitrogen Compounds and Orthophosphate in the Lower Salinas River Watersheds</w:t>
      </w:r>
      <w:r>
        <w:t xml:space="preserve"> (c</w:t>
      </w:r>
      <w:r w:rsidRPr="00D52F4F">
        <w:t xml:space="preserve">oncentration in </w:t>
      </w:r>
      <w:r>
        <w:t>m</w:t>
      </w:r>
      <w:r w:rsidRPr="00D52F4F">
        <w:t xml:space="preserve">illigrams per </w:t>
      </w:r>
      <w:r>
        <w:t>l</w:t>
      </w:r>
      <w:r w:rsidRPr="00D52F4F">
        <w:t>iter</w:t>
      </w:r>
    </w:p>
    <w:tbl>
      <w:tblPr>
        <w:tblStyle w:val="TableGrid"/>
        <w:tblW w:w="4950" w:type="pct"/>
        <w:tblInd w:w="-63" w:type="dxa"/>
        <w:tblCellMar>
          <w:top w:w="29" w:type="dxa"/>
          <w:left w:w="58" w:type="dxa"/>
          <w:bottom w:w="29" w:type="dxa"/>
          <w:right w:w="58" w:type="dxa"/>
        </w:tblCellMar>
        <w:tblLook w:val="0620" w:firstRow="1" w:lastRow="0" w:firstColumn="0" w:lastColumn="0" w:noHBand="1" w:noVBand="1"/>
        <w:tblCaption w:val="County of Monterey Final Wasteload Allocations (WLAs) Table"/>
      </w:tblPr>
      <w:tblGrid>
        <w:gridCol w:w="3422"/>
        <w:gridCol w:w="2492"/>
        <w:gridCol w:w="2492"/>
        <w:gridCol w:w="2635"/>
        <w:gridCol w:w="2492"/>
      </w:tblGrid>
      <w:tr w:rsidRPr="007E43EE" w:rsidR="00DB54E3" w:rsidTr="007E43EE" w14:paraId="2A0CD7C4" w14:textId="77777777">
        <w:trPr>
          <w:cantSplit/>
          <w:tblHeader/>
        </w:trPr>
        <w:tc>
          <w:tcPr>
            <w:tcW w:w="4019" w:type="dxa"/>
            <w:shd w:val="clear" w:color="auto" w:fill="D6E3BC" w:themeFill="accent3" w:themeFillTint="66"/>
          </w:tcPr>
          <w:p w:rsidRPr="007E43EE" w:rsidR="00F81D3A" w:rsidP="00D30336" w:rsidRDefault="00F81D3A" w14:paraId="4DA0AF04" w14:textId="77777777">
            <w:pPr>
              <w:pStyle w:val="TableText"/>
              <w:keepNext/>
              <w:keepLines/>
              <w:spacing w:before="40" w:after="40" w:line="240" w:lineRule="auto"/>
              <w:jc w:val="center"/>
              <w:rPr>
                <w:rFonts w:ascii="Arial" w:hAnsi="Arial"/>
                <w:b/>
                <w:bCs/>
                <w:sz w:val="22"/>
                <w:szCs w:val="22"/>
                <w:vertAlign w:val="superscript"/>
              </w:rPr>
            </w:pPr>
            <w:r w:rsidRPr="007E43EE">
              <w:rPr>
                <w:rFonts w:ascii="Arial" w:hAnsi="Arial"/>
                <w:b/>
                <w:bCs/>
                <w:sz w:val="22"/>
                <w:szCs w:val="22"/>
              </w:rPr>
              <w:t>Waterbody</w:t>
            </w:r>
          </w:p>
        </w:tc>
        <w:tc>
          <w:tcPr>
            <w:tcW w:w="2880" w:type="dxa"/>
            <w:shd w:val="clear" w:color="auto" w:fill="D6E3BC" w:themeFill="accent3" w:themeFillTint="66"/>
          </w:tcPr>
          <w:p w:rsidRPr="007E43EE" w:rsidR="00F81D3A" w:rsidP="00D30336" w:rsidRDefault="00F81D3A" w14:paraId="2867053F" w14:textId="77777777">
            <w:pPr>
              <w:pStyle w:val="TableText"/>
              <w:keepNext/>
              <w:keepLines/>
              <w:spacing w:before="40" w:after="40" w:line="240" w:lineRule="auto"/>
              <w:jc w:val="center"/>
              <w:rPr>
                <w:rFonts w:ascii="Arial" w:hAnsi="Arial"/>
                <w:b/>
                <w:bCs/>
                <w:sz w:val="22"/>
                <w:szCs w:val="22"/>
              </w:rPr>
            </w:pPr>
            <w:r w:rsidRPr="007E43EE">
              <w:rPr>
                <w:rFonts w:ascii="Arial" w:hAnsi="Arial"/>
                <w:b/>
                <w:bCs/>
                <w:sz w:val="22"/>
                <w:szCs w:val="22"/>
              </w:rPr>
              <w:t>First Interim Wasteload Allocation by October 13, 2027,</w:t>
            </w:r>
            <w:r w:rsidRPr="007E43EE">
              <w:rPr>
                <w:rFonts w:ascii="Arial" w:hAnsi="Arial"/>
                <w:b/>
                <w:bCs/>
                <w:sz w:val="22"/>
                <w:szCs w:val="22"/>
              </w:rPr>
              <w:br/>
            </w:r>
            <w:r w:rsidRPr="007E43EE">
              <w:rPr>
                <w:rFonts w:ascii="Arial" w:hAnsi="Arial"/>
                <w:b/>
                <w:bCs/>
                <w:sz w:val="22"/>
                <w:szCs w:val="22"/>
              </w:rPr>
              <w:t xml:space="preserve">for Nitrate as Nitrogen Year Round </w:t>
            </w:r>
          </w:p>
        </w:tc>
        <w:tc>
          <w:tcPr>
            <w:tcW w:w="2880" w:type="dxa"/>
            <w:shd w:val="clear" w:color="auto" w:fill="D6E3BC" w:themeFill="accent3" w:themeFillTint="66"/>
          </w:tcPr>
          <w:p w:rsidRPr="007E43EE" w:rsidR="00F81D3A" w:rsidP="00D30336" w:rsidRDefault="00F81D3A" w14:paraId="1340FEBB" w14:textId="77777777">
            <w:pPr>
              <w:pStyle w:val="TableText"/>
              <w:keepNext/>
              <w:keepLines/>
              <w:spacing w:before="40" w:after="40" w:line="240" w:lineRule="auto"/>
              <w:jc w:val="center"/>
              <w:rPr>
                <w:rFonts w:ascii="Arial" w:hAnsi="Arial"/>
                <w:b/>
                <w:bCs/>
                <w:sz w:val="22"/>
                <w:szCs w:val="22"/>
              </w:rPr>
            </w:pPr>
            <w:r w:rsidRPr="007E43EE">
              <w:rPr>
                <w:rFonts w:ascii="Arial" w:hAnsi="Arial"/>
                <w:b/>
                <w:bCs/>
                <w:sz w:val="22"/>
                <w:szCs w:val="22"/>
              </w:rPr>
              <w:t xml:space="preserve">First Interim Wasteload Allocation by October 13, 2027, </w:t>
            </w:r>
            <w:r w:rsidRPr="007E43EE">
              <w:rPr>
                <w:rFonts w:ascii="Arial" w:hAnsi="Arial"/>
                <w:b/>
                <w:bCs/>
                <w:sz w:val="22"/>
                <w:szCs w:val="22"/>
              </w:rPr>
              <w:br/>
            </w:r>
            <w:r w:rsidRPr="007E43EE">
              <w:rPr>
                <w:rFonts w:ascii="Arial" w:hAnsi="Arial"/>
                <w:b/>
                <w:bCs/>
                <w:sz w:val="22"/>
                <w:szCs w:val="22"/>
              </w:rPr>
              <w:t>for Un-ionized Ammonia as Nitrogen Year Round</w:t>
            </w:r>
          </w:p>
        </w:tc>
        <w:tc>
          <w:tcPr>
            <w:tcW w:w="2880" w:type="dxa"/>
            <w:shd w:val="clear" w:color="auto" w:fill="D6E3BC" w:themeFill="accent3" w:themeFillTint="66"/>
          </w:tcPr>
          <w:p w:rsidRPr="007E43EE" w:rsidR="00F81D3A" w:rsidP="00D30336" w:rsidRDefault="00F81D3A" w14:paraId="3F79124B" w14:textId="77777777">
            <w:pPr>
              <w:pStyle w:val="TableText"/>
              <w:keepNext/>
              <w:keepLines/>
              <w:spacing w:before="40" w:after="40" w:line="240" w:lineRule="auto"/>
              <w:jc w:val="center"/>
              <w:rPr>
                <w:rFonts w:ascii="Arial" w:hAnsi="Arial"/>
                <w:b/>
                <w:bCs/>
                <w:sz w:val="22"/>
                <w:szCs w:val="22"/>
              </w:rPr>
            </w:pPr>
            <w:r w:rsidRPr="007E43EE">
              <w:rPr>
                <w:rFonts w:ascii="Arial" w:hAnsi="Arial"/>
                <w:b/>
                <w:bCs/>
                <w:sz w:val="22"/>
                <w:szCs w:val="22"/>
              </w:rPr>
              <w:t xml:space="preserve">Second Interim Wasteload Allocation by October 13, 2035, </w:t>
            </w:r>
            <w:r w:rsidRPr="007E43EE">
              <w:rPr>
                <w:rFonts w:ascii="Arial" w:hAnsi="Arial"/>
                <w:b/>
                <w:bCs/>
                <w:sz w:val="22"/>
                <w:szCs w:val="22"/>
              </w:rPr>
              <w:br/>
            </w:r>
            <w:r w:rsidRPr="007E43EE">
              <w:rPr>
                <w:rFonts w:ascii="Arial" w:hAnsi="Arial"/>
                <w:b/>
                <w:bCs/>
                <w:sz w:val="22"/>
                <w:szCs w:val="22"/>
              </w:rPr>
              <w:t xml:space="preserve">for Orthophosphate as Phosphorous </w:t>
            </w:r>
            <w:r w:rsidRPr="007E43EE">
              <w:rPr>
                <w:rFonts w:ascii="Arial" w:hAnsi="Arial"/>
                <w:b/>
                <w:bCs/>
                <w:sz w:val="22"/>
                <w:szCs w:val="22"/>
              </w:rPr>
              <w:br/>
            </w:r>
            <w:r w:rsidRPr="007E43EE">
              <w:rPr>
                <w:rFonts w:ascii="Arial" w:hAnsi="Arial"/>
                <w:b/>
                <w:bCs/>
                <w:sz w:val="22"/>
                <w:szCs w:val="22"/>
              </w:rPr>
              <w:t xml:space="preserve">Wet Season </w:t>
            </w:r>
          </w:p>
        </w:tc>
        <w:tc>
          <w:tcPr>
            <w:tcW w:w="2880" w:type="dxa"/>
            <w:shd w:val="clear" w:color="auto" w:fill="D6E3BC" w:themeFill="accent3" w:themeFillTint="66"/>
          </w:tcPr>
          <w:p w:rsidRPr="007E43EE" w:rsidR="00F81D3A" w:rsidP="00D30336" w:rsidRDefault="00F81D3A" w14:paraId="22BF903A" w14:textId="77777777">
            <w:pPr>
              <w:pStyle w:val="TableText"/>
              <w:keepNext/>
              <w:keepLines/>
              <w:spacing w:before="40" w:after="40" w:line="240" w:lineRule="auto"/>
              <w:jc w:val="center"/>
              <w:rPr>
                <w:rFonts w:ascii="Arial" w:hAnsi="Arial"/>
                <w:b/>
                <w:bCs/>
                <w:sz w:val="22"/>
                <w:szCs w:val="22"/>
              </w:rPr>
            </w:pPr>
            <w:r w:rsidRPr="007E43EE">
              <w:rPr>
                <w:rFonts w:ascii="Arial" w:hAnsi="Arial"/>
                <w:b/>
                <w:bCs/>
                <w:sz w:val="22"/>
                <w:szCs w:val="22"/>
              </w:rPr>
              <w:t xml:space="preserve">Second Interim Wasteload Allocation by October 13, 2035, for Nitrate as Nitrogen </w:t>
            </w:r>
            <w:r w:rsidRPr="007E43EE">
              <w:rPr>
                <w:rFonts w:ascii="Arial" w:hAnsi="Arial"/>
                <w:b/>
                <w:bCs/>
                <w:sz w:val="22"/>
                <w:szCs w:val="22"/>
              </w:rPr>
              <w:br/>
            </w:r>
            <w:r w:rsidRPr="007E43EE">
              <w:rPr>
                <w:rFonts w:ascii="Arial" w:hAnsi="Arial"/>
                <w:b/>
                <w:bCs/>
                <w:sz w:val="22"/>
                <w:szCs w:val="22"/>
              </w:rPr>
              <w:t>Wet Season</w:t>
            </w:r>
          </w:p>
        </w:tc>
      </w:tr>
      <w:tr w:rsidRPr="007E43EE" w:rsidR="00467297" w:rsidTr="003C5E63" w14:paraId="6E974983" w14:textId="77777777">
        <w:trPr>
          <w:cantSplit/>
        </w:trPr>
        <w:tc>
          <w:tcPr>
            <w:tcW w:w="4019" w:type="dxa"/>
          </w:tcPr>
          <w:p w:rsidRPr="007E43EE" w:rsidR="00F81D3A" w:rsidP="007E43EE" w:rsidRDefault="00F81D3A" w14:paraId="49BE33BF" w14:textId="77777777">
            <w:pPr>
              <w:pStyle w:val="TableText"/>
              <w:spacing w:before="40" w:after="40" w:line="240" w:lineRule="auto"/>
              <w:ind w:left="72"/>
              <w:rPr>
                <w:rFonts w:ascii="Arial" w:hAnsi="Arial"/>
                <w:sz w:val="22"/>
                <w:szCs w:val="22"/>
              </w:rPr>
            </w:pPr>
            <w:r w:rsidRPr="007E43EE">
              <w:rPr>
                <w:rFonts w:ascii="Arial" w:hAnsi="Arial"/>
                <w:sz w:val="22"/>
                <w:szCs w:val="22"/>
                <w:u w:val="single"/>
              </w:rPr>
              <w:t>Lower Salinas River:</w:t>
            </w:r>
            <w:r w:rsidRPr="007E43EE">
              <w:rPr>
                <w:rFonts w:ascii="Arial" w:hAnsi="Arial"/>
                <w:sz w:val="22"/>
                <w:szCs w:val="22"/>
              </w:rPr>
              <w:t xml:space="preserve"> all reaches from downstream of Spreckels (downstream of monitoring site 309SSP) to the confluence with the Pacific Ocean including Salinas River Lagoon (North)</w:t>
            </w:r>
          </w:p>
        </w:tc>
        <w:tc>
          <w:tcPr>
            <w:tcW w:w="2880" w:type="dxa"/>
            <w:vAlign w:val="center"/>
          </w:tcPr>
          <w:p w:rsidRPr="007E43EE" w:rsidR="00F81D3A" w:rsidP="007E43EE" w:rsidRDefault="00F81D3A" w14:paraId="20D41369" w14:textId="77777777">
            <w:pPr>
              <w:pStyle w:val="TableText"/>
              <w:tabs>
                <w:tab w:val="left" w:pos="365"/>
              </w:tabs>
              <w:spacing w:before="40" w:after="40" w:line="240" w:lineRule="auto"/>
              <w:ind w:left="72"/>
              <w:jc w:val="center"/>
              <w:rPr>
                <w:rFonts w:ascii="Arial" w:hAnsi="Arial"/>
                <w:sz w:val="22"/>
                <w:szCs w:val="22"/>
              </w:rPr>
            </w:pPr>
            <w:r w:rsidRPr="007E43EE">
              <w:rPr>
                <w:rFonts w:ascii="Arial" w:hAnsi="Arial"/>
                <w:sz w:val="22"/>
                <w:szCs w:val="22"/>
              </w:rPr>
              <w:t>10</w:t>
            </w:r>
          </w:p>
        </w:tc>
        <w:tc>
          <w:tcPr>
            <w:tcW w:w="2880" w:type="dxa"/>
            <w:vAlign w:val="center"/>
          </w:tcPr>
          <w:p w:rsidRPr="007E43EE" w:rsidR="00F81D3A" w:rsidP="007E43EE" w:rsidRDefault="00F81D3A" w14:paraId="02F961A4" w14:textId="77777777">
            <w:pPr>
              <w:pStyle w:val="TableText"/>
              <w:spacing w:before="40" w:after="40" w:line="240" w:lineRule="auto"/>
              <w:ind w:left="72"/>
              <w:jc w:val="center"/>
              <w:rPr>
                <w:rFonts w:ascii="Arial" w:hAnsi="Arial"/>
                <w:sz w:val="22"/>
                <w:szCs w:val="22"/>
              </w:rPr>
            </w:pPr>
            <w:r w:rsidRPr="007E43EE">
              <w:rPr>
                <w:rFonts w:ascii="Arial" w:hAnsi="Arial" w:eastAsiaTheme="minorHAnsi"/>
                <w:sz w:val="22"/>
                <w:szCs w:val="22"/>
              </w:rPr>
              <w:t>.025</w:t>
            </w:r>
          </w:p>
        </w:tc>
        <w:tc>
          <w:tcPr>
            <w:tcW w:w="2880" w:type="dxa"/>
            <w:vAlign w:val="center"/>
          </w:tcPr>
          <w:p w:rsidRPr="007E43EE" w:rsidR="00F81D3A" w:rsidP="007E43EE" w:rsidRDefault="00F81D3A" w14:paraId="3423706C" w14:textId="77777777">
            <w:pPr>
              <w:pStyle w:val="TableText"/>
              <w:spacing w:before="40" w:after="40" w:line="240" w:lineRule="auto"/>
              <w:ind w:left="665" w:hanging="593"/>
              <w:jc w:val="center"/>
              <w:rPr>
                <w:rFonts w:ascii="Arial" w:hAnsi="Arial"/>
                <w:sz w:val="22"/>
                <w:szCs w:val="22"/>
              </w:rPr>
            </w:pPr>
            <w:r w:rsidRPr="007E43EE">
              <w:rPr>
                <w:rFonts w:ascii="Arial" w:hAnsi="Arial"/>
                <w:sz w:val="22"/>
                <w:szCs w:val="22"/>
              </w:rPr>
              <w:t>0.3</w:t>
            </w:r>
          </w:p>
        </w:tc>
        <w:tc>
          <w:tcPr>
            <w:tcW w:w="2880" w:type="dxa"/>
            <w:vAlign w:val="center"/>
          </w:tcPr>
          <w:p w:rsidRPr="007E43EE" w:rsidR="00F81D3A" w:rsidP="007E43EE" w:rsidRDefault="00F81D3A" w14:paraId="4E9CC0A5" w14:textId="77777777">
            <w:pPr>
              <w:pStyle w:val="TableText"/>
              <w:spacing w:before="40" w:after="40" w:line="240" w:lineRule="auto"/>
              <w:ind w:left="665" w:hanging="593"/>
              <w:jc w:val="center"/>
              <w:rPr>
                <w:rFonts w:ascii="Arial" w:hAnsi="Arial"/>
                <w:sz w:val="22"/>
                <w:szCs w:val="22"/>
              </w:rPr>
            </w:pPr>
            <w:r w:rsidRPr="007E43EE">
              <w:rPr>
                <w:rFonts w:ascii="Arial" w:hAnsi="Arial" w:eastAsiaTheme="minorHAnsi"/>
                <w:sz w:val="22"/>
                <w:szCs w:val="22"/>
              </w:rPr>
              <w:t>.025</w:t>
            </w:r>
          </w:p>
        </w:tc>
      </w:tr>
      <w:tr w:rsidRPr="007E43EE" w:rsidR="00467297" w:rsidTr="003C5E63" w14:paraId="28377D41" w14:textId="77777777">
        <w:trPr>
          <w:cantSplit/>
        </w:trPr>
        <w:tc>
          <w:tcPr>
            <w:tcW w:w="4019" w:type="dxa"/>
          </w:tcPr>
          <w:p w:rsidRPr="007E43EE" w:rsidR="00F81D3A" w:rsidP="007E43EE" w:rsidRDefault="00F81D3A" w14:paraId="3CEC230C" w14:textId="77777777">
            <w:pPr>
              <w:spacing w:before="40" w:after="40" w:line="240" w:lineRule="auto"/>
              <w:ind w:left="72"/>
              <w:rPr>
                <w:rFonts w:ascii="Arial" w:hAnsi="Arial" w:cs="Arial"/>
                <w:sz w:val="22"/>
                <w:szCs w:val="22"/>
              </w:rPr>
            </w:pPr>
            <w:r w:rsidRPr="007E43EE">
              <w:rPr>
                <w:rFonts w:ascii="Arial" w:hAnsi="Arial" w:cs="Arial"/>
                <w:sz w:val="22"/>
                <w:szCs w:val="22"/>
                <w:u w:val="single"/>
              </w:rPr>
              <w:t>Natividad Creek</w:t>
            </w:r>
            <w:r w:rsidRPr="007E43EE">
              <w:rPr>
                <w:rFonts w:ascii="Arial" w:hAnsi="Arial" w:cs="Arial"/>
                <w:sz w:val="22"/>
                <w:szCs w:val="22"/>
              </w:rPr>
              <w:t>: all reaches and tributaries, from the confluence with Carr Lake to the uppermost reach of the waterbody: all reaches and tributaries, from the confluence with the Reclamation Canal to the uppermost reach of the waterbody.</w:t>
            </w:r>
          </w:p>
          <w:p w:rsidRPr="007E43EE" w:rsidR="00F81D3A" w:rsidP="007E43EE" w:rsidRDefault="00F81D3A" w14:paraId="4A0951F5" w14:textId="77777777">
            <w:pPr>
              <w:pStyle w:val="TableText"/>
              <w:spacing w:before="40" w:after="40" w:line="240" w:lineRule="auto"/>
              <w:ind w:left="72"/>
              <w:rPr>
                <w:rFonts w:ascii="Arial" w:hAnsi="Arial"/>
                <w:sz w:val="22"/>
                <w:szCs w:val="22"/>
              </w:rPr>
            </w:pPr>
            <w:r w:rsidRPr="007E43EE">
              <w:rPr>
                <w:rFonts w:ascii="Arial" w:hAnsi="Arial"/>
                <w:sz w:val="22"/>
                <w:szCs w:val="22"/>
                <w:u w:val="single"/>
              </w:rPr>
              <w:t>Reclamation Canal</w:t>
            </w:r>
            <w:r w:rsidRPr="007E43EE">
              <w:rPr>
                <w:rFonts w:ascii="Arial" w:hAnsi="Arial"/>
                <w:sz w:val="22"/>
                <w:szCs w:val="22"/>
              </w:rPr>
              <w:t>: all reaches and tributaries, which includes from confluence with Tembladero Slough, to upstream confluence with Alisal Creek.</w:t>
            </w:r>
          </w:p>
        </w:tc>
        <w:tc>
          <w:tcPr>
            <w:tcW w:w="2880" w:type="dxa"/>
            <w:vAlign w:val="center"/>
          </w:tcPr>
          <w:p w:rsidRPr="007E43EE" w:rsidR="00F81D3A" w:rsidP="007E43EE" w:rsidRDefault="00F81D3A" w14:paraId="629A1299" w14:textId="77777777">
            <w:pPr>
              <w:pStyle w:val="TableText"/>
              <w:spacing w:before="40" w:after="40" w:line="240" w:lineRule="auto"/>
              <w:ind w:left="72"/>
              <w:jc w:val="center"/>
              <w:rPr>
                <w:rFonts w:ascii="Arial" w:hAnsi="Arial"/>
                <w:sz w:val="22"/>
                <w:szCs w:val="22"/>
              </w:rPr>
            </w:pPr>
            <w:r w:rsidRPr="007E43EE">
              <w:rPr>
                <w:rFonts w:ascii="Arial" w:hAnsi="Arial"/>
                <w:sz w:val="22"/>
                <w:szCs w:val="22"/>
              </w:rPr>
              <w:t>10</w:t>
            </w:r>
          </w:p>
        </w:tc>
        <w:tc>
          <w:tcPr>
            <w:tcW w:w="2880" w:type="dxa"/>
            <w:vAlign w:val="center"/>
          </w:tcPr>
          <w:p w:rsidRPr="007E43EE" w:rsidR="00F81D3A" w:rsidP="007E43EE" w:rsidRDefault="00F81D3A" w14:paraId="4BC85551" w14:textId="77777777">
            <w:pPr>
              <w:pStyle w:val="TableText"/>
              <w:spacing w:before="40" w:after="40" w:line="240" w:lineRule="auto"/>
              <w:ind w:left="72"/>
              <w:jc w:val="center"/>
              <w:rPr>
                <w:rFonts w:ascii="Arial" w:hAnsi="Arial"/>
                <w:sz w:val="22"/>
                <w:szCs w:val="22"/>
              </w:rPr>
            </w:pPr>
            <w:r w:rsidRPr="007E43EE">
              <w:rPr>
                <w:rFonts w:ascii="Arial" w:hAnsi="Arial" w:eastAsiaTheme="minorHAnsi"/>
                <w:sz w:val="22"/>
                <w:szCs w:val="22"/>
              </w:rPr>
              <w:t>.025</w:t>
            </w:r>
          </w:p>
        </w:tc>
        <w:tc>
          <w:tcPr>
            <w:tcW w:w="2880" w:type="dxa"/>
            <w:vAlign w:val="center"/>
          </w:tcPr>
          <w:p w:rsidRPr="007E43EE" w:rsidR="00F81D3A" w:rsidP="007E43EE" w:rsidRDefault="00F81D3A" w14:paraId="5F7DE72E" w14:textId="77777777">
            <w:pPr>
              <w:pStyle w:val="TableText"/>
              <w:spacing w:before="40" w:after="40" w:line="240" w:lineRule="auto"/>
              <w:ind w:left="72"/>
              <w:jc w:val="center"/>
              <w:rPr>
                <w:rFonts w:ascii="Arial" w:hAnsi="Arial"/>
                <w:sz w:val="22"/>
                <w:szCs w:val="22"/>
              </w:rPr>
            </w:pPr>
            <w:r w:rsidRPr="007E43EE">
              <w:rPr>
                <w:rFonts w:ascii="Arial" w:hAnsi="Arial"/>
                <w:sz w:val="22"/>
                <w:szCs w:val="22"/>
              </w:rPr>
              <w:t>0.3</w:t>
            </w:r>
          </w:p>
        </w:tc>
        <w:tc>
          <w:tcPr>
            <w:tcW w:w="2880" w:type="dxa"/>
            <w:vAlign w:val="center"/>
          </w:tcPr>
          <w:p w:rsidRPr="007E43EE" w:rsidR="00F81D3A" w:rsidP="007E43EE" w:rsidRDefault="00F81D3A" w14:paraId="7C1AB8FB" w14:textId="77777777">
            <w:pPr>
              <w:pStyle w:val="TableText"/>
              <w:spacing w:before="40" w:after="40" w:line="240" w:lineRule="auto"/>
              <w:ind w:left="72"/>
              <w:jc w:val="center"/>
              <w:rPr>
                <w:rFonts w:ascii="Arial" w:hAnsi="Arial"/>
                <w:sz w:val="22"/>
                <w:szCs w:val="22"/>
              </w:rPr>
            </w:pPr>
            <w:r w:rsidRPr="007E43EE">
              <w:rPr>
                <w:rFonts w:ascii="Arial" w:hAnsi="Arial" w:eastAsiaTheme="minorHAnsi"/>
                <w:sz w:val="22"/>
                <w:szCs w:val="22"/>
              </w:rPr>
              <w:t>.025</w:t>
            </w:r>
          </w:p>
        </w:tc>
      </w:tr>
      <w:tr w:rsidRPr="007E43EE" w:rsidR="00467297" w:rsidTr="003C5E63" w14:paraId="0B285F8A" w14:textId="77777777">
        <w:trPr>
          <w:cantSplit/>
        </w:trPr>
        <w:tc>
          <w:tcPr>
            <w:tcW w:w="4019" w:type="dxa"/>
          </w:tcPr>
          <w:p w:rsidRPr="007E43EE" w:rsidR="00F81D3A" w:rsidP="007E43EE" w:rsidRDefault="00F81D3A" w14:paraId="73CCFB0E" w14:textId="77777777">
            <w:pPr>
              <w:pStyle w:val="TableText"/>
              <w:spacing w:before="40" w:after="40" w:line="240" w:lineRule="auto"/>
              <w:ind w:left="72"/>
              <w:rPr>
                <w:rFonts w:ascii="Arial" w:hAnsi="Arial"/>
                <w:sz w:val="22"/>
                <w:szCs w:val="22"/>
              </w:rPr>
            </w:pPr>
            <w:r w:rsidRPr="007E43EE">
              <w:rPr>
                <w:rFonts w:ascii="Arial" w:hAnsi="Arial"/>
                <w:sz w:val="22"/>
                <w:szCs w:val="22"/>
                <w:u w:val="single"/>
              </w:rPr>
              <w:t>Gabilan Creek</w:t>
            </w:r>
            <w:r w:rsidRPr="007E43EE">
              <w:rPr>
                <w:rFonts w:ascii="Arial" w:hAnsi="Arial"/>
                <w:sz w:val="22"/>
                <w:szCs w:val="22"/>
              </w:rPr>
              <w:t>: all reaches and tributaries downstream of Crazy Horse Rd.</w:t>
            </w:r>
          </w:p>
        </w:tc>
        <w:tc>
          <w:tcPr>
            <w:tcW w:w="2880" w:type="dxa"/>
            <w:vAlign w:val="center"/>
          </w:tcPr>
          <w:p w:rsidRPr="007E43EE" w:rsidR="00F81D3A" w:rsidP="007E43EE" w:rsidRDefault="00F81D3A" w14:paraId="19C83D20" w14:textId="77777777">
            <w:pPr>
              <w:pStyle w:val="TableText"/>
              <w:spacing w:before="40" w:after="40" w:line="240" w:lineRule="auto"/>
              <w:ind w:left="72"/>
              <w:jc w:val="center"/>
              <w:rPr>
                <w:rFonts w:ascii="Arial" w:hAnsi="Arial"/>
                <w:sz w:val="22"/>
                <w:szCs w:val="22"/>
              </w:rPr>
            </w:pPr>
            <w:r w:rsidRPr="007E43EE">
              <w:rPr>
                <w:rFonts w:ascii="Arial" w:hAnsi="Arial"/>
                <w:sz w:val="22"/>
                <w:szCs w:val="22"/>
              </w:rPr>
              <w:t>10</w:t>
            </w:r>
          </w:p>
        </w:tc>
        <w:tc>
          <w:tcPr>
            <w:tcW w:w="2880" w:type="dxa"/>
            <w:vAlign w:val="center"/>
          </w:tcPr>
          <w:p w:rsidRPr="007E43EE" w:rsidR="00F81D3A" w:rsidP="007E43EE" w:rsidRDefault="00F81D3A" w14:paraId="31DDC3FA" w14:textId="77777777">
            <w:pPr>
              <w:pStyle w:val="TableText"/>
              <w:spacing w:before="40" w:after="40" w:line="240" w:lineRule="auto"/>
              <w:ind w:left="72"/>
              <w:jc w:val="center"/>
              <w:rPr>
                <w:rFonts w:ascii="Arial" w:hAnsi="Arial"/>
                <w:sz w:val="22"/>
                <w:szCs w:val="22"/>
              </w:rPr>
            </w:pPr>
            <w:r w:rsidRPr="007E43EE">
              <w:rPr>
                <w:rFonts w:ascii="Arial" w:hAnsi="Arial" w:eastAsiaTheme="minorHAnsi"/>
                <w:sz w:val="22"/>
                <w:szCs w:val="22"/>
              </w:rPr>
              <w:t>.025</w:t>
            </w:r>
          </w:p>
        </w:tc>
        <w:tc>
          <w:tcPr>
            <w:tcW w:w="2880" w:type="dxa"/>
            <w:vAlign w:val="center"/>
          </w:tcPr>
          <w:p w:rsidRPr="007E43EE" w:rsidR="00F81D3A" w:rsidP="007E43EE" w:rsidRDefault="00F81D3A" w14:paraId="23B40F03" w14:textId="77777777">
            <w:pPr>
              <w:pStyle w:val="TableText"/>
              <w:spacing w:before="40" w:after="40" w:line="240" w:lineRule="auto"/>
              <w:ind w:left="72"/>
              <w:jc w:val="center"/>
              <w:rPr>
                <w:rFonts w:ascii="Arial" w:hAnsi="Arial"/>
                <w:sz w:val="22"/>
                <w:szCs w:val="22"/>
              </w:rPr>
            </w:pPr>
            <w:r w:rsidRPr="007E43EE">
              <w:rPr>
                <w:rFonts w:ascii="Arial" w:hAnsi="Arial"/>
                <w:sz w:val="22"/>
                <w:szCs w:val="22"/>
              </w:rPr>
              <w:t>0.3</w:t>
            </w:r>
          </w:p>
        </w:tc>
        <w:tc>
          <w:tcPr>
            <w:tcW w:w="2880" w:type="dxa"/>
            <w:vAlign w:val="center"/>
          </w:tcPr>
          <w:p w:rsidRPr="000310EE" w:rsidR="00F81D3A" w:rsidP="007E43EE" w:rsidRDefault="00F81D3A" w14:paraId="4DB09A9D" w14:textId="77777777">
            <w:pPr>
              <w:pStyle w:val="TableText"/>
              <w:spacing w:before="40" w:after="40" w:line="240" w:lineRule="auto"/>
              <w:ind w:left="72"/>
              <w:jc w:val="center"/>
              <w:rPr>
                <w:rFonts w:ascii="Arial" w:hAnsi="Arial"/>
                <w:sz w:val="22"/>
                <w:szCs w:val="22"/>
              </w:rPr>
            </w:pPr>
            <w:r w:rsidRPr="000310EE">
              <w:rPr>
                <w:rFonts w:ascii="Arial" w:hAnsi="Arial" w:eastAsiaTheme="minorHAnsi"/>
                <w:sz w:val="22"/>
                <w:szCs w:val="22"/>
              </w:rPr>
              <w:t>.025</w:t>
            </w:r>
          </w:p>
        </w:tc>
      </w:tr>
      <w:tr w:rsidRPr="007E43EE" w:rsidR="00467297" w:rsidTr="003C5E63" w14:paraId="552BFA39" w14:textId="77777777">
        <w:trPr>
          <w:cantSplit/>
        </w:trPr>
        <w:tc>
          <w:tcPr>
            <w:tcW w:w="4019" w:type="dxa"/>
          </w:tcPr>
          <w:p w:rsidRPr="007E43EE" w:rsidR="00F81D3A" w:rsidP="007E43EE" w:rsidRDefault="00F81D3A" w14:paraId="26E5F731" w14:textId="77777777">
            <w:pPr>
              <w:pStyle w:val="TableText"/>
              <w:spacing w:before="40" w:after="40" w:line="240" w:lineRule="auto"/>
              <w:ind w:left="72"/>
              <w:rPr>
                <w:rFonts w:ascii="Arial" w:hAnsi="Arial"/>
                <w:sz w:val="22"/>
                <w:szCs w:val="22"/>
              </w:rPr>
            </w:pPr>
            <w:r w:rsidRPr="007E43EE">
              <w:rPr>
                <w:rFonts w:ascii="Arial" w:hAnsi="Arial"/>
                <w:sz w:val="22"/>
                <w:szCs w:val="22"/>
                <w:u w:val="single"/>
              </w:rPr>
              <w:t>Natividad Creek</w:t>
            </w:r>
            <w:r w:rsidRPr="007E43EE">
              <w:rPr>
                <w:rFonts w:ascii="Arial" w:hAnsi="Arial"/>
                <w:sz w:val="22"/>
                <w:szCs w:val="22"/>
              </w:rPr>
              <w:t xml:space="preserve">: all reaches and tributaries, from the confluence with Carr Lake to the uppermost reach of the waterbody </w:t>
            </w:r>
            <w:r w:rsidRPr="007E43EE">
              <w:rPr>
                <w:rFonts w:ascii="Arial" w:hAnsi="Arial"/>
                <w:sz w:val="22"/>
                <w:szCs w:val="22"/>
              </w:rPr>
              <w:br/>
            </w:r>
            <w:r w:rsidRPr="007E43EE">
              <w:rPr>
                <w:rFonts w:ascii="Arial" w:hAnsi="Arial"/>
                <w:sz w:val="22"/>
                <w:szCs w:val="22"/>
                <w:u w:val="single"/>
              </w:rPr>
              <w:t>Alisal Creek</w:t>
            </w:r>
            <w:r w:rsidRPr="007E43EE">
              <w:rPr>
                <w:rFonts w:ascii="Arial" w:hAnsi="Arial"/>
                <w:sz w:val="22"/>
                <w:szCs w:val="22"/>
              </w:rPr>
              <w:t>: all reaches and tributaries from the confluence with the Reclamation Canal to the uppermost reach of the waterbody.</w:t>
            </w:r>
          </w:p>
        </w:tc>
        <w:tc>
          <w:tcPr>
            <w:tcW w:w="2880" w:type="dxa"/>
            <w:vAlign w:val="center"/>
          </w:tcPr>
          <w:p w:rsidRPr="007E43EE" w:rsidR="00F81D3A" w:rsidP="007E43EE" w:rsidRDefault="00F81D3A" w14:paraId="5F48E645" w14:textId="77777777">
            <w:pPr>
              <w:pStyle w:val="TableText"/>
              <w:spacing w:before="40" w:after="40" w:line="240" w:lineRule="auto"/>
              <w:ind w:left="72"/>
              <w:jc w:val="center"/>
              <w:rPr>
                <w:rFonts w:ascii="Arial" w:hAnsi="Arial"/>
                <w:sz w:val="22"/>
                <w:szCs w:val="22"/>
              </w:rPr>
            </w:pPr>
            <w:r w:rsidRPr="007E43EE">
              <w:rPr>
                <w:rFonts w:ascii="Arial" w:hAnsi="Arial"/>
                <w:sz w:val="22"/>
                <w:szCs w:val="22"/>
              </w:rPr>
              <w:t>10</w:t>
            </w:r>
          </w:p>
        </w:tc>
        <w:tc>
          <w:tcPr>
            <w:tcW w:w="2880" w:type="dxa"/>
            <w:vAlign w:val="center"/>
          </w:tcPr>
          <w:p w:rsidRPr="007E43EE" w:rsidR="00F81D3A" w:rsidP="007E43EE" w:rsidRDefault="00F81D3A" w14:paraId="0AB6CC3F" w14:textId="77777777">
            <w:pPr>
              <w:pStyle w:val="TableText"/>
              <w:spacing w:before="40" w:after="40" w:line="240" w:lineRule="auto"/>
              <w:ind w:left="72"/>
              <w:jc w:val="center"/>
              <w:rPr>
                <w:rFonts w:ascii="Arial" w:hAnsi="Arial"/>
                <w:sz w:val="22"/>
                <w:szCs w:val="22"/>
              </w:rPr>
            </w:pPr>
            <w:r w:rsidRPr="007E43EE">
              <w:rPr>
                <w:rFonts w:ascii="Arial" w:hAnsi="Arial" w:eastAsiaTheme="minorHAnsi"/>
                <w:sz w:val="22"/>
                <w:szCs w:val="22"/>
              </w:rPr>
              <w:t>.025</w:t>
            </w:r>
          </w:p>
        </w:tc>
        <w:tc>
          <w:tcPr>
            <w:tcW w:w="2880" w:type="dxa"/>
            <w:vAlign w:val="center"/>
          </w:tcPr>
          <w:p w:rsidRPr="007E43EE" w:rsidR="00F81D3A" w:rsidP="007E43EE" w:rsidRDefault="00F81D3A" w14:paraId="21C644EF" w14:textId="77777777">
            <w:pPr>
              <w:pStyle w:val="TableText"/>
              <w:spacing w:before="40" w:after="40" w:line="240" w:lineRule="auto"/>
              <w:ind w:left="72"/>
              <w:jc w:val="center"/>
              <w:rPr>
                <w:rFonts w:ascii="Arial" w:hAnsi="Arial"/>
                <w:sz w:val="22"/>
                <w:szCs w:val="22"/>
              </w:rPr>
            </w:pPr>
            <w:r w:rsidRPr="007E43EE">
              <w:rPr>
                <w:rFonts w:ascii="Arial" w:hAnsi="Arial"/>
                <w:sz w:val="22"/>
                <w:szCs w:val="22"/>
              </w:rPr>
              <w:t>0.3</w:t>
            </w:r>
          </w:p>
        </w:tc>
        <w:tc>
          <w:tcPr>
            <w:tcW w:w="2880" w:type="dxa"/>
            <w:vAlign w:val="center"/>
          </w:tcPr>
          <w:p w:rsidRPr="000310EE" w:rsidR="00F81D3A" w:rsidP="007E43EE" w:rsidRDefault="00F81D3A" w14:paraId="4E4F5991" w14:textId="77777777">
            <w:pPr>
              <w:pStyle w:val="TableText"/>
              <w:spacing w:before="40" w:after="40" w:line="240" w:lineRule="auto"/>
              <w:ind w:left="72"/>
              <w:jc w:val="center"/>
              <w:rPr>
                <w:rFonts w:ascii="Arial" w:hAnsi="Arial"/>
                <w:sz w:val="22"/>
                <w:szCs w:val="22"/>
              </w:rPr>
            </w:pPr>
            <w:r w:rsidRPr="000310EE">
              <w:rPr>
                <w:rFonts w:ascii="Arial" w:hAnsi="Arial" w:eastAsiaTheme="minorHAnsi"/>
                <w:sz w:val="22"/>
                <w:szCs w:val="22"/>
              </w:rPr>
              <w:t>.025</w:t>
            </w:r>
          </w:p>
        </w:tc>
      </w:tr>
    </w:tbl>
    <w:p w:rsidRPr="00D52F4F" w:rsidR="00F81D3A" w:rsidP="00F81D3A" w:rsidRDefault="00F81D3A" w14:paraId="132B41CA" w14:textId="77777777">
      <w:pPr>
        <w:spacing w:after="0" w:line="240" w:lineRule="auto"/>
        <w:rPr>
          <w:rFonts w:cs="Arial"/>
          <w:b/>
          <w:bCs/>
        </w:rPr>
      </w:pPr>
    </w:p>
    <w:p w:rsidRPr="00D52F4F" w:rsidR="00F81D3A" w:rsidP="00F81D3A" w:rsidRDefault="00F81D3A" w14:paraId="7D879721" w14:textId="77777777">
      <w:pPr>
        <w:ind w:left="1260"/>
        <w:rPr>
          <w:rFonts w:cs="Arial"/>
        </w:rPr>
        <w:sectPr w:rsidRPr="00D52F4F" w:rsidR="00F81D3A" w:rsidSect="00A86034">
          <w:footnotePr>
            <w:numRestart w:val="eachSect"/>
          </w:footnotePr>
          <w:pgSz w:w="15840" w:h="12240" w:orient="landscape"/>
          <w:pgMar w:top="1080" w:right="1080" w:bottom="1080" w:left="1080" w:header="360" w:footer="530" w:gutter="0"/>
          <w:cols w:space="720"/>
          <w:titlePg/>
          <w:docGrid w:linePitch="360"/>
        </w:sectPr>
      </w:pPr>
    </w:p>
    <w:p w:rsidRPr="0069676D" w:rsidR="00110BB6" w:rsidP="0069676D" w:rsidRDefault="00836361" w14:paraId="05FDF249" w14:textId="7EF17345">
      <w:pPr>
        <w:pStyle w:val="Heading3"/>
        <w:tabs>
          <w:tab w:val="clear" w:pos="720"/>
          <w:tab w:val="left" w:pos="1260"/>
        </w:tabs>
        <w:ind w:left="1260" w:hanging="1260"/>
        <w:rPr>
          <w:i/>
          <w:iCs/>
        </w:rPr>
      </w:pPr>
      <w:r>
        <w:rPr>
          <w:i/>
          <w:iCs/>
        </w:rPr>
        <w:t>A13</w:t>
      </w:r>
      <w:r w:rsidRPr="0069676D" w:rsidR="0051459D">
        <w:rPr>
          <w:i/>
          <w:iCs/>
        </w:rPr>
        <w:t>.3</w:t>
      </w:r>
      <w:r w:rsidRPr="0069676D" w:rsidR="00110BB6">
        <w:rPr>
          <w:i/>
          <w:iCs/>
        </w:rPr>
        <w:t>.17</w:t>
      </w:r>
      <w:r w:rsidRPr="0069676D" w:rsidR="00110BB6">
        <w:rPr>
          <w:i/>
          <w:iCs/>
        </w:rPr>
        <w:tab/>
      </w:r>
      <w:r w:rsidRPr="0069676D" w:rsidR="00110BB6">
        <w:rPr>
          <w:i/>
          <w:iCs/>
        </w:rPr>
        <w:t>TMDL for Toxicity and Pesticides in the Santa Maria Watershed</w:t>
      </w:r>
    </w:p>
    <w:p w:rsidRPr="00D52F4F" w:rsidR="00110BB6" w:rsidP="00110BB6" w:rsidRDefault="00110BB6" w14:paraId="7A448586" w14:textId="255A500C">
      <w:pPr>
        <w:ind w:left="1260"/>
        <w:rPr>
          <w:rFonts w:cs="Arial"/>
        </w:rPr>
      </w:pPr>
      <w:r w:rsidRPr="00A53808">
        <w:rPr>
          <w:rFonts w:cs="Arial"/>
          <w:b/>
          <w:bCs/>
        </w:rPr>
        <w:t>Description:</w:t>
      </w:r>
      <w:r>
        <w:rPr>
          <w:rFonts w:cs="Arial"/>
        </w:rPr>
        <w:t xml:space="preserve"> </w:t>
      </w:r>
      <w:r w:rsidR="00766ACF">
        <w:rPr>
          <w:rFonts w:cs="Arial"/>
        </w:rPr>
        <w:t>USEPA</w:t>
      </w:r>
      <w:r w:rsidR="00C56C92">
        <w:rPr>
          <w:rFonts w:cs="Arial"/>
        </w:rPr>
        <w:t xml:space="preserve"> </w:t>
      </w:r>
      <w:r>
        <w:rPr>
          <w:rFonts w:cs="Arial"/>
        </w:rPr>
        <w:t xml:space="preserve">approved the TMDL on August 31, 2015. </w:t>
      </w:r>
      <w:r w:rsidRPr="00A53808">
        <w:rPr>
          <w:rFonts w:cs="Arial"/>
        </w:rPr>
        <w:t>Surface waters in the Santa Maria River watershed are polluted with pesticides due to historic widespread use in the watershed. The organochlorine pesticides included in the TMDL are no longer applied in the watershed but are persistent in the environment. The TMDL identifies urban stormwater as a source of these pollutants.</w:t>
      </w:r>
    </w:p>
    <w:p w:rsidRPr="00D52F4F" w:rsidR="00110BB6" w:rsidP="00110BB6" w:rsidRDefault="00110BB6" w14:paraId="31C36FEC" w14:textId="5DC6101E">
      <w:pPr>
        <w:ind w:left="1260"/>
        <w:rPr>
          <w:rFonts w:cs="Arial"/>
        </w:rPr>
      </w:pPr>
      <w:r w:rsidRPr="006A53D3">
        <w:rPr>
          <w:b/>
        </w:rPr>
        <w:t>Responsible Permi</w:t>
      </w:r>
      <w:r w:rsidR="0091593F">
        <w:rPr>
          <w:b/>
        </w:rPr>
        <w:t>t</w:t>
      </w:r>
      <w:r w:rsidRPr="006A53D3">
        <w:rPr>
          <w:b/>
        </w:rPr>
        <w:t>tees</w:t>
      </w:r>
      <w:r w:rsidRPr="00315677">
        <w:rPr>
          <w:b/>
        </w:rPr>
        <w:t>:</w:t>
      </w:r>
      <w:r w:rsidRPr="00D52F4F">
        <w:rPr>
          <w:b/>
          <w:bCs/>
        </w:rPr>
        <w:t xml:space="preserve"> </w:t>
      </w:r>
      <w:r w:rsidRPr="00D52F4F">
        <w:rPr>
          <w:rFonts w:cs="Arial"/>
        </w:rPr>
        <w:t>City of Guadalupe, City of Santa Maria, and the County of Santa Barbara.</w:t>
      </w:r>
    </w:p>
    <w:p w:rsidRPr="00D52F4F" w:rsidR="00110BB6" w:rsidP="00093E93" w:rsidRDefault="00110BB6" w14:paraId="31A98F85" w14:textId="7B557233">
      <w:pPr>
        <w:ind w:left="1267"/>
        <w:rPr>
          <w:rFonts w:cs="Arial"/>
        </w:rPr>
      </w:pPr>
      <w:r w:rsidRPr="00D52F4F">
        <w:rPr>
          <w:b/>
        </w:rPr>
        <w:t>Wasteload Allocations:</w:t>
      </w:r>
      <w:r w:rsidRPr="00D52F4F">
        <w:rPr>
          <w:b/>
          <w:bCs/>
        </w:rPr>
        <w:t xml:space="preserve"> </w:t>
      </w:r>
      <w:r w:rsidRPr="00D52F4F">
        <w:t>The TMDL assigns</w:t>
      </w:r>
      <w:r w:rsidR="005B1C5A">
        <w:t xml:space="preserve"> the</w:t>
      </w:r>
      <w:r w:rsidRPr="00D52F4F">
        <w:t xml:space="preserve"> </w:t>
      </w:r>
      <w:r w:rsidRPr="00D52F4F">
        <w:rPr>
          <w:rFonts w:cs="Arial"/>
        </w:rPr>
        <w:t xml:space="preserve">following </w:t>
      </w:r>
      <w:r>
        <w:rPr>
          <w:rFonts w:cs="Arial"/>
        </w:rPr>
        <w:t>wasteload</w:t>
      </w:r>
      <w:r w:rsidRPr="00D52F4F">
        <w:rPr>
          <w:rFonts w:cs="Arial"/>
        </w:rPr>
        <w:t xml:space="preserve"> allocations to the City of Santa Maria, County of Santa Barbara, and City of Guadalupe:</w:t>
      </w:r>
    </w:p>
    <w:p w:rsidRPr="00D52F4F" w:rsidR="00110BB6" w:rsidP="005C23DD" w:rsidRDefault="00110BB6" w14:paraId="50F3B28A" w14:textId="33AEF214">
      <w:pPr>
        <w:pStyle w:val="TableHead"/>
        <w:spacing w:before="120"/>
        <w:ind w:firstLine="1170"/>
      </w:pPr>
      <w:r w:rsidRPr="00D52F4F">
        <w:t xml:space="preserve">Santa Maria Watershed </w:t>
      </w:r>
      <w:r w:rsidRPr="00A53808">
        <w:t xml:space="preserve">Pyrethroid Pesticides </w:t>
      </w:r>
      <w:r w:rsidRPr="00D52F4F">
        <w:t>Wasteload Allocations</w:t>
      </w:r>
    </w:p>
    <w:tbl>
      <w:tblPr>
        <w:tblStyle w:val="TableGrid"/>
        <w:tblW w:w="8138" w:type="dxa"/>
        <w:tblInd w:w="1255" w:type="dxa"/>
        <w:tblLook w:val="0620" w:firstRow="1" w:lastRow="0" w:firstColumn="0" w:lastColumn="0" w:noHBand="1" w:noVBand="1"/>
        <w:tblCaption w:val="Santa Maria River Watershed Wasteload Allocations Table"/>
      </w:tblPr>
      <w:tblGrid>
        <w:gridCol w:w="2942"/>
        <w:gridCol w:w="2099"/>
        <w:gridCol w:w="3097"/>
      </w:tblGrid>
      <w:tr w:rsidRPr="00E47931" w:rsidR="00110BB6" w:rsidTr="005C23DD" w14:paraId="065C72EC" w14:textId="77777777">
        <w:trPr>
          <w:cantSplit/>
          <w:trHeight w:val="317"/>
        </w:trPr>
        <w:tc>
          <w:tcPr>
            <w:tcW w:w="2942" w:type="dxa"/>
            <w:shd w:val="clear" w:color="auto" w:fill="D6E3BC" w:themeFill="accent3" w:themeFillTint="66"/>
            <w:vAlign w:val="center"/>
          </w:tcPr>
          <w:p w:rsidRPr="00E47931" w:rsidR="00110BB6" w:rsidP="00E42367" w:rsidRDefault="00110BB6" w14:paraId="30152E14" w14:textId="77777777">
            <w:pPr>
              <w:pStyle w:val="TableText"/>
              <w:spacing w:before="40" w:after="40" w:line="240" w:lineRule="auto"/>
              <w:jc w:val="center"/>
              <w:rPr>
                <w:rFonts w:ascii="Arial" w:hAnsi="Arial"/>
                <w:b/>
                <w:bCs/>
                <w:sz w:val="22"/>
                <w:szCs w:val="22"/>
              </w:rPr>
            </w:pPr>
            <w:r w:rsidRPr="00E47931">
              <w:rPr>
                <w:rFonts w:ascii="Arial" w:hAnsi="Arial"/>
                <w:b/>
                <w:bCs/>
                <w:sz w:val="22"/>
                <w:szCs w:val="22"/>
              </w:rPr>
              <w:t>Permittee</w:t>
            </w:r>
          </w:p>
        </w:tc>
        <w:tc>
          <w:tcPr>
            <w:tcW w:w="2099" w:type="dxa"/>
            <w:shd w:val="clear" w:color="auto" w:fill="D6E3BC" w:themeFill="accent3" w:themeFillTint="66"/>
            <w:vAlign w:val="center"/>
          </w:tcPr>
          <w:p w:rsidRPr="00E47931" w:rsidR="00110BB6" w:rsidP="00E42367" w:rsidRDefault="00110BB6" w14:paraId="379575DB" w14:textId="77777777">
            <w:pPr>
              <w:pStyle w:val="TableText"/>
              <w:spacing w:before="40" w:after="40" w:line="240" w:lineRule="auto"/>
              <w:jc w:val="center"/>
              <w:rPr>
                <w:rFonts w:ascii="Arial" w:hAnsi="Arial"/>
                <w:b/>
                <w:bCs/>
                <w:sz w:val="22"/>
                <w:szCs w:val="22"/>
              </w:rPr>
            </w:pPr>
            <w:r w:rsidRPr="00E47931">
              <w:rPr>
                <w:rFonts w:ascii="Arial" w:hAnsi="Arial"/>
                <w:b/>
                <w:bCs/>
                <w:sz w:val="22"/>
                <w:szCs w:val="22"/>
              </w:rPr>
              <w:t>Source</w:t>
            </w:r>
          </w:p>
        </w:tc>
        <w:tc>
          <w:tcPr>
            <w:tcW w:w="3097" w:type="dxa"/>
            <w:shd w:val="clear" w:color="auto" w:fill="D6E3BC" w:themeFill="accent3" w:themeFillTint="66"/>
            <w:vAlign w:val="center"/>
          </w:tcPr>
          <w:p w:rsidRPr="00E47931" w:rsidR="00110BB6" w:rsidP="00E42367" w:rsidRDefault="00110BB6" w14:paraId="7BD71C0F" w14:textId="77777777">
            <w:pPr>
              <w:pStyle w:val="TableText"/>
              <w:spacing w:before="40" w:after="40" w:line="240" w:lineRule="auto"/>
              <w:jc w:val="center"/>
              <w:rPr>
                <w:rFonts w:ascii="Arial" w:hAnsi="Arial"/>
                <w:b/>
                <w:bCs/>
                <w:sz w:val="22"/>
                <w:szCs w:val="22"/>
              </w:rPr>
            </w:pPr>
            <w:r w:rsidRPr="00E47931">
              <w:rPr>
                <w:rFonts w:ascii="Arial" w:hAnsi="Arial"/>
                <w:b/>
                <w:bCs/>
                <w:sz w:val="22"/>
                <w:szCs w:val="22"/>
              </w:rPr>
              <w:t>Wasteload Allocation Number</w:t>
            </w:r>
          </w:p>
        </w:tc>
      </w:tr>
      <w:tr w:rsidRPr="00E47931" w:rsidR="00110BB6" w:rsidTr="005C23DD" w14:paraId="7469FDE7" w14:textId="77777777">
        <w:trPr>
          <w:cantSplit/>
          <w:trHeight w:val="568"/>
        </w:trPr>
        <w:tc>
          <w:tcPr>
            <w:tcW w:w="2942" w:type="dxa"/>
            <w:shd w:val="clear" w:color="auto" w:fill="FFFFFF" w:themeFill="background1"/>
            <w:vAlign w:val="center"/>
          </w:tcPr>
          <w:p w:rsidRPr="00E47931" w:rsidR="00110BB6" w:rsidP="00E42367" w:rsidRDefault="00CD1649" w14:paraId="23B18ACC" w14:textId="4358B550">
            <w:pPr>
              <w:pStyle w:val="TableText"/>
              <w:spacing w:before="40" w:after="40" w:line="240" w:lineRule="auto"/>
              <w:rPr>
                <w:rFonts w:ascii="Arial" w:hAnsi="Arial"/>
                <w:sz w:val="22"/>
                <w:szCs w:val="22"/>
              </w:rPr>
            </w:pPr>
            <w:r w:rsidRPr="00E47931">
              <w:rPr>
                <w:rFonts w:ascii="Arial" w:hAnsi="Arial"/>
                <w:sz w:val="22"/>
                <w:szCs w:val="22"/>
              </w:rPr>
              <w:t>City of Guadalupe</w:t>
            </w:r>
            <w:r>
              <w:rPr>
                <w:rFonts w:ascii="Arial" w:hAnsi="Arial"/>
                <w:sz w:val="22"/>
                <w:szCs w:val="22"/>
              </w:rPr>
              <w:t>,</w:t>
            </w:r>
            <w:r w:rsidRPr="00E47931">
              <w:rPr>
                <w:rFonts w:ascii="Arial" w:hAnsi="Arial"/>
                <w:sz w:val="22"/>
                <w:szCs w:val="22"/>
              </w:rPr>
              <w:t xml:space="preserve"> </w:t>
            </w:r>
            <w:r w:rsidRPr="00E47931" w:rsidR="00110BB6">
              <w:rPr>
                <w:rFonts w:ascii="Arial" w:hAnsi="Arial"/>
                <w:sz w:val="22"/>
                <w:szCs w:val="22"/>
              </w:rPr>
              <w:t>City of Santa Maria</w:t>
            </w:r>
            <w:r w:rsidR="00E42367">
              <w:rPr>
                <w:rFonts w:ascii="Arial" w:hAnsi="Arial"/>
                <w:sz w:val="22"/>
                <w:szCs w:val="22"/>
              </w:rPr>
              <w:t xml:space="preserve">; </w:t>
            </w:r>
            <w:r>
              <w:rPr>
                <w:rFonts w:ascii="Arial" w:hAnsi="Arial"/>
                <w:sz w:val="22"/>
                <w:szCs w:val="22"/>
              </w:rPr>
              <w:t xml:space="preserve">and </w:t>
            </w:r>
            <w:r w:rsidRPr="00E47931" w:rsidR="00110BB6">
              <w:rPr>
                <w:rFonts w:ascii="Arial" w:hAnsi="Arial"/>
                <w:sz w:val="22"/>
                <w:szCs w:val="22"/>
              </w:rPr>
              <w:t>County of Santa Barbara</w:t>
            </w:r>
          </w:p>
        </w:tc>
        <w:tc>
          <w:tcPr>
            <w:tcW w:w="2099" w:type="dxa"/>
            <w:shd w:val="clear" w:color="auto" w:fill="FFFFFF" w:themeFill="background1"/>
            <w:vAlign w:val="center"/>
          </w:tcPr>
          <w:p w:rsidRPr="00E47931" w:rsidR="00110BB6" w:rsidP="00E42367" w:rsidRDefault="00110BB6" w14:paraId="6D267D63" w14:textId="6507F094">
            <w:pPr>
              <w:pStyle w:val="TableText"/>
              <w:spacing w:before="40" w:after="40" w:line="240" w:lineRule="auto"/>
              <w:rPr>
                <w:rFonts w:ascii="Arial" w:hAnsi="Arial"/>
                <w:sz w:val="22"/>
                <w:szCs w:val="22"/>
              </w:rPr>
            </w:pPr>
            <w:r w:rsidRPr="00E47931">
              <w:rPr>
                <w:rFonts w:ascii="Arial" w:hAnsi="Arial"/>
                <w:sz w:val="22"/>
                <w:szCs w:val="22"/>
              </w:rPr>
              <w:t xml:space="preserve">Urban </w:t>
            </w:r>
            <w:r w:rsidRPr="00E47931" w:rsidR="00CD7F3F">
              <w:rPr>
                <w:rFonts w:ascii="Arial" w:hAnsi="Arial"/>
                <w:sz w:val="22"/>
                <w:szCs w:val="22"/>
              </w:rPr>
              <w:t>Stormwater</w:t>
            </w:r>
          </w:p>
        </w:tc>
        <w:tc>
          <w:tcPr>
            <w:tcW w:w="3097" w:type="dxa"/>
            <w:shd w:val="clear" w:color="auto" w:fill="FFFFFF" w:themeFill="background1"/>
            <w:vAlign w:val="center"/>
          </w:tcPr>
          <w:p w:rsidRPr="00E47931" w:rsidR="00110BB6" w:rsidP="00E42367" w:rsidRDefault="00110BB6" w14:paraId="78A53187" w14:textId="77777777">
            <w:pPr>
              <w:pStyle w:val="TableText"/>
              <w:spacing w:before="40" w:after="40" w:line="240" w:lineRule="auto"/>
              <w:jc w:val="center"/>
              <w:rPr>
                <w:rFonts w:ascii="Arial" w:hAnsi="Arial"/>
                <w:sz w:val="22"/>
                <w:szCs w:val="22"/>
              </w:rPr>
            </w:pPr>
            <w:r w:rsidRPr="00E47931">
              <w:rPr>
                <w:rFonts w:ascii="Arial" w:hAnsi="Arial"/>
                <w:sz w:val="22"/>
                <w:szCs w:val="22"/>
              </w:rPr>
              <w:t xml:space="preserve">3, 4 </w:t>
            </w:r>
            <w:r w:rsidRPr="00E47931">
              <w:rPr>
                <w:rFonts w:ascii="Arial" w:hAnsi="Arial"/>
                <w:bCs/>
                <w:sz w:val="22"/>
                <w:szCs w:val="22"/>
              </w:rPr>
              <w:t>and</w:t>
            </w:r>
            <w:r w:rsidRPr="00E47931">
              <w:rPr>
                <w:rFonts w:ascii="Arial" w:hAnsi="Arial"/>
                <w:sz w:val="22"/>
                <w:szCs w:val="22"/>
              </w:rPr>
              <w:t xml:space="preserve"> 5</w:t>
            </w:r>
          </w:p>
        </w:tc>
      </w:tr>
    </w:tbl>
    <w:p w:rsidRPr="00D52F4F" w:rsidR="00110BB6" w:rsidP="00110BB6" w:rsidRDefault="00110BB6" w14:paraId="213E7C7C" w14:textId="77777777">
      <w:pPr>
        <w:spacing w:before="240"/>
        <w:ind w:left="1267"/>
        <w:rPr>
          <w:rFonts w:cs="Arial" w:eastAsiaTheme="minorHAnsi"/>
          <w:i/>
          <w:iCs/>
        </w:rPr>
      </w:pPr>
      <w:r w:rsidRPr="00A53808">
        <w:rPr>
          <w:rFonts w:cs="Arial" w:eastAsiaTheme="minorHAnsi"/>
          <w:u w:val="single"/>
        </w:rPr>
        <w:t>Wasteload Allocation</w:t>
      </w:r>
      <w:r>
        <w:rPr>
          <w:rFonts w:cs="Arial" w:eastAsiaTheme="minorHAnsi"/>
          <w:u w:val="single"/>
        </w:rPr>
        <w:t xml:space="preserve"> </w:t>
      </w:r>
      <w:r w:rsidRPr="00A53808">
        <w:rPr>
          <w:rFonts w:cs="Arial" w:eastAsiaTheme="minorHAnsi"/>
          <w:u w:val="single"/>
        </w:rPr>
        <w:t>3:</w:t>
      </w:r>
      <w:r w:rsidRPr="00A53808">
        <w:rPr>
          <w:rFonts w:cs="Arial" w:eastAsiaTheme="minorHAnsi"/>
        </w:rPr>
        <w:t xml:space="preserve"> </w:t>
      </w:r>
      <w:r w:rsidRPr="00A53808">
        <w:rPr>
          <w:rFonts w:cs="Arial" w:eastAsiaTheme="minorHAnsi"/>
          <w:u w:val="single"/>
        </w:rPr>
        <w:t xml:space="preserve">Additive Wasteload Allocation for </w:t>
      </w:r>
      <w:bookmarkStart w:name="_Hlk153538621" w:id="84"/>
      <w:r w:rsidRPr="00A53808">
        <w:rPr>
          <w:rFonts w:cs="Arial" w:eastAsiaTheme="minorHAnsi"/>
          <w:u w:val="single"/>
        </w:rPr>
        <w:t>Pyrethroid Pesticides</w:t>
      </w:r>
      <w:bookmarkEnd w:id="84"/>
      <w:r w:rsidRPr="00D52F4F">
        <w:rPr>
          <w:rFonts w:cs="Arial" w:eastAsiaTheme="minorHAnsi"/>
          <w:i/>
          <w:iCs/>
        </w:rPr>
        <w:t>:</w:t>
      </w:r>
    </w:p>
    <w:p w:rsidRPr="00D52F4F" w:rsidR="00110BB6" w:rsidP="00110BB6" w:rsidRDefault="00110BB6" w14:paraId="753A545F" w14:textId="77777777">
      <w:pPr>
        <w:ind w:left="1260"/>
        <w:rPr>
          <w:rFonts w:cs="Arial"/>
        </w:rPr>
      </w:pPr>
      <w:r w:rsidRPr="00D52F4F">
        <w:rPr>
          <w:rFonts w:cs="Arial"/>
        </w:rPr>
        <w:t>Pyrethroid pesticides contribute to additive toxicity in aquatic sediments. The numeric target for additive toxicity for pyrethroid pesticides is:</w:t>
      </w:r>
    </w:p>
    <w:p w:rsidRPr="00D52F4F" w:rsidR="00110BB6" w:rsidP="00110BB6" w:rsidRDefault="00110BB6" w14:paraId="59C3AA9C" w14:textId="77777777">
      <w:pPr>
        <w:pStyle w:val="BodyText"/>
        <w:ind w:left="1260"/>
        <w:jc w:val="center"/>
        <w:rPr>
          <w:rFonts w:cs="Arial"/>
          <w:szCs w:val="24"/>
        </w:rPr>
      </w:pPr>
      <w:r w:rsidRPr="00D52F4F">
        <w:rPr>
          <w:rFonts w:cs="Arial"/>
          <w:noProof/>
          <w:szCs w:val="24"/>
        </w:rPr>
        <w:drawing>
          <wp:inline distT="0" distB="0" distL="0" distR="0" wp14:anchorId="058BFB04" wp14:editId="662969A5">
            <wp:extent cx="4563770" cy="525780"/>
            <wp:effectExtent l="0" t="0" r="8255" b="7620"/>
            <wp:docPr id="21" name="Picture 21" descr="Numeric target formula for Additive Toxicity for Pyrethroid Pesticides. Begin fraction, the Concentration of Pyrethroid 1 divided by the numeric LC50 of pyrethroid 1 end fraction plus begin fraction the concentration of pyrethroid 2 divided by numeric LC50 of pyrethroid 2 end fraction, equals S, the sum where S is less than or equal to 1. A sum exceeding 1 indicates that beneficial uses may be adversely aff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566419" cy="526085"/>
                    </a:xfrm>
                    <a:prstGeom prst="rect">
                      <a:avLst/>
                    </a:prstGeom>
                  </pic:spPr>
                </pic:pic>
              </a:graphicData>
            </a:graphic>
          </wp:inline>
        </w:drawing>
      </w:r>
    </w:p>
    <w:p w:rsidRPr="00D52F4F" w:rsidR="00110BB6" w:rsidP="00110BB6" w:rsidRDefault="00110BB6" w14:paraId="4275044E" w14:textId="77777777">
      <w:pPr>
        <w:pStyle w:val="BodyText"/>
        <w:keepNext/>
        <w:spacing w:after="0"/>
        <w:ind w:left="1260"/>
        <w:rPr>
          <w:rFonts w:cs="Arial"/>
          <w:szCs w:val="24"/>
        </w:rPr>
      </w:pPr>
      <w:r w:rsidRPr="00D52F4F">
        <w:rPr>
          <w:rFonts w:cs="Arial"/>
          <w:szCs w:val="24"/>
        </w:rPr>
        <w:t>Where:</w:t>
      </w:r>
    </w:p>
    <w:p w:rsidRPr="00D52F4F" w:rsidR="00110BB6" w:rsidP="00110BB6" w:rsidRDefault="00110BB6" w14:paraId="1E32F1D0" w14:textId="77777777">
      <w:pPr>
        <w:pStyle w:val="WLAsubCO-FS"/>
        <w:tabs>
          <w:tab w:val="left" w:pos="2520"/>
        </w:tabs>
        <w:ind w:left="1260" w:firstLine="450"/>
        <w:rPr>
          <w:rFonts w:cs="Arial"/>
          <w:szCs w:val="24"/>
        </w:rPr>
      </w:pPr>
      <w:r w:rsidRPr="00D52F4F">
        <w:rPr>
          <w:rFonts w:cs="Arial"/>
          <w:szCs w:val="24"/>
        </w:rPr>
        <w:t xml:space="preserve">C = </w:t>
      </w:r>
      <w:r w:rsidRPr="00D52F4F">
        <w:rPr>
          <w:rFonts w:cs="Arial"/>
          <w:szCs w:val="24"/>
        </w:rPr>
        <w:tab/>
      </w:r>
      <w:r w:rsidRPr="00D52F4F">
        <w:rPr>
          <w:rFonts w:cs="Arial"/>
          <w:szCs w:val="24"/>
        </w:rPr>
        <w:t xml:space="preserve">The </w:t>
      </w:r>
      <w:r w:rsidRPr="00D52F4F">
        <w:rPr>
          <w:rFonts w:cs="Arial" w:eastAsiaTheme="minorHAnsi"/>
          <w:szCs w:val="24"/>
        </w:rPr>
        <w:t>concentration</w:t>
      </w:r>
      <w:r w:rsidRPr="00D52F4F">
        <w:rPr>
          <w:rFonts w:cs="Arial"/>
          <w:szCs w:val="24"/>
        </w:rPr>
        <w:t xml:space="preserve"> of a pesticide measured in sediment.</w:t>
      </w:r>
    </w:p>
    <w:p w:rsidR="008F5147" w:rsidP="008F5147" w:rsidRDefault="00110BB6" w14:paraId="72C70F78" w14:textId="77777777">
      <w:pPr>
        <w:pStyle w:val="WLAsubCO-FS"/>
        <w:ind w:left="2520" w:hanging="806"/>
        <w:contextualSpacing w:val="0"/>
        <w:rPr>
          <w:rFonts w:cs="Arial"/>
          <w:szCs w:val="24"/>
        </w:rPr>
      </w:pPr>
      <w:r w:rsidRPr="00D52F4F">
        <w:rPr>
          <w:rFonts w:cs="Arial"/>
          <w:szCs w:val="24"/>
        </w:rPr>
        <w:t xml:space="preserve">NLC = </w:t>
      </w:r>
      <w:r w:rsidRPr="00D52F4F">
        <w:rPr>
          <w:rFonts w:cs="Arial"/>
          <w:szCs w:val="24"/>
        </w:rPr>
        <w:tab/>
      </w:r>
      <w:r w:rsidRPr="00D52F4F">
        <w:rPr>
          <w:rFonts w:cs="Arial"/>
          <w:szCs w:val="24"/>
        </w:rPr>
        <w:t xml:space="preserve">The </w:t>
      </w:r>
      <w:r w:rsidRPr="00D52F4F">
        <w:rPr>
          <w:rFonts w:cs="Arial" w:eastAsiaTheme="minorHAnsi"/>
          <w:szCs w:val="24"/>
        </w:rPr>
        <w:t>numeric</w:t>
      </w:r>
      <w:r w:rsidRPr="00D52F4F">
        <w:rPr>
          <w:rFonts w:cs="Arial"/>
          <w:szCs w:val="24"/>
        </w:rPr>
        <w:t xml:space="preserve"> Lethal Concentration 50 (i.e., LC50) for each pesticide present</w:t>
      </w:r>
    </w:p>
    <w:p w:rsidRPr="00D52F4F" w:rsidR="00110BB6" w:rsidP="00110BB6" w:rsidRDefault="00110BB6" w14:paraId="22B61740" w14:textId="77777777">
      <w:pPr>
        <w:pStyle w:val="WLAsubCO-FS"/>
        <w:ind w:left="2520" w:hanging="810"/>
        <w:rPr>
          <w:rFonts w:cs="Arial" w:eastAsiaTheme="minorHAnsi"/>
          <w:szCs w:val="24"/>
        </w:rPr>
      </w:pPr>
      <w:r w:rsidRPr="00D52F4F">
        <w:rPr>
          <w:rFonts w:cs="Arial"/>
          <w:szCs w:val="24"/>
        </w:rPr>
        <w:t xml:space="preserve">S = </w:t>
      </w:r>
      <w:r w:rsidRPr="00D52F4F">
        <w:rPr>
          <w:rFonts w:cs="Arial"/>
          <w:szCs w:val="24"/>
        </w:rPr>
        <w:tab/>
      </w:r>
      <w:r w:rsidRPr="00D52F4F">
        <w:rPr>
          <w:rFonts w:cs="Arial"/>
          <w:szCs w:val="24"/>
        </w:rPr>
        <w:t>The sum. S exceeding 1.0 indicates that beneficial uses may be adversely affect</w:t>
      </w:r>
      <w:r w:rsidRPr="00D52F4F">
        <w:rPr>
          <w:rFonts w:cs="Arial" w:eastAsiaTheme="minorHAnsi"/>
          <w:szCs w:val="24"/>
        </w:rPr>
        <w:t>ed.</w:t>
      </w:r>
    </w:p>
    <w:p w:rsidRPr="00D52F4F" w:rsidR="00110BB6" w:rsidP="00110BB6" w:rsidRDefault="00110BB6" w14:paraId="3EA6A906" w14:textId="34FEB72A">
      <w:pPr>
        <w:pStyle w:val="WLAsubCO-FS"/>
        <w:ind w:left="2520" w:hanging="810"/>
      </w:pPr>
      <w:r w:rsidRPr="00D52F4F">
        <w:rPr>
          <w:rFonts w:cs="Arial"/>
          <w:szCs w:val="24"/>
        </w:rPr>
        <w:t>LC50 =</w:t>
      </w:r>
      <w:r w:rsidRPr="00D52F4F">
        <w:rPr>
          <w:rFonts w:cs="Arial"/>
          <w:szCs w:val="24"/>
        </w:rPr>
        <w:tab/>
      </w:r>
      <w:r w:rsidRPr="00D52F4F">
        <w:rPr>
          <w:rFonts w:cs="Arial"/>
          <w:szCs w:val="24"/>
        </w:rPr>
        <w:t xml:space="preserve"> </w:t>
      </w:r>
      <w:r w:rsidR="006C787B">
        <w:rPr>
          <w:rFonts w:cs="Arial"/>
          <w:szCs w:val="24"/>
        </w:rPr>
        <w:t>A</w:t>
      </w:r>
      <w:r w:rsidRPr="00D52F4F" w:rsidR="006C787B">
        <w:t xml:space="preserve"> measure of toxicity representing the concentration that will kill 50 percent of the sample population of a test species</w:t>
      </w:r>
      <w:r w:rsidR="00942A90">
        <w:rPr>
          <w:rStyle w:val="hvr"/>
          <w:rFonts w:eastAsia="Arial"/>
          <w:szCs w:val="24"/>
          <w:shd w:val="clear" w:color="auto" w:fill="FFFFFF"/>
        </w:rPr>
        <w:t>.</w:t>
      </w:r>
    </w:p>
    <w:p w:rsidRPr="00D52F4F" w:rsidR="00110BB6" w:rsidP="00110BB6" w:rsidRDefault="00110BB6" w14:paraId="1AAF1C8E" w14:textId="684A7E7C">
      <w:pPr>
        <w:pStyle w:val="WLAsubCO-FS"/>
        <w:spacing w:before="240"/>
        <w:ind w:left="1354"/>
        <w:contextualSpacing w:val="0"/>
      </w:pPr>
      <w:r w:rsidRPr="00D52F4F">
        <w:t xml:space="preserve">Apply </w:t>
      </w:r>
      <w:r w:rsidR="00F90EEA">
        <w:t>Wasteload</w:t>
      </w:r>
      <w:r w:rsidR="00E228E5">
        <w:t xml:space="preserve"> </w:t>
      </w:r>
      <w:r w:rsidRPr="00D52F4F">
        <w:t xml:space="preserve">Allocation 3, the additive toxicity numeric target formula, when pyrethroid pesticides are present in the sediment above the LC50s for Pyrethroid Sediment, as follows: </w:t>
      </w:r>
    </w:p>
    <w:p w:rsidRPr="00D52F4F" w:rsidR="00110BB6" w:rsidP="00277BD6" w:rsidRDefault="00E47931" w14:paraId="4AE7311A" w14:textId="6F612FBA">
      <w:pPr>
        <w:pStyle w:val="TableHeader"/>
        <w:keepNext/>
        <w:keepLines/>
        <w:ind w:left="1260"/>
      </w:pPr>
      <w:r>
        <w:t>Lethal Concentration 50 (</w:t>
      </w:r>
      <w:r w:rsidRPr="00D52F4F" w:rsidR="00110BB6">
        <w:t>LC50</w:t>
      </w:r>
      <w:r>
        <w:t>)</w:t>
      </w:r>
      <w:r w:rsidRPr="00D52F4F" w:rsidR="00110BB6">
        <w:t xml:space="preserve"> for Pyrethroid Sediment</w:t>
      </w:r>
    </w:p>
    <w:tbl>
      <w:tblPr>
        <w:tblW w:w="4283" w:type="pct"/>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58" w:type="dxa"/>
          <w:bottom w:w="29" w:type="dxa"/>
          <w:right w:w="58" w:type="dxa"/>
        </w:tblCellMar>
        <w:tblLook w:val="0620" w:firstRow="1" w:lastRow="0" w:firstColumn="0" w:lastColumn="0" w:noHBand="1" w:noVBand="1"/>
        <w:tblCaption w:val="Table 1: Pyrethroid Sediment LC50s"/>
        <w:tblDescription w:val="Santa Maria River Watershed LC50s"/>
      </w:tblPr>
      <w:tblGrid>
        <w:gridCol w:w="1890"/>
        <w:gridCol w:w="2108"/>
        <w:gridCol w:w="4011"/>
      </w:tblGrid>
      <w:tr w:rsidRPr="0090139F" w:rsidR="00110BB6" w:rsidTr="00B57E64" w14:paraId="7877A405" w14:textId="77777777">
        <w:trPr>
          <w:cantSplit/>
          <w:trHeight w:val="938"/>
          <w:tblHeader/>
        </w:trPr>
        <w:tc>
          <w:tcPr>
            <w:tcW w:w="1890" w:type="dxa"/>
            <w:shd w:val="clear" w:color="auto" w:fill="D6E3BC" w:themeFill="accent3" w:themeFillTint="66"/>
            <w:vAlign w:val="center"/>
          </w:tcPr>
          <w:p w:rsidRPr="00E42367" w:rsidR="00110BB6" w:rsidP="00277BD6" w:rsidRDefault="00110BB6" w14:paraId="22539128" w14:textId="77777777">
            <w:pPr>
              <w:pStyle w:val="TableText"/>
              <w:keepNext/>
              <w:keepLines/>
              <w:widowControl w:val="0"/>
              <w:spacing w:before="20" w:after="20" w:line="240" w:lineRule="auto"/>
              <w:ind w:firstLine="211"/>
              <w:rPr>
                <w:b/>
                <w:bCs/>
                <w:sz w:val="20"/>
                <w:szCs w:val="20"/>
              </w:rPr>
            </w:pPr>
            <w:r w:rsidRPr="00E42367">
              <w:rPr>
                <w:b/>
                <w:bCs/>
                <w:sz w:val="20"/>
                <w:szCs w:val="20"/>
              </w:rPr>
              <w:t>Chemical</w:t>
            </w:r>
          </w:p>
        </w:tc>
        <w:tc>
          <w:tcPr>
            <w:tcW w:w="2108" w:type="dxa"/>
            <w:shd w:val="clear" w:color="auto" w:fill="D6E3BC" w:themeFill="accent3" w:themeFillTint="66"/>
            <w:vAlign w:val="center"/>
          </w:tcPr>
          <w:p w:rsidRPr="00E42367" w:rsidR="00110BB6" w:rsidP="00277BD6" w:rsidRDefault="00110BB6" w14:paraId="0F577A16" w14:textId="598AC5F2">
            <w:pPr>
              <w:pStyle w:val="TableText"/>
              <w:keepNext/>
              <w:keepLines/>
              <w:widowControl w:val="0"/>
              <w:spacing w:before="20" w:after="20" w:line="240" w:lineRule="auto"/>
              <w:jc w:val="center"/>
              <w:rPr>
                <w:b/>
                <w:bCs/>
                <w:sz w:val="20"/>
                <w:szCs w:val="20"/>
              </w:rPr>
            </w:pPr>
            <w:r w:rsidRPr="00E42367">
              <w:rPr>
                <w:b/>
                <w:bCs/>
                <w:sz w:val="20"/>
                <w:szCs w:val="20"/>
              </w:rPr>
              <w:t>LC50</w:t>
            </w:r>
            <w:r w:rsidRPr="00E42367" w:rsidR="008D0338">
              <w:rPr>
                <w:b/>
                <w:bCs/>
                <w:sz w:val="20"/>
                <w:szCs w:val="20"/>
              </w:rPr>
              <w:br/>
            </w:r>
            <w:r w:rsidRPr="00E42367">
              <w:rPr>
                <w:b/>
                <w:bCs/>
                <w:sz w:val="20"/>
                <w:szCs w:val="20"/>
              </w:rPr>
              <w:t>(nanograms per gram)</w:t>
            </w:r>
          </w:p>
        </w:tc>
        <w:tc>
          <w:tcPr>
            <w:tcW w:w="4011" w:type="dxa"/>
            <w:shd w:val="clear" w:color="auto" w:fill="D6E3BC" w:themeFill="accent3" w:themeFillTint="66"/>
            <w:vAlign w:val="center"/>
          </w:tcPr>
          <w:p w:rsidRPr="00E42367" w:rsidR="00110BB6" w:rsidP="00277BD6" w:rsidRDefault="00110BB6" w14:paraId="29F35E5B" w14:textId="43A58744">
            <w:pPr>
              <w:pStyle w:val="TableText"/>
              <w:keepNext/>
              <w:keepLines/>
              <w:widowControl w:val="0"/>
              <w:spacing w:before="20" w:after="20" w:line="240" w:lineRule="auto"/>
              <w:jc w:val="center"/>
              <w:rPr>
                <w:b/>
                <w:bCs/>
                <w:sz w:val="20"/>
                <w:szCs w:val="20"/>
              </w:rPr>
            </w:pPr>
            <w:r w:rsidRPr="00E42367">
              <w:rPr>
                <w:b/>
                <w:bCs/>
                <w:sz w:val="20"/>
                <w:szCs w:val="20"/>
              </w:rPr>
              <w:t xml:space="preserve">Median Lethal Concentration for Amphipods (Hyalella azteca) Organic Carbon Normalized Concentrations </w:t>
            </w:r>
            <w:r w:rsidRPr="00E42367">
              <w:rPr>
                <w:b/>
                <w:bCs/>
                <w:sz w:val="20"/>
                <w:szCs w:val="20"/>
              </w:rPr>
              <w:br/>
            </w:r>
            <w:r w:rsidRPr="00E42367">
              <w:rPr>
                <w:b/>
                <w:bCs/>
                <w:sz w:val="20"/>
                <w:szCs w:val="20"/>
              </w:rPr>
              <w:t>(micrograms per gram)</w:t>
            </w:r>
          </w:p>
        </w:tc>
      </w:tr>
      <w:tr w:rsidRPr="0090139F" w:rsidR="00110BB6" w:rsidTr="00B57E64" w14:paraId="4DFDDEE5" w14:textId="77777777">
        <w:trPr>
          <w:cantSplit/>
          <w:trHeight w:val="319"/>
        </w:trPr>
        <w:tc>
          <w:tcPr>
            <w:tcW w:w="1890" w:type="dxa"/>
            <w:vAlign w:val="center"/>
          </w:tcPr>
          <w:p w:rsidRPr="00E42367" w:rsidR="00110BB6" w:rsidP="00223B65" w:rsidRDefault="00110BB6" w14:paraId="20DC414A" w14:textId="77777777">
            <w:pPr>
              <w:pStyle w:val="TableText"/>
              <w:widowControl w:val="0"/>
              <w:spacing w:before="20" w:after="20" w:line="240" w:lineRule="auto"/>
              <w:ind w:left="123"/>
              <w:rPr>
                <w:sz w:val="22"/>
                <w:szCs w:val="22"/>
              </w:rPr>
            </w:pPr>
            <w:r w:rsidRPr="00E42367">
              <w:rPr>
                <w:sz w:val="22"/>
                <w:szCs w:val="22"/>
              </w:rPr>
              <w:t>Bifenthrin</w:t>
            </w:r>
          </w:p>
        </w:tc>
        <w:tc>
          <w:tcPr>
            <w:tcW w:w="2108" w:type="dxa"/>
            <w:vAlign w:val="center"/>
          </w:tcPr>
          <w:p w:rsidRPr="00E42367" w:rsidR="00110BB6" w:rsidP="00223B65" w:rsidRDefault="00110BB6" w14:paraId="3CC175E5" w14:textId="77777777">
            <w:pPr>
              <w:pStyle w:val="TableText"/>
              <w:widowControl w:val="0"/>
              <w:spacing w:before="20" w:after="20" w:line="240" w:lineRule="auto"/>
              <w:ind w:left="123"/>
              <w:jc w:val="center"/>
              <w:rPr>
                <w:sz w:val="22"/>
                <w:szCs w:val="22"/>
              </w:rPr>
            </w:pPr>
            <w:r w:rsidRPr="00E42367">
              <w:rPr>
                <w:sz w:val="22"/>
                <w:szCs w:val="22"/>
              </w:rPr>
              <w:t>12.9</w:t>
            </w:r>
          </w:p>
        </w:tc>
        <w:tc>
          <w:tcPr>
            <w:tcW w:w="4011" w:type="dxa"/>
            <w:vAlign w:val="center"/>
          </w:tcPr>
          <w:p w:rsidRPr="00E42367" w:rsidR="00110BB6" w:rsidP="00223B65" w:rsidRDefault="00110BB6" w14:paraId="64D4AD01" w14:textId="77777777">
            <w:pPr>
              <w:pStyle w:val="TableText"/>
              <w:widowControl w:val="0"/>
              <w:spacing w:before="20" w:after="20" w:line="240" w:lineRule="auto"/>
              <w:ind w:left="123"/>
              <w:jc w:val="center"/>
              <w:rPr>
                <w:sz w:val="22"/>
                <w:szCs w:val="22"/>
              </w:rPr>
            </w:pPr>
            <w:r w:rsidRPr="00E42367">
              <w:rPr>
                <w:sz w:val="22"/>
                <w:szCs w:val="22"/>
              </w:rPr>
              <w:t>0.52</w:t>
            </w:r>
          </w:p>
        </w:tc>
      </w:tr>
      <w:tr w:rsidRPr="0090139F" w:rsidR="00110BB6" w:rsidTr="00B57E64" w14:paraId="07367E33" w14:textId="77777777">
        <w:trPr>
          <w:cantSplit/>
          <w:trHeight w:val="308"/>
        </w:trPr>
        <w:tc>
          <w:tcPr>
            <w:tcW w:w="1890" w:type="dxa"/>
            <w:vAlign w:val="center"/>
          </w:tcPr>
          <w:p w:rsidRPr="00E42367" w:rsidR="00110BB6" w:rsidP="00223B65" w:rsidRDefault="00110BB6" w14:paraId="1F5CE7BC" w14:textId="77777777">
            <w:pPr>
              <w:pStyle w:val="TableText"/>
              <w:widowControl w:val="0"/>
              <w:spacing w:before="20" w:after="20" w:line="240" w:lineRule="auto"/>
              <w:ind w:left="123"/>
              <w:rPr>
                <w:sz w:val="22"/>
                <w:szCs w:val="22"/>
              </w:rPr>
            </w:pPr>
            <w:r w:rsidRPr="00E42367">
              <w:rPr>
                <w:sz w:val="22"/>
                <w:szCs w:val="22"/>
              </w:rPr>
              <w:t>Cyfluthrin</w:t>
            </w:r>
          </w:p>
        </w:tc>
        <w:tc>
          <w:tcPr>
            <w:tcW w:w="2108" w:type="dxa"/>
            <w:vAlign w:val="center"/>
          </w:tcPr>
          <w:p w:rsidRPr="00E42367" w:rsidR="00110BB6" w:rsidP="00223B65" w:rsidRDefault="00110BB6" w14:paraId="4A32EA64" w14:textId="77777777">
            <w:pPr>
              <w:pStyle w:val="TableText"/>
              <w:widowControl w:val="0"/>
              <w:spacing w:before="20" w:after="20" w:line="240" w:lineRule="auto"/>
              <w:ind w:left="123"/>
              <w:jc w:val="center"/>
              <w:rPr>
                <w:sz w:val="22"/>
                <w:szCs w:val="22"/>
              </w:rPr>
            </w:pPr>
            <w:r w:rsidRPr="00E42367">
              <w:rPr>
                <w:sz w:val="22"/>
                <w:szCs w:val="22"/>
              </w:rPr>
              <w:t>13.7</w:t>
            </w:r>
          </w:p>
        </w:tc>
        <w:tc>
          <w:tcPr>
            <w:tcW w:w="4011" w:type="dxa"/>
            <w:vAlign w:val="center"/>
          </w:tcPr>
          <w:p w:rsidRPr="00E42367" w:rsidR="00110BB6" w:rsidP="00223B65" w:rsidRDefault="00110BB6" w14:paraId="1E56E907" w14:textId="77777777">
            <w:pPr>
              <w:pStyle w:val="TableText"/>
              <w:widowControl w:val="0"/>
              <w:spacing w:before="20" w:after="20" w:line="240" w:lineRule="auto"/>
              <w:ind w:left="123"/>
              <w:jc w:val="center"/>
              <w:rPr>
                <w:sz w:val="22"/>
                <w:szCs w:val="22"/>
              </w:rPr>
            </w:pPr>
            <w:r w:rsidRPr="00E42367">
              <w:rPr>
                <w:sz w:val="22"/>
                <w:szCs w:val="22"/>
              </w:rPr>
              <w:t>1.08</w:t>
            </w:r>
          </w:p>
        </w:tc>
      </w:tr>
      <w:tr w:rsidRPr="0090139F" w:rsidR="00110BB6" w:rsidTr="00B57E64" w14:paraId="349C76C3" w14:textId="77777777">
        <w:trPr>
          <w:cantSplit/>
          <w:trHeight w:val="308"/>
        </w:trPr>
        <w:tc>
          <w:tcPr>
            <w:tcW w:w="1890" w:type="dxa"/>
            <w:vAlign w:val="center"/>
          </w:tcPr>
          <w:p w:rsidRPr="00E42367" w:rsidR="00110BB6" w:rsidP="00223B65" w:rsidRDefault="00110BB6" w14:paraId="50941709" w14:textId="77777777">
            <w:pPr>
              <w:pStyle w:val="TableText"/>
              <w:widowControl w:val="0"/>
              <w:spacing w:before="20" w:after="20" w:line="240" w:lineRule="auto"/>
              <w:ind w:left="123"/>
              <w:rPr>
                <w:sz w:val="22"/>
                <w:szCs w:val="22"/>
              </w:rPr>
            </w:pPr>
            <w:r w:rsidRPr="00E42367">
              <w:rPr>
                <w:sz w:val="22"/>
                <w:szCs w:val="22"/>
              </w:rPr>
              <w:t>Cypermethrin</w:t>
            </w:r>
          </w:p>
        </w:tc>
        <w:tc>
          <w:tcPr>
            <w:tcW w:w="2108" w:type="dxa"/>
            <w:vAlign w:val="center"/>
          </w:tcPr>
          <w:p w:rsidRPr="00E42367" w:rsidR="00110BB6" w:rsidP="00223B65" w:rsidRDefault="00110BB6" w14:paraId="5C448A10" w14:textId="77777777">
            <w:pPr>
              <w:pStyle w:val="TableText"/>
              <w:widowControl w:val="0"/>
              <w:spacing w:before="20" w:after="20" w:line="240" w:lineRule="auto"/>
              <w:ind w:left="123"/>
              <w:jc w:val="center"/>
              <w:rPr>
                <w:sz w:val="22"/>
                <w:szCs w:val="22"/>
              </w:rPr>
            </w:pPr>
            <w:r w:rsidRPr="00E42367">
              <w:rPr>
                <w:sz w:val="22"/>
                <w:szCs w:val="22"/>
              </w:rPr>
              <w:t>14.87</w:t>
            </w:r>
          </w:p>
        </w:tc>
        <w:tc>
          <w:tcPr>
            <w:tcW w:w="4011" w:type="dxa"/>
            <w:vAlign w:val="center"/>
          </w:tcPr>
          <w:p w:rsidRPr="00E42367" w:rsidR="00110BB6" w:rsidP="00223B65" w:rsidRDefault="00110BB6" w14:paraId="4C7160D4" w14:textId="77777777">
            <w:pPr>
              <w:pStyle w:val="TableText"/>
              <w:widowControl w:val="0"/>
              <w:spacing w:before="20" w:after="20" w:line="240" w:lineRule="auto"/>
              <w:ind w:left="123"/>
              <w:jc w:val="center"/>
              <w:rPr>
                <w:sz w:val="22"/>
                <w:szCs w:val="22"/>
              </w:rPr>
            </w:pPr>
            <w:r w:rsidRPr="00E42367">
              <w:rPr>
                <w:sz w:val="22"/>
                <w:szCs w:val="22"/>
              </w:rPr>
              <w:t>0.38</w:t>
            </w:r>
          </w:p>
        </w:tc>
      </w:tr>
      <w:tr w:rsidRPr="0090139F" w:rsidR="00110BB6" w:rsidTr="00B57E64" w14:paraId="102A0083" w14:textId="77777777">
        <w:trPr>
          <w:cantSplit/>
          <w:trHeight w:val="319"/>
        </w:trPr>
        <w:tc>
          <w:tcPr>
            <w:tcW w:w="1890" w:type="dxa"/>
            <w:vAlign w:val="center"/>
          </w:tcPr>
          <w:p w:rsidRPr="00E42367" w:rsidR="00110BB6" w:rsidP="00223B65" w:rsidRDefault="00110BB6" w14:paraId="7184F732" w14:textId="77777777">
            <w:pPr>
              <w:pStyle w:val="TableText"/>
              <w:widowControl w:val="0"/>
              <w:spacing w:before="20" w:after="20" w:line="240" w:lineRule="auto"/>
              <w:ind w:left="123"/>
              <w:rPr>
                <w:sz w:val="22"/>
                <w:szCs w:val="22"/>
              </w:rPr>
            </w:pPr>
            <w:r w:rsidRPr="00E42367">
              <w:rPr>
                <w:sz w:val="22"/>
                <w:szCs w:val="22"/>
              </w:rPr>
              <w:t>Esfenvalerate</w:t>
            </w:r>
          </w:p>
        </w:tc>
        <w:tc>
          <w:tcPr>
            <w:tcW w:w="2108" w:type="dxa"/>
            <w:vAlign w:val="center"/>
          </w:tcPr>
          <w:p w:rsidRPr="00E42367" w:rsidR="00110BB6" w:rsidP="00223B65" w:rsidRDefault="00110BB6" w14:paraId="150C29A2" w14:textId="77777777">
            <w:pPr>
              <w:pStyle w:val="TableText"/>
              <w:widowControl w:val="0"/>
              <w:spacing w:before="20" w:after="20" w:line="240" w:lineRule="auto"/>
              <w:ind w:left="123"/>
              <w:jc w:val="center"/>
              <w:rPr>
                <w:sz w:val="22"/>
                <w:szCs w:val="22"/>
              </w:rPr>
            </w:pPr>
            <w:r w:rsidRPr="00E42367">
              <w:rPr>
                <w:sz w:val="22"/>
                <w:szCs w:val="22"/>
              </w:rPr>
              <w:t>41.8</w:t>
            </w:r>
          </w:p>
        </w:tc>
        <w:tc>
          <w:tcPr>
            <w:tcW w:w="4011" w:type="dxa"/>
            <w:vAlign w:val="center"/>
          </w:tcPr>
          <w:p w:rsidRPr="00E42367" w:rsidR="00110BB6" w:rsidP="00223B65" w:rsidRDefault="00110BB6" w14:paraId="0EA5F80F" w14:textId="77777777">
            <w:pPr>
              <w:pStyle w:val="TableText"/>
              <w:widowControl w:val="0"/>
              <w:spacing w:before="20" w:after="20" w:line="240" w:lineRule="auto"/>
              <w:ind w:left="123"/>
              <w:jc w:val="center"/>
              <w:rPr>
                <w:sz w:val="22"/>
                <w:szCs w:val="22"/>
              </w:rPr>
            </w:pPr>
            <w:r w:rsidRPr="00E42367">
              <w:rPr>
                <w:sz w:val="22"/>
                <w:szCs w:val="22"/>
              </w:rPr>
              <w:t>1.54</w:t>
            </w:r>
          </w:p>
        </w:tc>
      </w:tr>
      <w:tr w:rsidRPr="0090139F" w:rsidR="00110BB6" w:rsidTr="00B57E64" w14:paraId="2FD7A4F9" w14:textId="77777777">
        <w:trPr>
          <w:cantSplit/>
          <w:trHeight w:val="543"/>
        </w:trPr>
        <w:tc>
          <w:tcPr>
            <w:tcW w:w="1890" w:type="dxa"/>
            <w:vAlign w:val="center"/>
          </w:tcPr>
          <w:p w:rsidRPr="00E42367" w:rsidR="00110BB6" w:rsidP="00223B65" w:rsidRDefault="00110BB6" w14:paraId="366269BF" w14:textId="77777777">
            <w:pPr>
              <w:pStyle w:val="TableText"/>
              <w:widowControl w:val="0"/>
              <w:spacing w:before="20" w:after="20" w:line="240" w:lineRule="auto"/>
              <w:ind w:left="123"/>
              <w:rPr>
                <w:sz w:val="22"/>
                <w:szCs w:val="22"/>
              </w:rPr>
            </w:pPr>
            <w:r w:rsidRPr="00E42367">
              <w:rPr>
                <w:sz w:val="22"/>
                <w:szCs w:val="22"/>
              </w:rPr>
              <w:t>Lambda-Cyhalothrin</w:t>
            </w:r>
          </w:p>
        </w:tc>
        <w:tc>
          <w:tcPr>
            <w:tcW w:w="2108" w:type="dxa"/>
            <w:vAlign w:val="center"/>
          </w:tcPr>
          <w:p w:rsidRPr="00E42367" w:rsidR="00110BB6" w:rsidP="00223B65" w:rsidRDefault="00110BB6" w14:paraId="787F9B27" w14:textId="77777777">
            <w:pPr>
              <w:pStyle w:val="TableText"/>
              <w:widowControl w:val="0"/>
              <w:spacing w:before="20" w:after="20" w:line="240" w:lineRule="auto"/>
              <w:ind w:left="123"/>
              <w:jc w:val="center"/>
              <w:rPr>
                <w:sz w:val="22"/>
                <w:szCs w:val="22"/>
              </w:rPr>
            </w:pPr>
            <w:r w:rsidRPr="00E42367">
              <w:rPr>
                <w:sz w:val="22"/>
                <w:szCs w:val="22"/>
              </w:rPr>
              <w:t>5.6</w:t>
            </w:r>
          </w:p>
        </w:tc>
        <w:tc>
          <w:tcPr>
            <w:tcW w:w="4011" w:type="dxa"/>
            <w:vAlign w:val="center"/>
          </w:tcPr>
          <w:p w:rsidRPr="00E42367" w:rsidR="00110BB6" w:rsidP="00223B65" w:rsidRDefault="00110BB6" w14:paraId="52700E0B" w14:textId="77777777">
            <w:pPr>
              <w:pStyle w:val="TableText"/>
              <w:widowControl w:val="0"/>
              <w:spacing w:before="20" w:after="20" w:line="240" w:lineRule="auto"/>
              <w:ind w:left="123"/>
              <w:jc w:val="center"/>
              <w:rPr>
                <w:sz w:val="22"/>
                <w:szCs w:val="22"/>
              </w:rPr>
            </w:pPr>
            <w:r w:rsidRPr="00E42367">
              <w:rPr>
                <w:sz w:val="22"/>
                <w:szCs w:val="22"/>
              </w:rPr>
              <w:t>0.45</w:t>
            </w:r>
          </w:p>
        </w:tc>
      </w:tr>
      <w:tr w:rsidRPr="0090139F" w:rsidR="00110BB6" w:rsidTr="00B57E64" w14:paraId="5D4B8CD1" w14:textId="77777777">
        <w:trPr>
          <w:cantSplit/>
          <w:trHeight w:val="330"/>
        </w:trPr>
        <w:tc>
          <w:tcPr>
            <w:tcW w:w="1890" w:type="dxa"/>
            <w:vAlign w:val="center"/>
          </w:tcPr>
          <w:p w:rsidRPr="00E42367" w:rsidR="00110BB6" w:rsidP="00223B65" w:rsidRDefault="00110BB6" w14:paraId="7EE0AA49" w14:textId="77777777">
            <w:pPr>
              <w:pStyle w:val="TableText"/>
              <w:widowControl w:val="0"/>
              <w:spacing w:before="20" w:after="20" w:line="240" w:lineRule="auto"/>
              <w:ind w:left="123"/>
              <w:rPr>
                <w:sz w:val="22"/>
                <w:szCs w:val="22"/>
              </w:rPr>
            </w:pPr>
            <w:r w:rsidRPr="00E42367">
              <w:rPr>
                <w:sz w:val="22"/>
                <w:szCs w:val="22"/>
              </w:rPr>
              <w:t>Permethrin</w:t>
            </w:r>
          </w:p>
        </w:tc>
        <w:tc>
          <w:tcPr>
            <w:tcW w:w="2108" w:type="dxa"/>
            <w:vAlign w:val="center"/>
          </w:tcPr>
          <w:p w:rsidRPr="00E42367" w:rsidR="00110BB6" w:rsidP="00223B65" w:rsidRDefault="00110BB6" w14:paraId="0BF1BDD1" w14:textId="77777777">
            <w:pPr>
              <w:pStyle w:val="TableText"/>
              <w:widowControl w:val="0"/>
              <w:spacing w:before="20" w:after="20" w:line="240" w:lineRule="auto"/>
              <w:ind w:left="123"/>
              <w:jc w:val="center"/>
              <w:rPr>
                <w:sz w:val="22"/>
                <w:szCs w:val="22"/>
              </w:rPr>
            </w:pPr>
            <w:r w:rsidRPr="00E42367">
              <w:rPr>
                <w:sz w:val="22"/>
                <w:szCs w:val="22"/>
              </w:rPr>
              <w:t>200.7</w:t>
            </w:r>
          </w:p>
        </w:tc>
        <w:tc>
          <w:tcPr>
            <w:tcW w:w="4011" w:type="dxa"/>
            <w:vAlign w:val="center"/>
          </w:tcPr>
          <w:p w:rsidRPr="00E42367" w:rsidR="00110BB6" w:rsidP="00223B65" w:rsidRDefault="00110BB6" w14:paraId="540BA1D0" w14:textId="77777777">
            <w:pPr>
              <w:pStyle w:val="TableText"/>
              <w:widowControl w:val="0"/>
              <w:spacing w:before="20" w:after="20" w:line="240" w:lineRule="auto"/>
              <w:ind w:left="123"/>
              <w:jc w:val="center"/>
              <w:rPr>
                <w:sz w:val="22"/>
                <w:szCs w:val="22"/>
              </w:rPr>
            </w:pPr>
            <w:r w:rsidRPr="00E42367">
              <w:rPr>
                <w:sz w:val="22"/>
                <w:szCs w:val="22"/>
              </w:rPr>
              <w:t>10.83</w:t>
            </w:r>
          </w:p>
        </w:tc>
      </w:tr>
    </w:tbl>
    <w:p w:rsidRPr="00D52F4F" w:rsidR="00110BB6" w:rsidP="00381D84" w:rsidRDefault="00110BB6" w14:paraId="6E262613" w14:textId="77777777">
      <w:pPr>
        <w:pStyle w:val="TableHead"/>
        <w:keepNext/>
        <w:keepLines/>
        <w:ind w:firstLine="1260"/>
      </w:pPr>
      <w:bookmarkStart w:name="_Ref23843541" w:id="85"/>
      <w:r w:rsidRPr="00D52F4F">
        <w:t>Standard Aquatic Toxicity Tests</w:t>
      </w:r>
      <w:bookmarkEnd w:id="85"/>
    </w:p>
    <w:tbl>
      <w:tblPr>
        <w:tblStyle w:val="TableGrid"/>
        <w:tblW w:w="4297" w:type="pct"/>
        <w:tblInd w:w="1255" w:type="dxa"/>
        <w:tblCellMar>
          <w:top w:w="29" w:type="dxa"/>
          <w:left w:w="58" w:type="dxa"/>
          <w:bottom w:w="29" w:type="dxa"/>
          <w:right w:w="58" w:type="dxa"/>
        </w:tblCellMar>
        <w:tblLook w:val="0620" w:firstRow="1" w:lastRow="0" w:firstColumn="0" w:lastColumn="0" w:noHBand="1" w:noVBand="1"/>
        <w:tblCaption w:val="Table 2: Standard Aquatic Toxicity Tests"/>
        <w:tblDescription w:val="Santa Maria River Watershed Toxicity Tests"/>
      </w:tblPr>
      <w:tblGrid>
        <w:gridCol w:w="2071"/>
        <w:gridCol w:w="3150"/>
        <w:gridCol w:w="2814"/>
      </w:tblGrid>
      <w:tr w:rsidRPr="008D0338" w:rsidR="00110BB6" w:rsidTr="0019456D" w14:paraId="4814DEFE" w14:textId="77777777">
        <w:trPr>
          <w:cantSplit/>
          <w:tblHeader/>
        </w:trPr>
        <w:tc>
          <w:tcPr>
            <w:tcW w:w="1289" w:type="pct"/>
            <w:shd w:val="clear" w:color="auto" w:fill="D6E3BC" w:themeFill="accent3" w:themeFillTint="66"/>
            <w:vAlign w:val="center"/>
          </w:tcPr>
          <w:p w:rsidRPr="008D0338" w:rsidR="00110BB6" w:rsidP="00223B65" w:rsidRDefault="00110BB6" w14:paraId="488FA65B" w14:textId="77777777">
            <w:pPr>
              <w:pStyle w:val="TableText"/>
              <w:widowControl w:val="0"/>
              <w:spacing w:before="20" w:after="20" w:line="240" w:lineRule="auto"/>
              <w:jc w:val="center"/>
              <w:rPr>
                <w:rFonts w:ascii="Arial" w:hAnsi="Arial"/>
                <w:b/>
                <w:bCs/>
                <w:sz w:val="22"/>
                <w:szCs w:val="22"/>
              </w:rPr>
            </w:pPr>
            <w:r w:rsidRPr="008D0338">
              <w:rPr>
                <w:rFonts w:ascii="Arial" w:hAnsi="Arial"/>
                <w:b/>
                <w:bCs/>
                <w:sz w:val="22"/>
                <w:szCs w:val="22"/>
              </w:rPr>
              <w:t>Parameter</w:t>
            </w:r>
          </w:p>
        </w:tc>
        <w:tc>
          <w:tcPr>
            <w:tcW w:w="1960" w:type="pct"/>
            <w:shd w:val="clear" w:color="auto" w:fill="D6E3BC" w:themeFill="accent3" w:themeFillTint="66"/>
            <w:vAlign w:val="center"/>
          </w:tcPr>
          <w:p w:rsidRPr="008D0338" w:rsidR="00110BB6" w:rsidP="00223B65" w:rsidRDefault="00110BB6" w14:paraId="49EDC9D9" w14:textId="77777777">
            <w:pPr>
              <w:pStyle w:val="TableText"/>
              <w:widowControl w:val="0"/>
              <w:spacing w:before="20" w:after="20" w:line="240" w:lineRule="auto"/>
              <w:jc w:val="center"/>
              <w:rPr>
                <w:rFonts w:ascii="Arial" w:hAnsi="Arial"/>
                <w:b/>
                <w:bCs/>
                <w:sz w:val="22"/>
                <w:szCs w:val="22"/>
              </w:rPr>
            </w:pPr>
            <w:r w:rsidRPr="008D0338">
              <w:rPr>
                <w:rFonts w:ascii="Arial" w:hAnsi="Arial"/>
                <w:b/>
                <w:bCs/>
                <w:sz w:val="22"/>
                <w:szCs w:val="22"/>
              </w:rPr>
              <w:t>Test</w:t>
            </w:r>
          </w:p>
        </w:tc>
        <w:tc>
          <w:tcPr>
            <w:tcW w:w="1751" w:type="pct"/>
            <w:shd w:val="clear" w:color="auto" w:fill="D6E3BC" w:themeFill="accent3" w:themeFillTint="66"/>
            <w:vAlign w:val="center"/>
          </w:tcPr>
          <w:p w:rsidRPr="008D0338" w:rsidR="00110BB6" w:rsidP="00223B65" w:rsidRDefault="00110BB6" w14:paraId="42656D0A" w14:textId="77777777">
            <w:pPr>
              <w:pStyle w:val="TableText"/>
              <w:widowControl w:val="0"/>
              <w:spacing w:before="20" w:after="20" w:line="240" w:lineRule="auto"/>
              <w:jc w:val="center"/>
              <w:rPr>
                <w:rFonts w:ascii="Arial" w:hAnsi="Arial"/>
                <w:b/>
                <w:bCs/>
                <w:sz w:val="22"/>
                <w:szCs w:val="22"/>
              </w:rPr>
            </w:pPr>
            <w:r w:rsidRPr="008D0338">
              <w:rPr>
                <w:rFonts w:ascii="Arial" w:hAnsi="Arial"/>
                <w:b/>
                <w:bCs/>
                <w:sz w:val="22"/>
                <w:szCs w:val="22"/>
              </w:rPr>
              <w:t>Biological Endpoint Assessed</w:t>
            </w:r>
          </w:p>
        </w:tc>
      </w:tr>
      <w:tr w:rsidRPr="008D0338" w:rsidR="00110BB6" w:rsidTr="0019456D" w14:paraId="7A335759" w14:textId="77777777">
        <w:trPr>
          <w:cantSplit/>
        </w:trPr>
        <w:tc>
          <w:tcPr>
            <w:tcW w:w="1289" w:type="pct"/>
            <w:vAlign w:val="center"/>
          </w:tcPr>
          <w:p w:rsidRPr="008D0338" w:rsidR="00110BB6" w:rsidP="00223B65" w:rsidRDefault="00110BB6" w14:paraId="63BB7F40" w14:textId="77777777">
            <w:pPr>
              <w:pStyle w:val="TableText"/>
              <w:widowControl w:val="0"/>
              <w:spacing w:before="20" w:after="20" w:line="240" w:lineRule="auto"/>
              <w:ind w:left="123"/>
              <w:rPr>
                <w:rFonts w:ascii="Arial" w:hAnsi="Arial"/>
                <w:sz w:val="22"/>
                <w:szCs w:val="22"/>
              </w:rPr>
            </w:pPr>
            <w:r w:rsidRPr="008D0338">
              <w:rPr>
                <w:rFonts w:ascii="Arial" w:hAnsi="Arial"/>
                <w:sz w:val="22"/>
                <w:szCs w:val="22"/>
              </w:rPr>
              <w:t>Water Column Toxicity</w:t>
            </w:r>
          </w:p>
        </w:tc>
        <w:tc>
          <w:tcPr>
            <w:tcW w:w="1960" w:type="pct"/>
            <w:vAlign w:val="center"/>
          </w:tcPr>
          <w:p w:rsidRPr="008D0338" w:rsidR="00110BB6" w:rsidP="00223B65" w:rsidRDefault="00110BB6" w14:paraId="2B0DB74F" w14:textId="77777777">
            <w:pPr>
              <w:pStyle w:val="TableText"/>
              <w:widowControl w:val="0"/>
              <w:spacing w:before="20" w:after="20" w:line="240" w:lineRule="auto"/>
              <w:ind w:left="123"/>
              <w:rPr>
                <w:rFonts w:ascii="Arial" w:hAnsi="Arial"/>
                <w:sz w:val="22"/>
                <w:szCs w:val="22"/>
              </w:rPr>
            </w:pPr>
            <w:r w:rsidRPr="008D0338">
              <w:rPr>
                <w:rFonts w:ascii="Arial" w:hAnsi="Arial"/>
                <w:sz w:val="22"/>
                <w:szCs w:val="22"/>
              </w:rPr>
              <w:t xml:space="preserve">Water Flea – </w:t>
            </w:r>
            <w:r w:rsidRPr="00E42367">
              <w:rPr>
                <w:rFonts w:ascii="Arial" w:hAnsi="Arial"/>
                <w:sz w:val="22"/>
                <w:szCs w:val="22"/>
              </w:rPr>
              <w:t>Ceriodaphnia</w:t>
            </w:r>
          </w:p>
          <w:p w:rsidRPr="008D0338" w:rsidR="00110BB6" w:rsidP="00223B65" w:rsidRDefault="00110BB6" w14:paraId="483E0B3E" w14:textId="77777777">
            <w:pPr>
              <w:pStyle w:val="TableText"/>
              <w:widowControl w:val="0"/>
              <w:spacing w:before="20" w:after="20" w:line="240" w:lineRule="auto"/>
              <w:ind w:left="123"/>
              <w:rPr>
                <w:rFonts w:ascii="Arial" w:hAnsi="Arial"/>
                <w:sz w:val="22"/>
                <w:szCs w:val="22"/>
              </w:rPr>
            </w:pPr>
            <w:r w:rsidRPr="008D0338">
              <w:rPr>
                <w:rFonts w:ascii="Arial" w:hAnsi="Arial"/>
                <w:sz w:val="22"/>
                <w:szCs w:val="22"/>
              </w:rPr>
              <w:t>(6-8 day chronic)</w:t>
            </w:r>
          </w:p>
        </w:tc>
        <w:tc>
          <w:tcPr>
            <w:tcW w:w="1751" w:type="pct"/>
            <w:vAlign w:val="center"/>
          </w:tcPr>
          <w:p w:rsidRPr="008D0338" w:rsidR="00110BB6" w:rsidP="00223B65" w:rsidRDefault="00110BB6" w14:paraId="0F42368C" w14:textId="77777777">
            <w:pPr>
              <w:pStyle w:val="TableText"/>
              <w:widowControl w:val="0"/>
              <w:spacing w:before="20" w:after="20" w:line="240" w:lineRule="auto"/>
              <w:ind w:left="123"/>
              <w:jc w:val="center"/>
              <w:rPr>
                <w:rFonts w:ascii="Arial" w:hAnsi="Arial"/>
                <w:sz w:val="22"/>
                <w:szCs w:val="22"/>
              </w:rPr>
            </w:pPr>
            <w:r w:rsidRPr="008D0338">
              <w:rPr>
                <w:rFonts w:ascii="Arial" w:hAnsi="Arial"/>
                <w:sz w:val="22"/>
                <w:szCs w:val="22"/>
              </w:rPr>
              <w:t>Survival and Reproduction</w:t>
            </w:r>
          </w:p>
        </w:tc>
      </w:tr>
      <w:tr w:rsidRPr="008D0338" w:rsidR="00110BB6" w:rsidTr="0019456D" w14:paraId="0A4E500C" w14:textId="77777777">
        <w:trPr>
          <w:cantSplit/>
        </w:trPr>
        <w:tc>
          <w:tcPr>
            <w:tcW w:w="1289" w:type="pct"/>
            <w:vAlign w:val="center"/>
          </w:tcPr>
          <w:p w:rsidRPr="008D0338" w:rsidR="00110BB6" w:rsidP="00223B65" w:rsidRDefault="00110BB6" w14:paraId="1EAADDE8" w14:textId="77777777">
            <w:pPr>
              <w:pStyle w:val="TableText"/>
              <w:widowControl w:val="0"/>
              <w:spacing w:before="20" w:after="20" w:line="240" w:lineRule="auto"/>
              <w:ind w:left="123"/>
              <w:rPr>
                <w:rFonts w:ascii="Arial" w:hAnsi="Arial"/>
                <w:sz w:val="22"/>
                <w:szCs w:val="22"/>
              </w:rPr>
            </w:pPr>
            <w:r w:rsidRPr="008D0338">
              <w:rPr>
                <w:rFonts w:ascii="Arial" w:hAnsi="Arial"/>
                <w:sz w:val="22"/>
                <w:szCs w:val="22"/>
              </w:rPr>
              <w:t>Sediment Toxicity</w:t>
            </w:r>
          </w:p>
        </w:tc>
        <w:tc>
          <w:tcPr>
            <w:tcW w:w="1960" w:type="pct"/>
            <w:vAlign w:val="center"/>
          </w:tcPr>
          <w:p w:rsidRPr="008D0338" w:rsidR="00110BB6" w:rsidP="00223B65" w:rsidRDefault="00110BB6" w14:paraId="1C0FC867" w14:textId="77777777">
            <w:pPr>
              <w:pStyle w:val="TableText"/>
              <w:widowControl w:val="0"/>
              <w:spacing w:before="20" w:after="20" w:line="240" w:lineRule="auto"/>
              <w:ind w:left="123"/>
              <w:rPr>
                <w:rFonts w:ascii="Arial" w:hAnsi="Arial"/>
                <w:sz w:val="22"/>
                <w:szCs w:val="22"/>
              </w:rPr>
            </w:pPr>
            <w:r w:rsidRPr="008D0338">
              <w:rPr>
                <w:rFonts w:ascii="Arial" w:hAnsi="Arial"/>
                <w:sz w:val="22"/>
                <w:szCs w:val="22"/>
              </w:rPr>
              <w:t>Hyalella azteca (10-day chronic)</w:t>
            </w:r>
          </w:p>
        </w:tc>
        <w:tc>
          <w:tcPr>
            <w:tcW w:w="1751" w:type="pct"/>
            <w:vAlign w:val="center"/>
          </w:tcPr>
          <w:p w:rsidRPr="008D0338" w:rsidR="00110BB6" w:rsidP="00223B65" w:rsidRDefault="00110BB6" w14:paraId="2487D6F6" w14:textId="77777777">
            <w:pPr>
              <w:pStyle w:val="TableText"/>
              <w:widowControl w:val="0"/>
              <w:spacing w:before="20" w:after="20" w:line="240" w:lineRule="auto"/>
              <w:ind w:left="123"/>
              <w:jc w:val="center"/>
              <w:rPr>
                <w:rFonts w:ascii="Arial" w:hAnsi="Arial"/>
                <w:sz w:val="22"/>
                <w:szCs w:val="22"/>
              </w:rPr>
            </w:pPr>
            <w:r w:rsidRPr="008D0338">
              <w:rPr>
                <w:rFonts w:ascii="Arial" w:hAnsi="Arial"/>
                <w:sz w:val="22"/>
                <w:szCs w:val="22"/>
              </w:rPr>
              <w:t>Survival</w:t>
            </w:r>
          </w:p>
        </w:tc>
      </w:tr>
    </w:tbl>
    <w:p w:rsidRPr="008D0338" w:rsidR="00110BB6" w:rsidP="00B5567F" w:rsidRDefault="00B23EDE" w14:paraId="79618411" w14:textId="042D051C">
      <w:pPr>
        <w:keepNext/>
        <w:keepLines/>
        <w:spacing w:before="360"/>
        <w:ind w:left="1267"/>
        <w:rPr>
          <w:rFonts w:cs="Arial"/>
          <w:u w:val="single"/>
        </w:rPr>
      </w:pPr>
      <w:r>
        <w:rPr>
          <w:rFonts w:cs="Arial"/>
          <w:u w:val="single"/>
        </w:rPr>
        <w:t>Waste</w:t>
      </w:r>
      <w:r w:rsidR="009231AC">
        <w:rPr>
          <w:rFonts w:cs="Arial"/>
          <w:u w:val="single"/>
        </w:rPr>
        <w:t xml:space="preserve">load </w:t>
      </w:r>
      <w:r w:rsidRPr="008D0338" w:rsidR="00110BB6">
        <w:rPr>
          <w:rFonts w:cs="Arial"/>
          <w:u w:val="single"/>
        </w:rPr>
        <w:t xml:space="preserve">Allocation 5: Organochlorine Pesticide Wasteload: </w:t>
      </w:r>
    </w:p>
    <w:p w:rsidRPr="000D5DDF" w:rsidR="00110BB6" w:rsidP="00B5567F" w:rsidRDefault="00110BB6" w14:paraId="2D148AB8" w14:textId="322EED77">
      <w:pPr>
        <w:pStyle w:val="TableHead"/>
        <w:keepNext/>
        <w:keepLines/>
      </w:pPr>
      <w:r w:rsidRPr="000D5DDF">
        <w:t>Santa Maria River Watershed (Including all Reaches) Sediment Organochlorine Pesticide Wasteload Allocations (micrograms per kilogram, organic carbon concentrations)</w:t>
      </w:r>
    </w:p>
    <w:tbl>
      <w:tblPr>
        <w:tblStyle w:val="TableGrid"/>
        <w:tblW w:w="5002" w:type="pct"/>
        <w:tblInd w:w="-5" w:type="dxa"/>
        <w:tblCellMar>
          <w:top w:w="29" w:type="dxa"/>
          <w:left w:w="58" w:type="dxa"/>
          <w:bottom w:w="29" w:type="dxa"/>
          <w:right w:w="58" w:type="dxa"/>
        </w:tblCellMar>
        <w:tblLook w:val="0620" w:firstRow="1" w:lastRow="0" w:firstColumn="0" w:lastColumn="0" w:noHBand="1" w:noVBand="1"/>
        <w:tblCaption w:val="Table 3: Santa Maria River Watershed DDT Sediment Chemistry TMDLs"/>
        <w:tblDescription w:val="Sediment Chemistry"/>
      </w:tblPr>
      <w:tblGrid>
        <w:gridCol w:w="2318"/>
        <w:gridCol w:w="1685"/>
        <w:gridCol w:w="1864"/>
        <w:gridCol w:w="1744"/>
        <w:gridCol w:w="1744"/>
      </w:tblGrid>
      <w:tr w:rsidRPr="009231AC" w:rsidR="00DB54E3" w:rsidTr="007029F3" w14:paraId="4963A3D5" w14:textId="77777777">
        <w:trPr>
          <w:cantSplit/>
          <w:tblHeader/>
        </w:trPr>
        <w:tc>
          <w:tcPr>
            <w:tcW w:w="0" w:type="auto"/>
            <w:shd w:val="clear" w:color="auto" w:fill="D6E3BC" w:themeFill="accent3" w:themeFillTint="66"/>
            <w:vAlign w:val="center"/>
          </w:tcPr>
          <w:p w:rsidRPr="009231AC" w:rsidR="00110BB6" w:rsidP="00223B65" w:rsidRDefault="00110BB6" w14:paraId="081A8924" w14:textId="77777777">
            <w:pPr>
              <w:pStyle w:val="TableText"/>
              <w:keepNext/>
              <w:keepLines/>
              <w:spacing w:before="20" w:after="20" w:line="240" w:lineRule="auto"/>
              <w:ind w:left="72"/>
              <w:rPr>
                <w:rFonts w:ascii="Arial" w:hAnsi="Arial"/>
                <w:b/>
                <w:bCs/>
                <w:sz w:val="22"/>
                <w:szCs w:val="22"/>
                <w:vertAlign w:val="superscript"/>
              </w:rPr>
            </w:pPr>
            <w:r w:rsidRPr="009231AC">
              <w:rPr>
                <w:rFonts w:ascii="Arial" w:hAnsi="Arial"/>
                <w:b/>
                <w:bCs/>
                <w:sz w:val="22"/>
                <w:szCs w:val="22"/>
              </w:rPr>
              <w:t>Waterbody</w:t>
            </w:r>
          </w:p>
        </w:tc>
        <w:tc>
          <w:tcPr>
            <w:tcW w:w="0" w:type="auto"/>
            <w:shd w:val="clear" w:color="auto" w:fill="D6E3BC" w:themeFill="accent3" w:themeFillTint="66"/>
            <w:vAlign w:val="center"/>
          </w:tcPr>
          <w:p w:rsidRPr="009231AC" w:rsidR="00110BB6" w:rsidP="00223B65" w:rsidRDefault="00110BB6" w14:paraId="7D0BEAD0" w14:textId="77777777">
            <w:pPr>
              <w:pStyle w:val="TableText"/>
              <w:keepNext/>
              <w:keepLines/>
              <w:spacing w:before="20" w:after="20" w:line="240" w:lineRule="auto"/>
              <w:jc w:val="center"/>
              <w:rPr>
                <w:rFonts w:ascii="Arial" w:hAnsi="Arial"/>
                <w:b/>
                <w:bCs/>
                <w:sz w:val="22"/>
                <w:szCs w:val="22"/>
              </w:rPr>
            </w:pPr>
            <w:r w:rsidRPr="009231AC">
              <w:rPr>
                <w:rFonts w:ascii="Arial" w:hAnsi="Arial"/>
                <w:b/>
                <w:bCs/>
                <w:sz w:val="22"/>
                <w:szCs w:val="22"/>
              </w:rPr>
              <w:t>4,4-Dichloro-Diphenyl-Dichloroethane</w:t>
            </w:r>
          </w:p>
        </w:tc>
        <w:tc>
          <w:tcPr>
            <w:tcW w:w="0" w:type="auto"/>
            <w:shd w:val="clear" w:color="auto" w:fill="D6E3BC" w:themeFill="accent3" w:themeFillTint="66"/>
            <w:vAlign w:val="center"/>
          </w:tcPr>
          <w:p w:rsidRPr="009231AC" w:rsidR="00110BB6" w:rsidP="00223B65" w:rsidRDefault="00110BB6" w14:paraId="4D3C2B5E" w14:textId="77777777">
            <w:pPr>
              <w:pStyle w:val="TableText"/>
              <w:keepNext/>
              <w:keepLines/>
              <w:spacing w:before="20" w:after="20" w:line="240" w:lineRule="auto"/>
              <w:jc w:val="center"/>
              <w:rPr>
                <w:rFonts w:ascii="Arial" w:hAnsi="Arial"/>
                <w:b/>
                <w:bCs/>
                <w:sz w:val="22"/>
                <w:szCs w:val="22"/>
              </w:rPr>
            </w:pPr>
            <w:r w:rsidRPr="009231AC">
              <w:rPr>
                <w:rFonts w:ascii="Arial" w:hAnsi="Arial"/>
                <w:b/>
                <w:bCs/>
                <w:sz w:val="22"/>
                <w:szCs w:val="22"/>
              </w:rPr>
              <w:t>4,4-Dichloro-Diphenyl-Dichloroethylene</w:t>
            </w:r>
          </w:p>
        </w:tc>
        <w:tc>
          <w:tcPr>
            <w:tcW w:w="0" w:type="auto"/>
            <w:shd w:val="clear" w:color="auto" w:fill="D6E3BC" w:themeFill="accent3" w:themeFillTint="66"/>
            <w:vAlign w:val="center"/>
          </w:tcPr>
          <w:p w:rsidRPr="009231AC" w:rsidR="00110BB6" w:rsidP="00223B65" w:rsidRDefault="00110BB6" w14:paraId="18588E17" w14:textId="77777777">
            <w:pPr>
              <w:pStyle w:val="TableText"/>
              <w:keepNext/>
              <w:keepLines/>
              <w:spacing w:before="20" w:after="20" w:line="240" w:lineRule="auto"/>
              <w:jc w:val="center"/>
              <w:rPr>
                <w:rFonts w:ascii="Arial" w:hAnsi="Arial"/>
                <w:b/>
                <w:bCs/>
                <w:sz w:val="22"/>
                <w:szCs w:val="22"/>
              </w:rPr>
            </w:pPr>
            <w:r w:rsidRPr="009231AC">
              <w:rPr>
                <w:rFonts w:ascii="Arial" w:hAnsi="Arial"/>
                <w:b/>
                <w:bCs/>
                <w:sz w:val="22"/>
                <w:szCs w:val="22"/>
              </w:rPr>
              <w:t>4,4- Dichloro-Diphenyl-Trichloroethane</w:t>
            </w:r>
          </w:p>
        </w:tc>
        <w:tc>
          <w:tcPr>
            <w:tcW w:w="958" w:type="pct"/>
            <w:shd w:val="clear" w:color="auto" w:fill="D6E3BC" w:themeFill="accent3" w:themeFillTint="66"/>
            <w:vAlign w:val="center"/>
          </w:tcPr>
          <w:p w:rsidRPr="009231AC" w:rsidR="00110BB6" w:rsidP="00223B65" w:rsidRDefault="00110BB6" w14:paraId="184FD323" w14:textId="77777777">
            <w:pPr>
              <w:pStyle w:val="TableText"/>
              <w:keepNext/>
              <w:keepLines/>
              <w:spacing w:before="20" w:after="20" w:line="240" w:lineRule="auto"/>
              <w:jc w:val="center"/>
              <w:rPr>
                <w:rFonts w:ascii="Arial" w:hAnsi="Arial"/>
                <w:b/>
                <w:bCs/>
                <w:sz w:val="22"/>
                <w:szCs w:val="22"/>
              </w:rPr>
            </w:pPr>
            <w:r w:rsidRPr="009231AC">
              <w:rPr>
                <w:rFonts w:ascii="Arial" w:hAnsi="Arial"/>
                <w:b/>
                <w:bCs/>
                <w:sz w:val="22"/>
                <w:szCs w:val="22"/>
              </w:rPr>
              <w:t>Total Dichloro-Diphenyl-Trichloroethane</w:t>
            </w:r>
          </w:p>
        </w:tc>
      </w:tr>
      <w:tr w:rsidRPr="009231AC" w:rsidR="00467297" w:rsidTr="007029F3" w14:paraId="2AFF43D6" w14:textId="77777777">
        <w:trPr>
          <w:cantSplit/>
        </w:trPr>
        <w:tc>
          <w:tcPr>
            <w:tcW w:w="0" w:type="auto"/>
            <w:noWrap/>
            <w:vAlign w:val="center"/>
          </w:tcPr>
          <w:p w:rsidRPr="009231AC" w:rsidR="00110BB6" w:rsidP="00223B65" w:rsidRDefault="00110BB6" w14:paraId="0E90EC1D" w14:textId="77777777">
            <w:pPr>
              <w:pStyle w:val="TableText"/>
              <w:keepNext/>
              <w:keepLines/>
              <w:spacing w:before="20" w:after="20" w:line="240" w:lineRule="auto"/>
              <w:ind w:left="72"/>
              <w:rPr>
                <w:rFonts w:ascii="Arial" w:hAnsi="Arial"/>
                <w:sz w:val="22"/>
                <w:szCs w:val="22"/>
              </w:rPr>
            </w:pPr>
            <w:r w:rsidRPr="009231AC">
              <w:rPr>
                <w:rFonts w:ascii="Arial" w:hAnsi="Arial"/>
                <w:sz w:val="22"/>
                <w:szCs w:val="22"/>
              </w:rPr>
              <w:t>Blosser Channel</w:t>
            </w:r>
          </w:p>
        </w:tc>
        <w:tc>
          <w:tcPr>
            <w:tcW w:w="0" w:type="auto"/>
            <w:vAlign w:val="center"/>
          </w:tcPr>
          <w:p w:rsidRPr="009231AC" w:rsidR="00110BB6" w:rsidP="00223B65" w:rsidRDefault="00110BB6" w14:paraId="68BEBDD2" w14:textId="77777777">
            <w:pPr>
              <w:pStyle w:val="TableText"/>
              <w:keepNext/>
              <w:keepLines/>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7884FE59" w14:textId="77777777">
            <w:pPr>
              <w:pStyle w:val="TableText"/>
              <w:keepNext/>
              <w:keepLines/>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211E8D1A" w14:textId="77777777">
            <w:pPr>
              <w:pStyle w:val="TableText"/>
              <w:keepNext/>
              <w:keepLines/>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2C17E029" w14:textId="77777777">
            <w:pPr>
              <w:pStyle w:val="TableText"/>
              <w:keepNext/>
              <w:keepLines/>
              <w:spacing w:before="20" w:after="20" w:line="240" w:lineRule="auto"/>
              <w:jc w:val="center"/>
              <w:rPr>
                <w:rFonts w:ascii="Arial" w:hAnsi="Arial"/>
                <w:sz w:val="22"/>
                <w:szCs w:val="22"/>
              </w:rPr>
            </w:pPr>
            <w:r w:rsidRPr="009231AC">
              <w:rPr>
                <w:rFonts w:ascii="Arial" w:hAnsi="Arial"/>
                <w:sz w:val="22"/>
                <w:szCs w:val="22"/>
              </w:rPr>
              <w:t>10</w:t>
            </w:r>
          </w:p>
        </w:tc>
      </w:tr>
      <w:tr w:rsidRPr="009231AC" w:rsidR="00467297" w:rsidTr="007029F3" w14:paraId="494E9128" w14:textId="77777777">
        <w:trPr>
          <w:cantSplit/>
        </w:trPr>
        <w:tc>
          <w:tcPr>
            <w:tcW w:w="0" w:type="auto"/>
            <w:noWrap/>
            <w:vAlign w:val="center"/>
          </w:tcPr>
          <w:p w:rsidRPr="009231AC" w:rsidR="00110BB6" w:rsidP="00223B65" w:rsidRDefault="00110BB6" w14:paraId="1DDA3266" w14:textId="77777777">
            <w:pPr>
              <w:pStyle w:val="TableText"/>
              <w:keepNext/>
              <w:keepLines/>
              <w:spacing w:before="20" w:after="20" w:line="240" w:lineRule="auto"/>
              <w:ind w:left="72"/>
              <w:rPr>
                <w:rFonts w:ascii="Arial" w:hAnsi="Arial"/>
                <w:sz w:val="22"/>
                <w:szCs w:val="22"/>
              </w:rPr>
            </w:pPr>
            <w:r w:rsidRPr="009231AC">
              <w:rPr>
                <w:rFonts w:ascii="Arial" w:hAnsi="Arial"/>
                <w:sz w:val="22"/>
                <w:szCs w:val="22"/>
              </w:rPr>
              <w:t>Bradley Channel</w:t>
            </w:r>
          </w:p>
        </w:tc>
        <w:tc>
          <w:tcPr>
            <w:tcW w:w="0" w:type="auto"/>
            <w:vAlign w:val="center"/>
          </w:tcPr>
          <w:p w:rsidRPr="009231AC" w:rsidR="00110BB6" w:rsidP="00223B65" w:rsidRDefault="00110BB6" w14:paraId="56CC3BBC" w14:textId="77777777">
            <w:pPr>
              <w:pStyle w:val="TableText"/>
              <w:keepNext/>
              <w:keepLines/>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741C7C7A" w14:textId="77777777">
            <w:pPr>
              <w:pStyle w:val="TableText"/>
              <w:keepNext/>
              <w:keepLines/>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03E044B7" w14:textId="77777777">
            <w:pPr>
              <w:pStyle w:val="TableText"/>
              <w:keepNext/>
              <w:keepLines/>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4DB8E5A4" w14:textId="77777777">
            <w:pPr>
              <w:pStyle w:val="TableText"/>
              <w:keepNext/>
              <w:keepLines/>
              <w:spacing w:before="20" w:after="20" w:line="240" w:lineRule="auto"/>
              <w:jc w:val="center"/>
              <w:rPr>
                <w:rFonts w:ascii="Arial" w:hAnsi="Arial"/>
                <w:sz w:val="22"/>
                <w:szCs w:val="22"/>
              </w:rPr>
            </w:pPr>
            <w:r w:rsidRPr="009231AC">
              <w:rPr>
                <w:rFonts w:ascii="Arial" w:hAnsi="Arial"/>
                <w:sz w:val="22"/>
                <w:szCs w:val="22"/>
              </w:rPr>
              <w:t>10</w:t>
            </w:r>
          </w:p>
        </w:tc>
      </w:tr>
      <w:tr w:rsidRPr="009231AC" w:rsidR="00467297" w:rsidTr="007029F3" w14:paraId="1BBEDF1F" w14:textId="77777777">
        <w:trPr>
          <w:cantSplit/>
        </w:trPr>
        <w:tc>
          <w:tcPr>
            <w:tcW w:w="0" w:type="auto"/>
            <w:noWrap/>
            <w:vAlign w:val="center"/>
          </w:tcPr>
          <w:p w:rsidRPr="009231AC" w:rsidR="00110BB6" w:rsidP="00223B65" w:rsidRDefault="00110BB6" w14:paraId="6623776E" w14:textId="77777777">
            <w:pPr>
              <w:pStyle w:val="TableText"/>
              <w:spacing w:before="20" w:after="20" w:line="240" w:lineRule="auto"/>
              <w:ind w:left="72"/>
              <w:rPr>
                <w:rFonts w:ascii="Arial" w:hAnsi="Arial"/>
                <w:sz w:val="22"/>
                <w:szCs w:val="22"/>
              </w:rPr>
            </w:pPr>
            <w:r w:rsidRPr="009231AC">
              <w:rPr>
                <w:rFonts w:ascii="Arial" w:hAnsi="Arial"/>
                <w:sz w:val="22"/>
                <w:szCs w:val="22"/>
              </w:rPr>
              <w:t>Greene Valley Creek</w:t>
            </w:r>
          </w:p>
        </w:tc>
        <w:tc>
          <w:tcPr>
            <w:tcW w:w="0" w:type="auto"/>
            <w:noWrap/>
            <w:vAlign w:val="center"/>
          </w:tcPr>
          <w:p w:rsidRPr="009231AC" w:rsidR="00110BB6" w:rsidP="00223B65" w:rsidRDefault="00110BB6" w14:paraId="79A9B73C" w14:textId="77777777">
            <w:pPr>
              <w:pStyle w:val="TableText"/>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7EE777CC" w14:textId="77777777">
            <w:pPr>
              <w:pStyle w:val="TableText"/>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10EBC8D2" w14:textId="77777777">
            <w:pPr>
              <w:pStyle w:val="TableText"/>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4083CF92" w14:textId="77777777">
            <w:pPr>
              <w:pStyle w:val="TableText"/>
              <w:spacing w:before="20" w:after="20" w:line="240" w:lineRule="auto"/>
              <w:jc w:val="center"/>
              <w:rPr>
                <w:rFonts w:ascii="Arial" w:hAnsi="Arial"/>
                <w:sz w:val="22"/>
                <w:szCs w:val="22"/>
              </w:rPr>
            </w:pPr>
            <w:r w:rsidRPr="009231AC">
              <w:rPr>
                <w:rFonts w:ascii="Arial" w:hAnsi="Arial"/>
                <w:sz w:val="22"/>
                <w:szCs w:val="22"/>
              </w:rPr>
              <w:t>10</w:t>
            </w:r>
          </w:p>
        </w:tc>
      </w:tr>
      <w:tr w:rsidRPr="009231AC" w:rsidR="00467297" w:rsidTr="007029F3" w14:paraId="2DAC34CB" w14:textId="77777777">
        <w:trPr>
          <w:cantSplit/>
        </w:trPr>
        <w:tc>
          <w:tcPr>
            <w:tcW w:w="0" w:type="auto"/>
            <w:noWrap/>
            <w:vAlign w:val="center"/>
          </w:tcPr>
          <w:p w:rsidRPr="009231AC" w:rsidR="00110BB6" w:rsidP="00223B65" w:rsidRDefault="00110BB6" w14:paraId="04825BE4" w14:textId="77777777">
            <w:pPr>
              <w:pStyle w:val="TableText"/>
              <w:spacing w:before="20" w:after="20" w:line="240" w:lineRule="auto"/>
              <w:ind w:left="72"/>
              <w:rPr>
                <w:rFonts w:ascii="Arial" w:hAnsi="Arial"/>
                <w:sz w:val="22"/>
                <w:szCs w:val="22"/>
              </w:rPr>
            </w:pPr>
            <w:r w:rsidRPr="009231AC">
              <w:rPr>
                <w:rFonts w:ascii="Arial" w:hAnsi="Arial"/>
                <w:sz w:val="22"/>
                <w:szCs w:val="22"/>
              </w:rPr>
              <w:t>Little Oso Flaco Creek</w:t>
            </w:r>
          </w:p>
        </w:tc>
        <w:tc>
          <w:tcPr>
            <w:tcW w:w="0" w:type="auto"/>
            <w:noWrap/>
            <w:vAlign w:val="center"/>
          </w:tcPr>
          <w:p w:rsidRPr="009231AC" w:rsidR="00110BB6" w:rsidP="00223B65" w:rsidRDefault="00110BB6" w14:paraId="180BF313" w14:textId="77777777">
            <w:pPr>
              <w:pStyle w:val="TableText"/>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1D78F10D" w14:textId="77777777">
            <w:pPr>
              <w:pStyle w:val="TableText"/>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43C44EB2" w14:textId="77777777">
            <w:pPr>
              <w:pStyle w:val="TableText"/>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5D0BEDBC" w14:textId="77777777">
            <w:pPr>
              <w:pStyle w:val="TableText"/>
              <w:spacing w:before="20" w:after="20" w:line="240" w:lineRule="auto"/>
              <w:jc w:val="center"/>
              <w:rPr>
                <w:rFonts w:ascii="Arial" w:hAnsi="Arial"/>
                <w:sz w:val="22"/>
                <w:szCs w:val="22"/>
              </w:rPr>
            </w:pPr>
            <w:r w:rsidRPr="009231AC">
              <w:rPr>
                <w:rFonts w:ascii="Arial" w:hAnsi="Arial"/>
                <w:sz w:val="22"/>
                <w:szCs w:val="22"/>
              </w:rPr>
              <w:t>10</w:t>
            </w:r>
          </w:p>
        </w:tc>
      </w:tr>
      <w:tr w:rsidRPr="009231AC" w:rsidR="00467297" w:rsidTr="007029F3" w14:paraId="7E8A6F4C" w14:textId="77777777">
        <w:trPr>
          <w:cantSplit/>
        </w:trPr>
        <w:tc>
          <w:tcPr>
            <w:tcW w:w="0" w:type="auto"/>
            <w:noWrap/>
            <w:vAlign w:val="center"/>
          </w:tcPr>
          <w:p w:rsidRPr="009231AC" w:rsidR="00110BB6" w:rsidP="00223B65" w:rsidRDefault="00110BB6" w14:paraId="42720E03" w14:textId="77777777">
            <w:pPr>
              <w:pStyle w:val="TableText"/>
              <w:spacing w:before="20" w:after="20" w:line="240" w:lineRule="auto"/>
              <w:ind w:left="72"/>
              <w:rPr>
                <w:rFonts w:ascii="Arial" w:hAnsi="Arial"/>
                <w:sz w:val="22"/>
                <w:szCs w:val="22"/>
              </w:rPr>
            </w:pPr>
            <w:r w:rsidRPr="009231AC">
              <w:rPr>
                <w:rFonts w:ascii="Arial" w:hAnsi="Arial"/>
                <w:sz w:val="22"/>
                <w:szCs w:val="22"/>
              </w:rPr>
              <w:t>Main Street Canal</w:t>
            </w:r>
          </w:p>
        </w:tc>
        <w:tc>
          <w:tcPr>
            <w:tcW w:w="0" w:type="auto"/>
            <w:vAlign w:val="center"/>
          </w:tcPr>
          <w:p w:rsidRPr="009231AC" w:rsidR="00110BB6" w:rsidP="00223B65" w:rsidRDefault="00110BB6" w14:paraId="2C9060C2" w14:textId="77777777">
            <w:pPr>
              <w:pStyle w:val="TableText"/>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39DCB9E2" w14:textId="77777777">
            <w:pPr>
              <w:pStyle w:val="TableText"/>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63D3F0E9" w14:textId="77777777">
            <w:pPr>
              <w:pStyle w:val="TableText"/>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54CE045E" w14:textId="77777777">
            <w:pPr>
              <w:pStyle w:val="TableText"/>
              <w:spacing w:before="20" w:after="20" w:line="240" w:lineRule="auto"/>
              <w:jc w:val="center"/>
              <w:rPr>
                <w:rFonts w:ascii="Arial" w:hAnsi="Arial"/>
                <w:sz w:val="22"/>
                <w:szCs w:val="22"/>
              </w:rPr>
            </w:pPr>
            <w:r w:rsidRPr="009231AC">
              <w:rPr>
                <w:rFonts w:ascii="Arial" w:hAnsi="Arial"/>
                <w:sz w:val="22"/>
                <w:szCs w:val="22"/>
              </w:rPr>
              <w:t>10</w:t>
            </w:r>
          </w:p>
        </w:tc>
      </w:tr>
      <w:tr w:rsidRPr="009231AC" w:rsidR="00467297" w:rsidTr="007029F3" w14:paraId="26E38AA5" w14:textId="77777777">
        <w:trPr>
          <w:cantSplit/>
        </w:trPr>
        <w:tc>
          <w:tcPr>
            <w:tcW w:w="0" w:type="auto"/>
            <w:noWrap/>
            <w:vAlign w:val="center"/>
          </w:tcPr>
          <w:p w:rsidRPr="009231AC" w:rsidR="00110BB6" w:rsidP="00223B65" w:rsidRDefault="00110BB6" w14:paraId="1FDCBF0E" w14:textId="77777777">
            <w:pPr>
              <w:pStyle w:val="TableText"/>
              <w:spacing w:before="20" w:after="20" w:line="240" w:lineRule="auto"/>
              <w:ind w:left="72"/>
              <w:rPr>
                <w:rFonts w:ascii="Arial" w:hAnsi="Arial"/>
                <w:sz w:val="22"/>
                <w:szCs w:val="22"/>
              </w:rPr>
            </w:pPr>
            <w:r w:rsidRPr="009231AC">
              <w:rPr>
                <w:rFonts w:ascii="Arial" w:hAnsi="Arial"/>
                <w:sz w:val="22"/>
                <w:szCs w:val="22"/>
              </w:rPr>
              <w:t>Orcutt Creek</w:t>
            </w:r>
          </w:p>
        </w:tc>
        <w:tc>
          <w:tcPr>
            <w:tcW w:w="0" w:type="auto"/>
            <w:vAlign w:val="center"/>
          </w:tcPr>
          <w:p w:rsidRPr="009231AC" w:rsidR="00110BB6" w:rsidP="00223B65" w:rsidRDefault="00110BB6" w14:paraId="729A4D15" w14:textId="77777777">
            <w:pPr>
              <w:pStyle w:val="TableText"/>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248C0608" w14:textId="77777777">
            <w:pPr>
              <w:pStyle w:val="TableText"/>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2AD02DDC" w14:textId="77777777">
            <w:pPr>
              <w:pStyle w:val="TableText"/>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0F7C194E" w14:textId="77777777">
            <w:pPr>
              <w:pStyle w:val="TableText"/>
              <w:spacing w:before="20" w:after="20" w:line="240" w:lineRule="auto"/>
              <w:jc w:val="center"/>
              <w:rPr>
                <w:rFonts w:ascii="Arial" w:hAnsi="Arial"/>
                <w:sz w:val="22"/>
                <w:szCs w:val="22"/>
              </w:rPr>
            </w:pPr>
            <w:r w:rsidRPr="009231AC">
              <w:rPr>
                <w:rFonts w:ascii="Arial" w:hAnsi="Arial"/>
                <w:sz w:val="22"/>
                <w:szCs w:val="22"/>
              </w:rPr>
              <w:t>10</w:t>
            </w:r>
          </w:p>
        </w:tc>
      </w:tr>
      <w:tr w:rsidRPr="009231AC" w:rsidR="00467297" w:rsidTr="007029F3" w14:paraId="6C36047F" w14:textId="77777777">
        <w:trPr>
          <w:cantSplit/>
        </w:trPr>
        <w:tc>
          <w:tcPr>
            <w:tcW w:w="0" w:type="auto"/>
            <w:noWrap/>
            <w:vAlign w:val="center"/>
          </w:tcPr>
          <w:p w:rsidRPr="009231AC" w:rsidR="00110BB6" w:rsidP="00223B65" w:rsidRDefault="00110BB6" w14:paraId="024AB675" w14:textId="77777777">
            <w:pPr>
              <w:pStyle w:val="TableText"/>
              <w:spacing w:before="20" w:after="20" w:line="240" w:lineRule="auto"/>
              <w:ind w:left="72"/>
              <w:rPr>
                <w:rFonts w:ascii="Arial" w:hAnsi="Arial"/>
                <w:sz w:val="22"/>
                <w:szCs w:val="22"/>
              </w:rPr>
            </w:pPr>
            <w:r w:rsidRPr="009231AC">
              <w:rPr>
                <w:rFonts w:ascii="Arial" w:hAnsi="Arial"/>
                <w:sz w:val="22"/>
                <w:szCs w:val="22"/>
              </w:rPr>
              <w:t>Oso Flaco Creek</w:t>
            </w:r>
          </w:p>
        </w:tc>
        <w:tc>
          <w:tcPr>
            <w:tcW w:w="0" w:type="auto"/>
            <w:vAlign w:val="center"/>
          </w:tcPr>
          <w:p w:rsidRPr="009231AC" w:rsidR="00110BB6" w:rsidP="00223B65" w:rsidRDefault="00110BB6" w14:paraId="07466A2B" w14:textId="77777777">
            <w:pPr>
              <w:pStyle w:val="TableText"/>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3363A7ED" w14:textId="77777777">
            <w:pPr>
              <w:pStyle w:val="TableText"/>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112DF154" w14:textId="77777777">
            <w:pPr>
              <w:pStyle w:val="TableText"/>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2A8FDDA0" w14:textId="77777777">
            <w:pPr>
              <w:pStyle w:val="TableText"/>
              <w:spacing w:before="20" w:after="20" w:line="240" w:lineRule="auto"/>
              <w:jc w:val="center"/>
              <w:rPr>
                <w:rFonts w:ascii="Arial" w:hAnsi="Arial"/>
                <w:sz w:val="22"/>
                <w:szCs w:val="22"/>
              </w:rPr>
            </w:pPr>
            <w:r w:rsidRPr="009231AC">
              <w:rPr>
                <w:rFonts w:ascii="Arial" w:hAnsi="Arial"/>
                <w:sz w:val="22"/>
                <w:szCs w:val="22"/>
              </w:rPr>
              <w:t>10</w:t>
            </w:r>
          </w:p>
        </w:tc>
      </w:tr>
      <w:tr w:rsidRPr="009231AC" w:rsidR="00467297" w:rsidTr="007029F3" w14:paraId="219D35D3" w14:textId="77777777">
        <w:trPr>
          <w:cantSplit/>
        </w:trPr>
        <w:tc>
          <w:tcPr>
            <w:tcW w:w="0" w:type="auto"/>
            <w:noWrap/>
            <w:vAlign w:val="center"/>
          </w:tcPr>
          <w:p w:rsidRPr="009231AC" w:rsidR="00110BB6" w:rsidP="00223B65" w:rsidRDefault="00110BB6" w14:paraId="6F577BA0" w14:textId="77777777">
            <w:pPr>
              <w:pStyle w:val="TableText"/>
              <w:spacing w:before="20" w:after="20" w:line="240" w:lineRule="auto"/>
              <w:ind w:left="72"/>
              <w:rPr>
                <w:rFonts w:ascii="Arial" w:hAnsi="Arial"/>
                <w:sz w:val="22"/>
                <w:szCs w:val="22"/>
              </w:rPr>
            </w:pPr>
            <w:r w:rsidRPr="009231AC">
              <w:rPr>
                <w:rFonts w:ascii="Arial" w:hAnsi="Arial"/>
                <w:sz w:val="22"/>
                <w:szCs w:val="22"/>
              </w:rPr>
              <w:t>Oso Flaco Lake</w:t>
            </w:r>
          </w:p>
        </w:tc>
        <w:tc>
          <w:tcPr>
            <w:tcW w:w="0" w:type="auto"/>
            <w:vAlign w:val="center"/>
          </w:tcPr>
          <w:p w:rsidRPr="009231AC" w:rsidR="00110BB6" w:rsidP="00223B65" w:rsidRDefault="00110BB6" w14:paraId="0A2E988C" w14:textId="77777777">
            <w:pPr>
              <w:pStyle w:val="TableText"/>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389EEA3B" w14:textId="77777777">
            <w:pPr>
              <w:pStyle w:val="TableText"/>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438CBC30" w14:textId="77777777">
            <w:pPr>
              <w:pStyle w:val="TableText"/>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091C66B7" w14:textId="77777777">
            <w:pPr>
              <w:pStyle w:val="TableText"/>
              <w:spacing w:before="20" w:after="20" w:line="240" w:lineRule="auto"/>
              <w:jc w:val="center"/>
              <w:rPr>
                <w:rFonts w:ascii="Arial" w:hAnsi="Arial"/>
                <w:sz w:val="22"/>
                <w:szCs w:val="22"/>
              </w:rPr>
            </w:pPr>
            <w:r w:rsidRPr="009231AC">
              <w:rPr>
                <w:rFonts w:ascii="Arial" w:hAnsi="Arial"/>
                <w:sz w:val="22"/>
                <w:szCs w:val="22"/>
              </w:rPr>
              <w:t>10</w:t>
            </w:r>
          </w:p>
        </w:tc>
      </w:tr>
      <w:tr w:rsidRPr="009231AC" w:rsidR="00467297" w:rsidTr="007029F3" w14:paraId="414F70DB" w14:textId="77777777">
        <w:trPr>
          <w:cantSplit/>
        </w:trPr>
        <w:tc>
          <w:tcPr>
            <w:tcW w:w="0" w:type="auto"/>
            <w:noWrap/>
            <w:vAlign w:val="center"/>
          </w:tcPr>
          <w:p w:rsidRPr="009231AC" w:rsidR="00110BB6" w:rsidP="00223B65" w:rsidRDefault="00110BB6" w14:paraId="2726B419" w14:textId="77777777">
            <w:pPr>
              <w:pStyle w:val="TableText"/>
              <w:spacing w:before="20" w:after="20" w:line="240" w:lineRule="auto"/>
              <w:ind w:left="72"/>
              <w:rPr>
                <w:rFonts w:ascii="Arial" w:hAnsi="Arial"/>
                <w:sz w:val="22"/>
                <w:szCs w:val="22"/>
              </w:rPr>
            </w:pPr>
            <w:r w:rsidRPr="009231AC">
              <w:rPr>
                <w:rFonts w:ascii="Arial" w:hAnsi="Arial"/>
                <w:sz w:val="22"/>
                <w:szCs w:val="22"/>
              </w:rPr>
              <w:t>Santa Maria River</w:t>
            </w:r>
          </w:p>
        </w:tc>
        <w:tc>
          <w:tcPr>
            <w:tcW w:w="0" w:type="auto"/>
            <w:vAlign w:val="center"/>
          </w:tcPr>
          <w:p w:rsidRPr="009231AC" w:rsidR="00110BB6" w:rsidP="00223B65" w:rsidRDefault="00110BB6" w14:paraId="12D7F1C3" w14:textId="77777777">
            <w:pPr>
              <w:pStyle w:val="TableText"/>
              <w:spacing w:before="20" w:after="20" w:line="240" w:lineRule="auto"/>
              <w:jc w:val="center"/>
              <w:rPr>
                <w:rFonts w:ascii="Arial" w:hAnsi="Arial"/>
                <w:sz w:val="22"/>
                <w:szCs w:val="22"/>
              </w:rPr>
            </w:pPr>
            <w:r w:rsidRPr="009231AC">
              <w:rPr>
                <w:rFonts w:ascii="Arial" w:hAnsi="Arial"/>
                <w:sz w:val="22"/>
                <w:szCs w:val="22"/>
              </w:rPr>
              <w:t>9.1</w:t>
            </w:r>
          </w:p>
        </w:tc>
        <w:tc>
          <w:tcPr>
            <w:tcW w:w="0" w:type="auto"/>
            <w:noWrap/>
            <w:vAlign w:val="center"/>
          </w:tcPr>
          <w:p w:rsidRPr="009231AC" w:rsidR="00110BB6" w:rsidP="00223B65" w:rsidRDefault="00110BB6" w14:paraId="01626EAE" w14:textId="77777777">
            <w:pPr>
              <w:pStyle w:val="TableText"/>
              <w:spacing w:before="20" w:after="20" w:line="240" w:lineRule="auto"/>
              <w:jc w:val="center"/>
              <w:rPr>
                <w:rFonts w:ascii="Arial" w:hAnsi="Arial"/>
                <w:sz w:val="22"/>
                <w:szCs w:val="22"/>
              </w:rPr>
            </w:pPr>
            <w:r w:rsidRPr="009231AC">
              <w:rPr>
                <w:rFonts w:ascii="Arial" w:hAnsi="Arial"/>
                <w:sz w:val="22"/>
                <w:szCs w:val="22"/>
              </w:rPr>
              <w:t>5.5</w:t>
            </w:r>
          </w:p>
        </w:tc>
        <w:tc>
          <w:tcPr>
            <w:tcW w:w="0" w:type="auto"/>
            <w:noWrap/>
            <w:vAlign w:val="center"/>
          </w:tcPr>
          <w:p w:rsidRPr="009231AC" w:rsidR="00110BB6" w:rsidP="00223B65" w:rsidRDefault="00110BB6" w14:paraId="383CBC76" w14:textId="77777777">
            <w:pPr>
              <w:pStyle w:val="TableText"/>
              <w:spacing w:before="20" w:after="20" w:line="240" w:lineRule="auto"/>
              <w:jc w:val="center"/>
              <w:rPr>
                <w:rFonts w:ascii="Arial" w:hAnsi="Arial"/>
                <w:sz w:val="22"/>
                <w:szCs w:val="22"/>
              </w:rPr>
            </w:pPr>
            <w:r w:rsidRPr="009231AC">
              <w:rPr>
                <w:rFonts w:ascii="Arial" w:hAnsi="Arial"/>
                <w:sz w:val="22"/>
                <w:szCs w:val="22"/>
              </w:rPr>
              <w:t>6.5</w:t>
            </w:r>
          </w:p>
        </w:tc>
        <w:tc>
          <w:tcPr>
            <w:tcW w:w="958" w:type="pct"/>
            <w:noWrap/>
            <w:vAlign w:val="center"/>
          </w:tcPr>
          <w:p w:rsidRPr="009231AC" w:rsidR="00110BB6" w:rsidP="00223B65" w:rsidRDefault="00110BB6" w14:paraId="0D16DE00" w14:textId="77777777">
            <w:pPr>
              <w:pStyle w:val="TableText"/>
              <w:spacing w:before="20" w:after="20" w:line="240" w:lineRule="auto"/>
              <w:jc w:val="center"/>
              <w:rPr>
                <w:rFonts w:ascii="Arial" w:hAnsi="Arial"/>
                <w:sz w:val="22"/>
                <w:szCs w:val="22"/>
              </w:rPr>
            </w:pPr>
            <w:r w:rsidRPr="009231AC">
              <w:rPr>
                <w:rFonts w:ascii="Arial" w:hAnsi="Arial"/>
                <w:sz w:val="22"/>
                <w:szCs w:val="22"/>
              </w:rPr>
              <w:t>10</w:t>
            </w:r>
          </w:p>
        </w:tc>
      </w:tr>
    </w:tbl>
    <w:p w:rsidRPr="00D52F4F" w:rsidR="00110BB6" w:rsidP="00BF1F5A" w:rsidRDefault="00110BB6" w14:paraId="1FA946A5" w14:textId="3B31660A">
      <w:pPr>
        <w:pStyle w:val="TableHead"/>
        <w:ind w:left="900"/>
      </w:pPr>
      <w:r w:rsidRPr="00D52F4F">
        <w:t xml:space="preserve">Santa Maria River Watershed Additional Organochlorine Pesticide Sediment Chemistry </w:t>
      </w:r>
      <w:r>
        <w:t>Wasteload</w:t>
      </w:r>
      <w:r w:rsidRPr="00D52F4F">
        <w:t xml:space="preserve"> Allocations (by organic carbon normalized concentrations in micrograms per kilogram)</w:t>
      </w:r>
    </w:p>
    <w:tbl>
      <w:tblPr>
        <w:tblStyle w:val="TableGrid"/>
        <w:tblW w:w="4473" w:type="pct"/>
        <w:tblInd w:w="985" w:type="dxa"/>
        <w:tblCellMar>
          <w:top w:w="29" w:type="dxa"/>
          <w:left w:w="58" w:type="dxa"/>
          <w:bottom w:w="29" w:type="dxa"/>
          <w:right w:w="58" w:type="dxa"/>
        </w:tblCellMar>
        <w:tblLook w:val="0620" w:firstRow="1" w:lastRow="0" w:firstColumn="0" w:lastColumn="0" w:noHBand="1" w:noVBand="1"/>
        <w:tblCaption w:val="Table 4: Santa Maria River Watershed Additional Organochlorine Pesticide Sediment Chemistry TMDLs (all units in micrograms per kilogram)"/>
      </w:tblPr>
      <w:tblGrid>
        <w:gridCol w:w="1960"/>
        <w:gridCol w:w="1823"/>
        <w:gridCol w:w="1231"/>
        <w:gridCol w:w="1416"/>
        <w:gridCol w:w="1935"/>
      </w:tblGrid>
      <w:tr w:rsidRPr="00DC126C" w:rsidR="00DB54E3" w:rsidTr="00BF1F5A" w14:paraId="7429EA6B" w14:textId="77777777">
        <w:trPr>
          <w:cantSplit/>
          <w:tblHeader/>
        </w:trPr>
        <w:tc>
          <w:tcPr>
            <w:tcW w:w="1172" w:type="pct"/>
            <w:shd w:val="clear" w:color="auto" w:fill="D6E3BC" w:themeFill="accent3" w:themeFillTint="66"/>
            <w:vAlign w:val="center"/>
          </w:tcPr>
          <w:p w:rsidRPr="00DC126C" w:rsidR="00110BB6" w:rsidP="00D01D43" w:rsidRDefault="00110BB6" w14:paraId="3C07ED8D" w14:textId="77777777">
            <w:pPr>
              <w:pStyle w:val="TableText"/>
              <w:spacing w:before="40" w:after="40" w:line="240" w:lineRule="auto"/>
              <w:ind w:left="72"/>
              <w:rPr>
                <w:rFonts w:ascii="Arial" w:hAnsi="Arial"/>
                <w:b/>
                <w:bCs/>
                <w:sz w:val="22"/>
                <w:szCs w:val="22"/>
                <w:vertAlign w:val="superscript"/>
              </w:rPr>
            </w:pPr>
            <w:r w:rsidRPr="00DC126C">
              <w:rPr>
                <w:rFonts w:ascii="Arial" w:hAnsi="Arial"/>
                <w:b/>
                <w:bCs/>
                <w:sz w:val="22"/>
                <w:szCs w:val="22"/>
              </w:rPr>
              <w:t>Waterbody</w:t>
            </w:r>
          </w:p>
        </w:tc>
        <w:tc>
          <w:tcPr>
            <w:tcW w:w="0" w:type="auto"/>
            <w:shd w:val="clear" w:color="auto" w:fill="D6E3BC" w:themeFill="accent3" w:themeFillTint="66"/>
            <w:vAlign w:val="center"/>
          </w:tcPr>
          <w:p w:rsidRPr="00DC126C" w:rsidR="00110BB6" w:rsidP="00D01D43" w:rsidRDefault="00110BB6" w14:paraId="17310A40" w14:textId="77777777">
            <w:pPr>
              <w:pStyle w:val="TableText"/>
              <w:spacing w:before="40" w:after="40" w:line="240" w:lineRule="auto"/>
              <w:jc w:val="center"/>
              <w:rPr>
                <w:rFonts w:ascii="Arial" w:hAnsi="Arial"/>
                <w:b/>
                <w:bCs/>
                <w:sz w:val="22"/>
                <w:szCs w:val="22"/>
              </w:rPr>
            </w:pPr>
            <w:r w:rsidRPr="00DC126C">
              <w:rPr>
                <w:rFonts w:ascii="Arial" w:hAnsi="Arial"/>
                <w:b/>
                <w:bCs/>
                <w:sz w:val="22"/>
                <w:szCs w:val="22"/>
              </w:rPr>
              <w:t>Chlordane</w:t>
            </w:r>
          </w:p>
        </w:tc>
        <w:tc>
          <w:tcPr>
            <w:tcW w:w="0" w:type="auto"/>
            <w:shd w:val="clear" w:color="auto" w:fill="D6E3BC" w:themeFill="accent3" w:themeFillTint="66"/>
            <w:vAlign w:val="center"/>
          </w:tcPr>
          <w:p w:rsidRPr="00DC126C" w:rsidR="00110BB6" w:rsidP="00D01D43" w:rsidRDefault="00110BB6" w14:paraId="4F62EC6D" w14:textId="77777777">
            <w:pPr>
              <w:pStyle w:val="TableText"/>
              <w:spacing w:before="40" w:after="40" w:line="240" w:lineRule="auto"/>
              <w:jc w:val="center"/>
              <w:rPr>
                <w:rFonts w:ascii="Arial" w:hAnsi="Arial"/>
                <w:b/>
                <w:bCs/>
                <w:sz w:val="22"/>
                <w:szCs w:val="22"/>
              </w:rPr>
            </w:pPr>
            <w:r w:rsidRPr="00DC126C">
              <w:rPr>
                <w:rFonts w:ascii="Arial" w:hAnsi="Arial"/>
                <w:b/>
                <w:bCs/>
                <w:sz w:val="22"/>
                <w:szCs w:val="22"/>
              </w:rPr>
              <w:t>Endrin</w:t>
            </w:r>
          </w:p>
        </w:tc>
        <w:tc>
          <w:tcPr>
            <w:tcW w:w="0" w:type="auto"/>
            <w:shd w:val="clear" w:color="auto" w:fill="D6E3BC" w:themeFill="accent3" w:themeFillTint="66"/>
            <w:vAlign w:val="center"/>
          </w:tcPr>
          <w:p w:rsidRPr="00DC126C" w:rsidR="00110BB6" w:rsidP="00D01D43" w:rsidRDefault="00110BB6" w14:paraId="2114EDC3" w14:textId="77777777">
            <w:pPr>
              <w:pStyle w:val="TableText"/>
              <w:spacing w:before="40" w:after="40" w:line="240" w:lineRule="auto"/>
              <w:jc w:val="center"/>
              <w:rPr>
                <w:rFonts w:ascii="Arial" w:hAnsi="Arial"/>
                <w:b/>
                <w:bCs/>
                <w:sz w:val="22"/>
                <w:szCs w:val="22"/>
              </w:rPr>
            </w:pPr>
            <w:r w:rsidRPr="00DC126C">
              <w:rPr>
                <w:rFonts w:ascii="Arial" w:hAnsi="Arial"/>
                <w:b/>
                <w:bCs/>
                <w:sz w:val="22"/>
                <w:szCs w:val="22"/>
              </w:rPr>
              <w:t>Dieldrin</w:t>
            </w:r>
          </w:p>
        </w:tc>
        <w:tc>
          <w:tcPr>
            <w:tcW w:w="0" w:type="auto"/>
            <w:shd w:val="clear" w:color="auto" w:fill="D6E3BC" w:themeFill="accent3" w:themeFillTint="66"/>
            <w:vAlign w:val="center"/>
          </w:tcPr>
          <w:p w:rsidRPr="00DC126C" w:rsidR="00110BB6" w:rsidP="00D01D43" w:rsidRDefault="00110BB6" w14:paraId="3AF2155A" w14:textId="77777777">
            <w:pPr>
              <w:pStyle w:val="TableText"/>
              <w:spacing w:before="40" w:after="40" w:line="240" w:lineRule="auto"/>
              <w:jc w:val="center"/>
              <w:rPr>
                <w:rFonts w:ascii="Arial" w:hAnsi="Arial"/>
                <w:b/>
                <w:bCs/>
                <w:sz w:val="22"/>
                <w:szCs w:val="22"/>
              </w:rPr>
            </w:pPr>
            <w:r w:rsidRPr="00DC126C">
              <w:rPr>
                <w:rFonts w:ascii="Arial" w:hAnsi="Arial"/>
                <w:b/>
                <w:bCs/>
                <w:sz w:val="22"/>
                <w:szCs w:val="22"/>
              </w:rPr>
              <w:t>Toxaphene</w:t>
            </w:r>
          </w:p>
        </w:tc>
      </w:tr>
      <w:tr w:rsidRPr="00DC126C" w:rsidR="00467297" w:rsidTr="00BF1F5A" w14:paraId="48633D13" w14:textId="77777777">
        <w:trPr>
          <w:cantSplit/>
        </w:trPr>
        <w:tc>
          <w:tcPr>
            <w:tcW w:w="1172" w:type="pct"/>
            <w:vAlign w:val="center"/>
          </w:tcPr>
          <w:p w:rsidRPr="00DC126C" w:rsidR="00110BB6" w:rsidP="00D01D43" w:rsidRDefault="00110BB6" w14:paraId="07130B14" w14:textId="77777777">
            <w:pPr>
              <w:pStyle w:val="TableText"/>
              <w:spacing w:before="40" w:after="40" w:line="240" w:lineRule="auto"/>
              <w:ind w:left="72"/>
              <w:rPr>
                <w:rFonts w:ascii="Arial" w:hAnsi="Arial"/>
                <w:sz w:val="22"/>
                <w:szCs w:val="22"/>
              </w:rPr>
            </w:pPr>
            <w:r w:rsidRPr="00DC126C">
              <w:rPr>
                <w:rFonts w:ascii="Arial" w:hAnsi="Arial"/>
                <w:sz w:val="22"/>
                <w:szCs w:val="22"/>
              </w:rPr>
              <w:t>Oso Flaco Lake</w:t>
            </w:r>
          </w:p>
        </w:tc>
        <w:tc>
          <w:tcPr>
            <w:tcW w:w="0" w:type="auto"/>
            <w:vAlign w:val="center"/>
          </w:tcPr>
          <w:p w:rsidRPr="00DC126C" w:rsidR="00110BB6" w:rsidP="00D01D43" w:rsidRDefault="00110BB6" w14:paraId="009CA9A7" w14:textId="77777777">
            <w:pPr>
              <w:pStyle w:val="TableText"/>
              <w:spacing w:before="40" w:after="40" w:line="240" w:lineRule="auto"/>
              <w:jc w:val="center"/>
              <w:rPr>
                <w:rFonts w:ascii="Arial" w:hAnsi="Arial"/>
                <w:sz w:val="22"/>
                <w:szCs w:val="22"/>
              </w:rPr>
            </w:pPr>
            <w:r w:rsidRPr="00DC126C">
              <w:rPr>
                <w:rFonts w:ascii="Arial" w:hAnsi="Arial"/>
                <w:sz w:val="22"/>
                <w:szCs w:val="22"/>
              </w:rPr>
              <w:t>1.7</w:t>
            </w:r>
          </w:p>
        </w:tc>
        <w:tc>
          <w:tcPr>
            <w:tcW w:w="0" w:type="auto"/>
            <w:vAlign w:val="center"/>
          </w:tcPr>
          <w:p w:rsidRPr="00DC126C" w:rsidR="00110BB6" w:rsidP="00D01D43" w:rsidRDefault="00110BB6" w14:paraId="152525AA" w14:textId="77777777">
            <w:pPr>
              <w:pStyle w:val="TableText"/>
              <w:spacing w:before="40" w:after="40" w:line="240" w:lineRule="auto"/>
              <w:jc w:val="center"/>
              <w:rPr>
                <w:rFonts w:ascii="Arial" w:hAnsi="Arial"/>
                <w:sz w:val="22"/>
                <w:szCs w:val="22"/>
              </w:rPr>
            </w:pPr>
            <w:r w:rsidRPr="00DC126C">
              <w:rPr>
                <w:rFonts w:ascii="Arial" w:hAnsi="Arial"/>
                <w:sz w:val="22"/>
                <w:szCs w:val="22"/>
              </w:rPr>
              <w:t>550</w:t>
            </w:r>
          </w:p>
        </w:tc>
        <w:tc>
          <w:tcPr>
            <w:tcW w:w="0" w:type="auto"/>
            <w:vAlign w:val="center"/>
          </w:tcPr>
          <w:p w:rsidRPr="00DC126C" w:rsidR="00110BB6" w:rsidP="00D01D43" w:rsidRDefault="00110BB6" w14:paraId="4D22B4DD" w14:textId="77777777">
            <w:pPr>
              <w:pStyle w:val="TableText"/>
              <w:spacing w:before="40" w:after="40" w:line="240" w:lineRule="auto"/>
              <w:jc w:val="center"/>
              <w:rPr>
                <w:rFonts w:ascii="Arial" w:hAnsi="Arial"/>
                <w:sz w:val="22"/>
                <w:szCs w:val="22"/>
              </w:rPr>
            </w:pPr>
            <w:r w:rsidRPr="00DC126C">
              <w:rPr>
                <w:rFonts w:ascii="Arial" w:hAnsi="Arial"/>
                <w:sz w:val="22"/>
                <w:szCs w:val="22"/>
              </w:rPr>
              <w:t>0.14</w:t>
            </w:r>
          </w:p>
        </w:tc>
        <w:tc>
          <w:tcPr>
            <w:tcW w:w="0" w:type="auto"/>
            <w:vAlign w:val="center"/>
          </w:tcPr>
          <w:p w:rsidRPr="00DC126C" w:rsidR="00110BB6" w:rsidP="00D01D43" w:rsidRDefault="00110BB6" w14:paraId="478159EA" w14:textId="77777777">
            <w:pPr>
              <w:pStyle w:val="TableText"/>
              <w:spacing w:before="40" w:after="40" w:line="240" w:lineRule="auto"/>
              <w:jc w:val="center"/>
              <w:rPr>
                <w:rFonts w:ascii="Arial" w:hAnsi="Arial"/>
                <w:sz w:val="22"/>
                <w:szCs w:val="22"/>
              </w:rPr>
            </w:pPr>
            <w:r w:rsidRPr="00DC126C">
              <w:rPr>
                <w:rFonts w:ascii="Arial" w:hAnsi="Arial"/>
                <w:sz w:val="22"/>
                <w:szCs w:val="22"/>
              </w:rPr>
              <w:t>20</w:t>
            </w:r>
          </w:p>
        </w:tc>
      </w:tr>
      <w:tr w:rsidRPr="00DC126C" w:rsidR="00467297" w:rsidTr="00BF1F5A" w14:paraId="2F21CECC" w14:textId="77777777">
        <w:trPr>
          <w:cantSplit/>
        </w:trPr>
        <w:tc>
          <w:tcPr>
            <w:tcW w:w="1172" w:type="pct"/>
            <w:vAlign w:val="center"/>
          </w:tcPr>
          <w:p w:rsidRPr="00DC126C" w:rsidR="00110BB6" w:rsidP="00D01D43" w:rsidRDefault="00110BB6" w14:paraId="222ADE4B" w14:textId="77777777">
            <w:pPr>
              <w:pStyle w:val="TableText"/>
              <w:spacing w:before="40" w:after="40" w:line="240" w:lineRule="auto"/>
              <w:ind w:left="72"/>
              <w:rPr>
                <w:rFonts w:ascii="Arial" w:hAnsi="Arial"/>
                <w:sz w:val="22"/>
                <w:szCs w:val="22"/>
              </w:rPr>
            </w:pPr>
            <w:r w:rsidRPr="00DC126C">
              <w:rPr>
                <w:rFonts w:ascii="Arial" w:hAnsi="Arial"/>
                <w:sz w:val="22"/>
                <w:szCs w:val="22"/>
              </w:rPr>
              <w:t>Santa Maria River</w:t>
            </w:r>
          </w:p>
        </w:tc>
        <w:tc>
          <w:tcPr>
            <w:tcW w:w="0" w:type="auto"/>
            <w:vAlign w:val="center"/>
          </w:tcPr>
          <w:p w:rsidRPr="00DC126C" w:rsidR="00110BB6" w:rsidP="00D01D43" w:rsidRDefault="00110BB6" w14:paraId="619E954C" w14:textId="77777777">
            <w:pPr>
              <w:pStyle w:val="TableText"/>
              <w:spacing w:before="40" w:after="40" w:line="240" w:lineRule="auto"/>
              <w:jc w:val="center"/>
              <w:rPr>
                <w:rFonts w:ascii="Arial" w:hAnsi="Arial"/>
                <w:sz w:val="22"/>
                <w:szCs w:val="22"/>
              </w:rPr>
            </w:pPr>
            <w:r w:rsidRPr="00DC126C">
              <w:rPr>
                <w:rFonts w:ascii="Arial" w:hAnsi="Arial"/>
                <w:sz w:val="22"/>
                <w:szCs w:val="22"/>
              </w:rPr>
              <w:t>1.7</w:t>
            </w:r>
          </w:p>
        </w:tc>
        <w:tc>
          <w:tcPr>
            <w:tcW w:w="0" w:type="auto"/>
            <w:vAlign w:val="center"/>
          </w:tcPr>
          <w:p w:rsidRPr="00DC126C" w:rsidR="00110BB6" w:rsidP="00D01D43" w:rsidRDefault="00110BB6" w14:paraId="1BD26B57" w14:textId="77777777">
            <w:pPr>
              <w:pStyle w:val="TableText"/>
              <w:spacing w:before="40" w:after="40" w:line="240" w:lineRule="auto"/>
              <w:jc w:val="center"/>
              <w:rPr>
                <w:rFonts w:ascii="Arial" w:hAnsi="Arial"/>
                <w:sz w:val="22"/>
                <w:szCs w:val="22"/>
              </w:rPr>
            </w:pPr>
            <w:r w:rsidRPr="00DC126C">
              <w:rPr>
                <w:rFonts w:ascii="Arial" w:hAnsi="Arial"/>
                <w:sz w:val="22"/>
                <w:szCs w:val="22"/>
              </w:rPr>
              <w:t>550</w:t>
            </w:r>
          </w:p>
        </w:tc>
        <w:tc>
          <w:tcPr>
            <w:tcW w:w="0" w:type="auto"/>
            <w:vAlign w:val="center"/>
          </w:tcPr>
          <w:p w:rsidRPr="00DC126C" w:rsidR="00110BB6" w:rsidP="00D01D43" w:rsidRDefault="00110BB6" w14:paraId="726C9D34" w14:textId="77777777">
            <w:pPr>
              <w:pStyle w:val="TableText"/>
              <w:spacing w:before="40" w:after="40" w:line="240" w:lineRule="auto"/>
              <w:jc w:val="center"/>
              <w:rPr>
                <w:rFonts w:ascii="Arial" w:hAnsi="Arial"/>
                <w:sz w:val="22"/>
                <w:szCs w:val="22"/>
              </w:rPr>
            </w:pPr>
            <w:r w:rsidRPr="00DC126C">
              <w:rPr>
                <w:rFonts w:ascii="Arial" w:hAnsi="Arial"/>
                <w:sz w:val="22"/>
                <w:szCs w:val="22"/>
              </w:rPr>
              <w:t>0.14</w:t>
            </w:r>
          </w:p>
        </w:tc>
        <w:tc>
          <w:tcPr>
            <w:tcW w:w="0" w:type="auto"/>
            <w:vAlign w:val="center"/>
          </w:tcPr>
          <w:p w:rsidRPr="00DC126C" w:rsidR="00110BB6" w:rsidP="00D01D43" w:rsidRDefault="00110BB6" w14:paraId="4BD7C15C" w14:textId="77777777">
            <w:pPr>
              <w:pStyle w:val="TableText"/>
              <w:spacing w:before="40" w:after="40" w:line="240" w:lineRule="auto"/>
              <w:jc w:val="center"/>
              <w:rPr>
                <w:rFonts w:ascii="Arial" w:hAnsi="Arial"/>
                <w:sz w:val="22"/>
                <w:szCs w:val="22"/>
              </w:rPr>
            </w:pPr>
            <w:r w:rsidRPr="00DC126C">
              <w:rPr>
                <w:rFonts w:ascii="Arial" w:hAnsi="Arial"/>
                <w:sz w:val="22"/>
                <w:szCs w:val="22"/>
              </w:rPr>
              <w:t>20</w:t>
            </w:r>
          </w:p>
        </w:tc>
      </w:tr>
      <w:tr w:rsidRPr="00DC126C" w:rsidR="00467297" w:rsidTr="00BF1F5A" w14:paraId="3EDDDCC1" w14:textId="77777777">
        <w:trPr>
          <w:cantSplit/>
        </w:trPr>
        <w:tc>
          <w:tcPr>
            <w:tcW w:w="1172" w:type="pct"/>
            <w:vAlign w:val="center"/>
          </w:tcPr>
          <w:p w:rsidRPr="00DC126C" w:rsidR="00110BB6" w:rsidP="00D01D43" w:rsidRDefault="00110BB6" w14:paraId="3F0742EC" w14:textId="77777777">
            <w:pPr>
              <w:pStyle w:val="TableText"/>
              <w:spacing w:before="40" w:after="40" w:line="240" w:lineRule="auto"/>
              <w:ind w:left="72"/>
              <w:rPr>
                <w:rFonts w:ascii="Arial" w:hAnsi="Arial"/>
                <w:sz w:val="22"/>
                <w:szCs w:val="22"/>
              </w:rPr>
            </w:pPr>
            <w:r w:rsidRPr="00DC126C">
              <w:rPr>
                <w:rFonts w:ascii="Arial" w:hAnsi="Arial"/>
                <w:sz w:val="22"/>
                <w:szCs w:val="22"/>
              </w:rPr>
              <w:t>Orcutt Creek</w:t>
            </w:r>
          </w:p>
        </w:tc>
        <w:tc>
          <w:tcPr>
            <w:tcW w:w="0" w:type="auto"/>
            <w:vAlign w:val="center"/>
          </w:tcPr>
          <w:p w:rsidRPr="00DC126C" w:rsidR="00110BB6" w:rsidP="00D01D43" w:rsidRDefault="00110BB6" w14:paraId="149F3745" w14:textId="77777777">
            <w:pPr>
              <w:pStyle w:val="TableText"/>
              <w:spacing w:before="40" w:after="40" w:line="240" w:lineRule="auto"/>
              <w:jc w:val="center"/>
              <w:rPr>
                <w:rFonts w:ascii="Arial" w:hAnsi="Arial"/>
                <w:sz w:val="22"/>
                <w:szCs w:val="22"/>
              </w:rPr>
            </w:pPr>
            <w:r w:rsidRPr="00DC126C">
              <w:rPr>
                <w:rFonts w:ascii="Arial" w:hAnsi="Arial"/>
                <w:sz w:val="22"/>
                <w:szCs w:val="22"/>
              </w:rPr>
              <w:t>1.7</w:t>
            </w:r>
          </w:p>
        </w:tc>
        <w:tc>
          <w:tcPr>
            <w:tcW w:w="0" w:type="auto"/>
            <w:vAlign w:val="center"/>
          </w:tcPr>
          <w:p w:rsidRPr="00DC126C" w:rsidR="00110BB6" w:rsidP="00D01D43" w:rsidRDefault="00110BB6" w14:paraId="3B181C3F" w14:textId="77777777">
            <w:pPr>
              <w:pStyle w:val="TableText"/>
              <w:spacing w:before="40" w:after="40" w:line="240" w:lineRule="auto"/>
              <w:jc w:val="center"/>
              <w:rPr>
                <w:rFonts w:ascii="Arial" w:hAnsi="Arial"/>
                <w:sz w:val="22"/>
                <w:szCs w:val="22"/>
              </w:rPr>
            </w:pPr>
            <w:r w:rsidRPr="00DC126C">
              <w:rPr>
                <w:rFonts w:ascii="Arial" w:hAnsi="Arial"/>
                <w:sz w:val="22"/>
                <w:szCs w:val="22"/>
              </w:rPr>
              <w:t>550</w:t>
            </w:r>
          </w:p>
        </w:tc>
        <w:tc>
          <w:tcPr>
            <w:tcW w:w="0" w:type="auto"/>
            <w:vAlign w:val="center"/>
          </w:tcPr>
          <w:p w:rsidRPr="00DC126C" w:rsidR="00110BB6" w:rsidP="00D01D43" w:rsidRDefault="00110BB6" w14:paraId="27006FFC" w14:textId="77777777">
            <w:pPr>
              <w:pStyle w:val="TableText"/>
              <w:spacing w:before="40" w:after="40" w:line="240" w:lineRule="auto"/>
              <w:jc w:val="center"/>
              <w:rPr>
                <w:rFonts w:ascii="Arial" w:hAnsi="Arial"/>
                <w:sz w:val="22"/>
                <w:szCs w:val="22"/>
              </w:rPr>
            </w:pPr>
            <w:r w:rsidRPr="00DC126C">
              <w:rPr>
                <w:rFonts w:ascii="Arial" w:hAnsi="Arial"/>
                <w:sz w:val="22"/>
                <w:szCs w:val="22"/>
              </w:rPr>
              <w:t>0.14</w:t>
            </w:r>
          </w:p>
        </w:tc>
        <w:tc>
          <w:tcPr>
            <w:tcW w:w="0" w:type="auto"/>
            <w:vAlign w:val="center"/>
          </w:tcPr>
          <w:p w:rsidRPr="00DC126C" w:rsidR="00110BB6" w:rsidP="00D01D43" w:rsidRDefault="00110BB6" w14:paraId="56D4DAE1" w14:textId="77777777">
            <w:pPr>
              <w:pStyle w:val="TableText"/>
              <w:spacing w:before="40" w:after="40" w:line="240" w:lineRule="auto"/>
              <w:jc w:val="center"/>
              <w:rPr>
                <w:rFonts w:ascii="Arial" w:hAnsi="Arial"/>
                <w:sz w:val="22"/>
                <w:szCs w:val="22"/>
              </w:rPr>
            </w:pPr>
            <w:r w:rsidRPr="00DC126C">
              <w:rPr>
                <w:rFonts w:ascii="Arial" w:hAnsi="Arial"/>
                <w:sz w:val="22"/>
                <w:szCs w:val="22"/>
              </w:rPr>
              <w:t>20</w:t>
            </w:r>
          </w:p>
        </w:tc>
      </w:tr>
    </w:tbl>
    <w:p w:rsidRPr="00D52F4F" w:rsidR="00110BB6" w:rsidP="001F0EC1" w:rsidRDefault="00110BB6" w14:paraId="606AAAFB" w14:textId="77777777">
      <w:pPr>
        <w:pStyle w:val="TableHead"/>
        <w:keepNext/>
        <w:keepLines/>
      </w:pPr>
      <w:r w:rsidRPr="00D52F4F">
        <w:t xml:space="preserve">Santa Maria River Watershed Fish Tissue </w:t>
      </w:r>
      <w:r>
        <w:t>Wasteload</w:t>
      </w:r>
      <w:r w:rsidRPr="00D52F4F">
        <w:t xml:space="preserve"> Allocations for Organochlorine Pesticides (nanograms of pollutant per grams of fish tissue sample)</w:t>
      </w:r>
    </w:p>
    <w:tbl>
      <w:tblPr>
        <w:tblStyle w:val="TableGrid"/>
        <w:tblW w:w="5000" w:type="pct"/>
        <w:tblInd w:w="-5" w:type="dxa"/>
        <w:tblCellMar>
          <w:top w:w="29" w:type="dxa"/>
          <w:left w:w="58" w:type="dxa"/>
          <w:bottom w:w="29" w:type="dxa"/>
          <w:right w:w="58" w:type="dxa"/>
        </w:tblCellMar>
        <w:tblLook w:val="0620" w:firstRow="1" w:lastRow="0" w:firstColumn="0" w:lastColumn="0" w:noHBand="1" w:noVBand="1"/>
        <w:tblCaption w:val="Table 5: Santa Maria River Watershed Fish Tissue TMDLs for Organochlorine Pesticides"/>
      </w:tblPr>
      <w:tblGrid>
        <w:gridCol w:w="2040"/>
        <w:gridCol w:w="1393"/>
        <w:gridCol w:w="2223"/>
        <w:gridCol w:w="1790"/>
        <w:gridCol w:w="1904"/>
      </w:tblGrid>
      <w:tr w:rsidRPr="00B36942" w:rsidR="00DB54E3" w:rsidTr="00B36942" w14:paraId="74149A86" w14:textId="77777777">
        <w:trPr>
          <w:cantSplit/>
          <w:trHeight w:val="780"/>
          <w:tblHeader/>
        </w:trPr>
        <w:tc>
          <w:tcPr>
            <w:tcW w:w="2247" w:type="dxa"/>
            <w:shd w:val="clear" w:color="auto" w:fill="D6E3BC" w:themeFill="accent3" w:themeFillTint="66"/>
            <w:vAlign w:val="center"/>
          </w:tcPr>
          <w:p w:rsidRPr="00B36942" w:rsidR="00110BB6" w:rsidP="00223B65" w:rsidRDefault="00110BB6" w14:paraId="772E5B56" w14:textId="77777777">
            <w:pPr>
              <w:pStyle w:val="TableText"/>
              <w:keepNext/>
              <w:keepLines/>
              <w:spacing w:before="20" w:after="20" w:line="240" w:lineRule="auto"/>
              <w:jc w:val="center"/>
              <w:rPr>
                <w:rFonts w:ascii="Arial" w:hAnsi="Arial"/>
                <w:b/>
                <w:bCs/>
                <w:sz w:val="22"/>
                <w:szCs w:val="22"/>
              </w:rPr>
            </w:pPr>
            <w:r w:rsidRPr="00B36942">
              <w:rPr>
                <w:rFonts w:ascii="Arial" w:hAnsi="Arial"/>
                <w:b/>
                <w:bCs/>
                <w:sz w:val="22"/>
                <w:szCs w:val="22"/>
              </w:rPr>
              <w:t>Waterbody</w:t>
            </w:r>
          </w:p>
        </w:tc>
        <w:tc>
          <w:tcPr>
            <w:tcW w:w="1443" w:type="dxa"/>
            <w:shd w:val="clear" w:color="auto" w:fill="D6E3BC" w:themeFill="accent3" w:themeFillTint="66"/>
            <w:vAlign w:val="center"/>
          </w:tcPr>
          <w:p w:rsidRPr="00B36942" w:rsidR="00110BB6" w:rsidP="00223B65" w:rsidRDefault="00110BB6" w14:paraId="4872F19F" w14:textId="77777777">
            <w:pPr>
              <w:pStyle w:val="TableText"/>
              <w:keepNext/>
              <w:keepLines/>
              <w:spacing w:before="20" w:after="20" w:line="240" w:lineRule="auto"/>
              <w:jc w:val="center"/>
              <w:rPr>
                <w:rFonts w:ascii="Arial" w:hAnsi="Arial"/>
                <w:b/>
                <w:bCs/>
                <w:sz w:val="22"/>
                <w:szCs w:val="22"/>
              </w:rPr>
            </w:pPr>
            <w:r w:rsidRPr="00B36942">
              <w:rPr>
                <w:rFonts w:ascii="Arial" w:hAnsi="Arial"/>
                <w:b/>
                <w:bCs/>
                <w:sz w:val="22"/>
                <w:szCs w:val="22"/>
              </w:rPr>
              <w:t>Chlordane</w:t>
            </w:r>
          </w:p>
        </w:tc>
        <w:tc>
          <w:tcPr>
            <w:tcW w:w="2340" w:type="dxa"/>
            <w:shd w:val="clear" w:color="auto" w:fill="D6E3BC" w:themeFill="accent3" w:themeFillTint="66"/>
            <w:vAlign w:val="center"/>
          </w:tcPr>
          <w:p w:rsidRPr="00B36942" w:rsidR="00110BB6" w:rsidP="00223B65" w:rsidRDefault="00110BB6" w14:paraId="7CAC3281" w14:textId="77777777">
            <w:pPr>
              <w:pStyle w:val="TableText"/>
              <w:keepNext/>
              <w:keepLines/>
              <w:spacing w:before="20" w:after="20" w:line="240" w:lineRule="auto"/>
              <w:jc w:val="center"/>
              <w:rPr>
                <w:rFonts w:ascii="Arial" w:hAnsi="Arial"/>
                <w:b/>
                <w:bCs/>
                <w:sz w:val="22"/>
                <w:szCs w:val="22"/>
              </w:rPr>
            </w:pPr>
            <w:r w:rsidRPr="00B36942">
              <w:rPr>
                <w:rFonts w:ascii="Arial" w:hAnsi="Arial"/>
                <w:b/>
                <w:bCs/>
                <w:sz w:val="22"/>
                <w:szCs w:val="22"/>
              </w:rPr>
              <w:t>Dichloro-Diphenyl-Trichloroethane</w:t>
            </w:r>
          </w:p>
        </w:tc>
        <w:tc>
          <w:tcPr>
            <w:tcW w:w="1972" w:type="dxa"/>
            <w:shd w:val="clear" w:color="auto" w:fill="D6E3BC" w:themeFill="accent3" w:themeFillTint="66"/>
            <w:vAlign w:val="center"/>
          </w:tcPr>
          <w:p w:rsidRPr="00B36942" w:rsidR="00110BB6" w:rsidP="00223B65" w:rsidRDefault="00110BB6" w14:paraId="751A8595" w14:textId="77777777">
            <w:pPr>
              <w:pStyle w:val="TableText"/>
              <w:keepNext/>
              <w:keepLines/>
              <w:spacing w:before="20" w:after="20" w:line="240" w:lineRule="auto"/>
              <w:jc w:val="center"/>
              <w:rPr>
                <w:rFonts w:ascii="Arial" w:hAnsi="Arial"/>
                <w:b/>
                <w:bCs/>
                <w:sz w:val="22"/>
                <w:szCs w:val="22"/>
              </w:rPr>
            </w:pPr>
            <w:r w:rsidRPr="00B36942">
              <w:rPr>
                <w:rFonts w:ascii="Arial" w:hAnsi="Arial"/>
                <w:b/>
                <w:bCs/>
                <w:sz w:val="22"/>
                <w:szCs w:val="22"/>
              </w:rPr>
              <w:t>Dieldrin</w:t>
            </w:r>
          </w:p>
        </w:tc>
        <w:tc>
          <w:tcPr>
            <w:tcW w:w="2068" w:type="dxa"/>
            <w:shd w:val="clear" w:color="auto" w:fill="D6E3BC" w:themeFill="accent3" w:themeFillTint="66"/>
            <w:vAlign w:val="center"/>
          </w:tcPr>
          <w:p w:rsidRPr="00B36942" w:rsidR="00110BB6" w:rsidP="00223B65" w:rsidRDefault="00110BB6" w14:paraId="158395C0" w14:textId="77777777">
            <w:pPr>
              <w:pStyle w:val="TableText"/>
              <w:keepNext/>
              <w:keepLines/>
              <w:spacing w:before="20" w:after="20" w:line="240" w:lineRule="auto"/>
              <w:jc w:val="center"/>
              <w:rPr>
                <w:rFonts w:ascii="Arial" w:hAnsi="Arial"/>
                <w:b/>
                <w:bCs/>
                <w:sz w:val="22"/>
                <w:szCs w:val="22"/>
              </w:rPr>
            </w:pPr>
            <w:r w:rsidRPr="00B36942">
              <w:rPr>
                <w:rFonts w:ascii="Arial" w:hAnsi="Arial"/>
                <w:b/>
                <w:bCs/>
                <w:sz w:val="22"/>
                <w:szCs w:val="22"/>
              </w:rPr>
              <w:t>Toxaphene</w:t>
            </w:r>
          </w:p>
        </w:tc>
      </w:tr>
      <w:tr w:rsidRPr="00B36942" w:rsidR="00DA5843" w:rsidTr="003C5E63" w14:paraId="10DBE745" w14:textId="77777777">
        <w:trPr>
          <w:cantSplit/>
        </w:trPr>
        <w:tc>
          <w:tcPr>
            <w:tcW w:w="2247" w:type="dxa"/>
            <w:vAlign w:val="center"/>
          </w:tcPr>
          <w:p w:rsidRPr="00B36942" w:rsidR="00110BB6" w:rsidP="00223B65" w:rsidRDefault="00110BB6" w14:paraId="5578F439" w14:textId="77777777">
            <w:pPr>
              <w:pStyle w:val="TableText"/>
              <w:spacing w:before="20" w:after="20" w:line="240" w:lineRule="auto"/>
              <w:ind w:left="72"/>
              <w:rPr>
                <w:rFonts w:ascii="Arial" w:hAnsi="Arial"/>
                <w:sz w:val="22"/>
                <w:szCs w:val="22"/>
              </w:rPr>
            </w:pPr>
            <w:r w:rsidRPr="00B36942">
              <w:rPr>
                <w:rFonts w:ascii="Arial" w:hAnsi="Arial"/>
                <w:sz w:val="22"/>
                <w:szCs w:val="22"/>
              </w:rPr>
              <w:t>Oso Flaco Lake</w:t>
            </w:r>
          </w:p>
        </w:tc>
        <w:tc>
          <w:tcPr>
            <w:tcW w:w="1443" w:type="dxa"/>
            <w:vAlign w:val="center"/>
          </w:tcPr>
          <w:p w:rsidRPr="00B36942" w:rsidR="00110BB6" w:rsidP="00223B65" w:rsidRDefault="00110BB6" w14:paraId="1C3E1E21" w14:textId="77777777">
            <w:pPr>
              <w:pStyle w:val="TableText"/>
              <w:spacing w:before="20" w:after="20" w:line="240" w:lineRule="auto"/>
              <w:jc w:val="center"/>
              <w:rPr>
                <w:rFonts w:ascii="Arial" w:hAnsi="Arial"/>
                <w:sz w:val="22"/>
                <w:szCs w:val="22"/>
              </w:rPr>
            </w:pPr>
            <w:r w:rsidRPr="00B36942">
              <w:rPr>
                <w:rFonts w:ascii="Arial" w:hAnsi="Arial"/>
                <w:sz w:val="22"/>
                <w:szCs w:val="22"/>
              </w:rPr>
              <w:t>5.6</w:t>
            </w:r>
          </w:p>
        </w:tc>
        <w:tc>
          <w:tcPr>
            <w:tcW w:w="2340" w:type="dxa"/>
            <w:vAlign w:val="center"/>
          </w:tcPr>
          <w:p w:rsidRPr="00B36942" w:rsidR="00110BB6" w:rsidP="00223B65" w:rsidRDefault="00110BB6" w14:paraId="16168F4A" w14:textId="77777777">
            <w:pPr>
              <w:pStyle w:val="TableText"/>
              <w:spacing w:before="20" w:after="20" w:line="240" w:lineRule="auto"/>
              <w:jc w:val="center"/>
              <w:rPr>
                <w:rFonts w:ascii="Arial" w:hAnsi="Arial"/>
                <w:sz w:val="22"/>
                <w:szCs w:val="22"/>
              </w:rPr>
            </w:pPr>
            <w:r w:rsidRPr="00B36942">
              <w:rPr>
                <w:rFonts w:ascii="Arial" w:hAnsi="Arial"/>
                <w:sz w:val="22"/>
                <w:szCs w:val="22"/>
              </w:rPr>
              <w:t>21</w:t>
            </w:r>
          </w:p>
        </w:tc>
        <w:tc>
          <w:tcPr>
            <w:tcW w:w="1972" w:type="dxa"/>
            <w:vAlign w:val="center"/>
          </w:tcPr>
          <w:p w:rsidRPr="00B36942" w:rsidR="00110BB6" w:rsidP="00223B65" w:rsidRDefault="00110BB6" w14:paraId="7A83BF4E" w14:textId="77777777">
            <w:pPr>
              <w:pStyle w:val="HiddenText"/>
              <w:spacing w:before="20" w:after="20" w:line="240" w:lineRule="auto"/>
              <w:contextualSpacing w:val="0"/>
              <w:rPr>
                <w:rFonts w:ascii="Arial" w:hAnsi="Arial" w:eastAsiaTheme="minorHAnsi"/>
                <w:color w:val="auto"/>
                <w:sz w:val="22"/>
                <w:szCs w:val="22"/>
              </w:rPr>
            </w:pPr>
            <w:r w:rsidRPr="00B36942">
              <w:rPr>
                <w:rFonts w:ascii="Arial" w:hAnsi="Arial" w:eastAsiaTheme="minorHAnsi"/>
                <w:color w:val="auto"/>
                <w:sz w:val="22"/>
                <w:szCs w:val="22"/>
              </w:rPr>
              <w:t>Not applicable</w:t>
            </w:r>
          </w:p>
        </w:tc>
        <w:tc>
          <w:tcPr>
            <w:tcW w:w="2068" w:type="dxa"/>
            <w:vAlign w:val="center"/>
          </w:tcPr>
          <w:p w:rsidRPr="00B36942" w:rsidR="00110BB6" w:rsidP="00223B65" w:rsidRDefault="00110BB6" w14:paraId="2B4F00BC" w14:textId="77777777">
            <w:pPr>
              <w:pStyle w:val="HiddenText"/>
              <w:spacing w:before="20" w:after="20" w:line="240" w:lineRule="auto"/>
              <w:contextualSpacing w:val="0"/>
              <w:rPr>
                <w:rFonts w:ascii="Arial" w:hAnsi="Arial" w:eastAsiaTheme="minorHAnsi"/>
                <w:color w:val="auto"/>
                <w:sz w:val="22"/>
                <w:szCs w:val="22"/>
              </w:rPr>
            </w:pPr>
            <w:r w:rsidRPr="00B36942">
              <w:rPr>
                <w:rFonts w:ascii="Arial" w:hAnsi="Arial" w:eastAsiaTheme="minorHAnsi"/>
                <w:color w:val="auto"/>
                <w:sz w:val="22"/>
                <w:szCs w:val="22"/>
              </w:rPr>
              <w:t>Not applicable</w:t>
            </w:r>
          </w:p>
        </w:tc>
      </w:tr>
      <w:tr w:rsidRPr="00B36942" w:rsidR="00DA5843" w:rsidTr="003C5E63" w14:paraId="1518B1E7" w14:textId="77777777">
        <w:trPr>
          <w:cantSplit/>
        </w:trPr>
        <w:tc>
          <w:tcPr>
            <w:tcW w:w="2247" w:type="dxa"/>
            <w:vAlign w:val="center"/>
          </w:tcPr>
          <w:p w:rsidRPr="00B36942" w:rsidR="00110BB6" w:rsidP="00223B65" w:rsidRDefault="00110BB6" w14:paraId="5F43F3AB" w14:textId="77777777">
            <w:pPr>
              <w:pStyle w:val="TableText"/>
              <w:spacing w:before="20" w:after="20" w:line="240" w:lineRule="auto"/>
              <w:ind w:left="72"/>
              <w:rPr>
                <w:rFonts w:ascii="Arial" w:hAnsi="Arial"/>
                <w:sz w:val="22"/>
                <w:szCs w:val="22"/>
              </w:rPr>
            </w:pPr>
            <w:r w:rsidRPr="00B36942">
              <w:rPr>
                <w:rFonts w:ascii="Arial" w:hAnsi="Arial"/>
                <w:sz w:val="22"/>
                <w:szCs w:val="22"/>
              </w:rPr>
              <w:t>Oso Flaco Creek</w:t>
            </w:r>
          </w:p>
        </w:tc>
        <w:tc>
          <w:tcPr>
            <w:tcW w:w="1443" w:type="dxa"/>
            <w:vAlign w:val="center"/>
          </w:tcPr>
          <w:p w:rsidRPr="00B36942" w:rsidR="00110BB6" w:rsidP="00223B65" w:rsidRDefault="00110BB6" w14:paraId="4CE7CA67" w14:textId="77777777">
            <w:pPr>
              <w:pStyle w:val="TableText"/>
              <w:spacing w:before="20" w:after="20" w:line="240" w:lineRule="auto"/>
              <w:jc w:val="center"/>
              <w:rPr>
                <w:rFonts w:ascii="Arial" w:hAnsi="Arial"/>
                <w:sz w:val="22"/>
                <w:szCs w:val="22"/>
              </w:rPr>
            </w:pPr>
            <w:r w:rsidRPr="00B36942">
              <w:rPr>
                <w:rFonts w:ascii="Arial" w:hAnsi="Arial"/>
                <w:sz w:val="22"/>
                <w:szCs w:val="22"/>
              </w:rPr>
              <w:t>5.6</w:t>
            </w:r>
          </w:p>
        </w:tc>
        <w:tc>
          <w:tcPr>
            <w:tcW w:w="2340" w:type="dxa"/>
            <w:vAlign w:val="center"/>
          </w:tcPr>
          <w:p w:rsidRPr="00B36942" w:rsidR="00110BB6" w:rsidP="00223B65" w:rsidRDefault="00110BB6" w14:paraId="734C9EBE" w14:textId="77777777">
            <w:pPr>
              <w:pStyle w:val="TableText"/>
              <w:spacing w:before="20" w:after="20" w:line="240" w:lineRule="auto"/>
              <w:jc w:val="center"/>
              <w:rPr>
                <w:rFonts w:ascii="Arial" w:hAnsi="Arial"/>
                <w:sz w:val="22"/>
                <w:szCs w:val="22"/>
              </w:rPr>
            </w:pPr>
            <w:r w:rsidRPr="00B36942">
              <w:rPr>
                <w:rFonts w:ascii="Arial" w:hAnsi="Arial"/>
                <w:sz w:val="22"/>
                <w:szCs w:val="22"/>
              </w:rPr>
              <w:t>21</w:t>
            </w:r>
          </w:p>
        </w:tc>
        <w:tc>
          <w:tcPr>
            <w:tcW w:w="1972" w:type="dxa"/>
            <w:vAlign w:val="center"/>
          </w:tcPr>
          <w:p w:rsidRPr="00B36942" w:rsidR="00110BB6" w:rsidP="00223B65" w:rsidRDefault="00110BB6" w14:paraId="5D72CA3F" w14:textId="77777777">
            <w:pPr>
              <w:pStyle w:val="HiddenText"/>
              <w:spacing w:before="20" w:after="20" w:line="240" w:lineRule="auto"/>
              <w:contextualSpacing w:val="0"/>
              <w:rPr>
                <w:rFonts w:ascii="Arial" w:hAnsi="Arial" w:eastAsiaTheme="minorHAnsi"/>
                <w:color w:val="auto"/>
                <w:sz w:val="22"/>
                <w:szCs w:val="22"/>
              </w:rPr>
            </w:pPr>
            <w:r w:rsidRPr="00B36942">
              <w:rPr>
                <w:rFonts w:ascii="Arial" w:hAnsi="Arial" w:eastAsiaTheme="minorHAnsi"/>
                <w:color w:val="auto"/>
                <w:sz w:val="22"/>
                <w:szCs w:val="22"/>
              </w:rPr>
              <w:t>Not applicable</w:t>
            </w:r>
          </w:p>
        </w:tc>
        <w:tc>
          <w:tcPr>
            <w:tcW w:w="2068" w:type="dxa"/>
            <w:vAlign w:val="center"/>
          </w:tcPr>
          <w:p w:rsidRPr="00B36942" w:rsidR="00110BB6" w:rsidP="00223B65" w:rsidRDefault="00110BB6" w14:paraId="17C5AA08" w14:textId="77777777">
            <w:pPr>
              <w:pStyle w:val="HiddenText"/>
              <w:spacing w:before="20" w:after="20" w:line="240" w:lineRule="auto"/>
              <w:contextualSpacing w:val="0"/>
              <w:rPr>
                <w:rFonts w:ascii="Arial" w:hAnsi="Arial" w:eastAsiaTheme="minorHAnsi"/>
                <w:color w:val="auto"/>
                <w:sz w:val="22"/>
                <w:szCs w:val="22"/>
              </w:rPr>
            </w:pPr>
            <w:r w:rsidRPr="00B36942">
              <w:rPr>
                <w:rFonts w:ascii="Arial" w:hAnsi="Arial" w:eastAsiaTheme="minorHAnsi"/>
                <w:color w:val="auto"/>
                <w:sz w:val="22"/>
                <w:szCs w:val="22"/>
              </w:rPr>
              <w:t>Not applicable</w:t>
            </w:r>
          </w:p>
        </w:tc>
      </w:tr>
      <w:tr w:rsidRPr="00B36942" w:rsidR="00467297" w:rsidTr="003C5E63" w14:paraId="66406D81" w14:textId="77777777">
        <w:trPr>
          <w:cantSplit/>
        </w:trPr>
        <w:tc>
          <w:tcPr>
            <w:tcW w:w="2247" w:type="dxa"/>
            <w:vAlign w:val="center"/>
          </w:tcPr>
          <w:p w:rsidRPr="00B36942" w:rsidR="00110BB6" w:rsidP="00223B65" w:rsidRDefault="00110BB6" w14:paraId="6F6D98D9" w14:textId="77777777">
            <w:pPr>
              <w:pStyle w:val="TableText"/>
              <w:spacing w:before="20" w:after="20" w:line="240" w:lineRule="auto"/>
              <w:ind w:left="72"/>
              <w:rPr>
                <w:rFonts w:ascii="Arial" w:hAnsi="Arial"/>
                <w:sz w:val="22"/>
                <w:szCs w:val="22"/>
              </w:rPr>
            </w:pPr>
            <w:r w:rsidRPr="00B36942">
              <w:rPr>
                <w:rFonts w:ascii="Arial" w:hAnsi="Arial"/>
                <w:sz w:val="22"/>
                <w:szCs w:val="22"/>
              </w:rPr>
              <w:t>Santa Maria River</w:t>
            </w:r>
          </w:p>
        </w:tc>
        <w:tc>
          <w:tcPr>
            <w:tcW w:w="1443" w:type="dxa"/>
            <w:vAlign w:val="center"/>
          </w:tcPr>
          <w:p w:rsidRPr="00B36942" w:rsidR="00110BB6" w:rsidP="00223B65" w:rsidRDefault="00110BB6" w14:paraId="5A8DA3EF" w14:textId="77777777">
            <w:pPr>
              <w:pStyle w:val="TableText"/>
              <w:spacing w:before="20" w:after="20" w:line="240" w:lineRule="auto"/>
              <w:jc w:val="center"/>
              <w:rPr>
                <w:rFonts w:ascii="Arial" w:hAnsi="Arial"/>
                <w:sz w:val="22"/>
                <w:szCs w:val="22"/>
              </w:rPr>
            </w:pPr>
            <w:r w:rsidRPr="00B36942">
              <w:rPr>
                <w:rFonts w:ascii="Arial" w:hAnsi="Arial"/>
                <w:sz w:val="22"/>
                <w:szCs w:val="22"/>
              </w:rPr>
              <w:t>5.6</w:t>
            </w:r>
          </w:p>
        </w:tc>
        <w:tc>
          <w:tcPr>
            <w:tcW w:w="2340" w:type="dxa"/>
            <w:vAlign w:val="center"/>
          </w:tcPr>
          <w:p w:rsidRPr="00B36942" w:rsidR="00110BB6" w:rsidP="00223B65" w:rsidRDefault="00110BB6" w14:paraId="06D6DF45" w14:textId="77777777">
            <w:pPr>
              <w:pStyle w:val="TableText"/>
              <w:spacing w:before="20" w:after="20" w:line="240" w:lineRule="auto"/>
              <w:jc w:val="center"/>
              <w:rPr>
                <w:rFonts w:ascii="Arial" w:hAnsi="Arial"/>
                <w:sz w:val="22"/>
                <w:szCs w:val="22"/>
              </w:rPr>
            </w:pPr>
            <w:r w:rsidRPr="00B36942">
              <w:rPr>
                <w:rFonts w:ascii="Arial" w:hAnsi="Arial"/>
                <w:sz w:val="22"/>
                <w:szCs w:val="22"/>
              </w:rPr>
              <w:t>21</w:t>
            </w:r>
          </w:p>
        </w:tc>
        <w:tc>
          <w:tcPr>
            <w:tcW w:w="1972" w:type="dxa"/>
            <w:vAlign w:val="center"/>
          </w:tcPr>
          <w:p w:rsidRPr="00B36942" w:rsidR="00110BB6" w:rsidP="00223B65" w:rsidRDefault="00110BB6" w14:paraId="7C400C91" w14:textId="77777777">
            <w:pPr>
              <w:pStyle w:val="TableText"/>
              <w:spacing w:before="20" w:after="20" w:line="240" w:lineRule="auto"/>
              <w:jc w:val="center"/>
              <w:rPr>
                <w:rFonts w:ascii="Arial" w:hAnsi="Arial"/>
                <w:sz w:val="22"/>
                <w:szCs w:val="22"/>
              </w:rPr>
            </w:pPr>
            <w:r w:rsidRPr="00B36942">
              <w:rPr>
                <w:rFonts w:ascii="Arial" w:hAnsi="Arial"/>
                <w:sz w:val="22"/>
                <w:szCs w:val="22"/>
              </w:rPr>
              <w:t>0.46</w:t>
            </w:r>
          </w:p>
        </w:tc>
        <w:tc>
          <w:tcPr>
            <w:tcW w:w="2068" w:type="dxa"/>
            <w:vAlign w:val="center"/>
          </w:tcPr>
          <w:p w:rsidRPr="00B36942" w:rsidR="00110BB6" w:rsidP="00223B65" w:rsidRDefault="00110BB6" w14:paraId="402F00D9" w14:textId="77777777">
            <w:pPr>
              <w:pStyle w:val="TableText"/>
              <w:spacing w:before="20" w:after="20" w:line="240" w:lineRule="auto"/>
              <w:jc w:val="center"/>
              <w:rPr>
                <w:rFonts w:ascii="Arial" w:hAnsi="Arial"/>
                <w:sz w:val="22"/>
                <w:szCs w:val="22"/>
              </w:rPr>
            </w:pPr>
            <w:r w:rsidRPr="00B36942">
              <w:rPr>
                <w:rFonts w:ascii="Arial" w:hAnsi="Arial"/>
                <w:sz w:val="22"/>
                <w:szCs w:val="22"/>
              </w:rPr>
              <w:t>6.1</w:t>
            </w:r>
          </w:p>
        </w:tc>
      </w:tr>
      <w:tr w:rsidRPr="00B36942" w:rsidR="00467297" w:rsidTr="003C5E63" w14:paraId="42FD798E" w14:textId="77777777">
        <w:trPr>
          <w:cantSplit/>
        </w:trPr>
        <w:tc>
          <w:tcPr>
            <w:tcW w:w="2247" w:type="dxa"/>
            <w:vAlign w:val="center"/>
          </w:tcPr>
          <w:p w:rsidRPr="00B36942" w:rsidR="00110BB6" w:rsidP="00223B65" w:rsidRDefault="00110BB6" w14:paraId="50B5E48D" w14:textId="77777777">
            <w:pPr>
              <w:pStyle w:val="TableText"/>
              <w:spacing w:before="20" w:after="20" w:line="240" w:lineRule="auto"/>
              <w:ind w:left="72"/>
              <w:rPr>
                <w:rFonts w:ascii="Arial" w:hAnsi="Arial"/>
                <w:sz w:val="22"/>
                <w:szCs w:val="22"/>
              </w:rPr>
            </w:pPr>
            <w:r w:rsidRPr="00B36942">
              <w:rPr>
                <w:rFonts w:ascii="Arial" w:hAnsi="Arial"/>
                <w:sz w:val="22"/>
                <w:szCs w:val="22"/>
              </w:rPr>
              <w:t>Orcutt Creek</w:t>
            </w:r>
          </w:p>
        </w:tc>
        <w:tc>
          <w:tcPr>
            <w:tcW w:w="1443" w:type="dxa"/>
            <w:vAlign w:val="center"/>
          </w:tcPr>
          <w:p w:rsidRPr="00B36942" w:rsidR="00110BB6" w:rsidP="00223B65" w:rsidRDefault="00110BB6" w14:paraId="6D0DC445" w14:textId="77777777">
            <w:pPr>
              <w:pStyle w:val="TableText"/>
              <w:spacing w:before="20" w:after="20" w:line="240" w:lineRule="auto"/>
              <w:jc w:val="center"/>
              <w:rPr>
                <w:rFonts w:ascii="Arial" w:hAnsi="Arial"/>
                <w:sz w:val="22"/>
                <w:szCs w:val="22"/>
              </w:rPr>
            </w:pPr>
            <w:r w:rsidRPr="00B36942">
              <w:rPr>
                <w:rFonts w:ascii="Arial" w:hAnsi="Arial"/>
                <w:sz w:val="22"/>
                <w:szCs w:val="22"/>
              </w:rPr>
              <w:t>5.6</w:t>
            </w:r>
          </w:p>
        </w:tc>
        <w:tc>
          <w:tcPr>
            <w:tcW w:w="2340" w:type="dxa"/>
            <w:vAlign w:val="center"/>
          </w:tcPr>
          <w:p w:rsidRPr="00B36942" w:rsidR="00110BB6" w:rsidP="00223B65" w:rsidRDefault="00110BB6" w14:paraId="442F7D1B" w14:textId="77777777">
            <w:pPr>
              <w:pStyle w:val="TableText"/>
              <w:spacing w:before="20" w:after="20" w:line="240" w:lineRule="auto"/>
              <w:jc w:val="center"/>
              <w:rPr>
                <w:rFonts w:ascii="Arial" w:hAnsi="Arial"/>
                <w:sz w:val="22"/>
                <w:szCs w:val="22"/>
              </w:rPr>
            </w:pPr>
            <w:r w:rsidRPr="00B36942">
              <w:rPr>
                <w:rFonts w:ascii="Arial" w:hAnsi="Arial"/>
                <w:sz w:val="22"/>
                <w:szCs w:val="22"/>
              </w:rPr>
              <w:t>21</w:t>
            </w:r>
          </w:p>
        </w:tc>
        <w:tc>
          <w:tcPr>
            <w:tcW w:w="1972" w:type="dxa"/>
            <w:vAlign w:val="center"/>
          </w:tcPr>
          <w:p w:rsidRPr="00B36942" w:rsidR="00110BB6" w:rsidP="00223B65" w:rsidRDefault="00110BB6" w14:paraId="6CDF6054" w14:textId="77777777">
            <w:pPr>
              <w:pStyle w:val="TableText"/>
              <w:spacing w:before="20" w:after="20" w:line="240" w:lineRule="auto"/>
              <w:jc w:val="center"/>
              <w:rPr>
                <w:rFonts w:ascii="Arial" w:hAnsi="Arial"/>
                <w:sz w:val="22"/>
                <w:szCs w:val="22"/>
              </w:rPr>
            </w:pPr>
            <w:r w:rsidRPr="00B36942">
              <w:rPr>
                <w:rFonts w:ascii="Arial" w:hAnsi="Arial"/>
                <w:sz w:val="22"/>
                <w:szCs w:val="22"/>
              </w:rPr>
              <w:t>0.46</w:t>
            </w:r>
          </w:p>
        </w:tc>
        <w:tc>
          <w:tcPr>
            <w:tcW w:w="2068" w:type="dxa"/>
            <w:vAlign w:val="center"/>
          </w:tcPr>
          <w:p w:rsidRPr="00B36942" w:rsidR="00110BB6" w:rsidP="00223B65" w:rsidRDefault="00110BB6" w14:paraId="507F6974" w14:textId="77777777">
            <w:pPr>
              <w:pStyle w:val="TableText"/>
              <w:spacing w:before="20" w:after="20" w:line="240" w:lineRule="auto"/>
              <w:jc w:val="center"/>
              <w:rPr>
                <w:rFonts w:ascii="Arial" w:hAnsi="Arial"/>
                <w:sz w:val="22"/>
                <w:szCs w:val="22"/>
              </w:rPr>
            </w:pPr>
            <w:r w:rsidRPr="00B36942">
              <w:rPr>
                <w:rFonts w:ascii="Arial" w:hAnsi="Arial"/>
                <w:sz w:val="22"/>
                <w:szCs w:val="22"/>
              </w:rPr>
              <w:t>6.1</w:t>
            </w:r>
          </w:p>
        </w:tc>
      </w:tr>
    </w:tbl>
    <w:p w:rsidRPr="00D52F4F" w:rsidR="00110BB6" w:rsidP="008D32F3" w:rsidRDefault="00110BB6" w14:paraId="0BDBAD17" w14:textId="468A03C2">
      <w:pPr>
        <w:spacing w:before="240"/>
        <w:ind w:left="1267"/>
        <w:rPr>
          <w:rFonts w:cs="Arial" w:eastAsiaTheme="minorHAnsi"/>
          <w:b/>
          <w:highlight w:val="yellow"/>
        </w:rPr>
      </w:pPr>
      <w:r w:rsidRPr="00A53808">
        <w:rPr>
          <w:rFonts w:cs="Arial"/>
          <w:b/>
          <w:bCs/>
        </w:rPr>
        <w:t>Final Deadline for Compliance</w:t>
      </w:r>
      <w:r w:rsidRPr="00A53808">
        <w:rPr>
          <w:rFonts w:cs="Arial"/>
        </w:rPr>
        <w:t>: The final deadline for compliance with the pyrethroid wasteload allocation is November 1, 2029. The final compliance date to achieve the wasteload allocations for organochlorine pesticides (</w:t>
      </w:r>
      <w:r w:rsidRPr="00A53808">
        <w:t>dichloro-diphenyl-trichloroethane, dichloro-diphenyl-dichloroethane, dichloro-diphenyl-dichloroethylene</w:t>
      </w:r>
      <w:r w:rsidRPr="00A53808">
        <w:rPr>
          <w:rFonts w:cs="Arial"/>
        </w:rPr>
        <w:t>, chlordane, eldrin, toxaphene, and dieldrin) is November 1, 2044.</w:t>
      </w:r>
      <w:r w:rsidR="008D32F3">
        <w:rPr>
          <w:rFonts w:cs="Arial"/>
        </w:rPr>
        <w:t xml:space="preserve"> </w:t>
      </w:r>
    </w:p>
    <w:p w:rsidRPr="000D3FAD" w:rsidR="0069676D" w:rsidP="003B7848" w:rsidRDefault="00836361" w14:paraId="5F50B43B" w14:textId="372ECD27">
      <w:pPr>
        <w:pStyle w:val="Heading3"/>
        <w:tabs>
          <w:tab w:val="clear" w:pos="720"/>
          <w:tab w:val="left" w:pos="1260"/>
        </w:tabs>
        <w:ind w:left="1260" w:hanging="1260"/>
        <w:rPr>
          <w:i/>
          <w:iCs/>
        </w:rPr>
      </w:pPr>
      <w:r>
        <w:rPr>
          <w:i/>
          <w:iCs/>
        </w:rPr>
        <w:t>A13</w:t>
      </w:r>
      <w:r w:rsidR="001D19AE">
        <w:rPr>
          <w:i/>
          <w:iCs/>
        </w:rPr>
        <w:t>.</w:t>
      </w:r>
      <w:r w:rsidRPr="000D3FAD" w:rsidR="0069676D">
        <w:rPr>
          <w:i/>
          <w:iCs/>
        </w:rPr>
        <w:t>3</w:t>
      </w:r>
      <w:r w:rsidR="001D19AE">
        <w:rPr>
          <w:i/>
          <w:iCs/>
        </w:rPr>
        <w:t>.</w:t>
      </w:r>
      <w:r w:rsidRPr="000D3FAD" w:rsidR="0069676D">
        <w:rPr>
          <w:i/>
          <w:iCs/>
        </w:rPr>
        <w:t>18</w:t>
      </w:r>
      <w:r w:rsidRPr="000D3FAD" w:rsidR="0069676D">
        <w:rPr>
          <w:i/>
          <w:iCs/>
        </w:rPr>
        <w:tab/>
      </w:r>
      <w:r w:rsidRPr="000D3FAD" w:rsidR="009627F0">
        <w:rPr>
          <w:i/>
          <w:iCs/>
        </w:rPr>
        <w:t>TMDL for Nitrogen Compounds and Orthophosphate in Streams of the Pajaro River Basin</w:t>
      </w:r>
    </w:p>
    <w:p w:rsidRPr="00D52F4F" w:rsidR="0014165E" w:rsidP="007B5E81" w:rsidRDefault="0014165E" w14:paraId="54F972A6" w14:textId="79B7600F">
      <w:pPr>
        <w:widowControl w:val="0"/>
        <w:ind w:left="1267"/>
        <w:rPr>
          <w:rFonts w:cs="Arial"/>
        </w:rPr>
      </w:pPr>
      <w:r w:rsidRPr="00A53808">
        <w:rPr>
          <w:rFonts w:cs="Arial"/>
          <w:b/>
          <w:bCs/>
        </w:rPr>
        <w:t>Description:</w:t>
      </w:r>
      <w:r w:rsidRPr="00C97E81">
        <w:rPr>
          <w:rFonts w:cs="Arial"/>
        </w:rPr>
        <w:t xml:space="preserve"> </w:t>
      </w:r>
      <w:r w:rsidR="00766ACF">
        <w:rPr>
          <w:rFonts w:cs="Arial"/>
        </w:rPr>
        <w:t>USEPA</w:t>
      </w:r>
      <w:r w:rsidR="00C56C92">
        <w:rPr>
          <w:rFonts w:cs="Arial"/>
        </w:rPr>
        <w:t xml:space="preserve"> </w:t>
      </w:r>
      <w:r w:rsidR="00274EC6">
        <w:rPr>
          <w:rFonts w:cs="Arial"/>
        </w:rPr>
        <w:t>approved the TMDL on October 6, 2016</w:t>
      </w:r>
      <w:r w:rsidR="003D6D96">
        <w:rPr>
          <w:rFonts w:cs="Arial"/>
        </w:rPr>
        <w:t>, which is the effective date of the TMDL</w:t>
      </w:r>
      <w:r w:rsidR="00F5261C">
        <w:rPr>
          <w:rFonts w:cs="Arial"/>
        </w:rPr>
        <w:t xml:space="preserve">. </w:t>
      </w:r>
      <w:r w:rsidR="00544E4E">
        <w:t>D</w:t>
      </w:r>
      <w:r w:rsidRPr="001F06A5" w:rsidR="00544E4E">
        <w:t xml:space="preserve">ischarges of nitrogen compounds and orthophosphate are occurring in surface waters at levels </w:t>
      </w:r>
      <w:r w:rsidR="00544E4E">
        <w:t>that</w:t>
      </w:r>
      <w:r w:rsidRPr="001F06A5" w:rsidR="00544E4E">
        <w:t xml:space="preserve"> impair beneficial uses. The drinking water and aquatic habitat beneficial uses are not protected.</w:t>
      </w:r>
      <w:r w:rsidRPr="00C97E81">
        <w:rPr>
          <w:rFonts w:cs="Arial"/>
        </w:rPr>
        <w:t>.</w:t>
      </w:r>
    </w:p>
    <w:p w:rsidRPr="008F04CB" w:rsidR="007B305E" w:rsidP="007E29AB" w:rsidRDefault="0014165E" w14:paraId="1317E7C9" w14:textId="126539C0">
      <w:pPr>
        <w:ind w:left="1260"/>
      </w:pPr>
      <w:r w:rsidRPr="006A53D3">
        <w:rPr>
          <w:b/>
        </w:rPr>
        <w:t>Responsible Permit</w:t>
      </w:r>
      <w:r w:rsidR="0091593F">
        <w:rPr>
          <w:b/>
        </w:rPr>
        <w:t>t</w:t>
      </w:r>
      <w:r w:rsidRPr="006A53D3">
        <w:rPr>
          <w:b/>
        </w:rPr>
        <w:t>ees</w:t>
      </w:r>
      <w:r w:rsidRPr="00315677">
        <w:rPr>
          <w:b/>
        </w:rPr>
        <w:t>:</w:t>
      </w:r>
      <w:r w:rsidRPr="00C97E81">
        <w:t xml:space="preserve"> </w:t>
      </w:r>
      <w:r w:rsidRPr="008F04CB" w:rsidR="007B305E">
        <w:t>City of Gilroy, City of Hollister, County of Monterey, City of Morgan Hill, County of Santa Clara, County of Santa Cruz, City of Watsonville</w:t>
      </w:r>
      <w:r w:rsidR="007E29AB">
        <w:t>.</w:t>
      </w:r>
    </w:p>
    <w:p w:rsidR="0014165E" w:rsidP="007E29AB" w:rsidRDefault="0014165E" w14:paraId="00C36CFB" w14:textId="5E36D4EB">
      <w:pPr>
        <w:ind w:left="1260"/>
      </w:pPr>
      <w:r w:rsidRPr="00D52F4F">
        <w:rPr>
          <w:b/>
        </w:rPr>
        <w:t>Wasteload Allocations:</w:t>
      </w:r>
      <w:r w:rsidR="005A0069">
        <w:t xml:space="preserve"> </w:t>
      </w:r>
      <w:r w:rsidR="00F068E4">
        <w:t>M</w:t>
      </w:r>
      <w:r w:rsidRPr="00F068E4" w:rsidR="00F068E4">
        <w:t xml:space="preserve">unicipal </w:t>
      </w:r>
      <w:r w:rsidR="009C6A6E">
        <w:t>stormwater</w:t>
      </w:r>
      <w:r w:rsidR="000E1B01">
        <w:t xml:space="preserve"> Permittees </w:t>
      </w:r>
      <w:r w:rsidRPr="00F068E4" w:rsidR="00F068E4">
        <w:t>are assigned</w:t>
      </w:r>
      <w:r w:rsidR="00EB2C84">
        <w:t xml:space="preserve"> </w:t>
      </w:r>
      <w:r w:rsidR="00982AFD">
        <w:t xml:space="preserve">final and </w:t>
      </w:r>
      <w:r w:rsidR="00EB2C84">
        <w:t>interim</w:t>
      </w:r>
      <w:r w:rsidRPr="00F068E4" w:rsidR="00F068E4">
        <w:t xml:space="preserve"> </w:t>
      </w:r>
      <w:r w:rsidR="00982AFD">
        <w:t xml:space="preserve">wasteload </w:t>
      </w:r>
      <w:r w:rsidRPr="00F068E4" w:rsidR="00F068E4">
        <w:t>allocation</w:t>
      </w:r>
      <w:r w:rsidR="00EB2C84">
        <w:t>s</w:t>
      </w:r>
      <w:r w:rsidR="00982AFD">
        <w:t>:</w:t>
      </w:r>
    </w:p>
    <w:p w:rsidRPr="00A656EA" w:rsidR="002478DE" w:rsidP="00AE1B2C" w:rsidRDefault="00FD5A67" w14:paraId="7B0E210A" w14:textId="236F7D08">
      <w:pPr>
        <w:keepNext/>
        <w:keepLines/>
        <w:spacing w:after="0" w:line="240" w:lineRule="auto"/>
        <w:rPr>
          <w:b/>
          <w:bCs/>
        </w:rPr>
      </w:pPr>
      <w:r w:rsidRPr="00A656EA">
        <w:rPr>
          <w:b/>
          <w:bCs/>
        </w:rPr>
        <w:t xml:space="preserve">Final Receiving Water Wasteload Allocations </w:t>
      </w:r>
      <w:r w:rsidRPr="00A656EA" w:rsidR="00624500">
        <w:rPr>
          <w:b/>
          <w:bCs/>
        </w:rPr>
        <w:t xml:space="preserve">for </w:t>
      </w:r>
      <w:r w:rsidRPr="00A656EA">
        <w:rPr>
          <w:b/>
          <w:bCs/>
        </w:rPr>
        <w:t>Nitrogen Compounds and Orthophosphate in Streams of the Pajaro River Basin</w:t>
      </w:r>
      <w:r w:rsidR="00A656EA">
        <w:rPr>
          <w:b/>
          <w:bCs/>
        </w:rPr>
        <w:t xml:space="preserve"> (mg/L)</w:t>
      </w:r>
    </w:p>
    <w:tbl>
      <w:tblPr>
        <w:tblW w:w="97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530"/>
        <w:gridCol w:w="1260"/>
        <w:gridCol w:w="1620"/>
        <w:gridCol w:w="1260"/>
        <w:gridCol w:w="1825"/>
        <w:gridCol w:w="1100"/>
        <w:gridCol w:w="1160"/>
      </w:tblGrid>
      <w:tr w:rsidRPr="00BE4027" w:rsidR="00C63C4B" w:rsidTr="004D236F" w14:paraId="121B7F52" w14:textId="77777777">
        <w:trPr>
          <w:tblHeader/>
        </w:trPr>
        <w:tc>
          <w:tcPr>
            <w:tcW w:w="1530" w:type="dxa"/>
            <w:shd w:val="clear" w:color="auto" w:fill="D6E3BC" w:themeFill="accent3" w:themeFillTint="66"/>
            <w:vAlign w:val="center"/>
          </w:tcPr>
          <w:p w:rsidRPr="00BE4027" w:rsidR="00C63C4B" w:rsidP="00AE1B2C" w:rsidRDefault="00C63C4B" w14:paraId="7FEDE3D2" w14:textId="77777777">
            <w:pPr>
              <w:pStyle w:val="TableParagraph"/>
              <w:keepNext/>
              <w:keepLines/>
              <w:spacing w:before="20" w:after="20" w:line="259" w:lineRule="auto"/>
              <w:ind w:left="110" w:right="97"/>
              <w:jc w:val="center"/>
              <w:rPr>
                <w:rFonts w:cs="Arial"/>
                <w:b/>
                <w:sz w:val="20"/>
                <w:szCs w:val="20"/>
                <w:vertAlign w:val="superscript"/>
              </w:rPr>
            </w:pPr>
            <w:r w:rsidRPr="00BE4027">
              <w:rPr>
                <w:rFonts w:cs="Arial"/>
                <w:b/>
                <w:sz w:val="20"/>
                <w:szCs w:val="20"/>
              </w:rPr>
              <w:t>Waterbody</w:t>
            </w:r>
            <w:r w:rsidRPr="00BE4027">
              <w:rPr>
                <w:rFonts w:cs="Arial"/>
                <w:b/>
                <w:sz w:val="20"/>
                <w:szCs w:val="20"/>
                <w:vertAlign w:val="superscript"/>
              </w:rPr>
              <w:t>C</w:t>
            </w:r>
          </w:p>
        </w:tc>
        <w:tc>
          <w:tcPr>
            <w:tcW w:w="1260" w:type="dxa"/>
            <w:shd w:val="clear" w:color="auto" w:fill="D6E3BC" w:themeFill="accent3" w:themeFillTint="66"/>
            <w:vAlign w:val="center"/>
          </w:tcPr>
          <w:p w:rsidRPr="00BE4027" w:rsidR="00C63C4B" w:rsidP="00AE1B2C" w:rsidRDefault="00C63C4B" w14:paraId="6449FF4D" w14:textId="77777777">
            <w:pPr>
              <w:pStyle w:val="TableParagraph"/>
              <w:keepNext/>
              <w:keepLines/>
              <w:spacing w:before="20" w:after="20" w:line="259" w:lineRule="auto"/>
              <w:ind w:left="110" w:right="97"/>
              <w:jc w:val="center"/>
              <w:rPr>
                <w:rFonts w:cs="Arial"/>
                <w:b/>
                <w:sz w:val="20"/>
                <w:szCs w:val="20"/>
              </w:rPr>
            </w:pPr>
            <w:r w:rsidRPr="00BE4027">
              <w:rPr>
                <w:rFonts w:cs="Arial"/>
                <w:b/>
                <w:sz w:val="20"/>
                <w:szCs w:val="20"/>
              </w:rPr>
              <w:t>Permittee</w:t>
            </w:r>
          </w:p>
        </w:tc>
        <w:tc>
          <w:tcPr>
            <w:tcW w:w="1620" w:type="dxa"/>
            <w:shd w:val="clear" w:color="auto" w:fill="D6E3BC" w:themeFill="accent3" w:themeFillTint="66"/>
            <w:vAlign w:val="center"/>
          </w:tcPr>
          <w:p w:rsidRPr="00BE4027" w:rsidR="00C63C4B" w:rsidP="00AE1B2C" w:rsidRDefault="00C63C4B" w14:paraId="32C2A37A" w14:textId="7E212383">
            <w:pPr>
              <w:pStyle w:val="TableParagraph"/>
              <w:keepNext/>
              <w:keepLines/>
              <w:spacing w:before="20" w:after="20" w:line="259" w:lineRule="auto"/>
              <w:ind w:left="146" w:right="125" w:hanging="3"/>
              <w:jc w:val="center"/>
              <w:rPr>
                <w:rFonts w:cs="Arial"/>
                <w:b/>
                <w:i/>
                <w:sz w:val="20"/>
                <w:szCs w:val="20"/>
              </w:rPr>
            </w:pPr>
            <w:r w:rsidRPr="00BE4027">
              <w:rPr>
                <w:rFonts w:cs="Arial"/>
                <w:b/>
                <w:sz w:val="20"/>
                <w:szCs w:val="20"/>
              </w:rPr>
              <w:t xml:space="preserve">Nitrate as </w:t>
            </w:r>
            <w:r w:rsidRPr="00BE4027" w:rsidR="00C01364">
              <w:rPr>
                <w:rFonts w:cs="Arial"/>
                <w:b/>
                <w:sz w:val="20"/>
                <w:szCs w:val="20"/>
              </w:rPr>
              <w:t>N</w:t>
            </w:r>
            <w:r w:rsidRPr="00BE4027" w:rsidR="0062533E">
              <w:rPr>
                <w:rFonts w:cs="Arial"/>
                <w:b/>
                <w:sz w:val="20"/>
                <w:szCs w:val="20"/>
              </w:rPr>
              <w:t xml:space="preserve"> </w:t>
            </w:r>
            <w:r w:rsidRPr="00BE4027">
              <w:rPr>
                <w:rFonts w:cs="Arial"/>
                <w:b/>
                <w:i/>
                <w:spacing w:val="-2"/>
                <w:sz w:val="20"/>
                <w:szCs w:val="20"/>
              </w:rPr>
              <w:t>Aquatic Habitat</w:t>
            </w:r>
          </w:p>
        </w:tc>
        <w:tc>
          <w:tcPr>
            <w:tcW w:w="1260" w:type="dxa"/>
            <w:shd w:val="clear" w:color="auto" w:fill="D6E3BC" w:themeFill="accent3" w:themeFillTint="66"/>
            <w:vAlign w:val="center"/>
          </w:tcPr>
          <w:p w:rsidRPr="00BE4027" w:rsidR="00C63C4B" w:rsidP="00AE1B2C" w:rsidRDefault="00C63C4B" w14:paraId="3BF6A9D4" w14:textId="616B51A8">
            <w:pPr>
              <w:pStyle w:val="TableParagraph"/>
              <w:keepNext/>
              <w:keepLines/>
              <w:spacing w:before="20" w:after="20" w:line="259" w:lineRule="auto"/>
              <w:ind w:left="108" w:right="103"/>
              <w:jc w:val="center"/>
              <w:rPr>
                <w:rFonts w:cs="Arial"/>
                <w:b/>
                <w:i/>
                <w:sz w:val="20"/>
                <w:szCs w:val="20"/>
              </w:rPr>
            </w:pPr>
            <w:r w:rsidRPr="00BE4027">
              <w:rPr>
                <w:rFonts w:cs="Arial"/>
                <w:b/>
                <w:sz w:val="20"/>
                <w:szCs w:val="20"/>
              </w:rPr>
              <w:t>Nitrate</w:t>
            </w:r>
            <w:r w:rsidRPr="00BE4027">
              <w:rPr>
                <w:rFonts w:cs="Arial"/>
                <w:b/>
                <w:spacing w:val="-12"/>
                <w:sz w:val="20"/>
                <w:szCs w:val="20"/>
              </w:rPr>
              <w:t xml:space="preserve"> </w:t>
            </w:r>
            <w:r w:rsidRPr="00BE4027">
              <w:rPr>
                <w:rFonts w:cs="Arial"/>
                <w:b/>
                <w:sz w:val="20"/>
                <w:szCs w:val="20"/>
              </w:rPr>
              <w:t>as N</w:t>
            </w:r>
            <w:r w:rsidRPr="00BE4027" w:rsidR="00EC4E7D">
              <w:rPr>
                <w:rFonts w:cs="Arial"/>
                <w:b/>
                <w:sz w:val="20"/>
                <w:szCs w:val="20"/>
              </w:rPr>
              <w:t xml:space="preserve"> </w:t>
            </w:r>
            <w:r w:rsidRPr="00BE4027">
              <w:rPr>
                <w:rFonts w:cs="Arial"/>
                <w:b/>
                <w:i/>
                <w:sz w:val="20"/>
                <w:szCs w:val="20"/>
              </w:rPr>
              <w:t>Human</w:t>
            </w:r>
            <w:r w:rsidRPr="00BE4027">
              <w:rPr>
                <w:rFonts w:cs="Arial"/>
                <w:b/>
                <w:i/>
                <w:spacing w:val="-5"/>
                <w:sz w:val="20"/>
                <w:szCs w:val="20"/>
              </w:rPr>
              <w:t xml:space="preserve"> </w:t>
            </w:r>
            <w:r w:rsidRPr="00BE4027">
              <w:rPr>
                <w:rFonts w:cs="Arial"/>
                <w:b/>
                <w:i/>
                <w:spacing w:val="-2"/>
                <w:sz w:val="20"/>
                <w:szCs w:val="20"/>
              </w:rPr>
              <w:t>Health</w:t>
            </w:r>
          </w:p>
        </w:tc>
        <w:tc>
          <w:tcPr>
            <w:tcW w:w="1825" w:type="dxa"/>
            <w:shd w:val="clear" w:color="auto" w:fill="D6E3BC" w:themeFill="accent3" w:themeFillTint="66"/>
            <w:vAlign w:val="center"/>
          </w:tcPr>
          <w:p w:rsidRPr="00BE4027" w:rsidR="00C63C4B" w:rsidP="00AE1B2C" w:rsidRDefault="00C63C4B" w14:paraId="00DE08A7" w14:textId="6ACA6B0C">
            <w:pPr>
              <w:pStyle w:val="TableParagraph"/>
              <w:keepNext/>
              <w:keepLines/>
              <w:spacing w:before="20" w:after="20" w:line="259" w:lineRule="auto"/>
              <w:ind w:left="134" w:right="110" w:firstLine="14"/>
              <w:jc w:val="center"/>
              <w:rPr>
                <w:rFonts w:cs="Arial"/>
                <w:b/>
                <w:sz w:val="20"/>
                <w:szCs w:val="20"/>
              </w:rPr>
            </w:pPr>
            <w:r w:rsidRPr="00BE4027">
              <w:rPr>
                <w:rFonts w:cs="Arial"/>
                <w:b/>
                <w:spacing w:val="-2"/>
                <w:sz w:val="20"/>
                <w:szCs w:val="20"/>
              </w:rPr>
              <w:t xml:space="preserve">Orthophosphate </w:t>
            </w:r>
            <w:r w:rsidRPr="00BE4027">
              <w:rPr>
                <w:rFonts w:cs="Arial"/>
                <w:b/>
                <w:sz w:val="20"/>
                <w:szCs w:val="20"/>
              </w:rPr>
              <w:t>as</w:t>
            </w:r>
            <w:r w:rsidRPr="00BE4027">
              <w:rPr>
                <w:rFonts w:cs="Arial"/>
                <w:b/>
                <w:spacing w:val="-2"/>
                <w:sz w:val="20"/>
                <w:szCs w:val="20"/>
              </w:rPr>
              <w:t xml:space="preserve"> </w:t>
            </w:r>
            <w:r w:rsidRPr="00BE4027" w:rsidR="0069020F">
              <w:rPr>
                <w:rFonts w:cs="Arial"/>
                <w:b/>
                <w:sz w:val="20"/>
                <w:szCs w:val="20"/>
              </w:rPr>
              <w:t>P</w:t>
            </w:r>
          </w:p>
        </w:tc>
        <w:tc>
          <w:tcPr>
            <w:tcW w:w="1100" w:type="dxa"/>
            <w:shd w:val="clear" w:color="auto" w:fill="D6E3BC" w:themeFill="accent3" w:themeFillTint="66"/>
            <w:vAlign w:val="center"/>
          </w:tcPr>
          <w:p w:rsidRPr="00BE4027" w:rsidR="00C63C4B" w:rsidP="00AE1B2C" w:rsidRDefault="00C63C4B" w14:paraId="60FEB1F4" w14:textId="409226D1">
            <w:pPr>
              <w:pStyle w:val="TableParagraph"/>
              <w:keepNext/>
              <w:keepLines/>
              <w:spacing w:before="20" w:after="20" w:line="259" w:lineRule="auto"/>
              <w:ind w:left="162" w:right="145" w:hanging="2"/>
              <w:jc w:val="center"/>
              <w:rPr>
                <w:rFonts w:cs="Arial"/>
                <w:b/>
                <w:sz w:val="20"/>
                <w:szCs w:val="20"/>
              </w:rPr>
            </w:pPr>
            <w:r w:rsidRPr="00BE4027">
              <w:rPr>
                <w:rFonts w:cs="Arial"/>
                <w:b/>
                <w:sz w:val="20"/>
                <w:szCs w:val="20"/>
              </w:rPr>
              <w:t>Total Nitrogen</w:t>
            </w:r>
            <w:r w:rsidRPr="00BE4027">
              <w:rPr>
                <w:rFonts w:cs="Arial"/>
                <w:b/>
                <w:spacing w:val="-15"/>
                <w:sz w:val="20"/>
                <w:szCs w:val="20"/>
              </w:rPr>
              <w:t xml:space="preserve"> </w:t>
            </w:r>
            <w:r w:rsidRPr="00BE4027">
              <w:rPr>
                <w:rFonts w:cs="Arial"/>
                <w:b/>
                <w:sz w:val="20"/>
                <w:szCs w:val="20"/>
              </w:rPr>
              <w:t>as</w:t>
            </w:r>
            <w:r w:rsidRPr="00BE4027">
              <w:rPr>
                <w:rFonts w:cs="Arial"/>
                <w:b/>
                <w:spacing w:val="-12"/>
                <w:sz w:val="20"/>
                <w:szCs w:val="20"/>
              </w:rPr>
              <w:t xml:space="preserve"> </w:t>
            </w:r>
            <w:r w:rsidRPr="00BE4027" w:rsidR="0069020F">
              <w:rPr>
                <w:rFonts w:cs="Arial"/>
                <w:b/>
                <w:sz w:val="20"/>
                <w:szCs w:val="20"/>
              </w:rPr>
              <w:t>N</w:t>
            </w:r>
          </w:p>
        </w:tc>
        <w:tc>
          <w:tcPr>
            <w:tcW w:w="1160" w:type="dxa"/>
            <w:shd w:val="clear" w:color="auto" w:fill="D6E3BC" w:themeFill="accent3" w:themeFillTint="66"/>
            <w:vAlign w:val="center"/>
          </w:tcPr>
          <w:p w:rsidRPr="00BE4027" w:rsidR="00C63C4B" w:rsidP="00AE1B2C" w:rsidRDefault="00C63C4B" w14:paraId="25FDBBD4" w14:textId="79F5B66D">
            <w:pPr>
              <w:pStyle w:val="TableParagraph"/>
              <w:keepNext/>
              <w:keepLines/>
              <w:spacing w:before="20" w:after="20" w:line="259" w:lineRule="auto"/>
              <w:ind w:left="142" w:right="126"/>
              <w:jc w:val="center"/>
              <w:rPr>
                <w:rFonts w:cs="Arial"/>
                <w:b/>
                <w:sz w:val="20"/>
                <w:szCs w:val="20"/>
              </w:rPr>
            </w:pPr>
            <w:r w:rsidRPr="00BE4027">
              <w:rPr>
                <w:rFonts w:cs="Arial"/>
                <w:b/>
                <w:spacing w:val="-2"/>
                <w:sz w:val="20"/>
                <w:szCs w:val="20"/>
              </w:rPr>
              <w:t>Un-ionized A</w:t>
            </w:r>
            <w:r w:rsidRPr="00BE4027">
              <w:rPr>
                <w:rFonts w:cs="Arial"/>
                <w:b/>
                <w:sz w:val="20"/>
                <w:szCs w:val="20"/>
              </w:rPr>
              <w:t xml:space="preserve">mmonia as </w:t>
            </w:r>
            <w:r w:rsidRPr="00BE4027" w:rsidR="0069020F">
              <w:rPr>
                <w:rFonts w:cs="Arial"/>
                <w:b/>
                <w:sz w:val="20"/>
                <w:szCs w:val="20"/>
              </w:rPr>
              <w:t>N</w:t>
            </w:r>
          </w:p>
        </w:tc>
      </w:tr>
      <w:tr w:rsidRPr="00BE4027" w:rsidR="00C63C4B" w:rsidTr="004D236F" w14:paraId="78E6690F" w14:textId="77777777">
        <w:trPr>
          <w:trHeight w:val="1117"/>
        </w:trPr>
        <w:tc>
          <w:tcPr>
            <w:tcW w:w="1530" w:type="dxa"/>
          </w:tcPr>
          <w:p w:rsidRPr="00BE4027" w:rsidR="00C63C4B" w:rsidP="007E0E68" w:rsidRDefault="00C63C4B" w14:paraId="43F03552" w14:textId="77777777">
            <w:pPr>
              <w:pStyle w:val="TableParagraph"/>
              <w:spacing w:before="20" w:after="20" w:line="259" w:lineRule="auto"/>
              <w:ind w:left="93" w:right="27" w:firstLine="11"/>
              <w:rPr>
                <w:rFonts w:cs="Arial"/>
                <w:sz w:val="20"/>
                <w:szCs w:val="20"/>
              </w:rPr>
            </w:pPr>
            <w:r w:rsidRPr="00BE4027">
              <w:rPr>
                <w:rFonts w:cs="Arial"/>
                <w:sz w:val="20"/>
                <w:szCs w:val="20"/>
              </w:rPr>
              <w:t>Pajaro River</w:t>
            </w:r>
          </w:p>
        </w:tc>
        <w:tc>
          <w:tcPr>
            <w:tcW w:w="1260" w:type="dxa"/>
          </w:tcPr>
          <w:p w:rsidRPr="00BE4027" w:rsidR="00C63C4B" w:rsidP="007E0E68" w:rsidRDefault="00C63C4B" w14:paraId="6736518A" w14:textId="3D6390FD">
            <w:pPr>
              <w:pStyle w:val="TableParagraph"/>
              <w:spacing w:before="20" w:after="20" w:line="259" w:lineRule="auto"/>
              <w:ind w:left="86" w:right="29" w:firstLine="14"/>
              <w:rPr>
                <w:rFonts w:cs="Arial"/>
                <w:sz w:val="20"/>
                <w:szCs w:val="20"/>
              </w:rPr>
            </w:pPr>
            <w:r w:rsidRPr="00BE4027">
              <w:rPr>
                <w:rFonts w:cs="Arial"/>
                <w:sz w:val="20"/>
                <w:szCs w:val="20"/>
              </w:rPr>
              <w:t>City</w:t>
            </w:r>
            <w:r w:rsidRPr="00BE4027">
              <w:rPr>
                <w:rFonts w:cs="Arial"/>
                <w:spacing w:val="-15"/>
                <w:sz w:val="20"/>
                <w:szCs w:val="20"/>
              </w:rPr>
              <w:t xml:space="preserve"> </w:t>
            </w:r>
            <w:r w:rsidRPr="00BE4027">
              <w:rPr>
                <w:rFonts w:cs="Arial"/>
                <w:sz w:val="20"/>
                <w:szCs w:val="20"/>
              </w:rPr>
              <w:t>of</w:t>
            </w:r>
            <w:r w:rsidRPr="00BE4027">
              <w:rPr>
                <w:rFonts w:cs="Arial"/>
                <w:spacing w:val="-12"/>
                <w:sz w:val="20"/>
                <w:szCs w:val="20"/>
              </w:rPr>
              <w:t xml:space="preserve"> </w:t>
            </w:r>
            <w:r w:rsidRPr="00BE4027">
              <w:rPr>
                <w:rFonts w:cs="Arial"/>
                <w:sz w:val="20"/>
                <w:szCs w:val="20"/>
              </w:rPr>
              <w:t>Watsonvill</w:t>
            </w:r>
            <w:r w:rsidR="00EA5FF7">
              <w:rPr>
                <w:rFonts w:cs="Arial"/>
                <w:sz w:val="20"/>
                <w:szCs w:val="20"/>
              </w:rPr>
              <w:t>e;</w:t>
            </w:r>
            <w:r w:rsidR="00474592">
              <w:rPr>
                <w:rFonts w:cs="Arial"/>
                <w:sz w:val="20"/>
                <w:szCs w:val="20"/>
              </w:rPr>
              <w:t xml:space="preserve"> </w:t>
            </w:r>
            <w:r w:rsidRPr="00BE4027">
              <w:rPr>
                <w:rFonts w:cs="Arial"/>
                <w:sz w:val="20"/>
                <w:szCs w:val="20"/>
              </w:rPr>
              <w:t>County of Santa Cruz</w:t>
            </w:r>
            <w:r w:rsidRPr="00BE4027">
              <w:rPr>
                <w:rFonts w:cs="Arial"/>
                <w:spacing w:val="-4"/>
                <w:sz w:val="20"/>
                <w:szCs w:val="20"/>
              </w:rPr>
              <w:t xml:space="preserve"> </w:t>
            </w:r>
          </w:p>
        </w:tc>
        <w:tc>
          <w:tcPr>
            <w:tcW w:w="1620" w:type="dxa"/>
          </w:tcPr>
          <w:p w:rsidRPr="00BE4027" w:rsidR="00C63C4B" w:rsidP="00A54362" w:rsidRDefault="00C63C4B" w14:paraId="29E3060F" w14:textId="12D8C316">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3.9</w:t>
            </w:r>
            <w:r w:rsidRPr="00BE4027" w:rsidR="00525024">
              <w:rPr>
                <w:rFonts w:cs="Arial"/>
                <w:spacing w:val="-5"/>
                <w:sz w:val="20"/>
                <w:szCs w:val="20"/>
              </w:rPr>
              <w:t xml:space="preserve"> </w:t>
            </w:r>
            <w:r w:rsidRPr="00BE4027" w:rsidR="005B0002">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056C28A5" w14:textId="1BBF03DB">
            <w:pPr>
              <w:pStyle w:val="TableParagraph"/>
              <w:spacing w:before="20" w:after="20" w:line="259" w:lineRule="auto"/>
              <w:ind w:left="101" w:right="86"/>
              <w:jc w:val="center"/>
              <w:rPr>
                <w:rFonts w:cs="Arial"/>
                <w:spacing w:val="-5"/>
                <w:sz w:val="20"/>
                <w:szCs w:val="20"/>
              </w:rPr>
            </w:pPr>
            <w:r w:rsidRPr="00BE4027">
              <w:rPr>
                <w:rFonts w:cs="Arial"/>
                <w:spacing w:val="-5"/>
                <w:sz w:val="20"/>
                <w:szCs w:val="20"/>
              </w:rPr>
              <w:t xml:space="preserve">8.0 </w:t>
            </w:r>
            <w:r w:rsidRPr="00BE4027" w:rsidR="005B0002">
              <w:rPr>
                <w:rFonts w:cs="Arial"/>
                <w:spacing w:val="-5"/>
                <w:sz w:val="20"/>
                <w:szCs w:val="20"/>
              </w:rPr>
              <w:t xml:space="preserve">‒ </w:t>
            </w:r>
            <w:r w:rsidRPr="00BE4027">
              <w:rPr>
                <w:rFonts w:cs="Arial"/>
                <w:spacing w:val="-5"/>
                <w:sz w:val="20"/>
                <w:szCs w:val="20"/>
              </w:rPr>
              <w:t>Wet season</w:t>
            </w:r>
            <w:r w:rsidRPr="00BE4027">
              <w:rPr>
                <w:rFonts w:cs="Arial"/>
                <w:spacing w:val="-5"/>
                <w:sz w:val="20"/>
                <w:szCs w:val="20"/>
                <w:vertAlign w:val="superscript"/>
              </w:rPr>
              <w:t>E</w:t>
            </w:r>
          </w:p>
        </w:tc>
        <w:tc>
          <w:tcPr>
            <w:tcW w:w="1260" w:type="dxa"/>
          </w:tcPr>
          <w:p w:rsidRPr="00BE4027" w:rsidR="00C63C4B" w:rsidP="00A54362" w:rsidRDefault="00C63C4B" w14:paraId="21600873" w14:textId="0A03981B">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10 </w:t>
            </w:r>
            <w:r w:rsidRPr="00BE4027" w:rsidR="005B0002">
              <w:rPr>
                <w:rFonts w:cs="Arial"/>
                <w:spacing w:val="-5"/>
                <w:sz w:val="20"/>
                <w:szCs w:val="20"/>
              </w:rPr>
              <w:t xml:space="preserve">‒ </w:t>
            </w:r>
            <w:r w:rsidRPr="00BE4027">
              <w:rPr>
                <w:rFonts w:cs="Arial"/>
                <w:spacing w:val="-5"/>
                <w:sz w:val="20"/>
                <w:szCs w:val="20"/>
              </w:rPr>
              <w:t>Year-round</w:t>
            </w:r>
          </w:p>
        </w:tc>
        <w:tc>
          <w:tcPr>
            <w:tcW w:w="1825" w:type="dxa"/>
          </w:tcPr>
          <w:p w:rsidRPr="00BE4027" w:rsidR="00C63C4B" w:rsidP="00A54362" w:rsidRDefault="00C63C4B" w14:paraId="7C30FAB1" w14:textId="587E794E">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0.14</w:t>
            </w:r>
            <w:r w:rsidRPr="00BE4027" w:rsidR="00A656EA">
              <w:rPr>
                <w:rFonts w:cs="Arial"/>
                <w:spacing w:val="-5"/>
                <w:sz w:val="20"/>
                <w:szCs w:val="20"/>
              </w:rPr>
              <w:t xml:space="preserve"> </w:t>
            </w:r>
            <w:r w:rsidRPr="00BE4027" w:rsidR="005B0002">
              <w:rPr>
                <w:rFonts w:cs="Arial"/>
                <w:spacing w:val="-5"/>
                <w:sz w:val="20"/>
                <w:szCs w:val="20"/>
              </w:rPr>
              <w:t>‒</w:t>
            </w:r>
            <w:r w:rsidR="005A0069">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7E0E4D1C" w14:textId="4B12B521">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0.3 </w:t>
            </w:r>
            <w:r w:rsidRPr="00BE4027" w:rsidR="00A656EA">
              <w:rPr>
                <w:rFonts w:cs="Arial"/>
                <w:spacing w:val="-5"/>
                <w:sz w:val="20"/>
                <w:szCs w:val="20"/>
              </w:rPr>
              <w:t xml:space="preserve">‒ </w:t>
            </w:r>
            <w:r w:rsidRPr="00BE4027">
              <w:rPr>
                <w:rFonts w:cs="Arial"/>
                <w:spacing w:val="-5"/>
                <w:sz w:val="20"/>
                <w:szCs w:val="20"/>
              </w:rPr>
              <w:t>Wet season</w:t>
            </w:r>
            <w:r w:rsidRPr="00BE4027">
              <w:rPr>
                <w:rFonts w:cs="Arial"/>
                <w:spacing w:val="-5"/>
                <w:sz w:val="20"/>
                <w:szCs w:val="20"/>
                <w:vertAlign w:val="superscript"/>
              </w:rPr>
              <w:t>E</w:t>
            </w:r>
          </w:p>
        </w:tc>
        <w:tc>
          <w:tcPr>
            <w:tcW w:w="1100" w:type="dxa"/>
          </w:tcPr>
          <w:p w:rsidRPr="00BE4027" w:rsidR="00C63C4B" w:rsidP="00A54362" w:rsidRDefault="00C63C4B" w14:paraId="05B13245"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Not Applicable</w:t>
            </w:r>
          </w:p>
        </w:tc>
        <w:tc>
          <w:tcPr>
            <w:tcW w:w="1160" w:type="dxa"/>
          </w:tcPr>
          <w:p w:rsidRPr="00BE4027" w:rsidR="00C63C4B" w:rsidP="00A54362" w:rsidRDefault="00C63C4B" w14:paraId="79E247B8" w14:textId="27BB9286">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0.025 </w:t>
            </w:r>
            <w:r w:rsidRPr="00BE4027" w:rsidR="00A656EA">
              <w:rPr>
                <w:rFonts w:cs="Arial"/>
                <w:spacing w:val="-5"/>
                <w:sz w:val="20"/>
                <w:szCs w:val="20"/>
              </w:rPr>
              <w:t xml:space="preserve">‒ </w:t>
            </w:r>
            <w:r w:rsidRPr="00BE4027">
              <w:rPr>
                <w:rFonts w:cs="Arial"/>
                <w:spacing w:val="-5"/>
                <w:sz w:val="20"/>
                <w:szCs w:val="20"/>
              </w:rPr>
              <w:t>Year-round</w:t>
            </w:r>
          </w:p>
        </w:tc>
      </w:tr>
      <w:tr w:rsidRPr="00BE4027" w:rsidR="0069020F" w:rsidTr="004D236F" w14:paraId="45607540" w14:textId="77777777">
        <w:trPr>
          <w:trHeight w:val="1581"/>
        </w:trPr>
        <w:tc>
          <w:tcPr>
            <w:tcW w:w="1530" w:type="dxa"/>
          </w:tcPr>
          <w:p w:rsidRPr="00BE4027" w:rsidR="00C63C4B" w:rsidP="007E0E68" w:rsidRDefault="00C63C4B" w14:paraId="3A59512C" w14:textId="77777777">
            <w:pPr>
              <w:pStyle w:val="TableParagraph"/>
              <w:spacing w:before="20" w:after="20" w:line="259" w:lineRule="auto"/>
              <w:ind w:left="97" w:right="174"/>
              <w:rPr>
                <w:rFonts w:cs="Arial"/>
                <w:sz w:val="20"/>
                <w:szCs w:val="20"/>
              </w:rPr>
            </w:pPr>
            <w:r w:rsidRPr="00BE4027">
              <w:rPr>
                <w:rFonts w:cs="Arial"/>
                <w:sz w:val="20"/>
                <w:szCs w:val="20"/>
              </w:rPr>
              <w:t>All</w:t>
            </w:r>
            <w:r w:rsidRPr="00BE4027">
              <w:rPr>
                <w:rFonts w:cs="Arial"/>
                <w:spacing w:val="-15"/>
                <w:sz w:val="20"/>
                <w:szCs w:val="20"/>
              </w:rPr>
              <w:t xml:space="preserve"> </w:t>
            </w:r>
            <w:r w:rsidRPr="00BE4027">
              <w:rPr>
                <w:rFonts w:cs="Arial"/>
                <w:sz w:val="20"/>
                <w:szCs w:val="20"/>
              </w:rPr>
              <w:t>reaches</w:t>
            </w:r>
            <w:r w:rsidRPr="00BE4027">
              <w:rPr>
                <w:rFonts w:cs="Arial"/>
                <w:spacing w:val="-12"/>
                <w:sz w:val="20"/>
                <w:szCs w:val="20"/>
              </w:rPr>
              <w:t xml:space="preserve"> </w:t>
            </w:r>
            <w:r w:rsidRPr="00BE4027">
              <w:rPr>
                <w:rFonts w:cs="Arial"/>
                <w:sz w:val="20"/>
                <w:szCs w:val="20"/>
              </w:rPr>
              <w:t xml:space="preserve">of: </w:t>
            </w:r>
            <w:r w:rsidRPr="00BE4027">
              <w:rPr>
                <w:rFonts w:cs="Arial"/>
                <w:spacing w:val="-2"/>
                <w:sz w:val="20"/>
                <w:szCs w:val="20"/>
              </w:rPr>
              <w:t>Watsonville Slough, Harkins Slough, Gallighan Slough,</w:t>
            </w:r>
            <w:r w:rsidRPr="00BE4027">
              <w:rPr>
                <w:rFonts w:cs="Arial"/>
                <w:spacing w:val="40"/>
                <w:sz w:val="20"/>
                <w:szCs w:val="20"/>
              </w:rPr>
              <w:t xml:space="preserve"> </w:t>
            </w:r>
            <w:r w:rsidRPr="00BE4027">
              <w:rPr>
                <w:rFonts w:cs="Arial"/>
                <w:sz w:val="20"/>
                <w:szCs w:val="20"/>
              </w:rPr>
              <w:t>Struve</w:t>
            </w:r>
            <w:r w:rsidRPr="00BE4027">
              <w:rPr>
                <w:rFonts w:cs="Arial"/>
                <w:spacing w:val="-13"/>
                <w:sz w:val="20"/>
                <w:szCs w:val="20"/>
              </w:rPr>
              <w:t xml:space="preserve"> </w:t>
            </w:r>
            <w:r w:rsidRPr="00BE4027">
              <w:rPr>
                <w:rFonts w:cs="Arial"/>
                <w:sz w:val="20"/>
                <w:szCs w:val="20"/>
              </w:rPr>
              <w:t>Slough</w:t>
            </w:r>
          </w:p>
        </w:tc>
        <w:tc>
          <w:tcPr>
            <w:tcW w:w="1260" w:type="dxa"/>
          </w:tcPr>
          <w:p w:rsidRPr="00BE4027" w:rsidR="00C63C4B" w:rsidP="008A39D3" w:rsidRDefault="00C63C4B" w14:paraId="016C334C" w14:textId="5C3016D5">
            <w:pPr>
              <w:pStyle w:val="TableParagraph"/>
              <w:spacing w:before="20" w:after="20" w:line="259" w:lineRule="auto"/>
              <w:ind w:left="93" w:right="27" w:firstLine="11"/>
              <w:rPr>
                <w:rFonts w:cs="Arial"/>
                <w:sz w:val="20"/>
                <w:szCs w:val="20"/>
              </w:rPr>
            </w:pPr>
            <w:r w:rsidRPr="00BE4027">
              <w:rPr>
                <w:rFonts w:cs="Arial"/>
                <w:sz w:val="20"/>
                <w:szCs w:val="20"/>
              </w:rPr>
              <w:t>City of Watsonville</w:t>
            </w:r>
            <w:r w:rsidR="008A39D3">
              <w:rPr>
                <w:rFonts w:cs="Arial"/>
                <w:sz w:val="20"/>
                <w:szCs w:val="20"/>
              </w:rPr>
              <w:t xml:space="preserve">; </w:t>
            </w:r>
            <w:r w:rsidRPr="00BE4027">
              <w:rPr>
                <w:rFonts w:cs="Arial"/>
                <w:sz w:val="20"/>
                <w:szCs w:val="20"/>
              </w:rPr>
              <w:t>County of Santa Cruz</w:t>
            </w:r>
          </w:p>
        </w:tc>
        <w:tc>
          <w:tcPr>
            <w:tcW w:w="1620" w:type="dxa"/>
          </w:tcPr>
          <w:p w:rsidRPr="00BE4027" w:rsidR="00C63C4B" w:rsidP="00A54362" w:rsidRDefault="00C63C4B" w14:paraId="2EF8A009"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Not Applicable</w:t>
            </w:r>
          </w:p>
        </w:tc>
        <w:tc>
          <w:tcPr>
            <w:tcW w:w="1260" w:type="dxa"/>
          </w:tcPr>
          <w:p w:rsidRPr="00BE4027" w:rsidR="00C63C4B" w:rsidP="00A54362" w:rsidRDefault="00C63C4B" w14:paraId="1320404E" w14:textId="760EEFFE">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10 </w:t>
            </w:r>
            <w:r w:rsidRPr="00BE4027" w:rsidR="00BC13EF">
              <w:rPr>
                <w:rFonts w:cs="Arial"/>
                <w:spacing w:val="-5"/>
                <w:sz w:val="20"/>
                <w:szCs w:val="20"/>
              </w:rPr>
              <w:t xml:space="preserve">‒ </w:t>
            </w:r>
            <w:r w:rsidRPr="00BE4027">
              <w:rPr>
                <w:rFonts w:cs="Arial"/>
                <w:spacing w:val="-5"/>
                <w:sz w:val="20"/>
                <w:szCs w:val="20"/>
              </w:rPr>
              <w:t>Year-round</w:t>
            </w:r>
          </w:p>
        </w:tc>
        <w:tc>
          <w:tcPr>
            <w:tcW w:w="1825" w:type="dxa"/>
          </w:tcPr>
          <w:p w:rsidRPr="00BE4027" w:rsidR="00C63C4B" w:rsidP="00A54362" w:rsidRDefault="00C63C4B" w14:paraId="574FB6CE" w14:textId="48D8A579">
            <w:pPr>
              <w:pStyle w:val="TableParagraph"/>
              <w:spacing w:before="20" w:after="20" w:line="259" w:lineRule="auto"/>
              <w:ind w:left="106" w:right="89"/>
              <w:jc w:val="center"/>
              <w:rPr>
                <w:rFonts w:cs="Arial"/>
                <w:spacing w:val="-5"/>
                <w:sz w:val="20"/>
                <w:szCs w:val="20"/>
                <w:vertAlign w:val="superscript"/>
              </w:rPr>
            </w:pPr>
            <w:r w:rsidRPr="00BE4027">
              <w:rPr>
                <w:rFonts w:cs="Arial"/>
                <w:spacing w:val="-5"/>
                <w:sz w:val="20"/>
                <w:szCs w:val="20"/>
              </w:rPr>
              <w:t xml:space="preserve">0.14 </w:t>
            </w:r>
            <w:r w:rsidRPr="00BE4027" w:rsidR="00BC13EF">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2824E374" w14:textId="170DF58A">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0.3 </w:t>
            </w:r>
            <w:r w:rsidRPr="00BE4027" w:rsidR="00BC13EF">
              <w:rPr>
                <w:rFonts w:cs="Arial"/>
                <w:spacing w:val="-5"/>
                <w:sz w:val="20"/>
                <w:szCs w:val="20"/>
              </w:rPr>
              <w:t xml:space="preserve">‒ </w:t>
            </w:r>
            <w:r w:rsidRPr="00BE4027">
              <w:rPr>
                <w:rFonts w:cs="Arial"/>
                <w:spacing w:val="-5"/>
                <w:sz w:val="20"/>
                <w:szCs w:val="20"/>
              </w:rPr>
              <w:t>Wet season</w:t>
            </w:r>
            <w:r w:rsidRPr="00BE4027">
              <w:rPr>
                <w:rFonts w:cs="Arial"/>
                <w:spacing w:val="-5"/>
                <w:sz w:val="20"/>
                <w:szCs w:val="20"/>
                <w:vertAlign w:val="superscript"/>
              </w:rPr>
              <w:t>E</w:t>
            </w:r>
          </w:p>
        </w:tc>
        <w:tc>
          <w:tcPr>
            <w:tcW w:w="1100" w:type="dxa"/>
          </w:tcPr>
          <w:p w:rsidRPr="00BE4027" w:rsidR="00C63C4B" w:rsidP="00A54362" w:rsidRDefault="00C63C4B" w14:paraId="2A36966F" w14:textId="0D91745F">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2.1 </w:t>
            </w:r>
            <w:r w:rsidRPr="00BE4027" w:rsidR="00BC13EF">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0B35EA22" w14:textId="202A0DB2">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8.0 </w:t>
            </w:r>
            <w:r w:rsidRPr="00BE4027" w:rsidR="00BC13EF">
              <w:rPr>
                <w:rFonts w:cs="Arial"/>
                <w:spacing w:val="-5"/>
                <w:sz w:val="20"/>
                <w:szCs w:val="20"/>
              </w:rPr>
              <w:t xml:space="preserve">‒ </w:t>
            </w:r>
            <w:r w:rsidRPr="00BE4027">
              <w:rPr>
                <w:rFonts w:cs="Arial"/>
                <w:spacing w:val="-5"/>
                <w:sz w:val="20"/>
                <w:szCs w:val="20"/>
              </w:rPr>
              <w:t>Wet season</w:t>
            </w:r>
            <w:r w:rsidRPr="00BE4027">
              <w:rPr>
                <w:rFonts w:cs="Arial"/>
                <w:spacing w:val="-5"/>
                <w:sz w:val="20"/>
                <w:szCs w:val="20"/>
                <w:vertAlign w:val="superscript"/>
              </w:rPr>
              <w:t>E</w:t>
            </w:r>
          </w:p>
        </w:tc>
        <w:tc>
          <w:tcPr>
            <w:tcW w:w="1160" w:type="dxa"/>
          </w:tcPr>
          <w:p w:rsidRPr="00BE4027" w:rsidR="00C63C4B" w:rsidP="00A54362" w:rsidRDefault="00C63C4B" w14:paraId="2E63CA9B" w14:textId="085C2D73">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0.025 </w:t>
            </w:r>
            <w:r w:rsidRPr="00BE4027" w:rsidR="00BC13EF">
              <w:rPr>
                <w:rFonts w:cs="Arial"/>
                <w:spacing w:val="-5"/>
                <w:sz w:val="20"/>
                <w:szCs w:val="20"/>
              </w:rPr>
              <w:t xml:space="preserve">‒ </w:t>
            </w:r>
            <w:r w:rsidRPr="00BE4027">
              <w:rPr>
                <w:rFonts w:cs="Arial"/>
                <w:spacing w:val="-5"/>
                <w:sz w:val="20"/>
                <w:szCs w:val="20"/>
              </w:rPr>
              <w:t>Year-round</w:t>
            </w:r>
          </w:p>
        </w:tc>
      </w:tr>
      <w:tr w:rsidRPr="00BE4027" w:rsidR="0069020F" w:rsidTr="004D236F" w14:paraId="1E7B4047" w14:textId="77777777">
        <w:trPr>
          <w:trHeight w:val="1273"/>
        </w:trPr>
        <w:tc>
          <w:tcPr>
            <w:tcW w:w="1530" w:type="dxa"/>
          </w:tcPr>
          <w:p w:rsidRPr="00BE4027" w:rsidR="00C63C4B" w:rsidP="007E0E68" w:rsidRDefault="00C63C4B" w14:paraId="207EE308" w14:textId="77777777">
            <w:pPr>
              <w:pStyle w:val="TableParagraph"/>
              <w:spacing w:before="20" w:after="20" w:line="259" w:lineRule="auto"/>
              <w:ind w:left="97" w:right="174"/>
              <w:rPr>
                <w:rFonts w:cs="Arial"/>
                <w:sz w:val="20"/>
                <w:szCs w:val="20"/>
              </w:rPr>
            </w:pPr>
            <w:r w:rsidRPr="00BE4027">
              <w:rPr>
                <w:rFonts w:cs="Arial"/>
                <w:spacing w:val="-2"/>
                <w:sz w:val="20"/>
                <w:szCs w:val="20"/>
              </w:rPr>
              <w:t>Corralitos Creek, Salsipuedes Creek</w:t>
            </w:r>
          </w:p>
        </w:tc>
        <w:tc>
          <w:tcPr>
            <w:tcW w:w="1260" w:type="dxa"/>
          </w:tcPr>
          <w:p w:rsidRPr="00BE4027" w:rsidR="00C63C4B" w:rsidP="008A39D3" w:rsidRDefault="00C63C4B" w14:paraId="0F1B77EA" w14:textId="06433AB6">
            <w:pPr>
              <w:pStyle w:val="TableParagraph"/>
              <w:spacing w:before="20" w:after="20" w:line="259" w:lineRule="auto"/>
              <w:ind w:left="86" w:right="29" w:firstLine="14"/>
              <w:rPr>
                <w:rFonts w:cs="Arial"/>
                <w:sz w:val="20"/>
                <w:szCs w:val="20"/>
              </w:rPr>
            </w:pPr>
            <w:r w:rsidRPr="00BE4027">
              <w:rPr>
                <w:rFonts w:cs="Arial"/>
                <w:sz w:val="20"/>
                <w:szCs w:val="20"/>
              </w:rPr>
              <w:t>City of Watsonville</w:t>
            </w:r>
            <w:r w:rsidR="008A39D3">
              <w:rPr>
                <w:rFonts w:cs="Arial"/>
                <w:sz w:val="20"/>
                <w:szCs w:val="20"/>
              </w:rPr>
              <w:t xml:space="preserve">; </w:t>
            </w:r>
            <w:r w:rsidRPr="00BE4027">
              <w:rPr>
                <w:rFonts w:cs="Arial"/>
                <w:sz w:val="20"/>
                <w:szCs w:val="20"/>
              </w:rPr>
              <w:t>County of Santa Cruz</w:t>
            </w:r>
          </w:p>
        </w:tc>
        <w:tc>
          <w:tcPr>
            <w:tcW w:w="1620" w:type="dxa"/>
          </w:tcPr>
          <w:p w:rsidRPr="00BE4027" w:rsidR="00C63C4B" w:rsidP="00A54362" w:rsidRDefault="00C63C4B" w14:paraId="2BD3F54B" w14:textId="534848B4">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1.8 </w:t>
            </w:r>
            <w:r w:rsidRPr="00BE4027" w:rsidR="00BC13EF">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7D761B4E"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8.0 Wet season</w:t>
            </w:r>
            <w:r w:rsidRPr="00BE4027">
              <w:rPr>
                <w:rFonts w:cs="Arial"/>
                <w:spacing w:val="-5"/>
                <w:sz w:val="20"/>
                <w:szCs w:val="20"/>
                <w:vertAlign w:val="superscript"/>
              </w:rPr>
              <w:t>E</w:t>
            </w:r>
          </w:p>
        </w:tc>
        <w:tc>
          <w:tcPr>
            <w:tcW w:w="1260" w:type="dxa"/>
          </w:tcPr>
          <w:p w:rsidRPr="00BE4027" w:rsidR="00C63C4B" w:rsidP="00A54362" w:rsidRDefault="00C63C4B" w14:paraId="3702701B" w14:textId="1C664E1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10 </w:t>
            </w:r>
            <w:r w:rsidRPr="00BE4027" w:rsidR="00BC13EF">
              <w:rPr>
                <w:rFonts w:cs="Arial"/>
                <w:spacing w:val="-5"/>
                <w:sz w:val="20"/>
                <w:szCs w:val="20"/>
              </w:rPr>
              <w:t xml:space="preserve">‒ </w:t>
            </w:r>
            <w:r w:rsidRPr="00BE4027">
              <w:rPr>
                <w:rFonts w:cs="Arial"/>
                <w:spacing w:val="-5"/>
                <w:sz w:val="20"/>
                <w:szCs w:val="20"/>
              </w:rPr>
              <w:t>Year-round</w:t>
            </w:r>
          </w:p>
        </w:tc>
        <w:tc>
          <w:tcPr>
            <w:tcW w:w="1825" w:type="dxa"/>
          </w:tcPr>
          <w:p w:rsidRPr="00BE4027" w:rsidR="00C63C4B" w:rsidP="00A54362" w:rsidRDefault="00C63C4B" w14:paraId="73937D85" w14:textId="5BEA269E">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0.14 </w:t>
            </w:r>
            <w:r w:rsidRPr="00BE4027" w:rsidR="00BC13EF">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7C433C9E" w14:textId="4908374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0.3 </w:t>
            </w:r>
            <w:r w:rsidRPr="00BE4027" w:rsidR="00BC13EF">
              <w:rPr>
                <w:rFonts w:cs="Arial"/>
                <w:spacing w:val="-5"/>
                <w:sz w:val="20"/>
                <w:szCs w:val="20"/>
              </w:rPr>
              <w:t xml:space="preserve">‒ </w:t>
            </w:r>
            <w:r w:rsidRPr="00BE4027">
              <w:rPr>
                <w:rFonts w:cs="Arial"/>
                <w:spacing w:val="-5"/>
                <w:sz w:val="20"/>
                <w:szCs w:val="20"/>
              </w:rPr>
              <w:t>Wet season</w:t>
            </w:r>
            <w:r w:rsidRPr="00BE4027">
              <w:rPr>
                <w:rFonts w:cs="Arial"/>
                <w:spacing w:val="-5"/>
                <w:sz w:val="20"/>
                <w:szCs w:val="20"/>
                <w:vertAlign w:val="superscript"/>
              </w:rPr>
              <w:t>E</w:t>
            </w:r>
          </w:p>
        </w:tc>
        <w:tc>
          <w:tcPr>
            <w:tcW w:w="1100" w:type="dxa"/>
          </w:tcPr>
          <w:p w:rsidRPr="00BE4027" w:rsidR="00C63C4B" w:rsidP="00A54362" w:rsidRDefault="00C63C4B" w14:paraId="3A79696B"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Not Applicable</w:t>
            </w:r>
          </w:p>
        </w:tc>
        <w:tc>
          <w:tcPr>
            <w:tcW w:w="1160" w:type="dxa"/>
          </w:tcPr>
          <w:p w:rsidRPr="00BE4027" w:rsidR="00C63C4B" w:rsidP="00A54362" w:rsidRDefault="00C63C4B" w14:paraId="5ECDF6A0" w14:textId="7AAD10E3">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0.025 </w:t>
            </w:r>
            <w:r w:rsidRPr="00BE4027" w:rsidR="00BC13EF">
              <w:rPr>
                <w:rFonts w:cs="Arial"/>
                <w:spacing w:val="-5"/>
                <w:sz w:val="20"/>
                <w:szCs w:val="20"/>
              </w:rPr>
              <w:t xml:space="preserve">‒ </w:t>
            </w:r>
            <w:r w:rsidRPr="00BE4027">
              <w:rPr>
                <w:rFonts w:cs="Arial"/>
                <w:spacing w:val="-5"/>
                <w:sz w:val="20"/>
                <w:szCs w:val="20"/>
              </w:rPr>
              <w:t>Year-round</w:t>
            </w:r>
          </w:p>
        </w:tc>
      </w:tr>
      <w:tr w:rsidRPr="00BE4027" w:rsidR="00C63C4B" w:rsidTr="008A39D3" w14:paraId="0D645F90" w14:textId="77777777">
        <w:trPr>
          <w:trHeight w:val="548"/>
        </w:trPr>
        <w:tc>
          <w:tcPr>
            <w:tcW w:w="1530" w:type="dxa"/>
          </w:tcPr>
          <w:p w:rsidRPr="00BE4027" w:rsidR="00C63C4B" w:rsidP="007E0E68" w:rsidRDefault="00C63C4B" w14:paraId="795DA9B3" w14:textId="77777777">
            <w:pPr>
              <w:pStyle w:val="TableParagraph"/>
              <w:spacing w:before="20" w:after="20" w:line="259" w:lineRule="auto"/>
              <w:ind w:left="97" w:right="198"/>
              <w:rPr>
                <w:rFonts w:cs="Arial"/>
                <w:sz w:val="20"/>
                <w:szCs w:val="20"/>
              </w:rPr>
            </w:pPr>
            <w:r w:rsidRPr="00BE4027">
              <w:rPr>
                <w:rFonts w:cs="Arial"/>
                <w:sz w:val="20"/>
                <w:szCs w:val="20"/>
              </w:rPr>
              <w:t>Llagas</w:t>
            </w:r>
            <w:r w:rsidRPr="00BE4027">
              <w:rPr>
                <w:rFonts w:cs="Arial"/>
                <w:spacing w:val="-13"/>
                <w:sz w:val="20"/>
                <w:szCs w:val="20"/>
              </w:rPr>
              <w:t xml:space="preserve"> </w:t>
            </w:r>
            <w:r w:rsidRPr="00BE4027">
              <w:rPr>
                <w:rFonts w:cs="Arial"/>
                <w:sz w:val="20"/>
                <w:szCs w:val="20"/>
              </w:rPr>
              <w:t xml:space="preserve">Creek, Little Llagas </w:t>
            </w:r>
            <w:r w:rsidRPr="00BE4027">
              <w:rPr>
                <w:rFonts w:cs="Arial"/>
                <w:spacing w:val="-2"/>
                <w:sz w:val="20"/>
                <w:szCs w:val="20"/>
              </w:rPr>
              <w:t>Creek</w:t>
            </w:r>
          </w:p>
        </w:tc>
        <w:tc>
          <w:tcPr>
            <w:tcW w:w="1260" w:type="dxa"/>
          </w:tcPr>
          <w:p w:rsidRPr="00BE4027" w:rsidR="00C63C4B" w:rsidP="00EA5FF7" w:rsidRDefault="00C63C4B" w14:paraId="686329D4" w14:textId="044A55C8">
            <w:pPr>
              <w:pStyle w:val="TableParagraph"/>
              <w:spacing w:before="20" w:after="20" w:line="259" w:lineRule="auto"/>
              <w:ind w:left="93" w:right="27" w:firstLine="11"/>
              <w:rPr>
                <w:rFonts w:cs="Arial"/>
                <w:sz w:val="20"/>
                <w:szCs w:val="20"/>
              </w:rPr>
            </w:pPr>
            <w:r w:rsidRPr="00BE4027">
              <w:rPr>
                <w:rFonts w:cs="Arial"/>
                <w:sz w:val="20"/>
                <w:szCs w:val="20"/>
              </w:rPr>
              <w:t>City of Gilroy</w:t>
            </w:r>
            <w:r w:rsidR="00EA5FF7">
              <w:rPr>
                <w:rFonts w:cs="Arial"/>
                <w:sz w:val="20"/>
                <w:szCs w:val="20"/>
              </w:rPr>
              <w:t xml:space="preserve">; </w:t>
            </w:r>
            <w:r w:rsidRPr="00BE4027">
              <w:rPr>
                <w:rFonts w:cs="Arial"/>
                <w:sz w:val="20"/>
                <w:szCs w:val="20"/>
              </w:rPr>
              <w:t>City of Morgan Hill Urban areas</w:t>
            </w:r>
            <w:r w:rsidR="00EA5FF7">
              <w:rPr>
                <w:rFonts w:cs="Arial"/>
                <w:sz w:val="20"/>
                <w:szCs w:val="20"/>
              </w:rPr>
              <w:t xml:space="preserve">; </w:t>
            </w:r>
            <w:r w:rsidRPr="00BE4027">
              <w:rPr>
                <w:rFonts w:cs="Arial"/>
                <w:sz w:val="20"/>
                <w:szCs w:val="20"/>
              </w:rPr>
              <w:t>County of Santa Clara</w:t>
            </w:r>
          </w:p>
        </w:tc>
        <w:tc>
          <w:tcPr>
            <w:tcW w:w="1620" w:type="dxa"/>
          </w:tcPr>
          <w:p w:rsidRPr="00BE4027" w:rsidR="00C63C4B" w:rsidP="00A54362" w:rsidRDefault="00C63C4B" w14:paraId="3F4885CE" w14:textId="1719F683">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1.8 </w:t>
            </w:r>
            <w:r w:rsidRPr="00BE4027" w:rsidR="00BC13EF">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5C41F6DE" w14:textId="5A12C040">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8.0 </w:t>
            </w:r>
            <w:r w:rsidRPr="00BE4027" w:rsidR="00BC13EF">
              <w:rPr>
                <w:rFonts w:cs="Arial"/>
                <w:spacing w:val="-5"/>
                <w:sz w:val="20"/>
                <w:szCs w:val="20"/>
              </w:rPr>
              <w:t xml:space="preserve">‒ </w:t>
            </w:r>
            <w:r w:rsidRPr="00BE4027">
              <w:rPr>
                <w:rFonts w:cs="Arial"/>
                <w:spacing w:val="-5"/>
                <w:sz w:val="20"/>
                <w:szCs w:val="20"/>
              </w:rPr>
              <w:t>Wet season</w:t>
            </w:r>
            <w:r w:rsidRPr="00BE4027">
              <w:rPr>
                <w:rFonts w:cs="Arial"/>
                <w:spacing w:val="-5"/>
                <w:sz w:val="20"/>
                <w:szCs w:val="20"/>
                <w:vertAlign w:val="superscript"/>
              </w:rPr>
              <w:t>E</w:t>
            </w:r>
          </w:p>
        </w:tc>
        <w:tc>
          <w:tcPr>
            <w:tcW w:w="1260" w:type="dxa"/>
          </w:tcPr>
          <w:p w:rsidRPr="00BE4027" w:rsidR="00C63C4B" w:rsidP="00A54362" w:rsidRDefault="00C63C4B" w14:paraId="69A883FA" w14:textId="1BCE7EFB">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10 </w:t>
            </w:r>
            <w:r w:rsidRPr="00BE4027" w:rsidR="00BC13EF">
              <w:rPr>
                <w:rFonts w:cs="Arial"/>
                <w:spacing w:val="-5"/>
                <w:sz w:val="20"/>
                <w:szCs w:val="20"/>
              </w:rPr>
              <w:t xml:space="preserve">‒ </w:t>
            </w:r>
            <w:r w:rsidRPr="00BE4027">
              <w:rPr>
                <w:rFonts w:cs="Arial"/>
                <w:spacing w:val="-5"/>
                <w:sz w:val="20"/>
                <w:szCs w:val="20"/>
              </w:rPr>
              <w:t>Year-round</w:t>
            </w:r>
          </w:p>
        </w:tc>
        <w:tc>
          <w:tcPr>
            <w:tcW w:w="1825" w:type="dxa"/>
          </w:tcPr>
          <w:p w:rsidRPr="00BE4027" w:rsidR="00C63C4B" w:rsidP="00A54362" w:rsidRDefault="00C63C4B" w14:paraId="00DC0C27" w14:textId="5B3D701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0.05 </w:t>
            </w:r>
            <w:r w:rsidRPr="00BE4027" w:rsidR="00BC13EF">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14CAF116" w14:textId="32296FA6">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0.3</w:t>
            </w:r>
            <w:r w:rsidRPr="00BE4027" w:rsidR="00BC13EF">
              <w:rPr>
                <w:rFonts w:cs="Arial"/>
                <w:spacing w:val="-5"/>
                <w:sz w:val="20"/>
                <w:szCs w:val="20"/>
              </w:rPr>
              <w:t xml:space="preserve"> ‒ </w:t>
            </w:r>
            <w:r w:rsidRPr="00BE4027">
              <w:rPr>
                <w:rFonts w:cs="Arial"/>
                <w:spacing w:val="-5"/>
                <w:sz w:val="20"/>
                <w:szCs w:val="20"/>
              </w:rPr>
              <w:t>Wet season</w:t>
            </w:r>
            <w:r w:rsidRPr="00BE4027">
              <w:rPr>
                <w:rFonts w:cs="Arial"/>
                <w:spacing w:val="-5"/>
                <w:sz w:val="20"/>
                <w:szCs w:val="20"/>
                <w:vertAlign w:val="superscript"/>
              </w:rPr>
              <w:t>E</w:t>
            </w:r>
          </w:p>
        </w:tc>
        <w:tc>
          <w:tcPr>
            <w:tcW w:w="1100" w:type="dxa"/>
          </w:tcPr>
          <w:p w:rsidRPr="00BE4027" w:rsidR="00C63C4B" w:rsidP="00A54362" w:rsidRDefault="00C63C4B" w14:paraId="488FA652"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Not Applicable</w:t>
            </w:r>
          </w:p>
        </w:tc>
        <w:tc>
          <w:tcPr>
            <w:tcW w:w="1160" w:type="dxa"/>
          </w:tcPr>
          <w:p w:rsidRPr="00BE4027" w:rsidR="00C63C4B" w:rsidP="00A54362" w:rsidRDefault="00C63C4B" w14:paraId="49EC6826" w14:textId="5C6DCFA5">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0.025 </w:t>
            </w:r>
            <w:r w:rsidRPr="00BE4027" w:rsidR="00BC13EF">
              <w:rPr>
                <w:rFonts w:cs="Arial"/>
                <w:spacing w:val="-5"/>
                <w:sz w:val="20"/>
                <w:szCs w:val="20"/>
              </w:rPr>
              <w:t xml:space="preserve">‒ </w:t>
            </w:r>
            <w:r w:rsidRPr="00BE4027">
              <w:rPr>
                <w:rFonts w:cs="Arial"/>
                <w:spacing w:val="-5"/>
                <w:sz w:val="20"/>
                <w:szCs w:val="20"/>
              </w:rPr>
              <w:t>Year-round</w:t>
            </w:r>
          </w:p>
        </w:tc>
      </w:tr>
      <w:tr w:rsidRPr="00BE4027" w:rsidR="00C63C4B" w:rsidTr="004D236F" w14:paraId="304D1AA5" w14:textId="77777777">
        <w:trPr>
          <w:trHeight w:val="1404"/>
        </w:trPr>
        <w:tc>
          <w:tcPr>
            <w:tcW w:w="1530" w:type="dxa"/>
          </w:tcPr>
          <w:p w:rsidRPr="00BE4027" w:rsidR="00C63C4B" w:rsidP="007E0E68" w:rsidRDefault="00C63C4B" w14:paraId="5EB2BE0D" w14:textId="77777777">
            <w:pPr>
              <w:pStyle w:val="TableParagraph"/>
              <w:spacing w:before="20" w:after="20" w:line="259" w:lineRule="auto"/>
              <w:ind w:left="97" w:right="319"/>
              <w:rPr>
                <w:rFonts w:cs="Arial"/>
                <w:sz w:val="20"/>
                <w:szCs w:val="20"/>
              </w:rPr>
            </w:pPr>
            <w:r w:rsidRPr="00BE4027">
              <w:rPr>
                <w:rFonts w:cs="Arial"/>
                <w:sz w:val="20"/>
                <w:szCs w:val="20"/>
              </w:rPr>
              <w:t>Uvas</w:t>
            </w:r>
            <w:r w:rsidRPr="00BE4027">
              <w:rPr>
                <w:rFonts w:cs="Arial"/>
                <w:spacing w:val="-13"/>
                <w:sz w:val="20"/>
                <w:szCs w:val="20"/>
              </w:rPr>
              <w:t xml:space="preserve"> </w:t>
            </w:r>
            <w:r w:rsidRPr="00BE4027">
              <w:rPr>
                <w:rFonts w:cs="Arial"/>
                <w:sz w:val="20"/>
                <w:szCs w:val="20"/>
              </w:rPr>
              <w:t xml:space="preserve">Creek, </w:t>
            </w:r>
            <w:r w:rsidRPr="00BE4027">
              <w:rPr>
                <w:rFonts w:cs="Arial"/>
                <w:spacing w:val="-2"/>
                <w:sz w:val="20"/>
                <w:szCs w:val="20"/>
              </w:rPr>
              <w:t>Carnadero Creek</w:t>
            </w:r>
          </w:p>
        </w:tc>
        <w:tc>
          <w:tcPr>
            <w:tcW w:w="1260" w:type="dxa"/>
          </w:tcPr>
          <w:p w:rsidRPr="00BE4027" w:rsidR="00C63C4B" w:rsidP="007E0E68" w:rsidRDefault="00C63C4B" w14:paraId="0A31CF0B" w14:textId="77777777">
            <w:pPr>
              <w:pStyle w:val="TableParagraph"/>
              <w:spacing w:before="20" w:after="20" w:line="259" w:lineRule="auto"/>
              <w:ind w:left="93" w:right="27" w:firstLine="11"/>
              <w:rPr>
                <w:rFonts w:cs="Arial"/>
                <w:sz w:val="20"/>
                <w:szCs w:val="20"/>
              </w:rPr>
            </w:pPr>
            <w:r w:rsidRPr="00BE4027">
              <w:rPr>
                <w:rFonts w:cs="Arial"/>
                <w:sz w:val="20"/>
                <w:szCs w:val="20"/>
              </w:rPr>
              <w:t xml:space="preserve">City of Gilroy </w:t>
            </w:r>
          </w:p>
          <w:p w:rsidRPr="00BE4027" w:rsidR="00C63C4B" w:rsidP="007E0E68" w:rsidRDefault="00C63C4B" w14:paraId="33E09610" w14:textId="77777777">
            <w:pPr>
              <w:pStyle w:val="TableParagraph"/>
              <w:spacing w:before="20" w:after="20" w:line="259" w:lineRule="auto"/>
              <w:ind w:left="93" w:right="27" w:firstLine="11"/>
              <w:rPr>
                <w:rFonts w:cs="Arial"/>
                <w:sz w:val="20"/>
                <w:szCs w:val="20"/>
              </w:rPr>
            </w:pPr>
            <w:r w:rsidRPr="00BE4027">
              <w:rPr>
                <w:rFonts w:cs="Arial"/>
                <w:sz w:val="20"/>
                <w:szCs w:val="20"/>
              </w:rPr>
              <w:t xml:space="preserve">City of Morgan Hill </w:t>
            </w:r>
          </w:p>
        </w:tc>
        <w:tc>
          <w:tcPr>
            <w:tcW w:w="1620" w:type="dxa"/>
          </w:tcPr>
          <w:p w:rsidRPr="00BE4027" w:rsidR="00C63C4B" w:rsidP="00A54362" w:rsidRDefault="00C63C4B" w14:paraId="49E9BF13" w14:textId="7BC3DE74">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1.8 </w:t>
            </w:r>
            <w:r w:rsidRPr="00BE4027" w:rsidR="00BC13EF">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27541EE2"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8.0 Wet season</w:t>
            </w:r>
            <w:r w:rsidRPr="00BE4027">
              <w:rPr>
                <w:rFonts w:cs="Arial"/>
                <w:spacing w:val="-5"/>
                <w:sz w:val="20"/>
                <w:szCs w:val="20"/>
                <w:vertAlign w:val="superscript"/>
              </w:rPr>
              <w:t>E</w:t>
            </w:r>
          </w:p>
        </w:tc>
        <w:tc>
          <w:tcPr>
            <w:tcW w:w="1260" w:type="dxa"/>
          </w:tcPr>
          <w:p w:rsidRPr="00BE4027" w:rsidR="00C63C4B" w:rsidP="00A54362" w:rsidRDefault="00C63C4B" w14:paraId="61319BEA" w14:textId="626FFD81">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10</w:t>
            </w:r>
            <w:r w:rsidRPr="00BE4027" w:rsidR="00BC13EF">
              <w:rPr>
                <w:rFonts w:cs="Arial"/>
                <w:spacing w:val="-5"/>
                <w:sz w:val="20"/>
                <w:szCs w:val="20"/>
              </w:rPr>
              <w:t xml:space="preserve"> ‒ </w:t>
            </w:r>
            <w:r w:rsidRPr="00BE4027">
              <w:rPr>
                <w:rFonts w:cs="Arial"/>
                <w:spacing w:val="-5"/>
                <w:sz w:val="20"/>
                <w:szCs w:val="20"/>
              </w:rPr>
              <w:t>Year-round</w:t>
            </w:r>
          </w:p>
        </w:tc>
        <w:tc>
          <w:tcPr>
            <w:tcW w:w="1825" w:type="dxa"/>
          </w:tcPr>
          <w:p w:rsidRPr="00BE4027" w:rsidR="00C63C4B" w:rsidP="00A54362" w:rsidRDefault="00C63C4B" w14:paraId="47375BB7" w14:textId="7D5D1D52">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0.05 </w:t>
            </w:r>
            <w:r w:rsidRPr="00BE4027" w:rsidR="00BC13EF">
              <w:rPr>
                <w:rFonts w:cs="Arial"/>
                <w:spacing w:val="-5"/>
                <w:sz w:val="20"/>
                <w:szCs w:val="20"/>
              </w:rPr>
              <w:t xml:space="preserve">‒ </w:t>
            </w:r>
            <w:r w:rsidRPr="00BE4027">
              <w:rPr>
                <w:rFonts w:cs="Arial"/>
                <w:spacing w:val="-5"/>
                <w:sz w:val="20"/>
                <w:szCs w:val="20"/>
              </w:rPr>
              <w:t>Dry season</w:t>
            </w:r>
            <w:r w:rsidRPr="00BE4027">
              <w:rPr>
                <w:rFonts w:cs="Arial"/>
                <w:spacing w:val="-5"/>
                <w:sz w:val="20"/>
                <w:szCs w:val="20"/>
                <w:vertAlign w:val="superscript"/>
              </w:rPr>
              <w:t>D</w:t>
            </w:r>
          </w:p>
          <w:p w:rsidRPr="00BE4027" w:rsidR="00C63C4B" w:rsidP="00A54362" w:rsidRDefault="00C63C4B" w14:paraId="31C6510D" w14:textId="783ABC5C">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0.3 </w:t>
            </w:r>
            <w:r w:rsidRPr="00BE4027" w:rsidR="00BC13EF">
              <w:rPr>
                <w:rFonts w:cs="Arial"/>
                <w:spacing w:val="-5"/>
                <w:sz w:val="20"/>
                <w:szCs w:val="20"/>
              </w:rPr>
              <w:t xml:space="preserve">‒ </w:t>
            </w:r>
            <w:r w:rsidRPr="00BE4027">
              <w:rPr>
                <w:rFonts w:cs="Arial"/>
                <w:spacing w:val="-5"/>
                <w:sz w:val="20"/>
                <w:szCs w:val="20"/>
              </w:rPr>
              <w:t>Wet season</w:t>
            </w:r>
            <w:r w:rsidRPr="00BE4027">
              <w:rPr>
                <w:rFonts w:cs="Arial"/>
                <w:spacing w:val="-5"/>
                <w:sz w:val="20"/>
                <w:szCs w:val="20"/>
                <w:vertAlign w:val="superscript"/>
              </w:rPr>
              <w:t>E</w:t>
            </w:r>
          </w:p>
        </w:tc>
        <w:tc>
          <w:tcPr>
            <w:tcW w:w="1100" w:type="dxa"/>
          </w:tcPr>
          <w:p w:rsidRPr="00BE4027" w:rsidR="00C63C4B" w:rsidP="00A54362" w:rsidRDefault="00C63C4B" w14:paraId="202023D6"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Not Applicable</w:t>
            </w:r>
          </w:p>
        </w:tc>
        <w:tc>
          <w:tcPr>
            <w:tcW w:w="1160" w:type="dxa"/>
          </w:tcPr>
          <w:p w:rsidRPr="00BE4027" w:rsidR="00C63C4B" w:rsidP="00A54362" w:rsidRDefault="00C63C4B" w14:paraId="0C0B807E" w14:textId="00591315">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 xml:space="preserve">0.025 </w:t>
            </w:r>
            <w:r w:rsidRPr="00BE4027" w:rsidR="00BC13EF">
              <w:rPr>
                <w:rFonts w:cs="Arial"/>
                <w:spacing w:val="-5"/>
                <w:sz w:val="20"/>
                <w:szCs w:val="20"/>
              </w:rPr>
              <w:t xml:space="preserve">‒ </w:t>
            </w:r>
            <w:r w:rsidRPr="00BE4027">
              <w:rPr>
                <w:rFonts w:cs="Arial"/>
                <w:spacing w:val="-5"/>
                <w:sz w:val="20"/>
                <w:szCs w:val="20"/>
              </w:rPr>
              <w:t>Year-round</w:t>
            </w:r>
          </w:p>
        </w:tc>
      </w:tr>
      <w:tr w:rsidRPr="00BE4027" w:rsidR="00C63C4B" w:rsidTr="004D236F" w14:paraId="59201352" w14:textId="77777777">
        <w:trPr>
          <w:trHeight w:val="804"/>
        </w:trPr>
        <w:tc>
          <w:tcPr>
            <w:tcW w:w="1530" w:type="dxa"/>
          </w:tcPr>
          <w:p w:rsidRPr="00BE4027" w:rsidR="00C63C4B" w:rsidP="007E0E68" w:rsidRDefault="00C63C4B" w14:paraId="1904009D" w14:textId="77777777">
            <w:pPr>
              <w:pStyle w:val="TableParagraph"/>
              <w:spacing w:before="20" w:after="20" w:line="259" w:lineRule="auto"/>
              <w:ind w:left="97" w:right="428"/>
              <w:rPr>
                <w:rFonts w:cs="Arial"/>
                <w:sz w:val="20"/>
                <w:szCs w:val="20"/>
              </w:rPr>
            </w:pPr>
            <w:r w:rsidRPr="00BE4027">
              <w:rPr>
                <w:rFonts w:cs="Arial"/>
                <w:sz w:val="20"/>
                <w:szCs w:val="20"/>
              </w:rPr>
              <w:t>San</w:t>
            </w:r>
            <w:r w:rsidRPr="00BE4027">
              <w:rPr>
                <w:rFonts w:cs="Arial"/>
                <w:spacing w:val="-13"/>
                <w:sz w:val="20"/>
                <w:szCs w:val="20"/>
              </w:rPr>
              <w:t xml:space="preserve"> </w:t>
            </w:r>
            <w:r w:rsidRPr="00BE4027">
              <w:rPr>
                <w:rFonts w:cs="Arial"/>
                <w:sz w:val="20"/>
                <w:szCs w:val="20"/>
              </w:rPr>
              <w:t xml:space="preserve">Benito </w:t>
            </w:r>
            <w:r w:rsidRPr="00BE4027">
              <w:rPr>
                <w:rFonts w:cs="Arial"/>
                <w:spacing w:val="-2"/>
                <w:sz w:val="20"/>
                <w:szCs w:val="20"/>
              </w:rPr>
              <w:t>River</w:t>
            </w:r>
          </w:p>
        </w:tc>
        <w:tc>
          <w:tcPr>
            <w:tcW w:w="1260" w:type="dxa"/>
          </w:tcPr>
          <w:p w:rsidRPr="00BE4027" w:rsidR="00C63C4B" w:rsidP="007E0E68" w:rsidRDefault="00C63C4B" w14:paraId="49984440" w14:textId="77777777">
            <w:pPr>
              <w:pStyle w:val="TableParagraph"/>
              <w:spacing w:before="20" w:after="20" w:line="259" w:lineRule="auto"/>
              <w:ind w:left="93" w:right="27" w:firstLine="11"/>
              <w:rPr>
                <w:rFonts w:cs="Arial"/>
                <w:sz w:val="20"/>
                <w:szCs w:val="20"/>
              </w:rPr>
            </w:pPr>
            <w:r w:rsidRPr="00BE4027">
              <w:rPr>
                <w:rFonts w:cs="Arial"/>
                <w:sz w:val="20"/>
                <w:szCs w:val="20"/>
              </w:rPr>
              <w:t xml:space="preserve">City of Hollister </w:t>
            </w:r>
          </w:p>
        </w:tc>
        <w:tc>
          <w:tcPr>
            <w:tcW w:w="1620" w:type="dxa"/>
          </w:tcPr>
          <w:p w:rsidRPr="00BE4027" w:rsidR="00C63C4B" w:rsidP="00A54362" w:rsidRDefault="00C63C4B" w14:paraId="717F3472"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Not Applicable</w:t>
            </w:r>
          </w:p>
        </w:tc>
        <w:tc>
          <w:tcPr>
            <w:tcW w:w="1260" w:type="dxa"/>
          </w:tcPr>
          <w:p w:rsidRPr="00BE4027" w:rsidR="00C63C4B" w:rsidP="00A54362" w:rsidRDefault="00C63C4B" w14:paraId="380BFA84"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10 Year-round</w:t>
            </w:r>
          </w:p>
        </w:tc>
        <w:tc>
          <w:tcPr>
            <w:tcW w:w="1825" w:type="dxa"/>
          </w:tcPr>
          <w:p w:rsidRPr="00BE4027" w:rsidR="00C63C4B" w:rsidP="00A54362" w:rsidRDefault="00C63C4B" w14:paraId="3E967298" w14:textId="77777777">
            <w:pPr>
              <w:pStyle w:val="TableParagraph"/>
              <w:spacing w:before="20" w:after="20" w:line="259" w:lineRule="auto"/>
              <w:ind w:left="204"/>
              <w:jc w:val="center"/>
              <w:rPr>
                <w:rFonts w:cs="Arial"/>
                <w:spacing w:val="-5"/>
                <w:sz w:val="20"/>
                <w:szCs w:val="20"/>
              </w:rPr>
            </w:pPr>
            <w:r w:rsidRPr="00BE4027">
              <w:rPr>
                <w:rFonts w:cs="Arial"/>
                <w:spacing w:val="-5"/>
                <w:sz w:val="20"/>
                <w:szCs w:val="20"/>
              </w:rPr>
              <w:t>Not Applicable</w:t>
            </w:r>
          </w:p>
        </w:tc>
        <w:tc>
          <w:tcPr>
            <w:tcW w:w="1100" w:type="dxa"/>
          </w:tcPr>
          <w:p w:rsidRPr="00BE4027" w:rsidR="00C63C4B" w:rsidP="00A54362" w:rsidRDefault="00C63C4B" w14:paraId="2CB7067D" w14:textId="77777777">
            <w:pPr>
              <w:pStyle w:val="TableParagraph"/>
              <w:spacing w:before="20" w:after="20" w:line="259" w:lineRule="auto"/>
              <w:ind w:left="106" w:right="89"/>
              <w:jc w:val="center"/>
              <w:rPr>
                <w:rFonts w:cs="Arial"/>
                <w:spacing w:val="-5"/>
                <w:sz w:val="20"/>
                <w:szCs w:val="20"/>
              </w:rPr>
            </w:pPr>
            <w:r w:rsidRPr="00BE4027">
              <w:rPr>
                <w:rFonts w:cs="Arial"/>
                <w:spacing w:val="-5"/>
                <w:sz w:val="20"/>
                <w:szCs w:val="20"/>
              </w:rPr>
              <w:t>Not Applicable</w:t>
            </w:r>
          </w:p>
        </w:tc>
        <w:tc>
          <w:tcPr>
            <w:tcW w:w="1160" w:type="dxa"/>
          </w:tcPr>
          <w:p w:rsidRPr="00BE4027" w:rsidR="00C63C4B" w:rsidP="00A54362" w:rsidRDefault="00C63C4B" w14:paraId="0480B804" w14:textId="743DB144">
            <w:pPr>
              <w:pStyle w:val="TableParagraph"/>
              <w:spacing w:before="20" w:after="20" w:line="259" w:lineRule="auto"/>
              <w:ind w:left="14"/>
              <w:jc w:val="center"/>
              <w:rPr>
                <w:rFonts w:cs="Arial"/>
                <w:spacing w:val="-5"/>
                <w:sz w:val="20"/>
                <w:szCs w:val="20"/>
              </w:rPr>
            </w:pPr>
            <w:r w:rsidRPr="00BE4027">
              <w:rPr>
                <w:rFonts w:cs="Arial"/>
                <w:spacing w:val="-5"/>
                <w:sz w:val="20"/>
                <w:szCs w:val="20"/>
              </w:rPr>
              <w:t xml:space="preserve">0.025 </w:t>
            </w:r>
            <w:r w:rsidRPr="00BE4027" w:rsidR="00BC13EF">
              <w:rPr>
                <w:rFonts w:cs="Arial"/>
                <w:spacing w:val="-5"/>
                <w:sz w:val="20"/>
                <w:szCs w:val="20"/>
              </w:rPr>
              <w:t xml:space="preserve">‒ </w:t>
            </w:r>
            <w:r w:rsidRPr="00BE4027">
              <w:rPr>
                <w:rFonts w:cs="Arial"/>
                <w:spacing w:val="-5"/>
                <w:sz w:val="20"/>
                <w:szCs w:val="20"/>
              </w:rPr>
              <w:t>Year-round</w:t>
            </w:r>
          </w:p>
        </w:tc>
      </w:tr>
    </w:tbl>
    <w:p w:rsidR="00C40EA0" w:rsidP="007B5E81" w:rsidRDefault="00C40EA0" w14:paraId="28FA7A01" w14:textId="77777777">
      <w:pPr>
        <w:widowControl w:val="0"/>
        <w:spacing w:after="0" w:line="240" w:lineRule="auto"/>
        <w:rPr>
          <w:b/>
          <w:bCs/>
        </w:rPr>
      </w:pPr>
    </w:p>
    <w:p w:rsidR="001C6367" w:rsidRDefault="001C6367" w14:paraId="60B824E2" w14:textId="77777777">
      <w:pPr>
        <w:spacing w:before="0" w:line="247" w:lineRule="auto"/>
        <w:rPr>
          <w:b/>
          <w:bCs/>
        </w:rPr>
      </w:pPr>
      <w:r>
        <w:rPr>
          <w:b/>
          <w:bCs/>
        </w:rPr>
        <w:br w:type="page"/>
      </w:r>
    </w:p>
    <w:p w:rsidRPr="00460F9B" w:rsidR="00460F9B" w:rsidP="00460F9B" w:rsidRDefault="00460F9B" w14:paraId="552D3724" w14:textId="61AB8B91">
      <w:pPr>
        <w:keepLines/>
        <w:spacing w:after="0" w:line="240" w:lineRule="auto"/>
        <w:rPr>
          <w:b/>
          <w:bCs/>
        </w:rPr>
      </w:pPr>
      <w:r w:rsidRPr="00460F9B">
        <w:rPr>
          <w:b/>
          <w:bCs/>
        </w:rPr>
        <w:t>Interim Wasteload Allocations</w:t>
      </w:r>
      <w:r w:rsidR="005F1473">
        <w:rPr>
          <w:b/>
          <w:bCs/>
        </w:rPr>
        <w:t xml:space="preserve"> </w:t>
      </w:r>
      <w:r w:rsidRPr="00A656EA" w:rsidR="005F1473">
        <w:rPr>
          <w:b/>
          <w:bCs/>
        </w:rPr>
        <w:t>for Nitrogen Compounds and Orthophosphate in Streams of the Pajaro River Basin</w:t>
      </w:r>
      <w:r w:rsidR="005F1473">
        <w:rPr>
          <w:b/>
          <w:bCs/>
        </w:rPr>
        <w:t xml:space="preserve"> (mg/L)</w:t>
      </w:r>
    </w:p>
    <w:tbl>
      <w:tblPr>
        <w:tblW w:w="9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4"/>
        <w:gridCol w:w="2386"/>
        <w:gridCol w:w="2790"/>
        <w:gridCol w:w="2790"/>
      </w:tblGrid>
      <w:tr w:rsidRPr="003A1E48" w:rsidR="00460F9B" w:rsidTr="00C40EA0" w14:paraId="2F3951E9" w14:textId="77777777">
        <w:trPr>
          <w:tblHeader/>
        </w:trPr>
        <w:tc>
          <w:tcPr>
            <w:tcW w:w="1754" w:type="dxa"/>
            <w:shd w:val="clear" w:color="auto" w:fill="D6E3BC"/>
          </w:tcPr>
          <w:p w:rsidRPr="003A1E48" w:rsidR="00460F9B" w:rsidP="006A0DB7" w:rsidRDefault="00460F9B" w14:paraId="5FC36A5D" w14:textId="77777777">
            <w:pPr>
              <w:keepNext/>
              <w:keepLines/>
              <w:autoSpaceDE w:val="0"/>
              <w:autoSpaceDN w:val="0"/>
              <w:spacing w:before="20" w:after="20"/>
              <w:ind w:left="180" w:right="347"/>
              <w:rPr>
                <w:rFonts w:eastAsia="Arial" w:cs="Arial"/>
                <w:b/>
                <w:bCs/>
                <w:sz w:val="22"/>
                <w:szCs w:val="22"/>
                <w:lang w:eastAsia="en-US"/>
              </w:rPr>
            </w:pPr>
            <w:bookmarkStart w:name="_Hlk178339090" w:id="86"/>
            <w:r w:rsidRPr="003A1E48">
              <w:rPr>
                <w:rFonts w:eastAsia="Arial" w:cs="Arial"/>
                <w:b/>
                <w:bCs/>
                <w:sz w:val="22"/>
                <w:szCs w:val="22"/>
                <w:lang w:eastAsia="en-US"/>
              </w:rPr>
              <w:t>Waterbody</w:t>
            </w:r>
          </w:p>
        </w:tc>
        <w:tc>
          <w:tcPr>
            <w:tcW w:w="2386" w:type="dxa"/>
            <w:shd w:val="clear" w:color="auto" w:fill="D6E3BC"/>
          </w:tcPr>
          <w:p w:rsidRPr="003A1E48" w:rsidR="00460F9B" w:rsidP="006A0DB7" w:rsidRDefault="00460F9B" w14:paraId="66D46B3E" w14:textId="6D039462">
            <w:pPr>
              <w:keepNext/>
              <w:keepLines/>
              <w:autoSpaceDE w:val="0"/>
              <w:autoSpaceDN w:val="0"/>
              <w:spacing w:before="20" w:after="20"/>
              <w:ind w:left="180" w:right="347"/>
              <w:rPr>
                <w:rFonts w:eastAsia="Arial" w:cs="Arial"/>
                <w:b/>
                <w:bCs/>
                <w:sz w:val="22"/>
                <w:szCs w:val="22"/>
                <w:lang w:eastAsia="en-US"/>
              </w:rPr>
            </w:pPr>
            <w:r w:rsidRPr="00484E72">
              <w:rPr>
                <w:rFonts w:eastAsia="Arial" w:cs="Arial"/>
                <w:b/>
                <w:bCs/>
                <w:sz w:val="22"/>
                <w:szCs w:val="22"/>
                <w:lang w:eastAsia="en-US"/>
              </w:rPr>
              <w:t xml:space="preserve">Permittee </w:t>
            </w:r>
            <w:r w:rsidRPr="003A1E48">
              <w:rPr>
                <w:rFonts w:eastAsia="Arial" w:cs="Arial"/>
                <w:b/>
                <w:bCs/>
                <w:sz w:val="22"/>
                <w:szCs w:val="22"/>
                <w:lang w:eastAsia="en-US"/>
              </w:rPr>
              <w:t xml:space="preserve">Responsible for Achieving </w:t>
            </w:r>
            <w:r w:rsidR="00F90EEA">
              <w:rPr>
                <w:rFonts w:eastAsia="Arial" w:cs="Arial"/>
                <w:b/>
                <w:bCs/>
                <w:sz w:val="22"/>
                <w:szCs w:val="22"/>
                <w:lang w:eastAsia="en-US"/>
              </w:rPr>
              <w:t>Wasteload</w:t>
            </w:r>
            <w:r w:rsidRPr="003A1E48">
              <w:rPr>
                <w:rFonts w:eastAsia="Arial" w:cs="Arial"/>
                <w:b/>
                <w:bCs/>
                <w:sz w:val="22"/>
                <w:szCs w:val="22"/>
                <w:lang w:eastAsia="en-US"/>
              </w:rPr>
              <w:t xml:space="preserve"> Allocation</w:t>
            </w:r>
          </w:p>
        </w:tc>
        <w:tc>
          <w:tcPr>
            <w:tcW w:w="2790" w:type="dxa"/>
            <w:shd w:val="clear" w:color="auto" w:fill="D6E3BC"/>
          </w:tcPr>
          <w:p w:rsidRPr="00484E72" w:rsidR="00460F9B" w:rsidP="006A0DB7" w:rsidRDefault="00460F9B" w14:paraId="7E231438" w14:textId="77777777">
            <w:pPr>
              <w:keepNext/>
              <w:keepLines/>
              <w:autoSpaceDE w:val="0"/>
              <w:autoSpaceDN w:val="0"/>
              <w:spacing w:before="20" w:after="20"/>
              <w:ind w:left="180" w:right="347"/>
              <w:rPr>
                <w:rFonts w:eastAsia="Arial" w:cs="Arial"/>
                <w:b/>
                <w:bCs/>
                <w:sz w:val="22"/>
                <w:szCs w:val="22"/>
                <w:lang w:eastAsia="en-US"/>
              </w:rPr>
            </w:pPr>
            <w:r w:rsidRPr="00484E72">
              <w:rPr>
                <w:rFonts w:eastAsia="Arial" w:cs="Arial"/>
                <w:b/>
                <w:bCs/>
                <w:sz w:val="22"/>
                <w:szCs w:val="22"/>
                <w:lang w:eastAsia="en-US"/>
              </w:rPr>
              <w:t>October 6, 2026</w:t>
            </w:r>
          </w:p>
          <w:p w:rsidRPr="003A1E48" w:rsidR="00460F9B" w:rsidP="006A0DB7" w:rsidRDefault="00460F9B" w14:paraId="22CB9B5C" w14:textId="77777777">
            <w:pPr>
              <w:keepNext/>
              <w:keepLines/>
              <w:autoSpaceDE w:val="0"/>
              <w:autoSpaceDN w:val="0"/>
              <w:spacing w:before="20" w:after="20"/>
              <w:ind w:left="180" w:right="347"/>
              <w:rPr>
                <w:rFonts w:eastAsia="Arial" w:cs="Arial"/>
                <w:b/>
                <w:bCs/>
                <w:sz w:val="22"/>
                <w:szCs w:val="22"/>
                <w:lang w:eastAsia="en-US"/>
              </w:rPr>
            </w:pPr>
            <w:r w:rsidRPr="003A1E48">
              <w:rPr>
                <w:rFonts w:eastAsia="Arial" w:cs="Arial"/>
                <w:b/>
                <w:bCs/>
                <w:sz w:val="22"/>
                <w:szCs w:val="22"/>
                <w:lang w:eastAsia="en-US"/>
              </w:rPr>
              <w:t xml:space="preserve">First Interim </w:t>
            </w:r>
            <w:r w:rsidRPr="00484E72">
              <w:rPr>
                <w:rFonts w:eastAsia="Arial" w:cs="Arial"/>
                <w:b/>
                <w:bCs/>
                <w:sz w:val="22"/>
                <w:szCs w:val="22"/>
                <w:lang w:eastAsia="en-US"/>
              </w:rPr>
              <w:t xml:space="preserve">Deadline </w:t>
            </w:r>
            <w:r w:rsidRPr="009515FF">
              <w:rPr>
                <w:rFonts w:eastAsia="Arial" w:cs="Arial"/>
                <w:sz w:val="22"/>
                <w:szCs w:val="22"/>
                <w:lang w:eastAsia="en-US"/>
              </w:rPr>
              <w:t>(</w:t>
            </w:r>
            <w:r w:rsidRPr="003A1E48">
              <w:rPr>
                <w:rFonts w:eastAsia="Arial" w:cs="Arial"/>
                <w:sz w:val="22"/>
                <w:szCs w:val="22"/>
                <w:lang w:eastAsia="en-US"/>
              </w:rPr>
              <w:t>10 years after effective date of the TMDL</w:t>
            </w:r>
            <w:r w:rsidRPr="009515FF">
              <w:rPr>
                <w:rFonts w:eastAsia="Arial" w:cs="Arial"/>
                <w:sz w:val="22"/>
                <w:szCs w:val="22"/>
                <w:lang w:eastAsia="en-US"/>
              </w:rPr>
              <w:t>)</w:t>
            </w:r>
          </w:p>
        </w:tc>
        <w:tc>
          <w:tcPr>
            <w:tcW w:w="2790" w:type="dxa"/>
            <w:shd w:val="clear" w:color="auto" w:fill="D6E3BC"/>
          </w:tcPr>
          <w:p w:rsidRPr="003A1E48" w:rsidR="00460F9B" w:rsidP="006A0DB7" w:rsidRDefault="00460F9B" w14:paraId="7813EB5D" w14:textId="77777777">
            <w:pPr>
              <w:keepNext/>
              <w:keepLines/>
              <w:autoSpaceDE w:val="0"/>
              <w:autoSpaceDN w:val="0"/>
              <w:spacing w:before="20" w:after="20"/>
              <w:ind w:left="180" w:right="347"/>
              <w:rPr>
                <w:rFonts w:eastAsia="Arial" w:cs="Arial"/>
                <w:b/>
                <w:bCs/>
                <w:sz w:val="22"/>
                <w:szCs w:val="22"/>
                <w:lang w:eastAsia="en-US"/>
              </w:rPr>
            </w:pPr>
            <w:r w:rsidRPr="00484E72">
              <w:rPr>
                <w:rFonts w:eastAsia="Arial" w:cs="Arial"/>
                <w:b/>
                <w:bCs/>
                <w:sz w:val="22"/>
                <w:szCs w:val="22"/>
                <w:lang w:eastAsia="en-US"/>
              </w:rPr>
              <w:t>October 6, 2031</w:t>
            </w:r>
            <w:r w:rsidRPr="00484E72">
              <w:rPr>
                <w:rFonts w:eastAsia="Arial" w:cs="Arial"/>
                <w:b/>
                <w:bCs/>
                <w:sz w:val="22"/>
                <w:szCs w:val="22"/>
                <w:lang w:eastAsia="en-US"/>
              </w:rPr>
              <w:br/>
            </w:r>
            <w:r w:rsidRPr="003A1E48">
              <w:rPr>
                <w:rFonts w:eastAsia="Arial" w:cs="Arial"/>
                <w:b/>
                <w:bCs/>
                <w:sz w:val="22"/>
                <w:szCs w:val="22"/>
                <w:lang w:eastAsia="en-US"/>
              </w:rPr>
              <w:t xml:space="preserve">Second Interim </w:t>
            </w:r>
            <w:r w:rsidRPr="00484E72">
              <w:rPr>
                <w:rFonts w:eastAsia="Arial" w:cs="Arial"/>
                <w:b/>
                <w:bCs/>
                <w:sz w:val="22"/>
                <w:szCs w:val="22"/>
                <w:lang w:eastAsia="en-US"/>
              </w:rPr>
              <w:t xml:space="preserve">Deadline </w:t>
            </w:r>
            <w:r w:rsidRPr="009515FF">
              <w:rPr>
                <w:rFonts w:eastAsia="Arial" w:cs="Arial"/>
                <w:sz w:val="22"/>
                <w:szCs w:val="22"/>
                <w:lang w:eastAsia="en-US"/>
              </w:rPr>
              <w:t>(</w:t>
            </w:r>
            <w:r w:rsidRPr="003A1E48">
              <w:rPr>
                <w:rFonts w:eastAsia="Arial" w:cs="Arial"/>
                <w:sz w:val="22"/>
                <w:szCs w:val="22"/>
                <w:lang w:eastAsia="en-US"/>
              </w:rPr>
              <w:t>15 years after effective date of the TMDL</w:t>
            </w:r>
            <w:r w:rsidRPr="009515FF">
              <w:rPr>
                <w:rFonts w:eastAsia="Arial" w:cs="Arial"/>
                <w:sz w:val="22"/>
                <w:szCs w:val="22"/>
                <w:lang w:eastAsia="en-US"/>
              </w:rPr>
              <w:t>)</w:t>
            </w:r>
          </w:p>
        </w:tc>
      </w:tr>
      <w:tr w:rsidRPr="003A1E48" w:rsidR="00460F9B" w:rsidTr="006A0DB7" w14:paraId="62D51059" w14:textId="77777777">
        <w:trPr>
          <w:cantSplit/>
        </w:trPr>
        <w:tc>
          <w:tcPr>
            <w:tcW w:w="1754" w:type="dxa"/>
          </w:tcPr>
          <w:p w:rsidRPr="003A1E48" w:rsidR="00460F9B" w:rsidP="006A0DB7" w:rsidRDefault="00460F9B" w14:paraId="45082CB0" w14:textId="448FAA59">
            <w:pPr>
              <w:keepNext/>
              <w:keepLines/>
              <w:autoSpaceDE w:val="0"/>
              <w:autoSpaceDN w:val="0"/>
              <w:spacing w:before="20" w:after="20"/>
              <w:ind w:left="109" w:right="100"/>
              <w:rPr>
                <w:rFonts w:eastAsia="Arial" w:cs="Arial"/>
                <w:sz w:val="22"/>
                <w:szCs w:val="22"/>
                <w:lang w:eastAsia="en-US"/>
              </w:rPr>
            </w:pPr>
            <w:r w:rsidRPr="003A1E48">
              <w:rPr>
                <w:rFonts w:eastAsia="Arial" w:cs="Arial"/>
                <w:sz w:val="22"/>
                <w:szCs w:val="22"/>
                <w:lang w:eastAsia="en-US"/>
              </w:rPr>
              <w:t>All</w:t>
            </w:r>
            <w:r w:rsidRPr="003A1E48">
              <w:rPr>
                <w:rFonts w:eastAsia="Arial" w:cs="Arial"/>
                <w:spacing w:val="-13"/>
                <w:sz w:val="22"/>
                <w:szCs w:val="22"/>
                <w:lang w:eastAsia="en-US"/>
              </w:rPr>
              <w:t xml:space="preserve"> </w:t>
            </w:r>
            <w:r w:rsidRPr="003A1E48">
              <w:rPr>
                <w:rFonts w:eastAsia="Arial" w:cs="Arial"/>
                <w:sz w:val="22"/>
                <w:szCs w:val="22"/>
                <w:lang w:eastAsia="en-US"/>
              </w:rPr>
              <w:t xml:space="preserve">waterbodies identified in Final </w:t>
            </w:r>
            <w:r w:rsidR="00F90EEA">
              <w:rPr>
                <w:rFonts w:eastAsia="Arial" w:cs="Arial"/>
                <w:sz w:val="22"/>
                <w:szCs w:val="22"/>
                <w:lang w:eastAsia="en-US"/>
              </w:rPr>
              <w:t>Wasteload</w:t>
            </w:r>
            <w:r w:rsidRPr="003A1E48">
              <w:rPr>
                <w:rFonts w:eastAsia="Arial" w:cs="Arial"/>
                <w:spacing w:val="-4"/>
                <w:sz w:val="22"/>
                <w:szCs w:val="22"/>
                <w:lang w:eastAsia="en-US"/>
              </w:rPr>
              <w:t xml:space="preserve"> </w:t>
            </w:r>
            <w:r w:rsidRPr="003A1E48">
              <w:rPr>
                <w:rFonts w:eastAsia="Arial" w:cs="Arial"/>
                <w:spacing w:val="-2"/>
                <w:sz w:val="22"/>
                <w:szCs w:val="22"/>
                <w:lang w:eastAsia="en-US"/>
              </w:rPr>
              <w:t>Allocations Table</w:t>
            </w:r>
          </w:p>
        </w:tc>
        <w:tc>
          <w:tcPr>
            <w:tcW w:w="2386" w:type="dxa"/>
          </w:tcPr>
          <w:p w:rsidRPr="003A1E48" w:rsidR="00460F9B" w:rsidP="006A0DB7" w:rsidRDefault="00460F9B" w14:paraId="65A73BFE" w14:textId="77777777">
            <w:pPr>
              <w:keepNext/>
              <w:keepLines/>
              <w:autoSpaceDE w:val="0"/>
              <w:autoSpaceDN w:val="0"/>
              <w:spacing w:before="20" w:after="20"/>
              <w:ind w:left="180" w:right="347"/>
              <w:rPr>
                <w:rFonts w:eastAsia="Arial" w:cs="Arial"/>
                <w:sz w:val="22"/>
                <w:szCs w:val="22"/>
                <w:lang w:eastAsia="en-US"/>
              </w:rPr>
            </w:pPr>
            <w:r w:rsidRPr="003A1E48">
              <w:rPr>
                <w:rFonts w:eastAsia="Arial" w:cs="Arial"/>
                <w:sz w:val="22"/>
                <w:szCs w:val="22"/>
                <w:lang w:eastAsia="en-US"/>
              </w:rPr>
              <w:t>City</w:t>
            </w:r>
            <w:r w:rsidRPr="003A1E48">
              <w:rPr>
                <w:rFonts w:eastAsia="Arial" w:cs="Arial"/>
                <w:spacing w:val="-6"/>
                <w:sz w:val="22"/>
                <w:szCs w:val="22"/>
                <w:lang w:eastAsia="en-US"/>
              </w:rPr>
              <w:t xml:space="preserve"> </w:t>
            </w:r>
            <w:r w:rsidRPr="003A1E48">
              <w:rPr>
                <w:rFonts w:eastAsia="Arial" w:cs="Arial"/>
                <w:sz w:val="22"/>
                <w:szCs w:val="22"/>
                <w:lang w:eastAsia="en-US"/>
              </w:rPr>
              <w:t>of</w:t>
            </w:r>
            <w:r w:rsidRPr="003A1E48">
              <w:rPr>
                <w:rFonts w:eastAsia="Arial" w:cs="Arial"/>
                <w:spacing w:val="-2"/>
                <w:sz w:val="22"/>
                <w:szCs w:val="22"/>
                <w:lang w:eastAsia="en-US"/>
              </w:rPr>
              <w:t xml:space="preserve"> Gilroy</w:t>
            </w:r>
            <w:r>
              <w:rPr>
                <w:rFonts w:eastAsia="Arial" w:cs="Arial"/>
                <w:spacing w:val="-2"/>
                <w:sz w:val="22"/>
                <w:szCs w:val="22"/>
                <w:lang w:eastAsia="en-US"/>
              </w:rPr>
              <w:t>,</w:t>
            </w:r>
          </w:p>
          <w:p w:rsidRPr="003A1E48" w:rsidR="00460F9B" w:rsidP="006A0DB7" w:rsidRDefault="00460F9B" w14:paraId="5BB57A3B" w14:textId="5700DA4A">
            <w:pPr>
              <w:keepNext/>
              <w:keepLines/>
              <w:autoSpaceDE w:val="0"/>
              <w:autoSpaceDN w:val="0"/>
              <w:spacing w:before="20" w:after="20"/>
              <w:ind w:left="180" w:right="347"/>
              <w:rPr>
                <w:rFonts w:eastAsia="Arial" w:cs="Arial"/>
                <w:sz w:val="22"/>
                <w:szCs w:val="22"/>
                <w:lang w:eastAsia="en-US"/>
              </w:rPr>
            </w:pPr>
            <w:r w:rsidRPr="003A1E48">
              <w:rPr>
                <w:rFonts w:eastAsia="Arial" w:cs="Arial"/>
                <w:sz w:val="22"/>
                <w:szCs w:val="22"/>
                <w:lang w:eastAsia="en-US"/>
              </w:rPr>
              <w:t>City</w:t>
            </w:r>
            <w:r w:rsidRPr="003A1E48">
              <w:rPr>
                <w:rFonts w:eastAsia="Arial" w:cs="Arial"/>
                <w:spacing w:val="-11"/>
                <w:sz w:val="22"/>
                <w:szCs w:val="22"/>
                <w:lang w:eastAsia="en-US"/>
              </w:rPr>
              <w:t xml:space="preserve"> </w:t>
            </w:r>
            <w:r w:rsidRPr="003A1E48">
              <w:rPr>
                <w:rFonts w:eastAsia="Arial" w:cs="Arial"/>
                <w:sz w:val="22"/>
                <w:szCs w:val="22"/>
                <w:lang w:eastAsia="en-US"/>
              </w:rPr>
              <w:t>of</w:t>
            </w:r>
            <w:r w:rsidRPr="003A1E48">
              <w:rPr>
                <w:rFonts w:eastAsia="Arial" w:cs="Arial"/>
                <w:spacing w:val="-8"/>
                <w:sz w:val="22"/>
                <w:szCs w:val="22"/>
                <w:lang w:eastAsia="en-US"/>
              </w:rPr>
              <w:t xml:space="preserve"> </w:t>
            </w:r>
            <w:r w:rsidRPr="003A1E48">
              <w:rPr>
                <w:rFonts w:eastAsia="Arial" w:cs="Arial"/>
                <w:sz w:val="22"/>
                <w:szCs w:val="22"/>
                <w:lang w:eastAsia="en-US"/>
              </w:rPr>
              <w:t>Morgan</w:t>
            </w:r>
            <w:r w:rsidRPr="003A1E48">
              <w:rPr>
                <w:rFonts w:eastAsia="Arial" w:cs="Arial"/>
                <w:spacing w:val="-7"/>
                <w:sz w:val="22"/>
                <w:szCs w:val="22"/>
                <w:lang w:eastAsia="en-US"/>
              </w:rPr>
              <w:t xml:space="preserve"> </w:t>
            </w:r>
            <w:r w:rsidRPr="003A1E48">
              <w:rPr>
                <w:rFonts w:eastAsia="Arial" w:cs="Arial"/>
                <w:sz w:val="22"/>
                <w:szCs w:val="22"/>
                <w:lang w:eastAsia="en-US"/>
              </w:rPr>
              <w:t>Hill</w:t>
            </w:r>
            <w:r w:rsidRPr="003A1E48">
              <w:rPr>
                <w:rFonts w:eastAsia="Arial" w:cs="Arial"/>
                <w:spacing w:val="-8"/>
                <w:sz w:val="22"/>
                <w:szCs w:val="22"/>
                <w:lang w:eastAsia="en-US"/>
              </w:rPr>
              <w:t xml:space="preserve"> </w:t>
            </w:r>
            <w:r w:rsidRPr="003A1E48">
              <w:rPr>
                <w:rFonts w:eastAsia="Arial" w:cs="Arial"/>
                <w:sz w:val="22"/>
                <w:szCs w:val="22"/>
                <w:lang w:eastAsia="en-US"/>
              </w:rPr>
              <w:t>Urban</w:t>
            </w:r>
            <w:r w:rsidRPr="003A1E48">
              <w:rPr>
                <w:rFonts w:eastAsia="Arial" w:cs="Arial"/>
                <w:spacing w:val="-9"/>
                <w:sz w:val="22"/>
                <w:szCs w:val="22"/>
                <w:lang w:eastAsia="en-US"/>
              </w:rPr>
              <w:t xml:space="preserve"> </w:t>
            </w:r>
            <w:r w:rsidRPr="003A1E48">
              <w:rPr>
                <w:rFonts w:eastAsia="Arial" w:cs="Arial"/>
                <w:sz w:val="22"/>
                <w:szCs w:val="22"/>
                <w:lang w:eastAsia="en-US"/>
              </w:rPr>
              <w:t>areas</w:t>
            </w:r>
            <w:r>
              <w:rPr>
                <w:rFonts w:eastAsia="Arial" w:cs="Arial"/>
                <w:sz w:val="22"/>
                <w:szCs w:val="22"/>
                <w:lang w:eastAsia="en-US"/>
              </w:rPr>
              <w:t>,</w:t>
            </w:r>
            <w:r w:rsidRPr="003A1E48">
              <w:rPr>
                <w:rFonts w:eastAsia="Arial" w:cs="Arial"/>
                <w:sz w:val="22"/>
                <w:szCs w:val="22"/>
                <w:lang w:eastAsia="en-US"/>
              </w:rPr>
              <w:t xml:space="preserve"> </w:t>
            </w:r>
          </w:p>
          <w:p w:rsidRPr="003A1E48" w:rsidR="00460F9B" w:rsidP="006A0DB7" w:rsidRDefault="00460F9B" w14:paraId="5C1F060B" w14:textId="77777777">
            <w:pPr>
              <w:keepNext/>
              <w:keepLines/>
              <w:autoSpaceDE w:val="0"/>
              <w:autoSpaceDN w:val="0"/>
              <w:spacing w:before="20" w:after="20"/>
              <w:ind w:left="180"/>
              <w:rPr>
                <w:rFonts w:eastAsia="Arial" w:cs="Arial"/>
                <w:sz w:val="22"/>
                <w:szCs w:val="22"/>
                <w:lang w:eastAsia="en-US"/>
              </w:rPr>
            </w:pPr>
            <w:r w:rsidRPr="003A1E48">
              <w:rPr>
                <w:rFonts w:eastAsia="Arial" w:cs="Arial"/>
                <w:sz w:val="22"/>
                <w:szCs w:val="22"/>
                <w:lang w:eastAsia="en-US"/>
              </w:rPr>
              <w:t>City</w:t>
            </w:r>
            <w:r w:rsidRPr="003A1E48">
              <w:rPr>
                <w:rFonts w:eastAsia="Arial" w:cs="Arial"/>
                <w:spacing w:val="-6"/>
                <w:sz w:val="22"/>
                <w:szCs w:val="22"/>
                <w:lang w:eastAsia="en-US"/>
              </w:rPr>
              <w:t xml:space="preserve"> </w:t>
            </w:r>
            <w:r w:rsidRPr="003A1E48">
              <w:rPr>
                <w:rFonts w:eastAsia="Arial" w:cs="Arial"/>
                <w:sz w:val="22"/>
                <w:szCs w:val="22"/>
                <w:lang w:eastAsia="en-US"/>
              </w:rPr>
              <w:t>of</w:t>
            </w:r>
            <w:r w:rsidRPr="003A1E48">
              <w:rPr>
                <w:rFonts w:eastAsia="Arial" w:cs="Arial"/>
                <w:spacing w:val="-2"/>
                <w:sz w:val="22"/>
                <w:szCs w:val="22"/>
                <w:lang w:eastAsia="en-US"/>
              </w:rPr>
              <w:t xml:space="preserve"> Watsonville</w:t>
            </w:r>
            <w:r>
              <w:rPr>
                <w:rFonts w:eastAsia="Arial" w:cs="Arial"/>
                <w:spacing w:val="-2"/>
                <w:sz w:val="22"/>
                <w:szCs w:val="22"/>
                <w:lang w:eastAsia="en-US"/>
              </w:rPr>
              <w:t>,</w:t>
            </w:r>
          </w:p>
          <w:p w:rsidRPr="003A1E48" w:rsidR="00460F9B" w:rsidP="006A0DB7" w:rsidRDefault="00460F9B" w14:paraId="2D37C151" w14:textId="77777777">
            <w:pPr>
              <w:keepNext/>
              <w:keepLines/>
              <w:autoSpaceDE w:val="0"/>
              <w:autoSpaceDN w:val="0"/>
              <w:spacing w:before="20" w:after="20"/>
              <w:ind w:left="180" w:right="430"/>
              <w:rPr>
                <w:rFonts w:eastAsia="Arial" w:cs="Arial"/>
                <w:sz w:val="22"/>
                <w:szCs w:val="22"/>
                <w:lang w:eastAsia="en-US"/>
              </w:rPr>
            </w:pPr>
            <w:r w:rsidRPr="003A1E48">
              <w:rPr>
                <w:rFonts w:eastAsia="Arial" w:cs="Arial"/>
                <w:sz w:val="22"/>
                <w:szCs w:val="22"/>
                <w:lang w:eastAsia="en-US"/>
              </w:rPr>
              <w:t>County of Santa Cru</w:t>
            </w:r>
            <w:r>
              <w:rPr>
                <w:rFonts w:eastAsia="Arial" w:cs="Arial"/>
                <w:sz w:val="22"/>
                <w:szCs w:val="22"/>
                <w:lang w:eastAsia="en-US"/>
              </w:rPr>
              <w:t>z, and</w:t>
            </w:r>
            <w:r w:rsidRPr="003A1E48">
              <w:rPr>
                <w:rFonts w:eastAsia="Arial" w:cs="Arial"/>
                <w:sz w:val="22"/>
                <w:szCs w:val="22"/>
                <w:lang w:eastAsia="en-US"/>
              </w:rPr>
              <w:t xml:space="preserve"> </w:t>
            </w:r>
          </w:p>
          <w:p w:rsidRPr="003A1E48" w:rsidR="00460F9B" w:rsidP="006A0DB7" w:rsidRDefault="00460F9B" w14:paraId="4F001ACA" w14:textId="77777777">
            <w:pPr>
              <w:keepNext/>
              <w:keepLines/>
              <w:autoSpaceDE w:val="0"/>
              <w:autoSpaceDN w:val="0"/>
              <w:spacing w:before="20" w:after="20"/>
              <w:ind w:left="180" w:right="430"/>
              <w:rPr>
                <w:rFonts w:eastAsia="Arial" w:cs="Arial"/>
                <w:sz w:val="22"/>
                <w:szCs w:val="22"/>
                <w:lang w:eastAsia="en-US"/>
              </w:rPr>
            </w:pPr>
            <w:r w:rsidRPr="003A1E48">
              <w:rPr>
                <w:rFonts w:eastAsia="Arial" w:cs="Arial"/>
                <w:sz w:val="22"/>
                <w:szCs w:val="22"/>
                <w:lang w:eastAsia="en-US"/>
              </w:rPr>
              <w:t xml:space="preserve">County of Santa Clara </w:t>
            </w:r>
          </w:p>
        </w:tc>
        <w:tc>
          <w:tcPr>
            <w:tcW w:w="2790" w:type="dxa"/>
          </w:tcPr>
          <w:p w:rsidRPr="003A1E48" w:rsidR="00460F9B" w:rsidP="006A0DB7" w:rsidRDefault="00460F9B" w14:paraId="52109378" w14:textId="77777777">
            <w:pPr>
              <w:keepNext/>
              <w:keepLines/>
              <w:autoSpaceDE w:val="0"/>
              <w:autoSpaceDN w:val="0"/>
              <w:spacing w:before="20" w:after="20"/>
              <w:ind w:left="160" w:right="149" w:hanging="1"/>
              <w:rPr>
                <w:rFonts w:eastAsia="Arial" w:cs="Arial"/>
                <w:b/>
                <w:sz w:val="22"/>
                <w:szCs w:val="22"/>
                <w:lang w:eastAsia="en-US"/>
              </w:rPr>
            </w:pPr>
            <w:r w:rsidRPr="003A1E48">
              <w:rPr>
                <w:rFonts w:eastAsia="Arial" w:cs="Arial"/>
                <w:sz w:val="22"/>
                <w:szCs w:val="22"/>
                <w:lang w:eastAsia="en-US"/>
              </w:rPr>
              <w:t xml:space="preserve">Achieve the Nitrate-N (nitrate as nitrogen) concentration of </w:t>
            </w:r>
            <w:r w:rsidRPr="003A1E48">
              <w:rPr>
                <w:rFonts w:eastAsia="Arial" w:cs="Arial"/>
                <w:sz w:val="22"/>
                <w:szCs w:val="22"/>
                <w:u w:val="single"/>
                <w:lang w:eastAsia="en-US"/>
              </w:rPr>
              <w:t>&lt;</w:t>
            </w:r>
            <w:r>
              <w:rPr>
                <w:rFonts w:eastAsia="Arial" w:cs="Arial"/>
                <w:sz w:val="22"/>
                <w:szCs w:val="22"/>
                <w:lang w:eastAsia="en-US"/>
              </w:rPr>
              <w:t> </w:t>
            </w:r>
            <w:r w:rsidRPr="003A1E48">
              <w:rPr>
                <w:rFonts w:eastAsia="Arial" w:cs="Arial"/>
                <w:sz w:val="22"/>
                <w:szCs w:val="22"/>
                <w:lang w:eastAsia="en-US"/>
              </w:rPr>
              <w:t xml:space="preserve">10 mg/L in receiving waters (the </w:t>
            </w:r>
            <w:r w:rsidRPr="003A1E48">
              <w:rPr>
                <w:rFonts w:eastAsia="Arial" w:cs="Arial"/>
                <w:bCs/>
                <w:sz w:val="22"/>
                <w:szCs w:val="22"/>
                <w:lang w:eastAsia="en-US"/>
              </w:rPr>
              <w:t xml:space="preserve">municipal drinking water standard), and the </w:t>
            </w:r>
            <w:r w:rsidRPr="003A1E48">
              <w:rPr>
                <w:rFonts w:eastAsia="Arial" w:cs="Arial"/>
                <w:bCs/>
                <w:sz w:val="22"/>
                <w:szCs w:val="22"/>
                <w:lang w:eastAsia="en-US"/>
              </w:rPr>
              <w:br/>
            </w:r>
            <w:r w:rsidRPr="003A1E48">
              <w:rPr>
                <w:rFonts w:eastAsia="Arial" w:cs="Arial"/>
                <w:sz w:val="22"/>
                <w:szCs w:val="22"/>
                <w:lang w:eastAsia="en-US"/>
              </w:rPr>
              <w:t xml:space="preserve">Un-ionized ammonia (as nitrogen) concentration of </w:t>
            </w:r>
            <w:r w:rsidRPr="003A1E48">
              <w:rPr>
                <w:rFonts w:eastAsia="Arial" w:cs="Arial"/>
                <w:sz w:val="22"/>
                <w:szCs w:val="22"/>
                <w:u w:val="single"/>
                <w:lang w:eastAsia="en-US"/>
              </w:rPr>
              <w:t>&lt;</w:t>
            </w:r>
            <w:r w:rsidRPr="003A1E48">
              <w:rPr>
                <w:rFonts w:eastAsia="Arial" w:cs="Arial"/>
                <w:sz w:val="22"/>
                <w:szCs w:val="22"/>
                <w:lang w:eastAsia="en-US"/>
              </w:rPr>
              <w:t xml:space="preserve">0.025 mg/L (the Basin Plan’s un-ionized ammonia numeric water quality objective) </w:t>
            </w:r>
          </w:p>
        </w:tc>
        <w:tc>
          <w:tcPr>
            <w:tcW w:w="2790" w:type="dxa"/>
          </w:tcPr>
          <w:p w:rsidRPr="003A1E48" w:rsidR="00460F9B" w:rsidP="006A0DB7" w:rsidRDefault="00460F9B" w14:paraId="60F6457F" w14:textId="77777777">
            <w:pPr>
              <w:keepNext/>
              <w:keepLines/>
              <w:autoSpaceDE w:val="0"/>
              <w:autoSpaceDN w:val="0"/>
              <w:spacing w:before="20" w:after="20"/>
              <w:ind w:left="126" w:right="119"/>
              <w:rPr>
                <w:rFonts w:eastAsia="Arial" w:cs="Arial"/>
                <w:b/>
                <w:sz w:val="22"/>
                <w:szCs w:val="22"/>
                <w:lang w:eastAsia="en-US"/>
              </w:rPr>
            </w:pPr>
            <w:r w:rsidRPr="003A1E48">
              <w:rPr>
                <w:rFonts w:eastAsia="Arial" w:cs="Arial"/>
                <w:sz w:val="22"/>
                <w:szCs w:val="22"/>
                <w:lang w:eastAsia="en-US"/>
              </w:rPr>
              <w:t>Achieve the</w:t>
            </w:r>
            <w:r w:rsidRPr="003A1E48">
              <w:rPr>
                <w:rFonts w:eastAsia="Arial" w:cs="Arial"/>
                <w:spacing w:val="-3"/>
                <w:sz w:val="22"/>
                <w:szCs w:val="22"/>
                <w:lang w:eastAsia="en-US"/>
              </w:rPr>
              <w:t xml:space="preserve"> </w:t>
            </w:r>
            <w:r w:rsidRPr="003A1E48">
              <w:rPr>
                <w:rFonts w:eastAsia="Arial" w:cs="Arial"/>
                <w:bCs/>
                <w:sz w:val="22"/>
                <w:szCs w:val="22"/>
                <w:lang w:eastAsia="en-US"/>
              </w:rPr>
              <w:t>Wet</w:t>
            </w:r>
            <w:r w:rsidRPr="003A1E48">
              <w:rPr>
                <w:rFonts w:eastAsia="Arial" w:cs="Arial"/>
                <w:bCs/>
                <w:spacing w:val="-4"/>
                <w:sz w:val="22"/>
                <w:szCs w:val="22"/>
                <w:lang w:eastAsia="en-US"/>
              </w:rPr>
              <w:t xml:space="preserve"> </w:t>
            </w:r>
            <w:r w:rsidRPr="003A1E48">
              <w:rPr>
                <w:rFonts w:eastAsia="Arial" w:cs="Arial"/>
                <w:bCs/>
                <w:sz w:val="22"/>
                <w:szCs w:val="22"/>
                <w:lang w:eastAsia="en-US"/>
              </w:rPr>
              <w:t>Season</w:t>
            </w:r>
            <w:r w:rsidRPr="003A1E48">
              <w:rPr>
                <w:rFonts w:eastAsia="Arial" w:cs="Arial"/>
                <w:b/>
                <w:spacing w:val="-2"/>
                <w:sz w:val="22"/>
                <w:szCs w:val="22"/>
                <w:lang w:eastAsia="en-US"/>
              </w:rPr>
              <w:t xml:space="preserve"> </w:t>
            </w:r>
            <w:r w:rsidRPr="003A1E48">
              <w:rPr>
                <w:rFonts w:eastAsia="Arial" w:cs="Arial"/>
                <w:spacing w:val="-2"/>
                <w:sz w:val="22"/>
                <w:szCs w:val="22"/>
                <w:lang w:eastAsia="en-US"/>
              </w:rPr>
              <w:t xml:space="preserve">(Nov. </w:t>
            </w:r>
            <w:r w:rsidRPr="003A1E48">
              <w:rPr>
                <w:rFonts w:eastAsia="Arial" w:cs="Arial"/>
                <w:sz w:val="22"/>
                <w:szCs w:val="22"/>
                <w:lang w:eastAsia="en-US"/>
              </w:rPr>
              <w:t>1 to Apr. 30) wasteload</w:t>
            </w:r>
            <w:r w:rsidRPr="003A1E48">
              <w:rPr>
                <w:rFonts w:eastAsia="Arial" w:cs="Arial"/>
                <w:spacing w:val="-14"/>
                <w:sz w:val="22"/>
                <w:szCs w:val="22"/>
                <w:lang w:eastAsia="en-US"/>
              </w:rPr>
              <w:t xml:space="preserve"> </w:t>
            </w:r>
            <w:r w:rsidRPr="003A1E48">
              <w:rPr>
                <w:rFonts w:eastAsia="Arial" w:cs="Arial"/>
                <w:sz w:val="22"/>
                <w:szCs w:val="22"/>
                <w:lang w:eastAsia="en-US"/>
              </w:rPr>
              <w:t>allocations for Nitrate-N and Orthophosphate-P identified in the Final Wasteload Allocation Table, above, for the applicable pollutant/waterbody combination.</w:t>
            </w:r>
          </w:p>
        </w:tc>
      </w:tr>
    </w:tbl>
    <w:bookmarkEnd w:id="86"/>
    <w:p w:rsidR="00C40EA0" w:rsidP="00C40EA0" w:rsidRDefault="00C40EA0" w14:paraId="50588960" w14:textId="38FEF450">
      <w:pPr>
        <w:ind w:left="1260"/>
      </w:pPr>
      <w:r w:rsidRPr="00A53808">
        <w:rPr>
          <w:rFonts w:cs="Arial"/>
          <w:b/>
          <w:bCs/>
        </w:rPr>
        <w:t>Final Deadline for Compliance</w:t>
      </w:r>
      <w:r w:rsidRPr="00A53808">
        <w:rPr>
          <w:rFonts w:cs="Arial"/>
        </w:rPr>
        <w:t>:</w:t>
      </w:r>
      <w:r w:rsidR="005A0069">
        <w:rPr>
          <w:rFonts w:cs="Arial"/>
        </w:rPr>
        <w:t xml:space="preserve"> </w:t>
      </w:r>
      <w:r w:rsidRPr="00672BC6">
        <w:t>The</w:t>
      </w:r>
      <w:r>
        <w:t xml:space="preserve"> deadline for compliance with the</w:t>
      </w:r>
      <w:r w:rsidRPr="00672BC6">
        <w:t xml:space="preserve"> final allocations </w:t>
      </w:r>
      <w:r>
        <w:t xml:space="preserve">is </w:t>
      </w:r>
      <w:r>
        <w:rPr>
          <w:rFonts w:cs="Arial"/>
        </w:rPr>
        <w:t>October 6, 2041, which is</w:t>
      </w:r>
      <w:r>
        <w:t xml:space="preserve"> </w:t>
      </w:r>
      <w:r w:rsidRPr="00672BC6">
        <w:t>25-years after the TMDL effective date.</w:t>
      </w:r>
    </w:p>
    <w:p w:rsidRPr="005C069C" w:rsidR="0069676D" w:rsidP="003B7848" w:rsidRDefault="00836361" w14:paraId="2A39D86C" w14:textId="578D81FD">
      <w:pPr>
        <w:pStyle w:val="Heading3"/>
        <w:tabs>
          <w:tab w:val="clear" w:pos="720"/>
          <w:tab w:val="left" w:pos="1260"/>
        </w:tabs>
        <w:ind w:left="1260" w:hanging="1260"/>
        <w:rPr>
          <w:i/>
          <w:iCs/>
        </w:rPr>
      </w:pPr>
      <w:r>
        <w:rPr>
          <w:i/>
          <w:iCs/>
        </w:rPr>
        <w:t>A13</w:t>
      </w:r>
      <w:r w:rsidRPr="005C069C" w:rsidR="009627F0">
        <w:rPr>
          <w:i/>
          <w:iCs/>
        </w:rPr>
        <w:t>.3.19</w:t>
      </w:r>
      <w:r w:rsidRPr="005C069C" w:rsidR="009627F0">
        <w:rPr>
          <w:i/>
          <w:iCs/>
        </w:rPr>
        <w:tab/>
      </w:r>
      <w:r w:rsidRPr="005C069C" w:rsidR="00CB1ED8">
        <w:rPr>
          <w:i/>
          <w:iCs/>
        </w:rPr>
        <w:t>TMDL for Sediment Toxicity and Pyrethroid Pesticides in Sediment in the Lower Salinas River Watershed</w:t>
      </w:r>
    </w:p>
    <w:p w:rsidR="005F505B" w:rsidP="00271339" w:rsidRDefault="0014165E" w14:paraId="436F19D2" w14:textId="29A6BD74">
      <w:pPr>
        <w:ind w:left="1260"/>
      </w:pPr>
      <w:r w:rsidRPr="00A53808">
        <w:rPr>
          <w:rFonts w:cs="Arial"/>
          <w:b/>
          <w:bCs/>
        </w:rPr>
        <w:t>Description:</w:t>
      </w:r>
      <w:r w:rsidR="005A0069">
        <w:rPr>
          <w:rFonts w:cs="Arial"/>
        </w:rPr>
        <w:t xml:space="preserve"> </w:t>
      </w:r>
      <w:r w:rsidRPr="009D10CE" w:rsidR="00014955">
        <w:t xml:space="preserve">The </w:t>
      </w:r>
      <w:r w:rsidR="00766ACF">
        <w:t>USEPA</w:t>
      </w:r>
      <w:r w:rsidR="00C56C92">
        <w:t xml:space="preserve"> </w:t>
      </w:r>
      <w:r w:rsidR="00014955">
        <w:t xml:space="preserve">approved the TMDL </w:t>
      </w:r>
      <w:r w:rsidRPr="009D10CE" w:rsidR="00014955">
        <w:t>on August 9, 2018</w:t>
      </w:r>
      <w:r w:rsidR="005C069C">
        <w:t>, which is the effective date of the TMDL</w:t>
      </w:r>
      <w:r w:rsidR="005A7B9A">
        <w:t xml:space="preserve">. </w:t>
      </w:r>
      <w:r w:rsidRPr="0068300D" w:rsidR="0068300D">
        <w:t>Surface waters in the lower Salinas River watershed are impaired for sediment toxicity to the aquatic invertebrate (</w:t>
      </w:r>
      <w:r w:rsidRPr="0068300D" w:rsidR="0068300D">
        <w:rPr>
          <w:i/>
          <w:iCs/>
        </w:rPr>
        <w:t>Hyalella azteca</w:t>
      </w:r>
      <w:r w:rsidRPr="0068300D" w:rsidR="0068300D">
        <w:t xml:space="preserve">) and pyrethroid pesticides in sediment. These surface waters do not meet the Basin Plan general narrative objectives for toxicity and pesticides and </w:t>
      </w:r>
      <w:r w:rsidR="00530AA6">
        <w:t xml:space="preserve">the </w:t>
      </w:r>
      <w:r w:rsidRPr="0068300D" w:rsidR="0068300D">
        <w:t xml:space="preserve">aquatic life beneficial uses are not protected. </w:t>
      </w:r>
      <w:r w:rsidRPr="009D10CE" w:rsidR="005F505B">
        <w:t xml:space="preserve">Sediment toxicity was detected in stream sediments throughout the lower Salinas River watershed. Several special sediment monitoring studies in the watershed link the sediment toxicity to pyrethroid pesticides in both agricultural and </w:t>
      </w:r>
      <w:r w:rsidR="00CC2545">
        <w:t>m</w:t>
      </w:r>
      <w:r w:rsidRPr="009D10CE" w:rsidR="005F505B">
        <w:t>unicipal runoff.</w:t>
      </w:r>
      <w:r w:rsidR="00556AC3">
        <w:t xml:space="preserve"> </w:t>
      </w:r>
      <w:r w:rsidRPr="00556AC3" w:rsidR="00556AC3">
        <w:t>Statewide urban pesticide studies indicate that pyrethroids are commonly detected in urban runoff and the primary sources are outdoor applications by pest control professionals and to a lesser extent consumer use.</w:t>
      </w:r>
    </w:p>
    <w:p w:rsidRPr="00D52F4F" w:rsidR="0014165E" w:rsidP="0014165E" w:rsidRDefault="0014165E" w14:paraId="1187CEBF" w14:textId="50652EF9">
      <w:pPr>
        <w:ind w:left="1260"/>
        <w:rPr>
          <w:rFonts w:cs="Arial"/>
        </w:rPr>
      </w:pPr>
      <w:r w:rsidRPr="006A53D3">
        <w:rPr>
          <w:b/>
        </w:rPr>
        <w:t>Responsible Permi</w:t>
      </w:r>
      <w:r w:rsidR="0091593F">
        <w:rPr>
          <w:b/>
        </w:rPr>
        <w:t>t</w:t>
      </w:r>
      <w:r w:rsidRPr="006A53D3">
        <w:rPr>
          <w:b/>
        </w:rPr>
        <w:t>tees</w:t>
      </w:r>
      <w:r w:rsidRPr="00315677">
        <w:rPr>
          <w:b/>
        </w:rPr>
        <w:t>:</w:t>
      </w:r>
      <w:r w:rsidR="005A0069">
        <w:t xml:space="preserve"> </w:t>
      </w:r>
      <w:r w:rsidRPr="00C435BF" w:rsidR="00D67A4B">
        <w:t xml:space="preserve">County of </w:t>
      </w:r>
      <w:r w:rsidRPr="00DD3DA6" w:rsidR="00D67A4B">
        <w:rPr>
          <w:rFonts w:eastAsia="Arial" w:cs="Arial"/>
        </w:rPr>
        <w:t>Monterey</w:t>
      </w:r>
      <w:r w:rsidRPr="00014955" w:rsidR="00014955">
        <w:t xml:space="preserve"> </w:t>
      </w:r>
    </w:p>
    <w:p w:rsidR="00A6644B" w:rsidP="0014165E" w:rsidRDefault="0014165E" w14:paraId="26912C96" w14:textId="711CBDDD">
      <w:pPr>
        <w:ind w:left="1260"/>
      </w:pPr>
      <w:r w:rsidRPr="00D52F4F">
        <w:rPr>
          <w:b/>
        </w:rPr>
        <w:t>Wasteload Allocations:</w:t>
      </w:r>
      <w:r w:rsidRPr="00C97E81">
        <w:t xml:space="preserve"> </w:t>
      </w:r>
      <w:r w:rsidRPr="009C6C94" w:rsidR="009C6C94">
        <w:t xml:space="preserve">The </w:t>
      </w:r>
      <w:r w:rsidR="000E2000">
        <w:t>wasteload allocations</w:t>
      </w:r>
      <w:r w:rsidRPr="009C6C94" w:rsidR="009C6C94">
        <w:t xml:space="preserve"> for sediment toxicity are equal to the </w:t>
      </w:r>
      <w:r w:rsidR="00153BB9">
        <w:t>S</w:t>
      </w:r>
      <w:r w:rsidRPr="009C6C94" w:rsidR="009C6C94">
        <w:t xml:space="preserve">ediment </w:t>
      </w:r>
      <w:r w:rsidR="00153BB9">
        <w:t>T</w:t>
      </w:r>
      <w:r w:rsidRPr="009C6C94" w:rsidR="009C6C94">
        <w:t xml:space="preserve">oxicity </w:t>
      </w:r>
      <w:r w:rsidR="00153BB9">
        <w:t>N</w:t>
      </w:r>
      <w:r w:rsidRPr="009C6C94" w:rsidR="009C6C94">
        <w:t>umeric targets and the</w:t>
      </w:r>
      <w:r w:rsidR="005A0069">
        <w:t xml:space="preserve"> </w:t>
      </w:r>
      <w:r w:rsidR="002035C2">
        <w:t xml:space="preserve">wasteload allocations </w:t>
      </w:r>
      <w:r w:rsidRPr="009C6C94" w:rsidR="009C6C94">
        <w:t xml:space="preserve">for pyrethroid pesticides are equal to the </w:t>
      </w:r>
      <w:r w:rsidR="002035C2">
        <w:t>P</w:t>
      </w:r>
      <w:r w:rsidRPr="009C6C94" w:rsidR="009C6C94">
        <w:t xml:space="preserve">yrethroid </w:t>
      </w:r>
      <w:r w:rsidR="002035C2">
        <w:t>S</w:t>
      </w:r>
      <w:r w:rsidRPr="009C6C94" w:rsidR="009C6C94">
        <w:t xml:space="preserve">ediment </w:t>
      </w:r>
      <w:r w:rsidR="002035C2">
        <w:t>C</w:t>
      </w:r>
      <w:r w:rsidRPr="009C6C94" w:rsidR="009C6C94">
        <w:t xml:space="preserve">oncentration </w:t>
      </w:r>
      <w:r w:rsidR="002035C2">
        <w:t>T</w:t>
      </w:r>
      <w:r w:rsidRPr="009C6C94" w:rsidR="009C6C94">
        <w:t xml:space="preserve">oxicity </w:t>
      </w:r>
      <w:r w:rsidR="002035C2">
        <w:t>U</w:t>
      </w:r>
      <w:r w:rsidRPr="009C6C94" w:rsidR="009C6C94">
        <w:t xml:space="preserve">nit </w:t>
      </w:r>
      <w:r w:rsidR="005C069C">
        <w:t>N</w:t>
      </w:r>
      <w:r w:rsidRPr="009C6C94" w:rsidR="009C6C94">
        <w:t>umeric targets</w:t>
      </w:r>
      <w:r w:rsidR="00BE7D88">
        <w:t>.</w:t>
      </w:r>
    </w:p>
    <w:p w:rsidRPr="00FD57D3" w:rsidR="00FD57D3" w:rsidP="00FD57D3" w:rsidRDefault="00FD57D3" w14:paraId="45FCE9D3" w14:textId="22587BF2">
      <w:pPr>
        <w:spacing w:after="0"/>
        <w:ind w:left="1267"/>
        <w:rPr>
          <w:b/>
        </w:rPr>
      </w:pPr>
      <w:r w:rsidRPr="00FD57D3">
        <w:rPr>
          <w:b/>
        </w:rPr>
        <w:t>Wasteload Allocations for the Sediment Toxicity and Pyrethroid Pesticides in Sediment in the Lower Salinas River Watershed</w:t>
      </w:r>
    </w:p>
    <w:tbl>
      <w:tblPr>
        <w:tblStyle w:val="TableGrid"/>
        <w:tblW w:w="0" w:type="auto"/>
        <w:tblInd w:w="1255" w:type="dxa"/>
        <w:tblLook w:val="04A0" w:firstRow="1" w:lastRow="0" w:firstColumn="1" w:lastColumn="0" w:noHBand="0" w:noVBand="1"/>
      </w:tblPr>
      <w:tblGrid>
        <w:gridCol w:w="2340"/>
        <w:gridCol w:w="1980"/>
        <w:gridCol w:w="3775"/>
      </w:tblGrid>
      <w:tr w:rsidRPr="003531D5" w:rsidR="003531D5" w:rsidTr="000A0D2F" w14:paraId="476294FB" w14:textId="77777777">
        <w:tc>
          <w:tcPr>
            <w:tcW w:w="2340" w:type="dxa"/>
            <w:shd w:val="clear" w:color="auto" w:fill="D6E3BC" w:themeFill="accent3" w:themeFillTint="66"/>
          </w:tcPr>
          <w:p w:rsidRPr="003531D5" w:rsidR="00D824F1" w:rsidP="0014165E" w:rsidRDefault="00D824F1" w14:paraId="76610E18" w14:textId="09D6AC14">
            <w:pPr>
              <w:rPr>
                <w:rFonts w:ascii="Arial" w:hAnsi="Arial" w:cs="Arial"/>
                <w:b/>
                <w:bCs/>
                <w:sz w:val="22"/>
                <w:szCs w:val="22"/>
              </w:rPr>
            </w:pPr>
            <w:r w:rsidRPr="003531D5">
              <w:rPr>
                <w:rFonts w:ascii="Arial" w:hAnsi="Arial" w:cs="Arial"/>
                <w:b/>
                <w:bCs/>
                <w:sz w:val="22"/>
                <w:szCs w:val="22"/>
              </w:rPr>
              <w:t>Respon</w:t>
            </w:r>
            <w:r w:rsidRPr="003531D5" w:rsidR="003531D5">
              <w:rPr>
                <w:rFonts w:ascii="Arial" w:hAnsi="Arial" w:cs="Arial"/>
                <w:b/>
                <w:bCs/>
                <w:sz w:val="22"/>
                <w:szCs w:val="22"/>
              </w:rPr>
              <w:t>sible party</w:t>
            </w:r>
          </w:p>
        </w:tc>
        <w:tc>
          <w:tcPr>
            <w:tcW w:w="1980" w:type="dxa"/>
            <w:shd w:val="clear" w:color="auto" w:fill="D6E3BC" w:themeFill="accent3" w:themeFillTint="66"/>
          </w:tcPr>
          <w:p w:rsidRPr="003531D5" w:rsidR="00D824F1" w:rsidP="0014165E" w:rsidRDefault="003531D5" w14:paraId="0466B106" w14:textId="597A5A81">
            <w:pPr>
              <w:rPr>
                <w:rFonts w:ascii="Arial" w:hAnsi="Arial" w:cs="Arial"/>
                <w:b/>
                <w:bCs/>
                <w:sz w:val="22"/>
                <w:szCs w:val="22"/>
              </w:rPr>
            </w:pPr>
            <w:r w:rsidRPr="003531D5">
              <w:rPr>
                <w:rFonts w:ascii="Arial" w:hAnsi="Arial" w:cs="Arial"/>
                <w:b/>
                <w:bCs/>
                <w:sz w:val="22"/>
                <w:szCs w:val="22"/>
              </w:rPr>
              <w:t>Source</w:t>
            </w:r>
          </w:p>
        </w:tc>
        <w:tc>
          <w:tcPr>
            <w:tcW w:w="3775" w:type="dxa"/>
            <w:shd w:val="clear" w:color="auto" w:fill="D6E3BC" w:themeFill="accent3" w:themeFillTint="66"/>
          </w:tcPr>
          <w:p w:rsidRPr="003531D5" w:rsidR="00D824F1" w:rsidP="0014165E" w:rsidRDefault="008274C2" w14:paraId="72A1E1DB" w14:textId="7C8A94ED">
            <w:pPr>
              <w:rPr>
                <w:rFonts w:ascii="Arial" w:hAnsi="Arial" w:cs="Arial"/>
                <w:b/>
                <w:bCs/>
                <w:sz w:val="22"/>
                <w:szCs w:val="22"/>
              </w:rPr>
            </w:pPr>
            <w:r>
              <w:rPr>
                <w:rFonts w:ascii="Arial" w:hAnsi="Arial" w:cs="Arial"/>
                <w:b/>
                <w:bCs/>
                <w:sz w:val="22"/>
                <w:szCs w:val="22"/>
              </w:rPr>
              <w:t xml:space="preserve">Wasteload </w:t>
            </w:r>
            <w:r w:rsidRPr="003531D5" w:rsidR="003531D5">
              <w:rPr>
                <w:rFonts w:ascii="Arial" w:hAnsi="Arial" w:cs="Arial"/>
                <w:b/>
                <w:bCs/>
                <w:sz w:val="22"/>
                <w:szCs w:val="22"/>
              </w:rPr>
              <w:t>Allocation</w:t>
            </w:r>
            <w:r w:rsidR="005947DD">
              <w:rPr>
                <w:rFonts w:ascii="Arial" w:hAnsi="Arial" w:cs="Arial"/>
                <w:b/>
                <w:bCs/>
                <w:sz w:val="22"/>
                <w:szCs w:val="22"/>
              </w:rPr>
              <w:t>s</w:t>
            </w:r>
          </w:p>
        </w:tc>
      </w:tr>
      <w:tr w:rsidRPr="003531D5" w:rsidR="005947DD" w:rsidTr="00DC1F47" w14:paraId="3DD9C4EE" w14:textId="77777777">
        <w:tc>
          <w:tcPr>
            <w:tcW w:w="2340" w:type="dxa"/>
            <w:vAlign w:val="center"/>
          </w:tcPr>
          <w:p w:rsidRPr="003531D5" w:rsidR="00D824F1" w:rsidP="0014165E" w:rsidRDefault="003531D5" w14:paraId="2BFA35EE" w14:textId="15B33D58">
            <w:pPr>
              <w:rPr>
                <w:rFonts w:ascii="Arial" w:hAnsi="Arial" w:cs="Arial"/>
                <w:sz w:val="22"/>
                <w:szCs w:val="22"/>
              </w:rPr>
            </w:pPr>
            <w:r>
              <w:rPr>
                <w:rFonts w:ascii="Arial" w:hAnsi="Arial" w:cs="Arial"/>
                <w:sz w:val="22"/>
                <w:szCs w:val="22"/>
              </w:rPr>
              <w:t>County o</w:t>
            </w:r>
            <w:r w:rsidR="005947DD">
              <w:rPr>
                <w:rFonts w:ascii="Arial" w:hAnsi="Arial" w:cs="Arial"/>
                <w:sz w:val="22"/>
                <w:szCs w:val="22"/>
              </w:rPr>
              <w:t>f Monterey</w:t>
            </w:r>
          </w:p>
        </w:tc>
        <w:tc>
          <w:tcPr>
            <w:tcW w:w="1980" w:type="dxa"/>
            <w:vAlign w:val="center"/>
          </w:tcPr>
          <w:p w:rsidRPr="003531D5" w:rsidR="00D824F1" w:rsidP="0014165E" w:rsidRDefault="005947DD" w14:paraId="38F3AFA5" w14:textId="0097563C">
            <w:pPr>
              <w:rPr>
                <w:rFonts w:ascii="Arial" w:hAnsi="Arial" w:cs="Arial"/>
                <w:sz w:val="22"/>
                <w:szCs w:val="22"/>
              </w:rPr>
            </w:pPr>
            <w:r>
              <w:rPr>
                <w:rFonts w:ascii="Arial" w:hAnsi="Arial" w:cs="Arial"/>
                <w:sz w:val="22"/>
                <w:szCs w:val="22"/>
              </w:rPr>
              <w:t>Municipal Stormwater</w:t>
            </w:r>
          </w:p>
        </w:tc>
        <w:tc>
          <w:tcPr>
            <w:tcW w:w="3775" w:type="dxa"/>
          </w:tcPr>
          <w:p w:rsidRPr="009D10CE" w:rsidR="005947DD" w:rsidP="005947DD" w:rsidRDefault="005947DD" w14:paraId="49463A6C" w14:textId="5BF828F8">
            <w:pPr>
              <w:spacing w:before="20" w:after="20"/>
              <w:ind w:left="66"/>
              <w:rPr>
                <w:rFonts w:ascii="Arial" w:hAnsi="Arial" w:cs="Arial"/>
                <w:sz w:val="22"/>
                <w:szCs w:val="22"/>
              </w:rPr>
            </w:pPr>
            <w:r w:rsidRPr="009D10CE">
              <w:rPr>
                <w:rFonts w:ascii="Arial" w:hAnsi="Arial" w:cs="Arial"/>
                <w:sz w:val="22"/>
                <w:szCs w:val="22"/>
                <w:u w:val="single"/>
              </w:rPr>
              <w:t>Allocation-1</w:t>
            </w:r>
            <w:r w:rsidRPr="00B03D5B" w:rsidR="00EB18F3">
              <w:rPr>
                <w:rFonts w:ascii="Arial" w:hAnsi="Arial" w:cs="Arial"/>
                <w:sz w:val="22"/>
                <w:szCs w:val="22"/>
              </w:rPr>
              <w:t xml:space="preserve"> is </w:t>
            </w:r>
            <w:r w:rsidRPr="00B03D5B" w:rsidR="00776169">
              <w:rPr>
                <w:rFonts w:ascii="Arial" w:hAnsi="Arial" w:cs="Arial"/>
                <w:sz w:val="22"/>
                <w:szCs w:val="22"/>
              </w:rPr>
              <w:t>e</w:t>
            </w:r>
            <w:r w:rsidRPr="009D10CE">
              <w:rPr>
                <w:rFonts w:ascii="Arial" w:hAnsi="Arial" w:cs="Arial"/>
                <w:sz w:val="22"/>
                <w:szCs w:val="22"/>
              </w:rPr>
              <w:t xml:space="preserve">qual to </w:t>
            </w:r>
            <w:r w:rsidRPr="00B03D5B" w:rsidR="00221A2F">
              <w:rPr>
                <w:rFonts w:ascii="Arial" w:hAnsi="Arial" w:cs="Arial"/>
                <w:sz w:val="22"/>
                <w:szCs w:val="22"/>
              </w:rPr>
              <w:t>the</w:t>
            </w:r>
            <w:r w:rsidRPr="00B03D5B" w:rsidR="0068278C">
              <w:rPr>
                <w:rFonts w:ascii="Arial" w:hAnsi="Arial" w:cs="Arial"/>
                <w:sz w:val="22"/>
                <w:szCs w:val="22"/>
              </w:rPr>
              <w:t xml:space="preserve"> Sediment Toxicity TMDL, which</w:t>
            </w:r>
            <w:r w:rsidRPr="00B03D5B" w:rsidR="00DA284F">
              <w:rPr>
                <w:rFonts w:ascii="Arial" w:hAnsi="Arial" w:cs="Arial"/>
                <w:sz w:val="22"/>
                <w:szCs w:val="22"/>
              </w:rPr>
              <w:t xml:space="preserve"> </w:t>
            </w:r>
            <w:r w:rsidRPr="00B03D5B" w:rsidR="0068278C">
              <w:rPr>
                <w:rFonts w:ascii="Arial" w:hAnsi="Arial" w:cs="Arial"/>
                <w:sz w:val="22"/>
                <w:szCs w:val="22"/>
              </w:rPr>
              <w:t>is the</w:t>
            </w:r>
            <w:r w:rsidR="005A0069">
              <w:rPr>
                <w:rFonts w:ascii="Arial" w:hAnsi="Arial" w:cs="Arial"/>
                <w:sz w:val="22"/>
                <w:szCs w:val="22"/>
              </w:rPr>
              <w:t xml:space="preserve"> </w:t>
            </w:r>
            <w:r w:rsidRPr="00B03D5B" w:rsidR="00735320">
              <w:rPr>
                <w:rFonts w:ascii="Arial" w:hAnsi="Arial" w:cs="Arial"/>
                <w:sz w:val="22"/>
                <w:szCs w:val="22"/>
              </w:rPr>
              <w:t>S</w:t>
            </w:r>
            <w:r w:rsidRPr="00B03D5B" w:rsidR="00221A2F">
              <w:rPr>
                <w:rFonts w:ascii="Arial" w:hAnsi="Arial" w:cs="Arial"/>
                <w:sz w:val="22"/>
                <w:szCs w:val="22"/>
              </w:rPr>
              <w:t xml:space="preserve">ediment </w:t>
            </w:r>
            <w:r w:rsidRPr="00B03D5B" w:rsidR="00735320">
              <w:rPr>
                <w:rFonts w:ascii="Arial" w:hAnsi="Arial" w:cs="Arial"/>
                <w:sz w:val="22"/>
                <w:szCs w:val="22"/>
              </w:rPr>
              <w:t>T</w:t>
            </w:r>
            <w:r w:rsidRPr="00B03D5B" w:rsidR="00221A2F">
              <w:rPr>
                <w:rFonts w:ascii="Arial" w:hAnsi="Arial" w:cs="Arial"/>
                <w:sz w:val="22"/>
                <w:szCs w:val="22"/>
              </w:rPr>
              <w:t xml:space="preserve">oxicity </w:t>
            </w:r>
            <w:r w:rsidRPr="00B03D5B" w:rsidR="00735320">
              <w:rPr>
                <w:rFonts w:ascii="Arial" w:hAnsi="Arial" w:cs="Arial"/>
                <w:sz w:val="22"/>
                <w:szCs w:val="22"/>
              </w:rPr>
              <w:t>N</w:t>
            </w:r>
            <w:r w:rsidRPr="00B03D5B" w:rsidR="00B26AAA">
              <w:rPr>
                <w:rFonts w:ascii="Arial" w:hAnsi="Arial" w:cs="Arial"/>
                <w:sz w:val="22"/>
                <w:szCs w:val="22"/>
              </w:rPr>
              <w:t>umeric tar</w:t>
            </w:r>
            <w:r w:rsidRPr="00B03D5B" w:rsidR="00504B0D">
              <w:rPr>
                <w:rFonts w:ascii="Arial" w:hAnsi="Arial" w:cs="Arial"/>
                <w:sz w:val="22"/>
                <w:szCs w:val="22"/>
              </w:rPr>
              <w:t>get</w:t>
            </w:r>
            <w:r w:rsidRPr="00B03D5B">
              <w:rPr>
                <w:rFonts w:ascii="Arial" w:hAnsi="Arial" w:cs="Arial"/>
                <w:sz w:val="22"/>
                <w:szCs w:val="22"/>
              </w:rPr>
              <w:t xml:space="preserve">, and </w:t>
            </w:r>
          </w:p>
          <w:p w:rsidRPr="003531D5" w:rsidR="00D824F1" w:rsidP="005C069C" w:rsidRDefault="005947DD" w14:paraId="77A63204" w14:textId="7A8F8C85">
            <w:pPr>
              <w:spacing w:before="20" w:after="20"/>
              <w:ind w:left="66"/>
              <w:rPr>
                <w:rFonts w:ascii="Arial" w:hAnsi="Arial" w:cs="Arial"/>
                <w:sz w:val="22"/>
                <w:szCs w:val="22"/>
              </w:rPr>
            </w:pPr>
            <w:r w:rsidRPr="008A7475">
              <w:rPr>
                <w:rFonts w:ascii="Arial" w:hAnsi="Arial" w:cs="Arial"/>
                <w:sz w:val="22"/>
                <w:szCs w:val="22"/>
                <w:u w:val="single"/>
              </w:rPr>
              <w:t>Allocation-2</w:t>
            </w:r>
            <w:r w:rsidRPr="00B03D5B" w:rsidR="005466C6">
              <w:rPr>
                <w:rFonts w:ascii="Arial" w:hAnsi="Arial" w:cs="Arial"/>
                <w:sz w:val="22"/>
                <w:szCs w:val="22"/>
              </w:rPr>
              <w:t xml:space="preserve"> is</w:t>
            </w:r>
            <w:r w:rsidRPr="00B03D5B">
              <w:rPr>
                <w:rFonts w:ascii="Arial" w:hAnsi="Arial" w:cs="Arial"/>
                <w:sz w:val="22"/>
                <w:szCs w:val="22"/>
              </w:rPr>
              <w:t xml:space="preserve"> </w:t>
            </w:r>
            <w:r w:rsidRPr="00B03D5B" w:rsidR="00776169">
              <w:rPr>
                <w:rFonts w:ascii="Arial" w:hAnsi="Arial" w:cs="Arial"/>
                <w:sz w:val="22"/>
                <w:szCs w:val="22"/>
              </w:rPr>
              <w:t>e</w:t>
            </w:r>
            <w:r w:rsidRPr="00B03D5B">
              <w:rPr>
                <w:rFonts w:ascii="Arial" w:hAnsi="Arial" w:cs="Arial"/>
                <w:sz w:val="22"/>
                <w:szCs w:val="22"/>
              </w:rPr>
              <w:t xml:space="preserve">qual to </w:t>
            </w:r>
            <w:r w:rsidRPr="00B03D5B" w:rsidR="00B03D5B">
              <w:rPr>
                <w:rFonts w:ascii="Arial" w:hAnsi="Arial" w:cs="Arial"/>
                <w:sz w:val="22"/>
                <w:szCs w:val="22"/>
              </w:rPr>
              <w:t>the Pyrethroids</w:t>
            </w:r>
            <w:r w:rsidRPr="00B03D5B" w:rsidR="00B03D5B">
              <w:rPr>
                <w:rFonts w:ascii="Arial" w:hAnsi="Arial" w:cs="Arial"/>
                <w:spacing w:val="-5"/>
                <w:sz w:val="22"/>
                <w:szCs w:val="22"/>
              </w:rPr>
              <w:t xml:space="preserve"> </w:t>
            </w:r>
            <w:r w:rsidRPr="00B03D5B" w:rsidR="00B03D5B">
              <w:rPr>
                <w:rFonts w:ascii="Arial" w:hAnsi="Arial" w:cs="Arial"/>
                <w:sz w:val="22"/>
                <w:szCs w:val="22"/>
              </w:rPr>
              <w:t>in</w:t>
            </w:r>
            <w:r w:rsidRPr="00B03D5B" w:rsidR="00B03D5B">
              <w:rPr>
                <w:rFonts w:ascii="Arial" w:hAnsi="Arial" w:cs="Arial"/>
                <w:spacing w:val="-6"/>
                <w:sz w:val="22"/>
                <w:szCs w:val="22"/>
              </w:rPr>
              <w:t xml:space="preserve"> </w:t>
            </w:r>
            <w:r w:rsidRPr="00B03D5B" w:rsidR="00B03D5B">
              <w:rPr>
                <w:rFonts w:ascii="Arial" w:hAnsi="Arial" w:cs="Arial"/>
                <w:sz w:val="22"/>
                <w:szCs w:val="22"/>
              </w:rPr>
              <w:t>Sediment</w:t>
            </w:r>
            <w:r w:rsidRPr="00B03D5B" w:rsidR="00B03D5B">
              <w:rPr>
                <w:rFonts w:ascii="Arial" w:hAnsi="Arial" w:cs="Arial"/>
                <w:spacing w:val="-6"/>
                <w:sz w:val="22"/>
                <w:szCs w:val="22"/>
              </w:rPr>
              <w:t xml:space="preserve"> </w:t>
            </w:r>
            <w:r w:rsidRPr="00B03D5B" w:rsidR="00B03D5B">
              <w:rPr>
                <w:rFonts w:ascii="Arial" w:hAnsi="Arial" w:cs="Arial"/>
                <w:sz w:val="22"/>
                <w:szCs w:val="22"/>
              </w:rPr>
              <w:t xml:space="preserve">TMDLs , which is the </w:t>
            </w:r>
            <w:r w:rsidRPr="00B03D5B" w:rsidR="00776169">
              <w:rPr>
                <w:rFonts w:ascii="Arial" w:hAnsi="Arial" w:cs="Arial"/>
                <w:sz w:val="22"/>
                <w:szCs w:val="22"/>
              </w:rPr>
              <w:t xml:space="preserve">Pyrethroid </w:t>
            </w:r>
            <w:r w:rsidRPr="00B03D5B" w:rsidR="00686C1F">
              <w:rPr>
                <w:rFonts w:ascii="Arial" w:hAnsi="Arial" w:cs="Arial"/>
                <w:sz w:val="22"/>
                <w:szCs w:val="22"/>
              </w:rPr>
              <w:t>S</w:t>
            </w:r>
            <w:r w:rsidRPr="00B03D5B" w:rsidR="00776169">
              <w:rPr>
                <w:rFonts w:ascii="Arial" w:hAnsi="Arial" w:cs="Arial"/>
                <w:sz w:val="22"/>
                <w:szCs w:val="22"/>
              </w:rPr>
              <w:t xml:space="preserve">ediment </w:t>
            </w:r>
            <w:r w:rsidRPr="00B03D5B" w:rsidR="00686C1F">
              <w:rPr>
                <w:rFonts w:ascii="Arial" w:hAnsi="Arial" w:cs="Arial"/>
                <w:sz w:val="22"/>
                <w:szCs w:val="22"/>
              </w:rPr>
              <w:t>C</w:t>
            </w:r>
            <w:r w:rsidRPr="00B03D5B" w:rsidR="00776169">
              <w:rPr>
                <w:rFonts w:ascii="Arial" w:hAnsi="Arial" w:cs="Arial"/>
                <w:sz w:val="22"/>
                <w:szCs w:val="22"/>
              </w:rPr>
              <w:t xml:space="preserve">oncentration </w:t>
            </w:r>
            <w:r w:rsidRPr="00B03D5B" w:rsidR="00686C1F">
              <w:rPr>
                <w:rFonts w:ascii="Arial" w:hAnsi="Arial" w:cs="Arial"/>
                <w:sz w:val="22"/>
                <w:szCs w:val="22"/>
              </w:rPr>
              <w:t>T</w:t>
            </w:r>
            <w:r w:rsidRPr="00B03D5B" w:rsidR="00776169">
              <w:rPr>
                <w:rFonts w:ascii="Arial" w:hAnsi="Arial" w:cs="Arial"/>
                <w:sz w:val="22"/>
                <w:szCs w:val="22"/>
              </w:rPr>
              <w:t xml:space="preserve">oxicity </w:t>
            </w:r>
            <w:r w:rsidRPr="00B03D5B" w:rsidR="00686C1F">
              <w:rPr>
                <w:rFonts w:ascii="Arial" w:hAnsi="Arial" w:cs="Arial"/>
                <w:sz w:val="22"/>
                <w:szCs w:val="22"/>
              </w:rPr>
              <w:t>U</w:t>
            </w:r>
            <w:r w:rsidRPr="00B03D5B" w:rsidR="00776169">
              <w:rPr>
                <w:rFonts w:ascii="Arial" w:hAnsi="Arial" w:cs="Arial"/>
                <w:sz w:val="22"/>
                <w:szCs w:val="22"/>
              </w:rPr>
              <w:t xml:space="preserve">nit </w:t>
            </w:r>
            <w:r w:rsidRPr="00B03D5B" w:rsidR="00686C1F">
              <w:rPr>
                <w:rFonts w:ascii="Arial" w:hAnsi="Arial" w:cs="Arial"/>
                <w:sz w:val="22"/>
                <w:szCs w:val="22"/>
              </w:rPr>
              <w:t>N</w:t>
            </w:r>
            <w:r w:rsidRPr="00B03D5B" w:rsidR="00776169">
              <w:rPr>
                <w:rFonts w:ascii="Arial" w:hAnsi="Arial" w:cs="Arial"/>
                <w:sz w:val="22"/>
                <w:szCs w:val="22"/>
              </w:rPr>
              <w:t xml:space="preserve">umeric </w:t>
            </w:r>
            <w:r w:rsidRPr="00B03D5B" w:rsidR="00686C1F">
              <w:rPr>
                <w:rFonts w:ascii="Arial" w:hAnsi="Arial" w:cs="Arial"/>
                <w:sz w:val="22"/>
                <w:szCs w:val="22"/>
              </w:rPr>
              <w:t>T</w:t>
            </w:r>
            <w:r w:rsidRPr="00B03D5B" w:rsidR="00776169">
              <w:rPr>
                <w:rFonts w:ascii="Arial" w:hAnsi="Arial" w:cs="Arial"/>
                <w:sz w:val="22"/>
                <w:szCs w:val="22"/>
              </w:rPr>
              <w:t>arget</w:t>
            </w:r>
            <w:r w:rsidR="005C069C">
              <w:rPr>
                <w:rFonts w:ascii="Arial" w:hAnsi="Arial" w:cs="Arial"/>
                <w:sz w:val="22"/>
                <w:szCs w:val="22"/>
              </w:rPr>
              <w:t xml:space="preserve"> </w:t>
            </w:r>
          </w:p>
        </w:tc>
      </w:tr>
    </w:tbl>
    <w:p w:rsidR="00D824F1" w:rsidP="000A0D2F" w:rsidRDefault="007C714B" w14:paraId="088AAE2A" w14:textId="371E9098">
      <w:pPr>
        <w:ind w:left="1260"/>
      </w:pPr>
      <w:r w:rsidRPr="00BA5B69">
        <w:rPr>
          <w:u w:val="single"/>
        </w:rPr>
        <w:t xml:space="preserve">Wasteload </w:t>
      </w:r>
      <w:r w:rsidR="008A7475">
        <w:rPr>
          <w:u w:val="single"/>
        </w:rPr>
        <w:t>A</w:t>
      </w:r>
      <w:r w:rsidRPr="00BA5B69">
        <w:rPr>
          <w:u w:val="single"/>
        </w:rPr>
        <w:t>llocation 1</w:t>
      </w:r>
      <w:r>
        <w:t xml:space="preserve"> is </w:t>
      </w:r>
      <w:r w:rsidR="00CE36EA">
        <w:t>equal to the Sediment Toxicity TMDL</w:t>
      </w:r>
      <w:r w:rsidR="00221A2F">
        <w:t xml:space="preserve"> (</w:t>
      </w:r>
      <w:r w:rsidR="00BA5B69">
        <w:t xml:space="preserve">i.e., </w:t>
      </w:r>
      <w:r w:rsidR="00221A2F">
        <w:t xml:space="preserve">the </w:t>
      </w:r>
      <w:r w:rsidR="00B858B5">
        <w:t>sediment toxicity numeric t</w:t>
      </w:r>
      <w:r w:rsidR="00586127">
        <w:t>a</w:t>
      </w:r>
      <w:r w:rsidR="00B858B5">
        <w:t>rget</w:t>
      </w:r>
      <w:r w:rsidR="00221A2F">
        <w:t xml:space="preserve"> in </w:t>
      </w:r>
      <w:r w:rsidR="00BE7ED3">
        <w:t xml:space="preserve">Central Coast </w:t>
      </w:r>
      <w:r w:rsidR="00221A2F">
        <w:t xml:space="preserve">Basin Plan section </w:t>
      </w:r>
      <w:r w:rsidR="00B72DE5">
        <w:t>4.19.19</w:t>
      </w:r>
      <w:r w:rsidR="00B858B5">
        <w:t>)</w:t>
      </w:r>
      <w:r w:rsidR="00B72DE5">
        <w:t xml:space="preserve">, as follows: </w:t>
      </w:r>
    </w:p>
    <w:p w:rsidRPr="002B6CA9" w:rsidR="006E1752" w:rsidP="008722FC" w:rsidRDefault="006E1752" w14:paraId="539F2488" w14:textId="17590278">
      <w:pPr>
        <w:pStyle w:val="BodyText"/>
        <w:spacing w:before="81"/>
        <w:ind w:left="1260" w:right="115"/>
        <w:rPr>
          <w:i/>
          <w:iCs/>
        </w:rPr>
      </w:pPr>
      <w:r w:rsidRPr="002B6CA9">
        <w:rPr>
          <w:i/>
          <w:iCs/>
        </w:rPr>
        <w:t>Toxicity to invertebrates shall be tested using chronic toxicity test, 10-day sediment exposure with Hyalella azteca (USEPA,</w:t>
      </w:r>
      <w:r w:rsidRPr="002B6CA9">
        <w:rPr>
          <w:i/>
          <w:iCs/>
          <w:spacing w:val="-10"/>
        </w:rPr>
        <w:t xml:space="preserve"> </w:t>
      </w:r>
      <w:r w:rsidRPr="002B6CA9">
        <w:rPr>
          <w:i/>
          <w:iCs/>
        </w:rPr>
        <w:t>2000).</w:t>
      </w:r>
      <w:r w:rsidRPr="002B6CA9">
        <w:rPr>
          <w:i/>
          <w:iCs/>
          <w:spacing w:val="37"/>
        </w:rPr>
        <w:t xml:space="preserve"> </w:t>
      </w:r>
      <w:r w:rsidRPr="002B6CA9">
        <w:rPr>
          <w:i/>
          <w:iCs/>
        </w:rPr>
        <w:t>It</w:t>
      </w:r>
      <w:r w:rsidRPr="002B6CA9">
        <w:rPr>
          <w:i/>
          <w:iCs/>
          <w:spacing w:val="-8"/>
        </w:rPr>
        <w:t xml:space="preserve"> </w:t>
      </w:r>
      <w:r w:rsidRPr="002B6CA9">
        <w:rPr>
          <w:i/>
          <w:iCs/>
        </w:rPr>
        <w:t>is</w:t>
      </w:r>
      <w:r w:rsidRPr="002B6CA9">
        <w:rPr>
          <w:i/>
          <w:iCs/>
          <w:spacing w:val="-8"/>
        </w:rPr>
        <w:t xml:space="preserve"> </w:t>
      </w:r>
      <w:r w:rsidRPr="002B6CA9">
        <w:rPr>
          <w:i/>
          <w:iCs/>
        </w:rPr>
        <w:t>recommended</w:t>
      </w:r>
      <w:r w:rsidRPr="002B6CA9">
        <w:rPr>
          <w:i/>
          <w:iCs/>
          <w:spacing w:val="-9"/>
        </w:rPr>
        <w:t xml:space="preserve"> </w:t>
      </w:r>
      <w:r w:rsidRPr="002B6CA9">
        <w:rPr>
          <w:i/>
          <w:iCs/>
        </w:rPr>
        <w:t>(not</w:t>
      </w:r>
      <w:r w:rsidRPr="002B6CA9">
        <w:rPr>
          <w:i/>
          <w:iCs/>
          <w:spacing w:val="-10"/>
        </w:rPr>
        <w:t xml:space="preserve"> </w:t>
      </w:r>
      <w:r w:rsidRPr="002B6CA9">
        <w:rPr>
          <w:i/>
          <w:iCs/>
        </w:rPr>
        <w:t>required)</w:t>
      </w:r>
      <w:r w:rsidRPr="002B6CA9">
        <w:rPr>
          <w:i/>
          <w:iCs/>
          <w:spacing w:val="-9"/>
        </w:rPr>
        <w:t xml:space="preserve"> </w:t>
      </w:r>
      <w:r w:rsidRPr="002B6CA9">
        <w:rPr>
          <w:i/>
          <w:iCs/>
        </w:rPr>
        <w:t>that</w:t>
      </w:r>
      <w:r w:rsidRPr="002B6CA9">
        <w:rPr>
          <w:i/>
          <w:iCs/>
          <w:spacing w:val="-10"/>
        </w:rPr>
        <w:t xml:space="preserve"> </w:t>
      </w:r>
      <w:r w:rsidRPr="002B6CA9">
        <w:rPr>
          <w:i/>
          <w:iCs/>
        </w:rPr>
        <w:t>toxicity</w:t>
      </w:r>
      <w:r w:rsidRPr="002B6CA9">
        <w:rPr>
          <w:i/>
          <w:iCs/>
          <w:spacing w:val="-10"/>
        </w:rPr>
        <w:t xml:space="preserve"> </w:t>
      </w:r>
      <w:r w:rsidRPr="002B6CA9">
        <w:rPr>
          <w:i/>
          <w:iCs/>
        </w:rPr>
        <w:t>determinations</w:t>
      </w:r>
      <w:r w:rsidRPr="002B6CA9">
        <w:rPr>
          <w:i/>
          <w:iCs/>
          <w:spacing w:val="-8"/>
        </w:rPr>
        <w:t xml:space="preserve"> </w:t>
      </w:r>
      <w:r w:rsidRPr="002B6CA9">
        <w:rPr>
          <w:i/>
          <w:iCs/>
        </w:rPr>
        <w:t>be</w:t>
      </w:r>
      <w:r w:rsidRPr="002B6CA9">
        <w:rPr>
          <w:i/>
          <w:iCs/>
          <w:spacing w:val="-9"/>
        </w:rPr>
        <w:t xml:space="preserve"> </w:t>
      </w:r>
      <w:r w:rsidRPr="002B6CA9">
        <w:rPr>
          <w:i/>
          <w:iCs/>
        </w:rPr>
        <w:t>based</w:t>
      </w:r>
      <w:r w:rsidRPr="002B6CA9">
        <w:rPr>
          <w:i/>
          <w:iCs/>
          <w:spacing w:val="-9"/>
        </w:rPr>
        <w:t xml:space="preserve"> </w:t>
      </w:r>
      <w:r w:rsidRPr="002B6CA9">
        <w:rPr>
          <w:i/>
          <w:iCs/>
        </w:rPr>
        <w:t>on</w:t>
      </w:r>
      <w:r w:rsidRPr="002B6CA9">
        <w:rPr>
          <w:i/>
          <w:iCs/>
          <w:spacing w:val="-9"/>
        </w:rPr>
        <w:t xml:space="preserve"> </w:t>
      </w:r>
      <w:r w:rsidRPr="002B6CA9">
        <w:rPr>
          <w:i/>
          <w:iCs/>
        </w:rPr>
        <w:t>a</w:t>
      </w:r>
      <w:r w:rsidRPr="002B6CA9">
        <w:rPr>
          <w:i/>
          <w:iCs/>
          <w:spacing w:val="-9"/>
        </w:rPr>
        <w:t xml:space="preserve"> </w:t>
      </w:r>
      <w:r w:rsidRPr="002B6CA9">
        <w:rPr>
          <w:i/>
          <w:iCs/>
        </w:rPr>
        <w:t>comparison</w:t>
      </w:r>
      <w:r w:rsidRPr="002B6CA9">
        <w:rPr>
          <w:i/>
          <w:iCs/>
          <w:spacing w:val="-9"/>
        </w:rPr>
        <w:t xml:space="preserve"> </w:t>
      </w:r>
      <w:r w:rsidRPr="002B6CA9">
        <w:rPr>
          <w:i/>
          <w:iCs/>
        </w:rPr>
        <w:t>of</w:t>
      </w:r>
      <w:r w:rsidRPr="002B6CA9">
        <w:rPr>
          <w:i/>
          <w:iCs/>
          <w:spacing w:val="-10"/>
        </w:rPr>
        <w:t xml:space="preserve"> </w:t>
      </w:r>
      <w:r w:rsidRPr="002B6CA9">
        <w:rPr>
          <w:i/>
          <w:iCs/>
        </w:rPr>
        <w:t>the</w:t>
      </w:r>
      <w:r w:rsidRPr="002B6CA9">
        <w:rPr>
          <w:i/>
          <w:iCs/>
          <w:spacing w:val="-9"/>
        </w:rPr>
        <w:t xml:space="preserve"> </w:t>
      </w:r>
      <w:r w:rsidRPr="002B6CA9">
        <w:rPr>
          <w:i/>
          <w:iCs/>
        </w:rPr>
        <w:t>test organisms’ response to the receiving water sample compared to the control using the Test of Significant Toxicity, also referred to as the TST statistical approach (USEPA 2010; Denton et al., 2011).</w:t>
      </w:r>
      <w:r w:rsidRPr="002B6CA9">
        <w:rPr>
          <w:i/>
          <w:iCs/>
          <w:spacing w:val="40"/>
        </w:rPr>
        <w:t xml:space="preserve"> </w:t>
      </w:r>
      <w:r w:rsidRPr="002B6CA9">
        <w:rPr>
          <w:i/>
          <w:iCs/>
        </w:rPr>
        <w:t xml:space="preserve">If a sample is declared “fail” (i.e., toxic), then the target is not met and additional receiving water sample(s) should be collected and evaluated for this specific receiving water to determine the pattern of toxicity and whether a toxicity identification evaluation </w:t>
      </w:r>
      <w:r w:rsidR="007E32A3">
        <w:rPr>
          <w:i/>
          <w:iCs/>
        </w:rPr>
        <w:t>(</w:t>
      </w:r>
      <w:r w:rsidRPr="002B6CA9">
        <w:rPr>
          <w:i/>
          <w:iCs/>
        </w:rPr>
        <w:t>also</w:t>
      </w:r>
      <w:r w:rsidRPr="002B6CA9">
        <w:rPr>
          <w:i/>
          <w:iCs/>
          <w:spacing w:val="-7"/>
        </w:rPr>
        <w:t xml:space="preserve"> </w:t>
      </w:r>
      <w:r w:rsidRPr="002B6CA9">
        <w:rPr>
          <w:i/>
          <w:iCs/>
        </w:rPr>
        <w:t>referred</w:t>
      </w:r>
      <w:r w:rsidRPr="002B6CA9">
        <w:rPr>
          <w:i/>
          <w:iCs/>
          <w:spacing w:val="-6"/>
        </w:rPr>
        <w:t xml:space="preserve"> </w:t>
      </w:r>
      <w:r w:rsidRPr="002B6CA9">
        <w:rPr>
          <w:i/>
          <w:iCs/>
        </w:rPr>
        <w:t>to</w:t>
      </w:r>
      <w:r w:rsidRPr="002B6CA9">
        <w:rPr>
          <w:i/>
          <w:iCs/>
          <w:spacing w:val="-6"/>
        </w:rPr>
        <w:t xml:space="preserve"> </w:t>
      </w:r>
      <w:r w:rsidRPr="002B6CA9">
        <w:rPr>
          <w:i/>
          <w:iCs/>
        </w:rPr>
        <w:t>as</w:t>
      </w:r>
      <w:r w:rsidRPr="002B6CA9">
        <w:rPr>
          <w:i/>
          <w:iCs/>
          <w:spacing w:val="-6"/>
        </w:rPr>
        <w:t xml:space="preserve"> </w:t>
      </w:r>
      <w:r w:rsidRPr="002B6CA9">
        <w:rPr>
          <w:i/>
          <w:iCs/>
        </w:rPr>
        <w:t>a</w:t>
      </w:r>
      <w:r w:rsidRPr="002B6CA9">
        <w:rPr>
          <w:i/>
          <w:iCs/>
          <w:spacing w:val="-6"/>
        </w:rPr>
        <w:t xml:space="preserve"> </w:t>
      </w:r>
      <w:r w:rsidRPr="002B6CA9">
        <w:rPr>
          <w:i/>
          <w:iCs/>
        </w:rPr>
        <w:t>TIE</w:t>
      </w:r>
      <w:r w:rsidR="007E32A3">
        <w:rPr>
          <w:i/>
          <w:iCs/>
        </w:rPr>
        <w:t>)</w:t>
      </w:r>
      <w:r w:rsidRPr="002B6CA9">
        <w:rPr>
          <w:i/>
          <w:iCs/>
          <w:spacing w:val="-7"/>
        </w:rPr>
        <w:t xml:space="preserve"> </w:t>
      </w:r>
      <w:r w:rsidRPr="002B6CA9">
        <w:rPr>
          <w:i/>
          <w:iCs/>
        </w:rPr>
        <w:t>needs</w:t>
      </w:r>
      <w:r w:rsidRPr="002B6CA9">
        <w:rPr>
          <w:i/>
          <w:iCs/>
          <w:spacing w:val="-6"/>
        </w:rPr>
        <w:t xml:space="preserve"> </w:t>
      </w:r>
      <w:r w:rsidRPr="002B6CA9">
        <w:rPr>
          <w:i/>
          <w:iCs/>
        </w:rPr>
        <w:t>to</w:t>
      </w:r>
      <w:r w:rsidRPr="002B6CA9">
        <w:rPr>
          <w:i/>
          <w:iCs/>
          <w:spacing w:val="-6"/>
        </w:rPr>
        <w:t xml:space="preserve"> </w:t>
      </w:r>
      <w:r w:rsidRPr="002B6CA9">
        <w:rPr>
          <w:i/>
          <w:iCs/>
        </w:rPr>
        <w:t>be</w:t>
      </w:r>
      <w:r w:rsidRPr="002B6CA9">
        <w:rPr>
          <w:i/>
          <w:iCs/>
          <w:spacing w:val="-6"/>
        </w:rPr>
        <w:t xml:space="preserve"> </w:t>
      </w:r>
      <w:r w:rsidRPr="002B6CA9">
        <w:rPr>
          <w:i/>
          <w:iCs/>
        </w:rPr>
        <w:t>conducted</w:t>
      </w:r>
      <w:r w:rsidRPr="002B6CA9">
        <w:rPr>
          <w:i/>
          <w:iCs/>
          <w:spacing w:val="-6"/>
        </w:rPr>
        <w:t xml:space="preserve"> </w:t>
      </w:r>
      <w:r w:rsidRPr="002B6CA9">
        <w:rPr>
          <w:i/>
          <w:iCs/>
        </w:rPr>
        <w:t>to</w:t>
      </w:r>
      <w:r w:rsidRPr="002B6CA9">
        <w:rPr>
          <w:i/>
          <w:iCs/>
          <w:spacing w:val="-6"/>
        </w:rPr>
        <w:t xml:space="preserve"> </w:t>
      </w:r>
      <w:r w:rsidRPr="002B6CA9">
        <w:rPr>
          <w:i/>
          <w:iCs/>
        </w:rPr>
        <w:t>determine</w:t>
      </w:r>
      <w:r w:rsidRPr="002B6CA9">
        <w:rPr>
          <w:i/>
          <w:iCs/>
          <w:spacing w:val="-6"/>
        </w:rPr>
        <w:t xml:space="preserve"> </w:t>
      </w:r>
      <w:r w:rsidRPr="002B6CA9">
        <w:rPr>
          <w:i/>
          <w:iCs/>
        </w:rPr>
        <w:t>the</w:t>
      </w:r>
      <w:r w:rsidRPr="002B6CA9">
        <w:rPr>
          <w:i/>
          <w:iCs/>
          <w:spacing w:val="-7"/>
        </w:rPr>
        <w:t xml:space="preserve"> </w:t>
      </w:r>
      <w:r w:rsidRPr="002B6CA9">
        <w:rPr>
          <w:i/>
          <w:iCs/>
        </w:rPr>
        <w:t>causative</w:t>
      </w:r>
      <w:r w:rsidRPr="002B6CA9">
        <w:rPr>
          <w:i/>
          <w:iCs/>
          <w:spacing w:val="-6"/>
        </w:rPr>
        <w:t xml:space="preserve"> </w:t>
      </w:r>
      <w:r w:rsidRPr="002B6CA9">
        <w:rPr>
          <w:i/>
          <w:iCs/>
        </w:rPr>
        <w:t>toxicant(s).</w:t>
      </w:r>
      <w:r w:rsidRPr="002B6CA9">
        <w:rPr>
          <w:i/>
          <w:iCs/>
          <w:spacing w:val="40"/>
        </w:rPr>
        <w:t xml:space="preserve"> </w:t>
      </w:r>
      <w:r w:rsidRPr="002B6CA9">
        <w:rPr>
          <w:i/>
          <w:iCs/>
        </w:rPr>
        <w:t>If</w:t>
      </w:r>
      <w:r w:rsidRPr="002B6CA9">
        <w:rPr>
          <w:i/>
          <w:iCs/>
          <w:spacing w:val="-7"/>
        </w:rPr>
        <w:t xml:space="preserve"> </w:t>
      </w:r>
      <w:r w:rsidRPr="002B6CA9">
        <w:rPr>
          <w:i/>
          <w:iCs/>
        </w:rPr>
        <w:t>the</w:t>
      </w:r>
      <w:r w:rsidRPr="002B6CA9">
        <w:rPr>
          <w:i/>
          <w:iCs/>
          <w:spacing w:val="-5"/>
        </w:rPr>
        <w:t xml:space="preserve"> </w:t>
      </w:r>
      <w:r w:rsidRPr="002B6CA9">
        <w:rPr>
          <w:i/>
          <w:iCs/>
        </w:rPr>
        <w:t>causative</w:t>
      </w:r>
      <w:r w:rsidRPr="002B6CA9">
        <w:rPr>
          <w:i/>
          <w:iCs/>
          <w:spacing w:val="-6"/>
        </w:rPr>
        <w:t xml:space="preserve"> </w:t>
      </w:r>
      <w:r w:rsidRPr="002B6CA9">
        <w:rPr>
          <w:i/>
          <w:iCs/>
        </w:rPr>
        <w:t>toxicant(s) is</w:t>
      </w:r>
      <w:r w:rsidRPr="002B6CA9">
        <w:rPr>
          <w:i/>
          <w:iCs/>
          <w:spacing w:val="-2"/>
        </w:rPr>
        <w:t xml:space="preserve"> </w:t>
      </w:r>
      <w:r w:rsidRPr="002B6CA9">
        <w:rPr>
          <w:i/>
          <w:iCs/>
        </w:rPr>
        <w:t>already</w:t>
      </w:r>
      <w:r w:rsidRPr="002B6CA9">
        <w:rPr>
          <w:i/>
          <w:iCs/>
          <w:spacing w:val="-3"/>
        </w:rPr>
        <w:t xml:space="preserve"> </w:t>
      </w:r>
      <w:r w:rsidRPr="002B6CA9">
        <w:rPr>
          <w:i/>
          <w:iCs/>
        </w:rPr>
        <w:t>known</w:t>
      </w:r>
      <w:r w:rsidRPr="002B6CA9">
        <w:rPr>
          <w:i/>
          <w:iCs/>
          <w:spacing w:val="-3"/>
        </w:rPr>
        <w:t xml:space="preserve"> </w:t>
      </w:r>
      <w:r w:rsidRPr="002B6CA9">
        <w:rPr>
          <w:i/>
          <w:iCs/>
        </w:rPr>
        <w:t>(e.g.,</w:t>
      </w:r>
      <w:r w:rsidRPr="002B6CA9">
        <w:rPr>
          <w:i/>
          <w:iCs/>
          <w:spacing w:val="-3"/>
        </w:rPr>
        <w:t xml:space="preserve"> </w:t>
      </w:r>
      <w:r w:rsidRPr="002B6CA9">
        <w:rPr>
          <w:i/>
          <w:iCs/>
        </w:rPr>
        <w:t>based</w:t>
      </w:r>
      <w:r w:rsidRPr="002B6CA9">
        <w:rPr>
          <w:i/>
          <w:iCs/>
          <w:spacing w:val="-3"/>
        </w:rPr>
        <w:t xml:space="preserve"> </w:t>
      </w:r>
      <w:r w:rsidRPr="002B6CA9">
        <w:rPr>
          <w:i/>
          <w:iCs/>
        </w:rPr>
        <w:t>on</w:t>
      </w:r>
      <w:r w:rsidRPr="002B6CA9">
        <w:rPr>
          <w:i/>
          <w:iCs/>
          <w:spacing w:val="-3"/>
        </w:rPr>
        <w:t xml:space="preserve"> </w:t>
      </w:r>
      <w:r w:rsidRPr="002B6CA9">
        <w:rPr>
          <w:i/>
          <w:iCs/>
        </w:rPr>
        <w:t>land</w:t>
      </w:r>
      <w:r w:rsidRPr="002B6CA9">
        <w:rPr>
          <w:i/>
          <w:iCs/>
          <w:spacing w:val="-3"/>
        </w:rPr>
        <w:t xml:space="preserve"> </w:t>
      </w:r>
      <w:r w:rsidRPr="002B6CA9">
        <w:rPr>
          <w:i/>
          <w:iCs/>
        </w:rPr>
        <w:t>use</w:t>
      </w:r>
      <w:r w:rsidRPr="002B6CA9">
        <w:rPr>
          <w:i/>
          <w:iCs/>
          <w:spacing w:val="-3"/>
        </w:rPr>
        <w:t xml:space="preserve"> </w:t>
      </w:r>
      <w:r w:rsidRPr="002B6CA9">
        <w:rPr>
          <w:i/>
          <w:iCs/>
        </w:rPr>
        <w:t>patterns</w:t>
      </w:r>
      <w:r w:rsidRPr="002B6CA9">
        <w:rPr>
          <w:i/>
          <w:iCs/>
          <w:spacing w:val="-2"/>
        </w:rPr>
        <w:t xml:space="preserve"> </w:t>
      </w:r>
      <w:r w:rsidRPr="002B6CA9">
        <w:rPr>
          <w:i/>
          <w:iCs/>
        </w:rPr>
        <w:t>and</w:t>
      </w:r>
      <w:r w:rsidRPr="002B6CA9">
        <w:rPr>
          <w:i/>
          <w:iCs/>
          <w:spacing w:val="-3"/>
        </w:rPr>
        <w:t xml:space="preserve"> </w:t>
      </w:r>
      <w:r w:rsidRPr="002B6CA9">
        <w:rPr>
          <w:i/>
          <w:iCs/>
        </w:rPr>
        <w:t>similar</w:t>
      </w:r>
      <w:r w:rsidRPr="002B6CA9">
        <w:rPr>
          <w:i/>
          <w:iCs/>
          <w:spacing w:val="-2"/>
        </w:rPr>
        <w:t xml:space="preserve"> </w:t>
      </w:r>
      <w:r w:rsidRPr="002B6CA9">
        <w:rPr>
          <w:i/>
          <w:iCs/>
        </w:rPr>
        <w:t>responses</w:t>
      </w:r>
      <w:r w:rsidRPr="002B6CA9">
        <w:rPr>
          <w:i/>
          <w:iCs/>
          <w:spacing w:val="-2"/>
        </w:rPr>
        <w:t xml:space="preserve"> </w:t>
      </w:r>
      <w:r w:rsidRPr="002B6CA9">
        <w:rPr>
          <w:i/>
          <w:iCs/>
        </w:rPr>
        <w:t>in</w:t>
      </w:r>
      <w:r w:rsidRPr="002B6CA9">
        <w:rPr>
          <w:i/>
          <w:iCs/>
          <w:spacing w:val="-3"/>
        </w:rPr>
        <w:t xml:space="preserve"> </w:t>
      </w:r>
      <w:r w:rsidRPr="002B6CA9">
        <w:rPr>
          <w:i/>
          <w:iCs/>
        </w:rPr>
        <w:t>sub-watersheds)</w:t>
      </w:r>
      <w:r w:rsidR="00497DA3">
        <w:rPr>
          <w:i/>
          <w:iCs/>
        </w:rPr>
        <w:t>,</w:t>
      </w:r>
      <w:r w:rsidRPr="002B6CA9">
        <w:rPr>
          <w:i/>
          <w:iCs/>
          <w:spacing w:val="-2"/>
        </w:rPr>
        <w:t xml:space="preserve"> </w:t>
      </w:r>
      <w:r w:rsidRPr="002B6CA9">
        <w:rPr>
          <w:i/>
          <w:iCs/>
        </w:rPr>
        <w:t>then</w:t>
      </w:r>
      <w:r w:rsidRPr="002B6CA9">
        <w:rPr>
          <w:i/>
          <w:iCs/>
          <w:spacing w:val="-3"/>
        </w:rPr>
        <w:t xml:space="preserve"> </w:t>
      </w:r>
      <w:r w:rsidRPr="002B6CA9">
        <w:rPr>
          <w:i/>
          <w:iCs/>
        </w:rPr>
        <w:t>implementation of management practices, management plans etc. should be examined for effectiveness if already in place, or implemented to reduce the toxicant(s).</w:t>
      </w:r>
    </w:p>
    <w:p w:rsidRPr="008201C0" w:rsidR="00D824F1" w:rsidP="008201C0" w:rsidRDefault="006F227F" w14:paraId="2D77B252" w14:textId="0BBF9193">
      <w:pPr>
        <w:spacing w:after="0" w:line="240" w:lineRule="auto"/>
        <w:ind w:left="1267"/>
        <w:rPr>
          <w:b/>
          <w:bCs/>
        </w:rPr>
      </w:pPr>
      <w:r w:rsidRPr="008201C0">
        <w:rPr>
          <w:b/>
          <w:bCs/>
        </w:rPr>
        <w:t>Standard</w:t>
      </w:r>
      <w:r w:rsidRPr="008201C0">
        <w:rPr>
          <w:b/>
          <w:bCs/>
          <w:spacing w:val="-4"/>
        </w:rPr>
        <w:t xml:space="preserve"> A</w:t>
      </w:r>
      <w:r w:rsidRPr="008201C0">
        <w:rPr>
          <w:b/>
          <w:bCs/>
        </w:rPr>
        <w:t>quatic</w:t>
      </w:r>
      <w:r w:rsidRPr="008201C0">
        <w:rPr>
          <w:b/>
          <w:bCs/>
          <w:spacing w:val="-4"/>
        </w:rPr>
        <w:t xml:space="preserve"> T</w:t>
      </w:r>
      <w:r w:rsidRPr="008201C0">
        <w:rPr>
          <w:b/>
          <w:bCs/>
        </w:rPr>
        <w:t>oxicity</w:t>
      </w:r>
      <w:r w:rsidRPr="008201C0">
        <w:rPr>
          <w:b/>
          <w:bCs/>
          <w:spacing w:val="-6"/>
        </w:rPr>
        <w:t xml:space="preserve"> T</w:t>
      </w:r>
      <w:r w:rsidRPr="008201C0">
        <w:rPr>
          <w:b/>
          <w:bCs/>
        </w:rPr>
        <w:t>ests</w:t>
      </w:r>
      <w:r w:rsidRPr="008201C0">
        <w:rPr>
          <w:b/>
          <w:bCs/>
          <w:spacing w:val="-3"/>
        </w:rPr>
        <w:t xml:space="preserve"> </w:t>
      </w:r>
      <w:r w:rsidRPr="008201C0">
        <w:rPr>
          <w:b/>
          <w:bCs/>
        </w:rPr>
        <w:t>(sediment</w:t>
      </w:r>
      <w:r w:rsidRPr="008201C0">
        <w:rPr>
          <w:b/>
          <w:bCs/>
          <w:spacing w:val="-3"/>
        </w:rPr>
        <w:t xml:space="preserve"> </w:t>
      </w:r>
      <w:r w:rsidRPr="008201C0">
        <w:rPr>
          <w:b/>
          <w:bCs/>
        </w:rPr>
        <w:t>toxicity</w:t>
      </w:r>
      <w:r w:rsidRPr="008201C0">
        <w:rPr>
          <w:b/>
          <w:bCs/>
          <w:spacing w:val="-5"/>
        </w:rPr>
        <w:t xml:space="preserve"> </w:t>
      </w:r>
      <w:r w:rsidRPr="008201C0">
        <w:rPr>
          <w:b/>
          <w:bCs/>
        </w:rPr>
        <w:t>numeric</w:t>
      </w:r>
      <w:r w:rsidRPr="008201C0">
        <w:rPr>
          <w:b/>
          <w:bCs/>
          <w:spacing w:val="-3"/>
        </w:rPr>
        <w:t xml:space="preserve"> </w:t>
      </w:r>
      <w:r w:rsidRPr="008201C0">
        <w:rPr>
          <w:b/>
          <w:bCs/>
          <w:spacing w:val="-2"/>
        </w:rPr>
        <w:t>target)</w:t>
      </w:r>
    </w:p>
    <w:tbl>
      <w:tblPr>
        <w:tblW w:w="0" w:type="auto"/>
        <w:tblInd w:w="1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26"/>
        <w:gridCol w:w="2731"/>
        <w:gridCol w:w="2503"/>
      </w:tblGrid>
      <w:tr w:rsidR="00A141DD" w:rsidTr="0001755C" w14:paraId="36E9AB37" w14:textId="77777777">
        <w:trPr>
          <w:trHeight w:val="353"/>
        </w:trPr>
        <w:tc>
          <w:tcPr>
            <w:tcW w:w="2326" w:type="dxa"/>
            <w:shd w:val="clear" w:color="auto" w:fill="D6E3BC" w:themeFill="accent3" w:themeFillTint="66"/>
          </w:tcPr>
          <w:p w:rsidR="00A141DD" w:rsidP="00BE7ED3" w:rsidRDefault="00A141DD" w14:paraId="6B9F8134" w14:textId="77777777">
            <w:pPr>
              <w:pStyle w:val="TableParagraph"/>
              <w:spacing w:before="116"/>
              <w:ind w:left="87"/>
              <w:rPr>
                <w:b/>
                <w:sz w:val="20"/>
              </w:rPr>
            </w:pPr>
            <w:r>
              <w:rPr>
                <w:b/>
                <w:spacing w:val="-2"/>
                <w:sz w:val="20"/>
              </w:rPr>
              <w:t>Parameter</w:t>
            </w:r>
          </w:p>
        </w:tc>
        <w:tc>
          <w:tcPr>
            <w:tcW w:w="2731" w:type="dxa"/>
            <w:shd w:val="clear" w:color="auto" w:fill="D6E3BC" w:themeFill="accent3" w:themeFillTint="66"/>
          </w:tcPr>
          <w:p w:rsidR="00A141DD" w:rsidP="00BE7ED3" w:rsidRDefault="00A141DD" w14:paraId="612CAB17" w14:textId="77777777">
            <w:pPr>
              <w:pStyle w:val="TableParagraph"/>
              <w:spacing w:before="116"/>
              <w:ind w:left="87"/>
              <w:rPr>
                <w:b/>
                <w:sz w:val="20"/>
              </w:rPr>
            </w:pPr>
            <w:r w:rsidRPr="00BE7ED3">
              <w:rPr>
                <w:b/>
                <w:spacing w:val="-2"/>
                <w:sz w:val="20"/>
              </w:rPr>
              <w:t>Test</w:t>
            </w:r>
          </w:p>
        </w:tc>
        <w:tc>
          <w:tcPr>
            <w:tcW w:w="2503" w:type="dxa"/>
            <w:shd w:val="clear" w:color="auto" w:fill="D6E3BC" w:themeFill="accent3" w:themeFillTint="66"/>
          </w:tcPr>
          <w:p w:rsidR="00A141DD" w:rsidP="00BE7ED3" w:rsidRDefault="00A141DD" w14:paraId="09AC6D4C" w14:textId="77777777">
            <w:pPr>
              <w:pStyle w:val="TableParagraph"/>
              <w:spacing w:before="116"/>
              <w:ind w:left="87"/>
              <w:rPr>
                <w:b/>
                <w:sz w:val="20"/>
              </w:rPr>
            </w:pPr>
            <w:r w:rsidRPr="00BE7ED3">
              <w:rPr>
                <w:b/>
                <w:spacing w:val="-2"/>
                <w:sz w:val="20"/>
              </w:rPr>
              <w:t xml:space="preserve">Biological Endpoint </w:t>
            </w:r>
            <w:r>
              <w:rPr>
                <w:b/>
                <w:spacing w:val="-2"/>
                <w:sz w:val="20"/>
              </w:rPr>
              <w:t>Assessed</w:t>
            </w:r>
          </w:p>
        </w:tc>
      </w:tr>
      <w:tr w:rsidR="00A141DD" w:rsidTr="0001755C" w14:paraId="34012474" w14:textId="77777777">
        <w:trPr>
          <w:trHeight w:val="353"/>
        </w:trPr>
        <w:tc>
          <w:tcPr>
            <w:tcW w:w="2326" w:type="dxa"/>
          </w:tcPr>
          <w:p w:rsidR="00A141DD" w:rsidP="006A0DB7" w:rsidRDefault="00A141DD" w14:paraId="3D5A3612" w14:textId="77777777">
            <w:pPr>
              <w:pStyle w:val="TableParagraph"/>
              <w:spacing w:before="116"/>
              <w:ind w:left="11" w:right="1"/>
              <w:jc w:val="center"/>
              <w:rPr>
                <w:sz w:val="20"/>
              </w:rPr>
            </w:pPr>
            <w:r>
              <w:rPr>
                <w:sz w:val="20"/>
              </w:rPr>
              <w:t>Sediment</w:t>
            </w:r>
            <w:r>
              <w:rPr>
                <w:spacing w:val="-4"/>
                <w:sz w:val="20"/>
              </w:rPr>
              <w:t xml:space="preserve"> </w:t>
            </w:r>
            <w:r>
              <w:rPr>
                <w:spacing w:val="-2"/>
                <w:sz w:val="20"/>
              </w:rPr>
              <w:t>Toxicity</w:t>
            </w:r>
          </w:p>
        </w:tc>
        <w:tc>
          <w:tcPr>
            <w:tcW w:w="2731" w:type="dxa"/>
          </w:tcPr>
          <w:p w:rsidR="00A141DD" w:rsidP="006A0DB7" w:rsidRDefault="00A141DD" w14:paraId="48D92941" w14:textId="77777777">
            <w:pPr>
              <w:pStyle w:val="TableParagraph"/>
              <w:spacing w:before="0"/>
              <w:ind w:left="10"/>
              <w:jc w:val="center"/>
              <w:rPr>
                <w:sz w:val="20"/>
              </w:rPr>
            </w:pPr>
            <w:r>
              <w:rPr>
                <w:spacing w:val="-2"/>
                <w:sz w:val="20"/>
              </w:rPr>
              <w:t>Hyalella</w:t>
            </w:r>
          </w:p>
          <w:p w:rsidR="00A141DD" w:rsidP="006A0DB7" w:rsidRDefault="00A141DD" w14:paraId="4E107ED9" w14:textId="77777777">
            <w:pPr>
              <w:pStyle w:val="TableParagraph"/>
              <w:spacing w:before="1" w:line="209" w:lineRule="exact"/>
              <w:ind w:left="10"/>
              <w:jc w:val="center"/>
              <w:rPr>
                <w:sz w:val="20"/>
              </w:rPr>
            </w:pPr>
            <w:r>
              <w:rPr>
                <w:sz w:val="20"/>
              </w:rPr>
              <w:t>azteca</w:t>
            </w:r>
            <w:r>
              <w:rPr>
                <w:spacing w:val="-4"/>
                <w:sz w:val="20"/>
              </w:rPr>
              <w:t xml:space="preserve"> </w:t>
            </w:r>
            <w:r>
              <w:rPr>
                <w:sz w:val="20"/>
              </w:rPr>
              <w:t>(10-day</w:t>
            </w:r>
            <w:r>
              <w:rPr>
                <w:spacing w:val="-4"/>
                <w:sz w:val="20"/>
              </w:rPr>
              <w:t xml:space="preserve"> </w:t>
            </w:r>
            <w:r>
              <w:rPr>
                <w:spacing w:val="-2"/>
                <w:sz w:val="20"/>
              </w:rPr>
              <w:t>chronic)</w:t>
            </w:r>
          </w:p>
        </w:tc>
        <w:tc>
          <w:tcPr>
            <w:tcW w:w="2503" w:type="dxa"/>
          </w:tcPr>
          <w:p w:rsidR="00A141DD" w:rsidP="006A0DB7" w:rsidRDefault="00A141DD" w14:paraId="69DF3BAC" w14:textId="77777777">
            <w:pPr>
              <w:pStyle w:val="TableParagraph"/>
              <w:spacing w:before="116"/>
              <w:ind w:left="10"/>
              <w:jc w:val="center"/>
              <w:rPr>
                <w:sz w:val="20"/>
              </w:rPr>
            </w:pPr>
            <w:r>
              <w:rPr>
                <w:spacing w:val="-2"/>
                <w:sz w:val="20"/>
              </w:rPr>
              <w:t>Survival</w:t>
            </w:r>
          </w:p>
        </w:tc>
      </w:tr>
    </w:tbl>
    <w:p w:rsidR="006C65CE" w:rsidP="000A0D2F" w:rsidRDefault="00FC1849" w14:paraId="67662EDA" w14:textId="62EA635A">
      <w:pPr>
        <w:pStyle w:val="BodyText"/>
        <w:spacing w:after="120"/>
        <w:ind w:left="1267" w:right="115"/>
      </w:pPr>
      <w:r w:rsidRPr="00BA5B69">
        <w:rPr>
          <w:u w:val="single"/>
        </w:rPr>
        <w:t xml:space="preserve">Wasteload </w:t>
      </w:r>
      <w:r>
        <w:rPr>
          <w:u w:val="single"/>
        </w:rPr>
        <w:t>A</w:t>
      </w:r>
      <w:r w:rsidRPr="00BA5B69">
        <w:rPr>
          <w:u w:val="single"/>
        </w:rPr>
        <w:t xml:space="preserve">llocation </w:t>
      </w:r>
      <w:r>
        <w:rPr>
          <w:u w:val="single"/>
        </w:rPr>
        <w:t xml:space="preserve">2 </w:t>
      </w:r>
      <w:r w:rsidRPr="00186242">
        <w:t>is e</w:t>
      </w:r>
      <w:r w:rsidRPr="00186242" w:rsidR="00D73FCD">
        <w:t>qual to the</w:t>
      </w:r>
      <w:r w:rsidRPr="00186242" w:rsidR="005E44BC">
        <w:t xml:space="preserve"> </w:t>
      </w:r>
      <w:r w:rsidRPr="00186242" w:rsidR="00314C10">
        <w:t xml:space="preserve">Pyrethroids in Sediment TMDLs, that is defined in </w:t>
      </w:r>
      <w:r w:rsidR="005057D2">
        <w:t xml:space="preserve">Central Coast </w:t>
      </w:r>
      <w:r w:rsidRPr="00186242" w:rsidR="00314C10">
        <w:t>Basin Plan s</w:t>
      </w:r>
      <w:r w:rsidR="005057D2">
        <w:t>e</w:t>
      </w:r>
      <w:r w:rsidRPr="00186242" w:rsidR="00314C10">
        <w:t xml:space="preserve">ction </w:t>
      </w:r>
      <w:r w:rsidR="005057D2">
        <w:t>4.9.19</w:t>
      </w:r>
      <w:r w:rsidRPr="00186242" w:rsidR="00186242">
        <w:t xml:space="preserve"> as </w:t>
      </w:r>
      <w:r w:rsidRPr="00186242" w:rsidR="005E44BC">
        <w:t>Pyrethroid Sediment Concentration Toxicity Unit Numeric Target</w:t>
      </w:r>
      <w:r w:rsidR="006C65CE">
        <w:t>. The pyrethroid sediment concentration toxicity unit (TU) numeric targets are a comparison of toxic levels of pyrethroids in sediment to published criteria</w:t>
      </w:r>
      <w:r w:rsidR="002A35EF">
        <w:t>.</w:t>
      </w:r>
      <w:r w:rsidR="006C65CE">
        <w:t xml:space="preserve"> Samples and </w:t>
      </w:r>
      <w:r w:rsidR="006C65CE">
        <w:t>criteria are for organic carbon normalized concentrations (oc).</w:t>
      </w:r>
      <w:r w:rsidR="006C65CE">
        <w:rPr>
          <w:spacing w:val="40"/>
        </w:rPr>
        <w:t xml:space="preserve"> </w:t>
      </w:r>
      <w:r w:rsidR="006C65CE">
        <w:t>The pyrethroid TU formula is as follows:</w:t>
      </w:r>
    </w:p>
    <w:p w:rsidRPr="00186242" w:rsidR="00A6644B" w:rsidP="008D427E" w:rsidRDefault="00162162" w14:paraId="24D7B590" w14:textId="68AD0AD3">
      <w:pPr>
        <w:ind w:left="1800"/>
        <w:rPr>
          <w:rFonts w:cs="Arial"/>
        </w:rPr>
      </w:pPr>
      <w:r w:rsidRPr="00162162">
        <w:rPr>
          <w:rFonts w:cs="Arial"/>
          <w:noProof/>
        </w:rPr>
        <w:drawing>
          <wp:inline distT="0" distB="0" distL="0" distR="0" wp14:anchorId="51852ECC" wp14:editId="2EDF611B">
            <wp:extent cx="3998794" cy="587845"/>
            <wp:effectExtent l="0" t="0" r="1905" b="3175"/>
            <wp:docPr id="1781054886"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54886" name="Picture 1" descr="Text&#10;&#10;Description automatically generated with low confidence"/>
                    <pic:cNvPicPr/>
                  </pic:nvPicPr>
                  <pic:blipFill>
                    <a:blip r:embed="rId39"/>
                    <a:stretch>
                      <a:fillRect/>
                    </a:stretch>
                  </pic:blipFill>
                  <pic:spPr>
                    <a:xfrm>
                      <a:off x="0" y="0"/>
                      <a:ext cx="4063163" cy="597308"/>
                    </a:xfrm>
                    <a:prstGeom prst="rect">
                      <a:avLst/>
                    </a:prstGeom>
                  </pic:spPr>
                </pic:pic>
              </a:graphicData>
            </a:graphic>
          </wp:inline>
        </w:drawing>
      </w:r>
    </w:p>
    <w:p w:rsidRPr="003A70EB" w:rsidR="003A70EB" w:rsidP="003A70EB" w:rsidRDefault="003A70EB" w14:paraId="4E2E8EBB" w14:textId="77777777">
      <w:pPr>
        <w:ind w:left="1260"/>
        <w:rPr>
          <w:rFonts w:cs="Arial"/>
        </w:rPr>
      </w:pPr>
      <w:r w:rsidRPr="003A70EB">
        <w:rPr>
          <w:rFonts w:cs="Arial"/>
        </w:rPr>
        <w:t xml:space="preserve">Pyrethroid TUs for the pyrethroid concentrations measured in sediment are summarized using the following formula. The summary is for two toxicity unit formulas but it could be applied to additional pyrethroids in found in Table 4.9.19-2: </w:t>
      </w:r>
    </w:p>
    <w:p w:rsidRPr="003A70EB" w:rsidR="003A70EB" w:rsidP="008D427E" w:rsidRDefault="003A70EB" w14:paraId="6B2667D5" w14:textId="77777777">
      <w:pPr>
        <w:ind w:left="1260" w:firstLine="630"/>
        <w:rPr>
          <w:rFonts w:cs="Arial"/>
        </w:rPr>
      </w:pPr>
      <w:r w:rsidRPr="003A70EB">
        <w:rPr>
          <w:rFonts w:cs="Arial"/>
        </w:rPr>
        <w:t xml:space="preserve">Sum Pyrethroid TUs = Pyrethroid TU (1) + Pyrethroid TU (2) </w:t>
      </w:r>
    </w:p>
    <w:p w:rsidRPr="003A70EB" w:rsidR="003A70EB" w:rsidP="003A70EB" w:rsidRDefault="003A70EB" w14:paraId="3B6A56A8" w14:textId="77777777">
      <w:pPr>
        <w:ind w:left="1260"/>
        <w:rPr>
          <w:rFonts w:cs="Arial"/>
        </w:rPr>
      </w:pPr>
      <w:r w:rsidRPr="003A70EB">
        <w:rPr>
          <w:rFonts w:cs="Arial"/>
        </w:rPr>
        <w:t xml:space="preserve">The numeric target for the sum pyrethroid TUs is where: </w:t>
      </w:r>
    </w:p>
    <w:p w:rsidRPr="003A70EB" w:rsidR="005E44BC" w:rsidP="008D427E" w:rsidRDefault="003A70EB" w14:paraId="694A4214" w14:textId="798B43AB">
      <w:pPr>
        <w:ind w:left="1260" w:firstLine="630"/>
        <w:rPr>
          <w:rFonts w:cs="Arial"/>
        </w:rPr>
      </w:pPr>
      <w:r w:rsidRPr="003A70EB">
        <w:rPr>
          <w:rFonts w:cs="Arial"/>
        </w:rPr>
        <w:t>Sum Pyrethroid TUs &lt; 1.0</w:t>
      </w:r>
    </w:p>
    <w:tbl>
      <w:tblPr>
        <w:tblW w:w="8280" w:type="dxa"/>
        <w:tblInd w:w="1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90"/>
        <w:gridCol w:w="1736"/>
        <w:gridCol w:w="1774"/>
        <w:gridCol w:w="2880"/>
      </w:tblGrid>
      <w:tr w:rsidRPr="00FB07A8" w:rsidR="00FB0A50" w:rsidTr="001C0987" w14:paraId="75B98C45" w14:textId="77777777">
        <w:trPr>
          <w:trHeight w:val="863"/>
        </w:trPr>
        <w:tc>
          <w:tcPr>
            <w:tcW w:w="1890" w:type="dxa"/>
            <w:shd w:val="clear" w:color="auto" w:fill="D6E3BC" w:themeFill="accent3" w:themeFillTint="66"/>
            <w:vAlign w:val="center"/>
          </w:tcPr>
          <w:p w:rsidRPr="00FB07A8" w:rsidR="00FB0A50" w:rsidP="00FB07A8" w:rsidRDefault="00FB0A50" w14:paraId="60F02277" w14:textId="77777777">
            <w:pPr>
              <w:pStyle w:val="TableParagraph"/>
              <w:spacing w:before="20" w:after="20"/>
              <w:ind w:left="668"/>
              <w:rPr>
                <w:b/>
              </w:rPr>
            </w:pPr>
            <w:r w:rsidRPr="00FB07A8">
              <w:rPr>
                <w:b/>
                <w:spacing w:val="-2"/>
              </w:rPr>
              <w:t>Chemical</w:t>
            </w:r>
          </w:p>
        </w:tc>
        <w:tc>
          <w:tcPr>
            <w:tcW w:w="1736" w:type="dxa"/>
            <w:shd w:val="clear" w:color="auto" w:fill="D6E3BC" w:themeFill="accent3" w:themeFillTint="66"/>
            <w:vAlign w:val="center"/>
          </w:tcPr>
          <w:p w:rsidRPr="00FB07A8" w:rsidR="00FB0A50" w:rsidP="00FB07A8" w:rsidRDefault="00FB0A50" w14:paraId="49466D05" w14:textId="22959542">
            <w:pPr>
              <w:pStyle w:val="TableParagraph"/>
              <w:spacing w:before="20" w:after="20"/>
              <w:ind w:left="75" w:right="64"/>
              <w:jc w:val="center"/>
              <w:rPr>
                <w:b/>
              </w:rPr>
            </w:pPr>
            <w:r w:rsidRPr="00FB07A8">
              <w:rPr>
                <w:b/>
              </w:rPr>
              <w:t xml:space="preserve">LC </w:t>
            </w:r>
            <w:r w:rsidRPr="00FB07A8">
              <w:rPr>
                <w:b/>
                <w:spacing w:val="-5"/>
              </w:rPr>
              <w:t>50</w:t>
            </w:r>
            <w:r w:rsidRPr="00FB07A8">
              <w:rPr>
                <w:b/>
                <w:spacing w:val="-5"/>
                <w:vertAlign w:val="superscript"/>
              </w:rPr>
              <w:t xml:space="preserve">1 </w:t>
            </w:r>
            <w:r w:rsidR="00FB07A8">
              <w:rPr>
                <w:b/>
                <w:spacing w:val="-5"/>
                <w:vertAlign w:val="superscript"/>
              </w:rPr>
              <w:br/>
            </w:r>
            <w:r w:rsidRPr="00FB07A8">
              <w:rPr>
                <w:b/>
              </w:rPr>
              <w:t>ng/g</w:t>
            </w:r>
            <w:r w:rsidRPr="00FB07A8">
              <w:rPr>
                <w:b/>
                <w:vertAlign w:val="superscript"/>
              </w:rPr>
              <w:t>2</w:t>
            </w:r>
            <w:r w:rsidRPr="00FB07A8">
              <w:rPr>
                <w:b/>
                <w:spacing w:val="-4"/>
              </w:rPr>
              <w:t xml:space="preserve"> </w:t>
            </w:r>
            <w:r w:rsidRPr="00FB07A8">
              <w:rPr>
                <w:b/>
                <w:spacing w:val="-2"/>
              </w:rPr>
              <w:t>(ppb</w:t>
            </w:r>
            <w:r w:rsidRPr="00FB07A8">
              <w:rPr>
                <w:b/>
                <w:spacing w:val="-2"/>
                <w:vertAlign w:val="superscript"/>
              </w:rPr>
              <w:t>3</w:t>
            </w:r>
            <w:r w:rsidRPr="00FB07A8">
              <w:rPr>
                <w:b/>
                <w:spacing w:val="-2"/>
              </w:rPr>
              <w:t>)</w:t>
            </w:r>
          </w:p>
        </w:tc>
        <w:tc>
          <w:tcPr>
            <w:tcW w:w="1774" w:type="dxa"/>
            <w:shd w:val="clear" w:color="auto" w:fill="D6E3BC" w:themeFill="accent3" w:themeFillTint="66"/>
            <w:vAlign w:val="center"/>
          </w:tcPr>
          <w:p w:rsidRPr="00FB07A8" w:rsidR="00FB0A50" w:rsidP="00FB07A8" w:rsidRDefault="00FB0A50" w14:paraId="2DD1222C" w14:textId="77777777">
            <w:pPr>
              <w:pStyle w:val="TableParagraph"/>
              <w:spacing w:before="20" w:after="20"/>
              <w:ind w:left="253" w:right="185" w:hanging="53"/>
              <w:jc w:val="center"/>
              <w:rPr>
                <w:b/>
              </w:rPr>
            </w:pPr>
            <w:r w:rsidRPr="00FB07A8">
              <w:rPr>
                <w:b/>
              </w:rPr>
              <w:t>LC50</w:t>
            </w:r>
            <w:r w:rsidRPr="00FB07A8">
              <w:rPr>
                <w:b/>
                <w:spacing w:val="-14"/>
              </w:rPr>
              <w:t xml:space="preserve"> </w:t>
            </w:r>
            <w:r w:rsidRPr="00FB07A8">
              <w:rPr>
                <w:b/>
              </w:rPr>
              <w:t>ug/g</w:t>
            </w:r>
            <w:r w:rsidRPr="00FB07A8">
              <w:rPr>
                <w:b/>
                <w:vertAlign w:val="superscript"/>
              </w:rPr>
              <w:t>4</w:t>
            </w:r>
            <w:r w:rsidRPr="00FB07A8">
              <w:rPr>
                <w:b/>
              </w:rPr>
              <w:t xml:space="preserve"> </w:t>
            </w:r>
            <w:r w:rsidRPr="00FB07A8">
              <w:rPr>
                <w:b/>
                <w:spacing w:val="-2"/>
              </w:rPr>
              <w:t>oc</w:t>
            </w:r>
            <w:r w:rsidRPr="00FB07A8">
              <w:rPr>
                <w:b/>
                <w:spacing w:val="-2"/>
                <w:vertAlign w:val="superscript"/>
              </w:rPr>
              <w:t>5</w:t>
            </w:r>
            <w:r w:rsidRPr="00FB07A8">
              <w:rPr>
                <w:b/>
                <w:spacing w:val="-2"/>
              </w:rPr>
              <w:t>(ppm</w:t>
            </w:r>
            <w:r w:rsidRPr="00FB07A8">
              <w:rPr>
                <w:b/>
                <w:spacing w:val="-2"/>
                <w:vertAlign w:val="superscript"/>
              </w:rPr>
              <w:t>6</w:t>
            </w:r>
            <w:r w:rsidRPr="00FB07A8">
              <w:rPr>
                <w:b/>
                <w:spacing w:val="-2"/>
              </w:rPr>
              <w:t>)</w:t>
            </w:r>
          </w:p>
        </w:tc>
        <w:tc>
          <w:tcPr>
            <w:tcW w:w="2880" w:type="dxa"/>
            <w:shd w:val="clear" w:color="auto" w:fill="D6E3BC" w:themeFill="accent3" w:themeFillTint="66"/>
            <w:vAlign w:val="center"/>
          </w:tcPr>
          <w:p w:rsidRPr="00FB07A8" w:rsidR="00FB0A50" w:rsidP="00FB07A8" w:rsidRDefault="00FB0A50" w14:paraId="10505AD6" w14:textId="77777777">
            <w:pPr>
              <w:pStyle w:val="TableParagraph"/>
              <w:spacing w:before="20" w:after="20"/>
              <w:ind w:left="11"/>
              <w:jc w:val="center"/>
              <w:rPr>
                <w:b/>
              </w:rPr>
            </w:pPr>
            <w:r w:rsidRPr="00FB07A8">
              <w:rPr>
                <w:b/>
                <w:spacing w:val="-2"/>
              </w:rPr>
              <w:t>Reference</w:t>
            </w:r>
          </w:p>
        </w:tc>
      </w:tr>
      <w:tr w:rsidRPr="00FB07A8" w:rsidR="00FB0A50" w:rsidTr="001C0987" w14:paraId="493834C3" w14:textId="77777777">
        <w:trPr>
          <w:trHeight w:val="375"/>
        </w:trPr>
        <w:tc>
          <w:tcPr>
            <w:tcW w:w="1890" w:type="dxa"/>
          </w:tcPr>
          <w:p w:rsidRPr="00FB07A8" w:rsidR="00FB0A50" w:rsidP="002B7EB2" w:rsidRDefault="00FB0A50" w14:paraId="6A472CAC" w14:textId="77777777">
            <w:pPr>
              <w:pStyle w:val="TableParagraph"/>
              <w:spacing w:before="20" w:after="20"/>
              <w:ind w:left="203"/>
            </w:pPr>
            <w:r w:rsidRPr="00FB07A8">
              <w:rPr>
                <w:spacing w:val="-2"/>
              </w:rPr>
              <w:t>Bifenthrin</w:t>
            </w:r>
          </w:p>
        </w:tc>
        <w:tc>
          <w:tcPr>
            <w:tcW w:w="1736" w:type="dxa"/>
          </w:tcPr>
          <w:p w:rsidRPr="00FB07A8" w:rsidR="00FB0A50" w:rsidP="00FB07A8" w:rsidRDefault="00FB0A50" w14:paraId="4789BB32" w14:textId="77777777">
            <w:pPr>
              <w:pStyle w:val="TableParagraph"/>
              <w:spacing w:before="20" w:after="20"/>
              <w:ind w:left="520" w:hanging="22"/>
            </w:pPr>
            <w:r w:rsidRPr="00FB07A8">
              <w:rPr>
                <w:spacing w:val="-4"/>
              </w:rPr>
              <w:t>12.9</w:t>
            </w:r>
          </w:p>
        </w:tc>
        <w:tc>
          <w:tcPr>
            <w:tcW w:w="1774" w:type="dxa"/>
          </w:tcPr>
          <w:p w:rsidRPr="00FB07A8" w:rsidR="00FB0A50" w:rsidP="00FB07A8" w:rsidRDefault="00FB0A50" w14:paraId="09DF388C" w14:textId="77777777">
            <w:pPr>
              <w:pStyle w:val="TableParagraph"/>
              <w:spacing w:before="20" w:after="20"/>
              <w:ind w:right="549"/>
              <w:jc w:val="center"/>
            </w:pPr>
            <w:r w:rsidRPr="00FB07A8">
              <w:rPr>
                <w:spacing w:val="-4"/>
              </w:rPr>
              <w:t>0.52</w:t>
            </w:r>
          </w:p>
        </w:tc>
        <w:tc>
          <w:tcPr>
            <w:tcW w:w="2880" w:type="dxa"/>
          </w:tcPr>
          <w:p w:rsidRPr="00FB07A8" w:rsidR="00FB0A50" w:rsidP="00137C72" w:rsidRDefault="00FB0A50" w14:paraId="5388FBFF" w14:textId="77777777">
            <w:pPr>
              <w:pStyle w:val="TableParagraph"/>
              <w:spacing w:before="20" w:after="20"/>
              <w:ind w:left="180"/>
            </w:pPr>
            <w:r w:rsidRPr="00FB07A8">
              <w:t>(Amweg</w:t>
            </w:r>
            <w:r w:rsidRPr="00FB07A8">
              <w:rPr>
                <w:spacing w:val="-3"/>
              </w:rPr>
              <w:t xml:space="preserve"> </w:t>
            </w:r>
            <w:r w:rsidRPr="00FB07A8">
              <w:t>et</w:t>
            </w:r>
            <w:r w:rsidRPr="00FB07A8">
              <w:rPr>
                <w:spacing w:val="-3"/>
              </w:rPr>
              <w:t xml:space="preserve"> </w:t>
            </w:r>
            <w:r w:rsidRPr="00FB07A8">
              <w:t>al.,</w:t>
            </w:r>
            <w:r w:rsidRPr="00FB07A8">
              <w:rPr>
                <w:spacing w:val="-3"/>
              </w:rPr>
              <w:t xml:space="preserve"> </w:t>
            </w:r>
            <w:r w:rsidRPr="00FB07A8">
              <w:rPr>
                <w:spacing w:val="-2"/>
              </w:rPr>
              <w:t>2005)</w:t>
            </w:r>
          </w:p>
        </w:tc>
      </w:tr>
      <w:tr w:rsidRPr="00FB07A8" w:rsidR="00FB0A50" w:rsidTr="001C0987" w14:paraId="22DBD134" w14:textId="77777777">
        <w:trPr>
          <w:trHeight w:val="374"/>
        </w:trPr>
        <w:tc>
          <w:tcPr>
            <w:tcW w:w="1890" w:type="dxa"/>
          </w:tcPr>
          <w:p w:rsidRPr="00FB07A8" w:rsidR="00FB0A50" w:rsidP="002B7EB2" w:rsidRDefault="00FB0A50" w14:paraId="0C4CEF7D" w14:textId="77777777">
            <w:pPr>
              <w:pStyle w:val="TableParagraph"/>
              <w:spacing w:before="20" w:after="20"/>
              <w:ind w:left="203"/>
            </w:pPr>
            <w:r w:rsidRPr="00FB07A8">
              <w:rPr>
                <w:spacing w:val="-2"/>
              </w:rPr>
              <w:t>Cyfluthrin</w:t>
            </w:r>
          </w:p>
        </w:tc>
        <w:tc>
          <w:tcPr>
            <w:tcW w:w="1736" w:type="dxa"/>
          </w:tcPr>
          <w:p w:rsidRPr="00FB07A8" w:rsidR="00FB0A50" w:rsidP="00FB07A8" w:rsidRDefault="00FB0A50" w14:paraId="7E8C4F4B" w14:textId="77777777">
            <w:pPr>
              <w:pStyle w:val="TableParagraph"/>
              <w:spacing w:before="20" w:after="20"/>
              <w:ind w:left="520" w:hanging="22"/>
            </w:pPr>
            <w:r w:rsidRPr="00FB07A8">
              <w:rPr>
                <w:spacing w:val="-4"/>
              </w:rPr>
              <w:t>13.7</w:t>
            </w:r>
          </w:p>
        </w:tc>
        <w:tc>
          <w:tcPr>
            <w:tcW w:w="1774" w:type="dxa"/>
          </w:tcPr>
          <w:p w:rsidRPr="00FB07A8" w:rsidR="00FB0A50" w:rsidP="00FB07A8" w:rsidRDefault="00FB0A50" w14:paraId="67CAFBFC" w14:textId="77777777">
            <w:pPr>
              <w:pStyle w:val="TableParagraph"/>
              <w:spacing w:before="20" w:after="20"/>
              <w:ind w:right="549"/>
              <w:jc w:val="center"/>
            </w:pPr>
            <w:r w:rsidRPr="00FB07A8">
              <w:rPr>
                <w:spacing w:val="-4"/>
              </w:rPr>
              <w:t>1.08</w:t>
            </w:r>
          </w:p>
        </w:tc>
        <w:tc>
          <w:tcPr>
            <w:tcW w:w="2880" w:type="dxa"/>
          </w:tcPr>
          <w:p w:rsidRPr="00FB07A8" w:rsidR="00FB0A50" w:rsidP="00137C72" w:rsidRDefault="00FB0A50" w14:paraId="7131E99B" w14:textId="77777777">
            <w:pPr>
              <w:pStyle w:val="TableParagraph"/>
              <w:spacing w:before="20" w:after="20"/>
              <w:ind w:left="180"/>
            </w:pPr>
            <w:r w:rsidRPr="00FB07A8">
              <w:t>(Amweg</w:t>
            </w:r>
            <w:r w:rsidRPr="00FB07A8">
              <w:rPr>
                <w:spacing w:val="-3"/>
              </w:rPr>
              <w:t xml:space="preserve"> </w:t>
            </w:r>
            <w:r w:rsidRPr="00FB07A8">
              <w:t>et</w:t>
            </w:r>
            <w:r w:rsidRPr="00FB07A8">
              <w:rPr>
                <w:spacing w:val="-3"/>
              </w:rPr>
              <w:t xml:space="preserve"> </w:t>
            </w:r>
            <w:r w:rsidRPr="00FB07A8">
              <w:t>al.,</w:t>
            </w:r>
            <w:r w:rsidRPr="00FB07A8">
              <w:rPr>
                <w:spacing w:val="-3"/>
              </w:rPr>
              <w:t xml:space="preserve"> </w:t>
            </w:r>
            <w:r w:rsidRPr="00FB07A8">
              <w:rPr>
                <w:spacing w:val="-2"/>
              </w:rPr>
              <w:t>2005)</w:t>
            </w:r>
          </w:p>
        </w:tc>
      </w:tr>
      <w:tr w:rsidRPr="00FB07A8" w:rsidR="00FB0A50" w:rsidTr="001C0987" w14:paraId="44CC2A27" w14:textId="77777777">
        <w:trPr>
          <w:trHeight w:val="375"/>
        </w:trPr>
        <w:tc>
          <w:tcPr>
            <w:tcW w:w="1890" w:type="dxa"/>
          </w:tcPr>
          <w:p w:rsidRPr="00FB07A8" w:rsidR="00FB0A50" w:rsidP="002B7EB2" w:rsidRDefault="00FB0A50" w14:paraId="65F56EF6" w14:textId="77777777">
            <w:pPr>
              <w:pStyle w:val="TableParagraph"/>
              <w:spacing w:before="20" w:after="20"/>
              <w:ind w:left="203"/>
            </w:pPr>
            <w:r w:rsidRPr="00FB07A8">
              <w:rPr>
                <w:spacing w:val="-2"/>
              </w:rPr>
              <w:t>Cypermethrin</w:t>
            </w:r>
          </w:p>
        </w:tc>
        <w:tc>
          <w:tcPr>
            <w:tcW w:w="1736" w:type="dxa"/>
          </w:tcPr>
          <w:p w:rsidRPr="00FB07A8" w:rsidR="00FB0A50" w:rsidP="00FB07A8" w:rsidRDefault="00FB0A50" w14:paraId="13AEC09E" w14:textId="77777777">
            <w:pPr>
              <w:pStyle w:val="TableParagraph"/>
              <w:spacing w:before="20" w:after="20"/>
              <w:ind w:left="520" w:hanging="22"/>
            </w:pPr>
            <w:r w:rsidRPr="00FB07A8">
              <w:rPr>
                <w:spacing w:val="-2"/>
              </w:rPr>
              <w:t>14.87</w:t>
            </w:r>
          </w:p>
        </w:tc>
        <w:tc>
          <w:tcPr>
            <w:tcW w:w="1774" w:type="dxa"/>
          </w:tcPr>
          <w:p w:rsidRPr="00FB07A8" w:rsidR="00FB0A50" w:rsidP="00FB07A8" w:rsidRDefault="00FB0A50" w14:paraId="32201A6E" w14:textId="77777777">
            <w:pPr>
              <w:pStyle w:val="TableParagraph"/>
              <w:spacing w:before="20" w:after="20"/>
              <w:ind w:right="549"/>
              <w:jc w:val="center"/>
            </w:pPr>
            <w:r w:rsidRPr="00FB07A8">
              <w:rPr>
                <w:spacing w:val="-4"/>
              </w:rPr>
              <w:t>0.38</w:t>
            </w:r>
          </w:p>
        </w:tc>
        <w:tc>
          <w:tcPr>
            <w:tcW w:w="2880" w:type="dxa"/>
          </w:tcPr>
          <w:p w:rsidRPr="00FB07A8" w:rsidR="00FB0A50" w:rsidP="00137C72" w:rsidRDefault="00FB0A50" w14:paraId="14A2CE2C" w14:textId="77777777">
            <w:pPr>
              <w:pStyle w:val="TableParagraph"/>
              <w:spacing w:before="20" w:after="20"/>
              <w:ind w:left="180"/>
            </w:pPr>
            <w:r w:rsidRPr="00FB07A8">
              <w:t>(Maund</w:t>
            </w:r>
            <w:r w:rsidRPr="00FB07A8">
              <w:rPr>
                <w:spacing w:val="-3"/>
              </w:rPr>
              <w:t xml:space="preserve"> </w:t>
            </w:r>
            <w:r w:rsidRPr="00FB07A8">
              <w:t>et</w:t>
            </w:r>
            <w:r w:rsidRPr="00FB07A8">
              <w:rPr>
                <w:spacing w:val="-2"/>
              </w:rPr>
              <w:t xml:space="preserve"> </w:t>
            </w:r>
            <w:r w:rsidRPr="00FB07A8">
              <w:t>al.,</w:t>
            </w:r>
            <w:r w:rsidRPr="00FB07A8">
              <w:rPr>
                <w:spacing w:val="-3"/>
              </w:rPr>
              <w:t xml:space="preserve"> </w:t>
            </w:r>
            <w:r w:rsidRPr="00FB07A8">
              <w:t>2002)</w:t>
            </w:r>
            <w:r w:rsidRPr="00FB07A8">
              <w:rPr>
                <w:spacing w:val="-1"/>
              </w:rPr>
              <w:t xml:space="preserve"> </w:t>
            </w:r>
            <w:r w:rsidRPr="00FB07A8">
              <w:t>mean</w:t>
            </w:r>
            <w:r w:rsidRPr="00FB07A8">
              <w:rPr>
                <w:spacing w:val="-3"/>
              </w:rPr>
              <w:t xml:space="preserve"> </w:t>
            </w:r>
            <w:r w:rsidRPr="00FB07A8">
              <w:rPr>
                <w:spacing w:val="-4"/>
              </w:rPr>
              <w:t>value</w:t>
            </w:r>
          </w:p>
        </w:tc>
      </w:tr>
      <w:tr w:rsidRPr="00FB07A8" w:rsidR="00FB0A50" w:rsidTr="001C0987" w14:paraId="7973E864" w14:textId="77777777">
        <w:trPr>
          <w:trHeight w:val="375"/>
        </w:trPr>
        <w:tc>
          <w:tcPr>
            <w:tcW w:w="1890" w:type="dxa"/>
          </w:tcPr>
          <w:p w:rsidRPr="00FB07A8" w:rsidR="00FB0A50" w:rsidP="002B7EB2" w:rsidRDefault="00FB0A50" w14:paraId="6779EE89" w14:textId="77777777">
            <w:pPr>
              <w:pStyle w:val="TableParagraph"/>
              <w:spacing w:before="20" w:after="20"/>
              <w:ind w:left="203"/>
            </w:pPr>
            <w:r w:rsidRPr="00FB07A8">
              <w:rPr>
                <w:spacing w:val="-2"/>
              </w:rPr>
              <w:t>Esfenvalerate</w:t>
            </w:r>
          </w:p>
        </w:tc>
        <w:tc>
          <w:tcPr>
            <w:tcW w:w="1736" w:type="dxa"/>
          </w:tcPr>
          <w:p w:rsidRPr="00FB07A8" w:rsidR="00FB0A50" w:rsidP="00FB07A8" w:rsidRDefault="00FB0A50" w14:paraId="4BC0EBD7" w14:textId="77777777">
            <w:pPr>
              <w:pStyle w:val="TableParagraph"/>
              <w:spacing w:before="20" w:after="20"/>
              <w:ind w:left="520" w:hanging="22"/>
            </w:pPr>
            <w:r w:rsidRPr="00FB07A8">
              <w:rPr>
                <w:spacing w:val="-4"/>
              </w:rPr>
              <w:t>41.8</w:t>
            </w:r>
          </w:p>
        </w:tc>
        <w:tc>
          <w:tcPr>
            <w:tcW w:w="1774" w:type="dxa"/>
          </w:tcPr>
          <w:p w:rsidRPr="00FB07A8" w:rsidR="00FB0A50" w:rsidP="00FB07A8" w:rsidRDefault="00FB0A50" w14:paraId="43246A6D" w14:textId="77777777">
            <w:pPr>
              <w:pStyle w:val="TableParagraph"/>
              <w:spacing w:before="20" w:after="20"/>
              <w:ind w:right="549"/>
              <w:jc w:val="center"/>
            </w:pPr>
            <w:r w:rsidRPr="00FB07A8">
              <w:rPr>
                <w:spacing w:val="-4"/>
              </w:rPr>
              <w:t>1.54</w:t>
            </w:r>
          </w:p>
        </w:tc>
        <w:tc>
          <w:tcPr>
            <w:tcW w:w="2880" w:type="dxa"/>
          </w:tcPr>
          <w:p w:rsidRPr="00FB07A8" w:rsidR="00FB0A50" w:rsidP="00137C72" w:rsidRDefault="00FB0A50" w14:paraId="6713B0D6" w14:textId="77777777">
            <w:pPr>
              <w:pStyle w:val="TableParagraph"/>
              <w:spacing w:before="20" w:after="20"/>
              <w:ind w:left="180"/>
            </w:pPr>
            <w:r w:rsidRPr="00FB07A8">
              <w:t>(Amweg</w:t>
            </w:r>
            <w:r w:rsidRPr="00FB07A8">
              <w:rPr>
                <w:spacing w:val="-4"/>
              </w:rPr>
              <w:t xml:space="preserve"> </w:t>
            </w:r>
            <w:r w:rsidRPr="00FB07A8">
              <w:t>et</w:t>
            </w:r>
            <w:r w:rsidRPr="00FB07A8">
              <w:rPr>
                <w:spacing w:val="-3"/>
              </w:rPr>
              <w:t xml:space="preserve"> </w:t>
            </w:r>
            <w:r w:rsidRPr="00FB07A8">
              <w:t>al.,</w:t>
            </w:r>
            <w:r w:rsidRPr="00FB07A8">
              <w:rPr>
                <w:spacing w:val="-3"/>
              </w:rPr>
              <w:t xml:space="preserve"> </w:t>
            </w:r>
            <w:r w:rsidRPr="00FB07A8">
              <w:rPr>
                <w:spacing w:val="-2"/>
              </w:rPr>
              <w:t>2005)</w:t>
            </w:r>
          </w:p>
        </w:tc>
      </w:tr>
      <w:tr w:rsidRPr="00FB07A8" w:rsidR="00FB0A50" w:rsidTr="001C0987" w14:paraId="4507150A" w14:textId="77777777">
        <w:trPr>
          <w:trHeight w:val="375"/>
        </w:trPr>
        <w:tc>
          <w:tcPr>
            <w:tcW w:w="1890" w:type="dxa"/>
          </w:tcPr>
          <w:p w:rsidRPr="00FB07A8" w:rsidR="00FB0A50" w:rsidP="002B7EB2" w:rsidRDefault="00FB0A50" w14:paraId="6EA73EAF" w14:textId="77777777">
            <w:pPr>
              <w:pStyle w:val="TableParagraph"/>
              <w:spacing w:before="20" w:after="20"/>
              <w:ind w:left="203"/>
            </w:pPr>
            <w:r w:rsidRPr="00FB07A8">
              <w:rPr>
                <w:spacing w:val="-2"/>
              </w:rPr>
              <w:t>Lambda-Cyhalothrin</w:t>
            </w:r>
          </w:p>
        </w:tc>
        <w:tc>
          <w:tcPr>
            <w:tcW w:w="1736" w:type="dxa"/>
          </w:tcPr>
          <w:p w:rsidRPr="00FB07A8" w:rsidR="00FB0A50" w:rsidP="00FB07A8" w:rsidRDefault="00FB0A50" w14:paraId="211CB13E" w14:textId="56DAC816">
            <w:pPr>
              <w:pStyle w:val="TableParagraph"/>
              <w:tabs>
                <w:tab w:val="left" w:pos="588"/>
              </w:tabs>
              <w:spacing w:before="20" w:after="20"/>
              <w:ind w:left="360" w:right="75" w:firstLine="42"/>
            </w:pPr>
            <w:r w:rsidRPr="00FB07A8">
              <w:rPr>
                <w:spacing w:val="-5"/>
              </w:rPr>
              <w:tab/>
            </w:r>
            <w:r w:rsidRPr="00FB07A8">
              <w:rPr>
                <w:spacing w:val="-5"/>
              </w:rPr>
              <w:t>5.6</w:t>
            </w:r>
          </w:p>
        </w:tc>
        <w:tc>
          <w:tcPr>
            <w:tcW w:w="1774" w:type="dxa"/>
          </w:tcPr>
          <w:p w:rsidRPr="00FB07A8" w:rsidR="00FB0A50" w:rsidP="00FB07A8" w:rsidRDefault="00FB0A50" w14:paraId="64C86021" w14:textId="77777777">
            <w:pPr>
              <w:pStyle w:val="TableParagraph"/>
              <w:spacing w:before="20" w:after="20"/>
              <w:ind w:right="549"/>
              <w:jc w:val="center"/>
            </w:pPr>
            <w:r w:rsidRPr="00FB07A8">
              <w:rPr>
                <w:spacing w:val="-4"/>
              </w:rPr>
              <w:t>0.45</w:t>
            </w:r>
          </w:p>
        </w:tc>
        <w:tc>
          <w:tcPr>
            <w:tcW w:w="2880" w:type="dxa"/>
          </w:tcPr>
          <w:p w:rsidRPr="00FB07A8" w:rsidR="00FB0A50" w:rsidP="00137C72" w:rsidRDefault="00FB0A50" w14:paraId="761CAC33" w14:textId="77777777">
            <w:pPr>
              <w:pStyle w:val="TableParagraph"/>
              <w:spacing w:before="20" w:after="20"/>
              <w:ind w:left="180"/>
            </w:pPr>
            <w:r w:rsidRPr="00FB07A8">
              <w:t>(Amweg</w:t>
            </w:r>
            <w:r w:rsidRPr="00FB07A8">
              <w:rPr>
                <w:spacing w:val="-3"/>
              </w:rPr>
              <w:t xml:space="preserve"> </w:t>
            </w:r>
            <w:r w:rsidRPr="00FB07A8">
              <w:t>et</w:t>
            </w:r>
            <w:r w:rsidRPr="00FB07A8">
              <w:rPr>
                <w:spacing w:val="-3"/>
              </w:rPr>
              <w:t xml:space="preserve"> </w:t>
            </w:r>
            <w:r w:rsidRPr="00FB07A8">
              <w:t>al.,</w:t>
            </w:r>
            <w:r w:rsidRPr="00FB07A8">
              <w:rPr>
                <w:spacing w:val="-3"/>
              </w:rPr>
              <w:t xml:space="preserve"> </w:t>
            </w:r>
            <w:r w:rsidRPr="00FB07A8">
              <w:rPr>
                <w:spacing w:val="-2"/>
              </w:rPr>
              <w:t>2005)</w:t>
            </w:r>
          </w:p>
        </w:tc>
      </w:tr>
      <w:tr w:rsidRPr="00FB07A8" w:rsidR="00FB0A50" w:rsidTr="001C0987" w14:paraId="2368A818" w14:textId="77777777">
        <w:trPr>
          <w:trHeight w:val="375"/>
        </w:trPr>
        <w:tc>
          <w:tcPr>
            <w:tcW w:w="1890" w:type="dxa"/>
          </w:tcPr>
          <w:p w:rsidRPr="00FB07A8" w:rsidR="00FB0A50" w:rsidP="002B7EB2" w:rsidRDefault="00FB0A50" w14:paraId="3BBF0BDB" w14:textId="77777777">
            <w:pPr>
              <w:pStyle w:val="TableParagraph"/>
              <w:spacing w:before="20" w:after="20"/>
              <w:ind w:left="203"/>
            </w:pPr>
            <w:r w:rsidRPr="00FB07A8">
              <w:rPr>
                <w:spacing w:val="-2"/>
              </w:rPr>
              <w:t>Permethrin</w:t>
            </w:r>
          </w:p>
        </w:tc>
        <w:tc>
          <w:tcPr>
            <w:tcW w:w="1736" w:type="dxa"/>
          </w:tcPr>
          <w:p w:rsidRPr="00FB07A8" w:rsidR="00FB0A50" w:rsidP="00FB07A8" w:rsidRDefault="00FB0A50" w14:paraId="2B36A7A0" w14:textId="77777777">
            <w:pPr>
              <w:pStyle w:val="TableParagraph"/>
              <w:spacing w:before="20" w:after="20"/>
              <w:ind w:left="409" w:hanging="22"/>
            </w:pPr>
            <w:r w:rsidRPr="00FB07A8">
              <w:rPr>
                <w:spacing w:val="-2"/>
              </w:rPr>
              <w:t>200.7</w:t>
            </w:r>
          </w:p>
        </w:tc>
        <w:tc>
          <w:tcPr>
            <w:tcW w:w="1774" w:type="dxa"/>
          </w:tcPr>
          <w:p w:rsidRPr="00FB07A8" w:rsidR="00FB0A50" w:rsidP="00FB07A8" w:rsidRDefault="00FB0A50" w14:paraId="6AC98182" w14:textId="77777777">
            <w:pPr>
              <w:pStyle w:val="TableParagraph"/>
              <w:spacing w:before="20" w:after="20"/>
              <w:ind w:right="549"/>
              <w:jc w:val="center"/>
            </w:pPr>
            <w:r w:rsidRPr="00FB07A8">
              <w:rPr>
                <w:spacing w:val="-2"/>
              </w:rPr>
              <w:t>10.83</w:t>
            </w:r>
          </w:p>
        </w:tc>
        <w:tc>
          <w:tcPr>
            <w:tcW w:w="2880" w:type="dxa"/>
          </w:tcPr>
          <w:p w:rsidRPr="00FB07A8" w:rsidR="00FB0A50" w:rsidP="00137C72" w:rsidRDefault="00FB0A50" w14:paraId="4F7A5701" w14:textId="77777777">
            <w:pPr>
              <w:pStyle w:val="TableParagraph"/>
              <w:spacing w:before="20" w:after="20"/>
              <w:ind w:left="180"/>
            </w:pPr>
            <w:r w:rsidRPr="00FB07A8">
              <w:t>(Amweg</w:t>
            </w:r>
            <w:r w:rsidRPr="00FB07A8">
              <w:rPr>
                <w:spacing w:val="-3"/>
              </w:rPr>
              <w:t xml:space="preserve"> </w:t>
            </w:r>
            <w:r w:rsidRPr="00FB07A8">
              <w:t>et</w:t>
            </w:r>
            <w:r w:rsidRPr="00FB07A8">
              <w:rPr>
                <w:spacing w:val="-3"/>
              </w:rPr>
              <w:t xml:space="preserve"> </w:t>
            </w:r>
            <w:r w:rsidRPr="00FB07A8">
              <w:t>al.,</w:t>
            </w:r>
            <w:r w:rsidRPr="00FB07A8">
              <w:rPr>
                <w:spacing w:val="-3"/>
              </w:rPr>
              <w:t xml:space="preserve"> </w:t>
            </w:r>
            <w:r w:rsidRPr="00FB07A8">
              <w:rPr>
                <w:spacing w:val="-2"/>
              </w:rPr>
              <w:t>2005)</w:t>
            </w:r>
          </w:p>
        </w:tc>
      </w:tr>
    </w:tbl>
    <w:p w:rsidRPr="00A71F59" w:rsidR="005E44BC" w:rsidP="001C0987" w:rsidRDefault="00DC7C56" w14:paraId="0AE1AD01" w14:textId="2E97C6B9">
      <w:pPr>
        <w:spacing w:before="20" w:after="20" w:line="240" w:lineRule="auto"/>
        <w:ind w:left="1440" w:hanging="180"/>
        <w:rPr>
          <w:rFonts w:cs="Arial"/>
          <w:sz w:val="22"/>
          <w:szCs w:val="22"/>
          <w:u w:val="single"/>
        </w:rPr>
      </w:pPr>
      <w:r w:rsidRPr="00A71F59">
        <w:rPr>
          <w:rFonts w:cs="Arial"/>
          <w:sz w:val="22"/>
          <w:szCs w:val="22"/>
          <w:u w:val="single"/>
        </w:rPr>
        <w:t>Table Notes:</w:t>
      </w:r>
    </w:p>
    <w:p w:rsidRPr="00A71F59" w:rsidR="008F32E0" w:rsidP="001C0987" w:rsidRDefault="008F32E0" w14:paraId="1B25DE49" w14:textId="3F3EE43A">
      <w:pPr>
        <w:pStyle w:val="BodyText"/>
        <w:spacing w:before="0" w:after="0" w:line="240" w:lineRule="auto"/>
        <w:ind w:left="1440" w:hanging="180"/>
        <w:rPr>
          <w:sz w:val="22"/>
        </w:rPr>
      </w:pPr>
      <w:r w:rsidRPr="00A71F59">
        <w:rPr>
          <w:sz w:val="22"/>
          <w:vertAlign w:val="superscript"/>
        </w:rPr>
        <w:t>1</w:t>
      </w:r>
      <w:r w:rsidRPr="00A71F59">
        <w:rPr>
          <w:sz w:val="22"/>
        </w:rPr>
        <w:t xml:space="preserve"> Median</w:t>
      </w:r>
      <w:r w:rsidRPr="00A71F59">
        <w:rPr>
          <w:spacing w:val="-8"/>
          <w:sz w:val="22"/>
        </w:rPr>
        <w:t xml:space="preserve"> </w:t>
      </w:r>
      <w:r w:rsidRPr="00A71F59">
        <w:rPr>
          <w:sz w:val="22"/>
        </w:rPr>
        <w:t>lethal</w:t>
      </w:r>
      <w:r w:rsidRPr="00A71F59">
        <w:rPr>
          <w:spacing w:val="-4"/>
          <w:sz w:val="22"/>
        </w:rPr>
        <w:t xml:space="preserve"> </w:t>
      </w:r>
      <w:r w:rsidRPr="00A71F59">
        <w:rPr>
          <w:sz w:val="22"/>
        </w:rPr>
        <w:t>concentration</w:t>
      </w:r>
      <w:r w:rsidRPr="00A71F59">
        <w:rPr>
          <w:spacing w:val="-5"/>
          <w:sz w:val="22"/>
        </w:rPr>
        <w:t xml:space="preserve"> </w:t>
      </w:r>
      <w:r w:rsidRPr="00A71F59">
        <w:rPr>
          <w:sz w:val="22"/>
        </w:rPr>
        <w:t>(LC50)</w:t>
      </w:r>
      <w:r w:rsidRPr="00A71F59">
        <w:rPr>
          <w:spacing w:val="-4"/>
          <w:sz w:val="22"/>
        </w:rPr>
        <w:t xml:space="preserve"> </w:t>
      </w:r>
      <w:r w:rsidRPr="00A71F59">
        <w:rPr>
          <w:sz w:val="22"/>
        </w:rPr>
        <w:t>for</w:t>
      </w:r>
      <w:r w:rsidRPr="00A71F59">
        <w:rPr>
          <w:spacing w:val="-6"/>
          <w:sz w:val="22"/>
        </w:rPr>
        <w:t xml:space="preserve"> </w:t>
      </w:r>
      <w:r w:rsidRPr="00A71F59">
        <w:rPr>
          <w:sz w:val="22"/>
        </w:rPr>
        <w:t>amphipods</w:t>
      </w:r>
      <w:r w:rsidRPr="00A71F59">
        <w:rPr>
          <w:spacing w:val="-4"/>
          <w:sz w:val="22"/>
        </w:rPr>
        <w:t xml:space="preserve"> </w:t>
      </w:r>
      <w:r w:rsidRPr="00A71F59">
        <w:rPr>
          <w:sz w:val="22"/>
        </w:rPr>
        <w:t>(Hyalella</w:t>
      </w:r>
      <w:r w:rsidRPr="00A71F59">
        <w:rPr>
          <w:spacing w:val="-5"/>
          <w:sz w:val="22"/>
        </w:rPr>
        <w:t xml:space="preserve"> </w:t>
      </w:r>
      <w:r w:rsidRPr="00A71F59">
        <w:rPr>
          <w:spacing w:val="-2"/>
          <w:sz w:val="22"/>
        </w:rPr>
        <w:t>azteca),</w:t>
      </w:r>
    </w:p>
    <w:p w:rsidRPr="00A71F59" w:rsidR="008F32E0" w:rsidP="001C0987" w:rsidRDefault="008F32E0" w14:paraId="16CD6918" w14:textId="77777777">
      <w:pPr>
        <w:pStyle w:val="BodyText"/>
        <w:spacing w:before="0" w:after="0" w:line="240" w:lineRule="auto"/>
        <w:ind w:left="1440" w:hanging="180"/>
        <w:rPr>
          <w:sz w:val="22"/>
        </w:rPr>
      </w:pPr>
      <w:r w:rsidRPr="00A71F59">
        <w:rPr>
          <w:sz w:val="22"/>
          <w:vertAlign w:val="superscript"/>
        </w:rPr>
        <w:t>2</w:t>
      </w:r>
      <w:r w:rsidRPr="00A71F59">
        <w:rPr>
          <w:spacing w:val="-2"/>
          <w:sz w:val="22"/>
        </w:rPr>
        <w:t xml:space="preserve"> </w:t>
      </w:r>
      <w:r w:rsidRPr="00A71F59">
        <w:rPr>
          <w:sz w:val="22"/>
        </w:rPr>
        <w:t>nano</w:t>
      </w:r>
      <w:r w:rsidRPr="00A71F59">
        <w:rPr>
          <w:spacing w:val="-2"/>
          <w:sz w:val="22"/>
        </w:rPr>
        <w:t xml:space="preserve"> </w:t>
      </w:r>
      <w:r w:rsidRPr="00A71F59">
        <w:rPr>
          <w:sz w:val="22"/>
        </w:rPr>
        <w:t>grams</w:t>
      </w:r>
      <w:r w:rsidRPr="00A71F59">
        <w:rPr>
          <w:spacing w:val="-2"/>
          <w:sz w:val="22"/>
        </w:rPr>
        <w:t xml:space="preserve"> </w:t>
      </w:r>
      <w:r w:rsidRPr="00A71F59">
        <w:rPr>
          <w:sz w:val="22"/>
        </w:rPr>
        <w:t>per gram</w:t>
      </w:r>
      <w:r w:rsidRPr="00A71F59">
        <w:rPr>
          <w:spacing w:val="-2"/>
          <w:sz w:val="22"/>
        </w:rPr>
        <w:t xml:space="preserve"> (ng/g),</w:t>
      </w:r>
    </w:p>
    <w:p w:rsidRPr="00A71F59" w:rsidR="008F32E0" w:rsidP="001C0987" w:rsidRDefault="008F32E0" w14:paraId="614577A3" w14:textId="77777777">
      <w:pPr>
        <w:pStyle w:val="BodyText"/>
        <w:spacing w:before="0" w:after="0" w:line="240" w:lineRule="auto"/>
        <w:ind w:left="1440" w:hanging="180"/>
        <w:rPr>
          <w:sz w:val="22"/>
        </w:rPr>
      </w:pPr>
      <w:r w:rsidRPr="00A71F59">
        <w:rPr>
          <w:sz w:val="22"/>
          <w:vertAlign w:val="superscript"/>
        </w:rPr>
        <w:t>3</w:t>
      </w:r>
      <w:r w:rsidRPr="00A71F59">
        <w:rPr>
          <w:spacing w:val="-20"/>
          <w:sz w:val="22"/>
        </w:rPr>
        <w:t xml:space="preserve"> </w:t>
      </w:r>
      <w:r w:rsidRPr="00A71F59">
        <w:rPr>
          <w:sz w:val="22"/>
        </w:rPr>
        <w:t>parts</w:t>
      </w:r>
      <w:r w:rsidRPr="00A71F59">
        <w:rPr>
          <w:spacing w:val="-3"/>
          <w:sz w:val="22"/>
        </w:rPr>
        <w:t xml:space="preserve"> </w:t>
      </w:r>
      <w:r w:rsidRPr="00A71F59">
        <w:rPr>
          <w:sz w:val="22"/>
        </w:rPr>
        <w:t>per</w:t>
      </w:r>
      <w:r w:rsidRPr="00A71F59">
        <w:rPr>
          <w:spacing w:val="-1"/>
          <w:sz w:val="22"/>
        </w:rPr>
        <w:t xml:space="preserve"> </w:t>
      </w:r>
      <w:r w:rsidRPr="00A71F59">
        <w:rPr>
          <w:spacing w:val="-2"/>
          <w:sz w:val="22"/>
        </w:rPr>
        <w:t>billion,</w:t>
      </w:r>
    </w:p>
    <w:p w:rsidRPr="00A71F59" w:rsidR="008F32E0" w:rsidP="001C0987" w:rsidRDefault="008F32E0" w14:paraId="410B91B7" w14:textId="77777777">
      <w:pPr>
        <w:pStyle w:val="BodyText"/>
        <w:spacing w:before="0" w:after="0" w:line="240" w:lineRule="auto"/>
        <w:ind w:left="1440" w:hanging="180"/>
        <w:rPr>
          <w:sz w:val="22"/>
        </w:rPr>
      </w:pPr>
      <w:r w:rsidRPr="00A71F59">
        <w:rPr>
          <w:sz w:val="22"/>
          <w:vertAlign w:val="superscript"/>
        </w:rPr>
        <w:t>4</w:t>
      </w:r>
      <w:r w:rsidRPr="00A71F59">
        <w:rPr>
          <w:spacing w:val="-20"/>
          <w:sz w:val="22"/>
        </w:rPr>
        <w:t xml:space="preserve"> </w:t>
      </w:r>
      <w:r w:rsidRPr="00A71F59">
        <w:rPr>
          <w:sz w:val="22"/>
        </w:rPr>
        <w:t>microgram</w:t>
      </w:r>
      <w:r w:rsidRPr="00A71F59">
        <w:rPr>
          <w:spacing w:val="-5"/>
          <w:sz w:val="22"/>
        </w:rPr>
        <w:t xml:space="preserve"> </w:t>
      </w:r>
      <w:r w:rsidRPr="00A71F59">
        <w:rPr>
          <w:sz w:val="22"/>
        </w:rPr>
        <w:t>per</w:t>
      </w:r>
      <w:r w:rsidRPr="00A71F59">
        <w:rPr>
          <w:spacing w:val="-3"/>
          <w:sz w:val="22"/>
        </w:rPr>
        <w:t xml:space="preserve"> </w:t>
      </w:r>
      <w:r w:rsidRPr="00A71F59">
        <w:rPr>
          <w:sz w:val="22"/>
        </w:rPr>
        <w:t>gram</w:t>
      </w:r>
      <w:r w:rsidRPr="00A71F59">
        <w:rPr>
          <w:spacing w:val="-3"/>
          <w:sz w:val="22"/>
        </w:rPr>
        <w:t xml:space="preserve"> </w:t>
      </w:r>
      <w:r w:rsidRPr="00A71F59">
        <w:rPr>
          <w:spacing w:val="-2"/>
          <w:sz w:val="22"/>
        </w:rPr>
        <w:t>(ug/g),</w:t>
      </w:r>
    </w:p>
    <w:p w:rsidRPr="00A71F59" w:rsidR="008F32E0" w:rsidP="001C0987" w:rsidRDefault="008F32E0" w14:paraId="73E1E9BA" w14:textId="77777777">
      <w:pPr>
        <w:pStyle w:val="BodyText"/>
        <w:spacing w:before="0" w:after="0" w:line="240" w:lineRule="auto"/>
        <w:ind w:left="1440" w:hanging="180"/>
        <w:rPr>
          <w:sz w:val="22"/>
        </w:rPr>
      </w:pPr>
      <w:r w:rsidRPr="00A71F59">
        <w:rPr>
          <w:sz w:val="22"/>
          <w:vertAlign w:val="superscript"/>
        </w:rPr>
        <w:t>5</w:t>
      </w:r>
      <w:r w:rsidRPr="00A71F59">
        <w:rPr>
          <w:spacing w:val="-20"/>
          <w:sz w:val="22"/>
        </w:rPr>
        <w:t xml:space="preserve"> </w:t>
      </w:r>
      <w:r w:rsidRPr="00A71F59">
        <w:rPr>
          <w:sz w:val="22"/>
        </w:rPr>
        <w:t>organic</w:t>
      </w:r>
      <w:r w:rsidRPr="00A71F59">
        <w:rPr>
          <w:spacing w:val="-8"/>
          <w:sz w:val="22"/>
        </w:rPr>
        <w:t xml:space="preserve"> </w:t>
      </w:r>
      <w:r w:rsidRPr="00A71F59">
        <w:rPr>
          <w:sz w:val="22"/>
        </w:rPr>
        <w:t>carbon</w:t>
      </w:r>
      <w:r w:rsidRPr="00A71F59">
        <w:rPr>
          <w:spacing w:val="-6"/>
          <w:sz w:val="22"/>
        </w:rPr>
        <w:t xml:space="preserve"> </w:t>
      </w:r>
      <w:r w:rsidRPr="00A71F59">
        <w:rPr>
          <w:sz w:val="22"/>
        </w:rPr>
        <w:t>normalized</w:t>
      </w:r>
      <w:r w:rsidRPr="00A71F59">
        <w:rPr>
          <w:spacing w:val="-5"/>
          <w:sz w:val="22"/>
        </w:rPr>
        <w:t xml:space="preserve"> </w:t>
      </w:r>
      <w:r w:rsidRPr="00A71F59">
        <w:rPr>
          <w:sz w:val="22"/>
        </w:rPr>
        <w:t>concentrations</w:t>
      </w:r>
      <w:r w:rsidRPr="00A71F59">
        <w:rPr>
          <w:spacing w:val="-5"/>
          <w:sz w:val="22"/>
        </w:rPr>
        <w:t xml:space="preserve"> </w:t>
      </w:r>
      <w:r w:rsidRPr="00A71F59">
        <w:rPr>
          <w:spacing w:val="-4"/>
          <w:sz w:val="22"/>
        </w:rPr>
        <w:t>(oc),</w:t>
      </w:r>
    </w:p>
    <w:p w:rsidRPr="00A71F59" w:rsidR="008F32E0" w:rsidP="001C0987" w:rsidRDefault="008F32E0" w14:paraId="3CD07304" w14:textId="77777777">
      <w:pPr>
        <w:pStyle w:val="BodyText"/>
        <w:spacing w:before="0" w:after="0" w:line="240" w:lineRule="auto"/>
        <w:ind w:left="1440" w:hanging="180"/>
        <w:rPr>
          <w:sz w:val="22"/>
        </w:rPr>
      </w:pPr>
      <w:r w:rsidRPr="00A71F59">
        <w:rPr>
          <w:sz w:val="22"/>
          <w:vertAlign w:val="superscript"/>
        </w:rPr>
        <w:t>6</w:t>
      </w:r>
      <w:r w:rsidRPr="00A71F59">
        <w:rPr>
          <w:spacing w:val="-20"/>
          <w:sz w:val="22"/>
        </w:rPr>
        <w:t xml:space="preserve"> </w:t>
      </w:r>
      <w:r w:rsidRPr="00A71F59">
        <w:rPr>
          <w:sz w:val="22"/>
        </w:rPr>
        <w:t>parts</w:t>
      </w:r>
      <w:r w:rsidRPr="00A71F59">
        <w:rPr>
          <w:spacing w:val="-5"/>
          <w:sz w:val="22"/>
        </w:rPr>
        <w:t xml:space="preserve"> </w:t>
      </w:r>
      <w:r w:rsidRPr="00A71F59">
        <w:rPr>
          <w:sz w:val="22"/>
        </w:rPr>
        <w:t>per</w:t>
      </w:r>
      <w:r w:rsidRPr="00A71F59">
        <w:rPr>
          <w:spacing w:val="-3"/>
          <w:sz w:val="22"/>
        </w:rPr>
        <w:t xml:space="preserve"> </w:t>
      </w:r>
      <w:r w:rsidRPr="00A71F59">
        <w:rPr>
          <w:sz w:val="22"/>
        </w:rPr>
        <w:t>million</w:t>
      </w:r>
      <w:r w:rsidRPr="00A71F59">
        <w:rPr>
          <w:spacing w:val="-3"/>
          <w:sz w:val="22"/>
        </w:rPr>
        <w:t xml:space="preserve"> </w:t>
      </w:r>
      <w:r w:rsidRPr="00A71F59">
        <w:rPr>
          <w:spacing w:val="-4"/>
          <w:sz w:val="22"/>
        </w:rPr>
        <w:t>(ppm)</w:t>
      </w:r>
    </w:p>
    <w:p w:rsidRPr="00456C83" w:rsidR="003B286D" w:rsidP="00684C38" w:rsidRDefault="0014165E" w14:paraId="2AFE7AC5" w14:textId="48A97CD8">
      <w:pPr>
        <w:ind w:left="1267"/>
        <w:rPr>
          <w:rFonts w:cs="Arial"/>
          <w:b/>
          <w:bCs/>
          <w:highlight w:val="yellow"/>
        </w:rPr>
      </w:pPr>
      <w:r w:rsidRPr="00A53808">
        <w:rPr>
          <w:rFonts w:cs="Arial"/>
          <w:b/>
          <w:bCs/>
        </w:rPr>
        <w:t>Final Deadline for Compliance</w:t>
      </w:r>
      <w:r w:rsidRPr="00A53808">
        <w:rPr>
          <w:rFonts w:cs="Arial"/>
        </w:rPr>
        <w:t>:</w:t>
      </w:r>
      <w:r>
        <w:rPr>
          <w:rFonts w:cs="Arial"/>
        </w:rPr>
        <w:t xml:space="preserve"> </w:t>
      </w:r>
      <w:r w:rsidR="00C74632">
        <w:rPr>
          <w:rFonts w:cs="Arial"/>
        </w:rPr>
        <w:t>The final compliance d</w:t>
      </w:r>
      <w:r w:rsidR="00E1442A">
        <w:rPr>
          <w:rFonts w:cs="Arial"/>
        </w:rPr>
        <w:t>eadline</w:t>
      </w:r>
      <w:r w:rsidR="00C74632">
        <w:rPr>
          <w:rFonts w:cs="Arial"/>
        </w:rPr>
        <w:t xml:space="preserve"> </w:t>
      </w:r>
      <w:r w:rsidR="00F15507">
        <w:rPr>
          <w:rFonts w:cs="Arial"/>
        </w:rPr>
        <w:t>wa</w:t>
      </w:r>
      <w:r w:rsidR="00C74632">
        <w:rPr>
          <w:rFonts w:cs="Arial"/>
        </w:rPr>
        <w:t xml:space="preserve">s </w:t>
      </w:r>
      <w:r w:rsidR="00A96DE2">
        <w:rPr>
          <w:rFonts w:cs="Arial"/>
        </w:rPr>
        <w:t>June 29</w:t>
      </w:r>
      <w:r w:rsidR="00C74632">
        <w:rPr>
          <w:rFonts w:cs="Arial"/>
        </w:rPr>
        <w:t>, 202</w:t>
      </w:r>
      <w:r w:rsidR="00090DB7">
        <w:rPr>
          <w:rFonts w:cs="Arial"/>
        </w:rPr>
        <w:t>3</w:t>
      </w:r>
      <w:r w:rsidR="00A83CDA">
        <w:rPr>
          <w:rFonts w:cs="Arial"/>
        </w:rPr>
        <w:t xml:space="preserve">, which </w:t>
      </w:r>
      <w:r w:rsidR="00486137">
        <w:rPr>
          <w:rFonts w:cs="Arial"/>
        </w:rPr>
        <w:t>wa</w:t>
      </w:r>
      <w:r w:rsidRPr="00A83CDA" w:rsidR="00A83CDA">
        <w:rPr>
          <w:rFonts w:cs="Arial"/>
        </w:rPr>
        <w:t>s five years after approval of the TMDL by the Office of Administrative Law</w:t>
      </w:r>
      <w:r w:rsidR="00A96DE2">
        <w:rPr>
          <w:rFonts w:cs="Arial"/>
        </w:rPr>
        <w:t xml:space="preserve"> (</w:t>
      </w:r>
      <w:r w:rsidR="00B5053A">
        <w:rPr>
          <w:rFonts w:cs="Arial"/>
        </w:rPr>
        <w:t xml:space="preserve">i.e., </w:t>
      </w:r>
      <w:r w:rsidRPr="00A96DE2" w:rsidR="00A96DE2">
        <w:rPr>
          <w:rFonts w:cs="Arial"/>
        </w:rPr>
        <w:t>June 29, 2018</w:t>
      </w:r>
      <w:r w:rsidR="00A96DE2">
        <w:rPr>
          <w:rFonts w:cs="Arial"/>
        </w:rPr>
        <w:t>)</w:t>
      </w:r>
      <w:r w:rsidR="00C74632">
        <w:rPr>
          <w:rFonts w:cs="Arial"/>
        </w:rPr>
        <w:t>.</w:t>
      </w:r>
      <w:r>
        <w:rPr>
          <w:rFonts w:cs="Arial"/>
        </w:rPr>
        <w:t xml:space="preserve"> </w:t>
      </w:r>
    </w:p>
    <w:p w:rsidR="003643AB" w:rsidP="003B7848" w:rsidRDefault="00836361" w14:paraId="466AC56B" w14:textId="2BE9D532">
      <w:pPr>
        <w:pStyle w:val="Heading3"/>
        <w:tabs>
          <w:tab w:val="clear" w:pos="720"/>
          <w:tab w:val="left" w:pos="1260"/>
        </w:tabs>
        <w:ind w:left="1260" w:hanging="1260"/>
        <w:rPr>
          <w:i/>
          <w:iCs/>
        </w:rPr>
      </w:pPr>
      <w:r>
        <w:rPr>
          <w:i/>
          <w:iCs/>
        </w:rPr>
        <w:t>A13</w:t>
      </w:r>
      <w:r w:rsidRPr="00E85FC3" w:rsidR="0081201A">
        <w:rPr>
          <w:i/>
          <w:iCs/>
        </w:rPr>
        <w:t xml:space="preserve">.3.20 </w:t>
      </w:r>
      <w:r w:rsidRPr="00E85FC3" w:rsidR="0081201A">
        <w:rPr>
          <w:i/>
          <w:iCs/>
        </w:rPr>
        <w:tab/>
      </w:r>
      <w:r w:rsidRPr="00E85FC3" w:rsidR="003643AB">
        <w:rPr>
          <w:i/>
          <w:iCs/>
        </w:rPr>
        <w:t>TMDL for Nitrogen and Phosphorous Compounds in Streams of the Franklin Creek Watershed</w:t>
      </w:r>
    </w:p>
    <w:p w:rsidRPr="00D52F4F" w:rsidR="0014165E" w:rsidP="00F438CD" w:rsidRDefault="0014165E" w14:paraId="3E913FEA" w14:textId="2CF65872">
      <w:pPr>
        <w:ind w:left="1260"/>
        <w:rPr>
          <w:rFonts w:cs="Arial"/>
        </w:rPr>
      </w:pPr>
      <w:r w:rsidRPr="00A53808">
        <w:rPr>
          <w:rFonts w:cs="Arial"/>
          <w:b/>
          <w:bCs/>
        </w:rPr>
        <w:t>Description:</w:t>
      </w:r>
      <w:r w:rsidR="005A0069">
        <w:rPr>
          <w:rFonts w:cs="Arial"/>
        </w:rPr>
        <w:t xml:space="preserve"> </w:t>
      </w:r>
      <w:r w:rsidRPr="00F774B6" w:rsidR="00F774B6">
        <w:rPr>
          <w:rFonts w:cs="Arial"/>
        </w:rPr>
        <w:t xml:space="preserve">The discharge of nitrogen and phosphorus compounds are occurring in surface waters </w:t>
      </w:r>
      <w:r w:rsidR="00802D2B">
        <w:rPr>
          <w:rFonts w:cs="Arial"/>
        </w:rPr>
        <w:t xml:space="preserve">of Franklin Creek watershed </w:t>
      </w:r>
      <w:r w:rsidRPr="00F774B6" w:rsidR="00F774B6">
        <w:rPr>
          <w:rFonts w:cs="Arial"/>
        </w:rPr>
        <w:t>at levels which are impairing a beneficial uses</w:t>
      </w:r>
      <w:r w:rsidR="009E5C3A">
        <w:rPr>
          <w:rFonts w:cs="Arial"/>
        </w:rPr>
        <w:t>.</w:t>
      </w:r>
      <w:r w:rsidRPr="00F774B6" w:rsidR="00F774B6">
        <w:rPr>
          <w:rFonts w:cs="Arial"/>
        </w:rPr>
        <w:t xml:space="preserve"> The municipal and domestic drinking water supply, groundwater recharge beneficial use, and the aquatic habitat </w:t>
      </w:r>
      <w:r w:rsidRPr="00F774B6" w:rsidR="00F774B6">
        <w:rPr>
          <w:rFonts w:cs="Arial"/>
        </w:rPr>
        <w:t>beneficial uses are not protected. The pollutants addressed in these TMDLs are nitrate, total nitrogen, and total phosphorus</w:t>
      </w:r>
      <w:r w:rsidR="00421EC5">
        <w:rPr>
          <w:rFonts w:cs="Arial"/>
        </w:rPr>
        <w:t xml:space="preserve"> </w:t>
      </w:r>
      <w:r w:rsidRPr="00421EC5" w:rsidR="00421EC5">
        <w:rPr>
          <w:rFonts w:cs="Arial"/>
        </w:rPr>
        <w:t>(biostimulatory substances objective)</w:t>
      </w:r>
      <w:r w:rsidRPr="00F774B6" w:rsidR="00F774B6">
        <w:rPr>
          <w:rFonts w:cs="Arial"/>
        </w:rPr>
        <w:t>.</w:t>
      </w:r>
      <w:r w:rsidR="00EA10AC">
        <w:rPr>
          <w:rFonts w:cs="Arial"/>
        </w:rPr>
        <w:t xml:space="preserve"> </w:t>
      </w:r>
      <w:r w:rsidR="000B262B">
        <w:rPr>
          <w:rFonts w:cs="Arial"/>
        </w:rPr>
        <w:t xml:space="preserve">The TMDLs were approved by </w:t>
      </w:r>
      <w:r w:rsidR="00162275">
        <w:rPr>
          <w:rFonts w:cs="Arial"/>
        </w:rPr>
        <w:t>t</w:t>
      </w:r>
      <w:r w:rsidRPr="000B262B" w:rsidR="000B262B">
        <w:rPr>
          <w:rFonts w:cs="Arial"/>
        </w:rPr>
        <w:t xml:space="preserve">he California Office of Administrative Law </w:t>
      </w:r>
      <w:r w:rsidR="00A80D17">
        <w:rPr>
          <w:rFonts w:cs="Arial"/>
        </w:rPr>
        <w:t>(</w:t>
      </w:r>
      <w:r w:rsidRPr="000B262B" w:rsidR="000B262B">
        <w:rPr>
          <w:rFonts w:cs="Arial"/>
        </w:rPr>
        <w:t>March 4, 2019</w:t>
      </w:r>
      <w:r w:rsidR="00A80D17">
        <w:rPr>
          <w:rFonts w:cs="Arial"/>
        </w:rPr>
        <w:t>)</w:t>
      </w:r>
      <w:r w:rsidR="000B262B">
        <w:rPr>
          <w:rFonts w:cs="Arial"/>
        </w:rPr>
        <w:t xml:space="preserve">, and </w:t>
      </w:r>
      <w:r w:rsidR="00A80D17">
        <w:rPr>
          <w:rFonts w:cs="Arial"/>
        </w:rPr>
        <w:t>t</w:t>
      </w:r>
      <w:r w:rsidRPr="00A80D17" w:rsidR="00A80D17">
        <w:rPr>
          <w:rFonts w:cs="Arial"/>
        </w:rPr>
        <w:t xml:space="preserve">he </w:t>
      </w:r>
      <w:r w:rsidR="00766ACF">
        <w:rPr>
          <w:rFonts w:cs="Arial"/>
        </w:rPr>
        <w:t>USEPA</w:t>
      </w:r>
      <w:r w:rsidR="00C56C92">
        <w:rPr>
          <w:rFonts w:cs="Arial"/>
        </w:rPr>
        <w:t xml:space="preserve"> </w:t>
      </w:r>
      <w:r w:rsidR="00A80D17">
        <w:rPr>
          <w:rFonts w:cs="Arial"/>
        </w:rPr>
        <w:t>(</w:t>
      </w:r>
      <w:r w:rsidRPr="00A80D17" w:rsidR="00A80D17">
        <w:rPr>
          <w:rFonts w:cs="Arial"/>
        </w:rPr>
        <w:t>May 9, 2019</w:t>
      </w:r>
      <w:r w:rsidR="00A80D17">
        <w:rPr>
          <w:rFonts w:cs="Arial"/>
        </w:rPr>
        <w:t>)</w:t>
      </w:r>
      <w:r w:rsidR="00162275">
        <w:rPr>
          <w:rFonts w:cs="Arial"/>
        </w:rPr>
        <w:t>.</w:t>
      </w:r>
    </w:p>
    <w:p w:rsidRPr="00D52F4F" w:rsidR="0014165E" w:rsidP="0014165E" w:rsidRDefault="0014165E" w14:paraId="654DD663" w14:textId="54C7F773">
      <w:pPr>
        <w:ind w:left="1260"/>
        <w:rPr>
          <w:rFonts w:cs="Arial"/>
        </w:rPr>
      </w:pPr>
      <w:r w:rsidRPr="006A53D3">
        <w:rPr>
          <w:b/>
        </w:rPr>
        <w:t>Responsible Permit</w:t>
      </w:r>
      <w:r w:rsidR="0091593F">
        <w:rPr>
          <w:b/>
        </w:rPr>
        <w:t>t</w:t>
      </w:r>
      <w:r w:rsidRPr="006A53D3">
        <w:rPr>
          <w:b/>
        </w:rPr>
        <w:t>ees</w:t>
      </w:r>
      <w:r w:rsidRPr="00315677">
        <w:rPr>
          <w:b/>
        </w:rPr>
        <w:t>:</w:t>
      </w:r>
      <w:r w:rsidR="005A0069">
        <w:t xml:space="preserve"> </w:t>
      </w:r>
      <w:r w:rsidRPr="00C435BF" w:rsidR="008B1B64">
        <w:t xml:space="preserve">City of </w:t>
      </w:r>
      <w:r w:rsidRPr="00DD3DA6" w:rsidR="008B1B64">
        <w:rPr>
          <w:rFonts w:eastAsia="Arial" w:cs="Arial"/>
        </w:rPr>
        <w:t>Carpinteria</w:t>
      </w:r>
      <w:r w:rsidRPr="00C435BF" w:rsidR="008B1B64">
        <w:t>, County of Santa Barbara</w:t>
      </w:r>
      <w:r w:rsidR="005A0069">
        <w:t xml:space="preserve"> </w:t>
      </w:r>
    </w:p>
    <w:p w:rsidR="009A2FDB" w:rsidP="0014165E" w:rsidRDefault="0014165E" w14:paraId="1BD52EF9" w14:textId="649FD460">
      <w:pPr>
        <w:ind w:left="1260"/>
      </w:pPr>
      <w:r w:rsidRPr="00D52F4F">
        <w:rPr>
          <w:b/>
        </w:rPr>
        <w:t>Wasteload Allocations:</w:t>
      </w:r>
      <w:r w:rsidRPr="00C97E81">
        <w:t xml:space="preserve"> </w:t>
      </w:r>
      <w:r w:rsidR="006431C9">
        <w:t xml:space="preserve">Final and </w:t>
      </w:r>
      <w:r w:rsidR="002E3613">
        <w:t>i</w:t>
      </w:r>
      <w:r w:rsidR="006431C9">
        <w:t xml:space="preserve">nterim </w:t>
      </w:r>
      <w:r w:rsidR="00EC794B">
        <w:t xml:space="preserve">wasteload allocations </w:t>
      </w:r>
      <w:r w:rsidRPr="00540982" w:rsidR="00540982">
        <w:t xml:space="preserve">are assigned </w:t>
      </w:r>
      <w:r w:rsidR="002E3613">
        <w:t xml:space="preserve">for </w:t>
      </w:r>
      <w:r w:rsidRPr="00540982" w:rsidR="00540982">
        <w:t xml:space="preserve">nitrate, total nitrogen, and total phosphate </w:t>
      </w:r>
      <w:r w:rsidR="004122A5">
        <w:t>(biostimula</w:t>
      </w:r>
      <w:r w:rsidR="00297526">
        <w:t>to</w:t>
      </w:r>
      <w:r w:rsidR="004122A5">
        <w:t xml:space="preserve">ry substances) </w:t>
      </w:r>
      <w:r w:rsidR="00D7157C">
        <w:t>as shown below</w:t>
      </w:r>
      <w:r w:rsidR="009A2FDB">
        <w:t>:</w:t>
      </w:r>
    </w:p>
    <w:p w:rsidR="00EC794B" w:rsidP="00677574" w:rsidRDefault="00EB5207" w14:paraId="5C38449E" w14:textId="4369BB26">
      <w:pPr>
        <w:spacing w:after="0"/>
        <w:ind w:left="1267"/>
        <w:rPr>
          <w:rFonts w:cs="Arial"/>
          <w:u w:val="single"/>
        </w:rPr>
      </w:pPr>
      <w:r>
        <w:rPr>
          <w:b/>
          <w:sz w:val="20"/>
        </w:rPr>
        <w:t>Franklin Creek</w:t>
      </w:r>
      <w:r>
        <w:rPr>
          <w:b/>
          <w:spacing w:val="49"/>
          <w:sz w:val="20"/>
        </w:rPr>
        <w:t xml:space="preserve"> </w:t>
      </w:r>
      <w:r>
        <w:rPr>
          <w:b/>
          <w:sz w:val="20"/>
        </w:rPr>
        <w:t>Interim</w:t>
      </w:r>
      <w:r>
        <w:rPr>
          <w:b/>
          <w:spacing w:val="-3"/>
          <w:sz w:val="20"/>
        </w:rPr>
        <w:t xml:space="preserve"> Wasteload </w:t>
      </w:r>
      <w:r>
        <w:rPr>
          <w:b/>
          <w:spacing w:val="-2"/>
          <w:sz w:val="20"/>
        </w:rPr>
        <w:t>Allocations</w:t>
      </w:r>
    </w:p>
    <w:tbl>
      <w:tblPr>
        <w:tblW w:w="8010" w:type="dxa"/>
        <w:tblInd w:w="1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60"/>
        <w:gridCol w:w="4050"/>
      </w:tblGrid>
      <w:tr w:rsidRPr="00E13184" w:rsidR="00E13184" w:rsidTr="00063287" w14:paraId="2491B8A7" w14:textId="77777777">
        <w:trPr>
          <w:trHeight w:val="640"/>
        </w:trPr>
        <w:tc>
          <w:tcPr>
            <w:tcW w:w="3960" w:type="dxa"/>
            <w:shd w:val="clear" w:color="auto" w:fill="D6E3BC"/>
          </w:tcPr>
          <w:p w:rsidRPr="00E13184" w:rsidR="00E13184" w:rsidP="00E13184" w:rsidRDefault="00E13184" w14:paraId="4BECA3EF" w14:textId="77777777">
            <w:pPr>
              <w:widowControl w:val="0"/>
              <w:autoSpaceDE w:val="0"/>
              <w:autoSpaceDN w:val="0"/>
              <w:spacing w:before="39" w:after="0" w:line="240" w:lineRule="auto"/>
              <w:ind w:left="128"/>
              <w:jc w:val="center"/>
              <w:rPr>
                <w:rFonts w:eastAsia="Arial" w:cs="Arial"/>
                <w:b/>
                <w:sz w:val="22"/>
                <w:szCs w:val="22"/>
                <w:lang w:eastAsia="en-US"/>
              </w:rPr>
            </w:pPr>
            <w:r w:rsidRPr="00E13184">
              <w:rPr>
                <w:rFonts w:eastAsia="Arial" w:cs="Arial"/>
                <w:b/>
                <w:sz w:val="22"/>
                <w:szCs w:val="22"/>
                <w:lang w:eastAsia="en-US"/>
              </w:rPr>
              <w:t>First</w:t>
            </w:r>
            <w:r w:rsidRPr="00E13184">
              <w:rPr>
                <w:rFonts w:eastAsia="Arial" w:cs="Arial"/>
                <w:b/>
                <w:spacing w:val="-5"/>
                <w:sz w:val="22"/>
                <w:szCs w:val="22"/>
                <w:lang w:eastAsia="en-US"/>
              </w:rPr>
              <w:t xml:space="preserve"> </w:t>
            </w:r>
            <w:r w:rsidRPr="00E13184">
              <w:rPr>
                <w:rFonts w:eastAsia="Arial" w:cs="Arial"/>
                <w:b/>
                <w:sz w:val="22"/>
                <w:szCs w:val="22"/>
                <w:lang w:eastAsia="en-US"/>
              </w:rPr>
              <w:t xml:space="preserve">Interim Wasteload Allocations </w:t>
            </w:r>
            <w:r w:rsidRPr="00E13184">
              <w:rPr>
                <w:rFonts w:eastAsia="Arial" w:cs="Arial"/>
                <w:b/>
                <w:sz w:val="22"/>
                <w:szCs w:val="22"/>
                <w:lang w:eastAsia="en-US"/>
              </w:rPr>
              <w:br/>
            </w:r>
            <w:r w:rsidRPr="00E13184">
              <w:rPr>
                <w:rFonts w:eastAsia="Arial" w:cs="Arial"/>
                <w:b/>
                <w:sz w:val="22"/>
                <w:szCs w:val="22"/>
                <w:lang w:eastAsia="en-US"/>
              </w:rPr>
              <w:t>Achieve by May 9, 2029</w:t>
            </w:r>
          </w:p>
        </w:tc>
        <w:tc>
          <w:tcPr>
            <w:tcW w:w="4050" w:type="dxa"/>
            <w:shd w:val="clear" w:color="auto" w:fill="D6E3BC"/>
          </w:tcPr>
          <w:p w:rsidRPr="00E13184" w:rsidR="00E13184" w:rsidP="00E13184" w:rsidRDefault="00E13184" w14:paraId="5059EACE" w14:textId="77777777">
            <w:pPr>
              <w:widowControl w:val="0"/>
              <w:autoSpaceDE w:val="0"/>
              <w:autoSpaceDN w:val="0"/>
              <w:spacing w:before="0" w:after="0" w:line="240" w:lineRule="auto"/>
              <w:ind w:left="96" w:right="84"/>
              <w:jc w:val="center"/>
              <w:rPr>
                <w:rFonts w:eastAsia="Arial" w:cs="Arial"/>
                <w:b/>
                <w:sz w:val="22"/>
                <w:szCs w:val="22"/>
                <w:lang w:eastAsia="en-US"/>
              </w:rPr>
            </w:pPr>
            <w:r w:rsidRPr="00E13184">
              <w:rPr>
                <w:rFonts w:eastAsia="Arial" w:cs="Arial"/>
                <w:b/>
                <w:sz w:val="22"/>
                <w:szCs w:val="22"/>
                <w:lang w:eastAsia="en-US"/>
              </w:rPr>
              <w:t>Second</w:t>
            </w:r>
            <w:r w:rsidRPr="00E13184">
              <w:rPr>
                <w:rFonts w:eastAsia="Arial" w:cs="Arial"/>
                <w:b/>
                <w:spacing w:val="-4"/>
                <w:sz w:val="22"/>
                <w:szCs w:val="22"/>
                <w:lang w:eastAsia="en-US"/>
              </w:rPr>
              <w:t xml:space="preserve"> </w:t>
            </w:r>
            <w:r w:rsidRPr="00E13184">
              <w:rPr>
                <w:rFonts w:eastAsia="Arial" w:cs="Arial"/>
                <w:b/>
                <w:sz w:val="22"/>
                <w:szCs w:val="22"/>
                <w:lang w:eastAsia="en-US"/>
              </w:rPr>
              <w:t>Interim</w:t>
            </w:r>
            <w:r w:rsidRPr="00E13184">
              <w:rPr>
                <w:rFonts w:eastAsia="Arial" w:cs="Arial"/>
                <w:b/>
                <w:spacing w:val="-3"/>
                <w:sz w:val="22"/>
                <w:szCs w:val="22"/>
                <w:lang w:eastAsia="en-US"/>
              </w:rPr>
              <w:t xml:space="preserve"> </w:t>
            </w:r>
            <w:r w:rsidRPr="00E13184">
              <w:rPr>
                <w:rFonts w:eastAsia="Arial" w:cs="Arial"/>
                <w:b/>
                <w:sz w:val="22"/>
                <w:szCs w:val="22"/>
                <w:lang w:eastAsia="en-US"/>
              </w:rPr>
              <w:t>Wasteload Allocations</w:t>
            </w:r>
            <w:r w:rsidRPr="00E13184">
              <w:rPr>
                <w:rFonts w:eastAsia="Arial" w:cs="Arial"/>
                <w:b/>
                <w:sz w:val="22"/>
                <w:szCs w:val="22"/>
                <w:lang w:eastAsia="en-US"/>
              </w:rPr>
              <w:br/>
            </w:r>
            <w:r w:rsidRPr="00E13184">
              <w:rPr>
                <w:rFonts w:eastAsia="Arial" w:cs="Arial"/>
                <w:b/>
                <w:sz w:val="22"/>
                <w:szCs w:val="22"/>
                <w:lang w:eastAsia="en-US"/>
              </w:rPr>
              <w:t>Achieve by May 19, 2034</w:t>
            </w:r>
          </w:p>
        </w:tc>
      </w:tr>
      <w:tr w:rsidRPr="00E13184" w:rsidR="00E13184" w:rsidTr="00063287" w14:paraId="4E9299F9" w14:textId="77777777">
        <w:trPr>
          <w:trHeight w:val="1041"/>
        </w:trPr>
        <w:tc>
          <w:tcPr>
            <w:tcW w:w="3960" w:type="dxa"/>
          </w:tcPr>
          <w:p w:rsidR="00754CA8" w:rsidP="00E13184" w:rsidRDefault="00E13184" w14:paraId="6EC716D3" w14:textId="77777777">
            <w:pPr>
              <w:widowControl w:val="0"/>
              <w:autoSpaceDE w:val="0"/>
              <w:autoSpaceDN w:val="0"/>
              <w:spacing w:before="204" w:after="0" w:line="240" w:lineRule="auto"/>
              <w:ind w:left="218" w:hanging="36"/>
              <w:jc w:val="center"/>
              <w:rPr>
                <w:rFonts w:eastAsia="Arial" w:cs="Arial"/>
                <w:sz w:val="22"/>
                <w:szCs w:val="22"/>
                <w:lang w:eastAsia="en-US"/>
              </w:rPr>
            </w:pPr>
            <w:r w:rsidRPr="00E13184">
              <w:rPr>
                <w:rFonts w:eastAsia="Arial" w:cs="Arial"/>
                <w:sz w:val="22"/>
                <w:szCs w:val="22"/>
                <w:lang w:eastAsia="en-US"/>
              </w:rPr>
              <w:t xml:space="preserve">Achieve the municipal drinking water beneficial use of </w:t>
            </w:r>
          </w:p>
          <w:p w:rsidRPr="00E13184" w:rsidR="00E13184" w:rsidP="00E13184" w:rsidRDefault="00E13184" w14:paraId="0565B404" w14:textId="799BF306">
            <w:pPr>
              <w:widowControl w:val="0"/>
              <w:autoSpaceDE w:val="0"/>
              <w:autoSpaceDN w:val="0"/>
              <w:spacing w:before="204" w:after="0" w:line="240" w:lineRule="auto"/>
              <w:ind w:left="218" w:hanging="36"/>
              <w:jc w:val="center"/>
              <w:rPr>
                <w:rFonts w:eastAsia="Arial" w:cs="Arial"/>
                <w:sz w:val="22"/>
                <w:szCs w:val="22"/>
                <w:lang w:eastAsia="en-US"/>
              </w:rPr>
            </w:pPr>
            <w:r w:rsidRPr="00E13184">
              <w:rPr>
                <w:rFonts w:eastAsia="Arial" w:cs="Arial"/>
                <w:sz w:val="22"/>
                <w:szCs w:val="22"/>
                <w:lang w:eastAsia="en-US"/>
              </w:rPr>
              <w:t>10 mg/L Nitrate</w:t>
            </w:r>
            <w:r w:rsidRPr="00E13184">
              <w:rPr>
                <w:rFonts w:eastAsia="Arial" w:cs="Arial"/>
                <w:spacing w:val="-15"/>
                <w:sz w:val="22"/>
                <w:szCs w:val="22"/>
                <w:lang w:eastAsia="en-US"/>
              </w:rPr>
              <w:t xml:space="preserve"> </w:t>
            </w:r>
            <w:r w:rsidRPr="00E13184">
              <w:rPr>
                <w:rFonts w:eastAsia="Arial" w:cs="Arial"/>
                <w:sz w:val="22"/>
                <w:szCs w:val="22"/>
                <w:lang w:eastAsia="en-US"/>
              </w:rPr>
              <w:t>as</w:t>
            </w:r>
            <w:r w:rsidRPr="00E13184">
              <w:rPr>
                <w:rFonts w:eastAsia="Arial" w:cs="Arial"/>
                <w:spacing w:val="-12"/>
                <w:sz w:val="22"/>
                <w:szCs w:val="22"/>
                <w:lang w:eastAsia="en-US"/>
              </w:rPr>
              <w:t xml:space="preserve"> </w:t>
            </w:r>
            <w:r w:rsidRPr="00E13184">
              <w:rPr>
                <w:rFonts w:eastAsia="Arial" w:cs="Arial"/>
                <w:sz w:val="22"/>
                <w:szCs w:val="22"/>
                <w:lang w:eastAsia="en-US"/>
              </w:rPr>
              <w:t>Nitrogen</w:t>
            </w:r>
          </w:p>
        </w:tc>
        <w:tc>
          <w:tcPr>
            <w:tcW w:w="4050" w:type="dxa"/>
          </w:tcPr>
          <w:p w:rsidR="00754CA8" w:rsidP="00CE4CE4" w:rsidRDefault="00E13184" w14:paraId="17211523" w14:textId="1387A1FD">
            <w:pPr>
              <w:widowControl w:val="0"/>
              <w:autoSpaceDE w:val="0"/>
              <w:autoSpaceDN w:val="0"/>
              <w:spacing w:before="204" w:after="0" w:line="240" w:lineRule="auto"/>
              <w:ind w:left="218" w:hanging="36"/>
              <w:jc w:val="center"/>
              <w:rPr>
                <w:rFonts w:eastAsia="Arial" w:cs="Arial"/>
                <w:sz w:val="22"/>
                <w:szCs w:val="22"/>
                <w:lang w:eastAsia="en-US"/>
              </w:rPr>
            </w:pPr>
            <w:r w:rsidRPr="00E13184">
              <w:rPr>
                <w:rFonts w:eastAsia="Arial" w:cs="Arial"/>
                <w:sz w:val="22"/>
                <w:szCs w:val="22"/>
                <w:lang w:eastAsia="en-US"/>
              </w:rPr>
              <w:t xml:space="preserve">Achieve the wet season </w:t>
            </w:r>
            <w:r w:rsidR="00011311">
              <w:rPr>
                <w:rFonts w:eastAsia="Arial" w:cs="Arial"/>
                <w:sz w:val="22"/>
                <w:szCs w:val="22"/>
                <w:lang w:eastAsia="en-US"/>
              </w:rPr>
              <w:br/>
            </w:r>
            <w:r w:rsidRPr="00E13184">
              <w:rPr>
                <w:rFonts w:eastAsia="Arial" w:cs="Arial"/>
                <w:sz w:val="22"/>
                <w:szCs w:val="22"/>
                <w:lang w:eastAsia="en-US"/>
              </w:rPr>
              <w:t xml:space="preserve">(Nov. 1 to Apr. 30) Biostimulatory target-based </w:t>
            </w:r>
            <w:r w:rsidR="00DC24C0">
              <w:rPr>
                <w:rFonts w:eastAsia="Arial" w:cs="Arial"/>
                <w:sz w:val="22"/>
                <w:szCs w:val="22"/>
                <w:lang w:eastAsia="en-US"/>
              </w:rPr>
              <w:t>of</w:t>
            </w:r>
            <w:r w:rsidRPr="00E13184">
              <w:rPr>
                <w:rFonts w:eastAsia="Arial" w:cs="Arial"/>
                <w:sz w:val="22"/>
                <w:szCs w:val="22"/>
                <w:lang w:eastAsia="en-US"/>
              </w:rPr>
              <w:t xml:space="preserve"> </w:t>
            </w:r>
          </w:p>
          <w:p w:rsidRPr="00E13184" w:rsidR="00E13184" w:rsidP="00E13184" w:rsidRDefault="00E13184" w14:paraId="29B7ACA9" w14:textId="7A11C78B">
            <w:pPr>
              <w:widowControl w:val="0"/>
              <w:autoSpaceDE w:val="0"/>
              <w:autoSpaceDN w:val="0"/>
              <w:spacing w:before="100" w:after="0" w:line="240" w:lineRule="auto"/>
              <w:ind w:left="180" w:right="84"/>
              <w:jc w:val="center"/>
              <w:rPr>
                <w:rFonts w:eastAsia="Arial" w:cs="Arial"/>
                <w:sz w:val="22"/>
                <w:szCs w:val="22"/>
                <w:lang w:eastAsia="en-US"/>
              </w:rPr>
            </w:pPr>
            <w:r w:rsidRPr="00E13184">
              <w:rPr>
                <w:rFonts w:eastAsia="Arial" w:cs="Arial"/>
                <w:sz w:val="22"/>
                <w:szCs w:val="22"/>
                <w:lang w:eastAsia="en-US"/>
              </w:rPr>
              <w:t>8 mg/L Total</w:t>
            </w:r>
            <w:r w:rsidRPr="00E13184">
              <w:rPr>
                <w:rFonts w:eastAsia="Arial" w:cs="Arial"/>
                <w:spacing w:val="-13"/>
                <w:sz w:val="22"/>
                <w:szCs w:val="22"/>
                <w:lang w:eastAsia="en-US"/>
              </w:rPr>
              <w:t xml:space="preserve"> </w:t>
            </w:r>
            <w:r w:rsidRPr="00E13184">
              <w:rPr>
                <w:rFonts w:eastAsia="Arial" w:cs="Arial"/>
                <w:sz w:val="22"/>
                <w:szCs w:val="22"/>
                <w:lang w:eastAsia="en-US"/>
              </w:rPr>
              <w:t>Nitrogen</w:t>
            </w:r>
          </w:p>
          <w:p w:rsidRPr="00E13184" w:rsidR="00754CA8" w:rsidP="00D81330" w:rsidRDefault="00E13184" w14:paraId="06679382" w14:textId="67EBA2A7">
            <w:pPr>
              <w:widowControl w:val="0"/>
              <w:autoSpaceDE w:val="0"/>
              <w:autoSpaceDN w:val="0"/>
              <w:spacing w:before="100" w:after="0" w:line="240" w:lineRule="auto"/>
              <w:ind w:left="180" w:right="84"/>
              <w:jc w:val="center"/>
              <w:rPr>
                <w:rFonts w:eastAsia="Arial" w:cs="Arial"/>
                <w:sz w:val="22"/>
                <w:szCs w:val="22"/>
                <w:lang w:eastAsia="en-US"/>
              </w:rPr>
            </w:pPr>
            <w:r w:rsidRPr="00E13184">
              <w:rPr>
                <w:rFonts w:eastAsia="Arial" w:cs="Arial"/>
                <w:sz w:val="22"/>
                <w:szCs w:val="22"/>
                <w:lang w:eastAsia="en-US"/>
              </w:rPr>
              <w:t>0.3 mg/L Total</w:t>
            </w:r>
            <w:r w:rsidRPr="00E13184">
              <w:rPr>
                <w:rFonts w:eastAsia="Arial" w:cs="Arial"/>
                <w:spacing w:val="-13"/>
                <w:sz w:val="22"/>
                <w:szCs w:val="22"/>
                <w:lang w:eastAsia="en-US"/>
              </w:rPr>
              <w:t xml:space="preserve"> </w:t>
            </w:r>
            <w:r w:rsidRPr="00E13184">
              <w:rPr>
                <w:rFonts w:eastAsia="Arial" w:cs="Arial"/>
                <w:sz w:val="22"/>
                <w:szCs w:val="22"/>
                <w:lang w:eastAsia="en-US"/>
              </w:rPr>
              <w:t>Phosphorus</w:t>
            </w:r>
          </w:p>
        </w:tc>
      </w:tr>
    </w:tbl>
    <w:p w:rsidR="00754CA8" w:rsidP="0084484F" w:rsidRDefault="00754CA8" w14:paraId="4E07F5F4" w14:textId="7E4D1049">
      <w:pPr>
        <w:spacing w:before="240" w:after="0"/>
        <w:ind w:left="1267"/>
        <w:rPr>
          <w:b/>
          <w:spacing w:val="-2"/>
          <w:sz w:val="20"/>
        </w:rPr>
      </w:pPr>
      <w:r>
        <w:rPr>
          <w:b/>
          <w:sz w:val="20"/>
        </w:rPr>
        <w:t>Franklin Creek</w:t>
      </w:r>
      <w:r>
        <w:rPr>
          <w:b/>
          <w:spacing w:val="49"/>
          <w:sz w:val="20"/>
        </w:rPr>
        <w:t xml:space="preserve"> </w:t>
      </w:r>
      <w:r w:rsidRPr="00F806BC" w:rsidR="00F806BC">
        <w:rPr>
          <w:b/>
          <w:sz w:val="20"/>
        </w:rPr>
        <w:t>Final</w:t>
      </w:r>
      <w:r w:rsidRPr="00F806BC">
        <w:rPr>
          <w:b/>
          <w:sz w:val="20"/>
        </w:rPr>
        <w:t xml:space="preserve"> W</w:t>
      </w:r>
      <w:r>
        <w:rPr>
          <w:b/>
          <w:spacing w:val="-3"/>
          <w:sz w:val="20"/>
        </w:rPr>
        <w:t xml:space="preserve">asteload </w:t>
      </w:r>
      <w:r>
        <w:rPr>
          <w:b/>
          <w:spacing w:val="-2"/>
          <w:sz w:val="20"/>
        </w:rPr>
        <w:t>Allocations</w:t>
      </w:r>
    </w:p>
    <w:tbl>
      <w:tblPr>
        <w:tblW w:w="8062" w:type="dxa"/>
        <w:tblInd w:w="1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88"/>
        <w:gridCol w:w="2687"/>
        <w:gridCol w:w="2687"/>
      </w:tblGrid>
      <w:tr w:rsidRPr="00832DFC" w:rsidR="00837AB2" w:rsidTr="0084484F" w14:paraId="353598BF" w14:textId="77777777">
        <w:trPr>
          <w:trHeight w:val="625"/>
        </w:trPr>
        <w:tc>
          <w:tcPr>
            <w:tcW w:w="2736" w:type="dxa"/>
            <w:shd w:val="clear" w:color="auto" w:fill="D6E3BC" w:themeFill="accent3" w:themeFillTint="66"/>
            <w:vAlign w:val="center"/>
          </w:tcPr>
          <w:p w:rsidRPr="00832DFC" w:rsidR="00832DFC" w:rsidP="00832DFC" w:rsidRDefault="00832DFC" w14:paraId="4C686499" w14:textId="12C0DCDD">
            <w:pPr>
              <w:autoSpaceDE w:val="0"/>
              <w:autoSpaceDN w:val="0"/>
              <w:adjustRightInd w:val="0"/>
              <w:spacing w:before="0" w:after="0" w:line="240" w:lineRule="auto"/>
              <w:jc w:val="center"/>
              <w:rPr>
                <w:rFonts w:eastAsia="Calibri" w:cs="Arial"/>
                <w:color w:val="000000"/>
                <w:sz w:val="22"/>
                <w:szCs w:val="22"/>
                <w:lang w:eastAsia="en-US"/>
              </w:rPr>
            </w:pPr>
            <w:r w:rsidRPr="00832DFC">
              <w:rPr>
                <w:rFonts w:eastAsia="Calibri" w:cs="Arial"/>
                <w:b/>
                <w:bCs/>
                <w:color w:val="000000"/>
                <w:sz w:val="22"/>
                <w:szCs w:val="22"/>
                <w:lang w:eastAsia="en-US"/>
              </w:rPr>
              <w:t>Nitrate as N</w:t>
            </w:r>
            <w:r w:rsidR="00087EB4">
              <w:rPr>
                <w:rFonts w:eastAsia="Calibri" w:cs="Arial"/>
                <w:b/>
                <w:bCs/>
                <w:color w:val="000000"/>
                <w:sz w:val="22"/>
                <w:szCs w:val="22"/>
                <w:lang w:eastAsia="en-US"/>
              </w:rPr>
              <w:t>itrogen</w:t>
            </w:r>
            <w:r w:rsidRPr="00832DFC">
              <w:rPr>
                <w:rFonts w:eastAsia="Calibri" w:cs="Arial"/>
                <w:b/>
                <w:bCs/>
                <w:color w:val="000000"/>
                <w:sz w:val="22"/>
                <w:szCs w:val="22"/>
                <w:lang w:eastAsia="en-US"/>
              </w:rPr>
              <w:t xml:space="preserve"> </w:t>
            </w:r>
          </w:p>
        </w:tc>
        <w:tc>
          <w:tcPr>
            <w:tcW w:w="2736" w:type="dxa"/>
            <w:shd w:val="clear" w:color="auto" w:fill="D6E3BC" w:themeFill="accent3" w:themeFillTint="66"/>
            <w:vAlign w:val="center"/>
          </w:tcPr>
          <w:p w:rsidRPr="00832DFC" w:rsidR="00832DFC" w:rsidP="00832DFC" w:rsidRDefault="00832DFC" w14:paraId="5BE8314C" w14:textId="77777777">
            <w:pPr>
              <w:autoSpaceDE w:val="0"/>
              <w:autoSpaceDN w:val="0"/>
              <w:adjustRightInd w:val="0"/>
              <w:spacing w:before="0" w:after="0" w:line="240" w:lineRule="auto"/>
              <w:jc w:val="center"/>
              <w:rPr>
                <w:rFonts w:eastAsia="Calibri" w:cs="Arial"/>
                <w:b/>
                <w:color w:val="000000"/>
                <w:sz w:val="22"/>
                <w:szCs w:val="22"/>
                <w:lang w:eastAsia="en-US"/>
              </w:rPr>
            </w:pPr>
            <w:r w:rsidRPr="00832DFC">
              <w:rPr>
                <w:rFonts w:eastAsia="Calibri" w:cs="Arial"/>
                <w:b/>
                <w:bCs/>
                <w:color w:val="000000"/>
                <w:sz w:val="22"/>
                <w:szCs w:val="22"/>
                <w:lang w:eastAsia="en-US"/>
              </w:rPr>
              <w:t>Total Nitrogen</w:t>
            </w:r>
          </w:p>
        </w:tc>
        <w:tc>
          <w:tcPr>
            <w:tcW w:w="2736" w:type="dxa"/>
            <w:shd w:val="clear" w:color="auto" w:fill="D6E3BC" w:themeFill="accent3" w:themeFillTint="66"/>
            <w:vAlign w:val="center"/>
          </w:tcPr>
          <w:p w:rsidRPr="00832DFC" w:rsidR="00832DFC" w:rsidP="00832DFC" w:rsidRDefault="00837AB2" w14:paraId="75B82A24" w14:textId="1DA3CA13">
            <w:pPr>
              <w:autoSpaceDE w:val="0"/>
              <w:autoSpaceDN w:val="0"/>
              <w:adjustRightInd w:val="0"/>
              <w:spacing w:before="0" w:after="0" w:line="240" w:lineRule="auto"/>
              <w:jc w:val="center"/>
              <w:rPr>
                <w:rFonts w:eastAsia="Calibri" w:cs="Arial"/>
                <w:b/>
                <w:color w:val="000000"/>
                <w:sz w:val="22"/>
                <w:szCs w:val="22"/>
                <w:lang w:eastAsia="en-US"/>
              </w:rPr>
            </w:pPr>
            <w:r w:rsidRPr="00556C42">
              <w:rPr>
                <w:rFonts w:cs="Arial"/>
                <w:b/>
                <w:bCs/>
                <w:sz w:val="22"/>
                <w:szCs w:val="22"/>
              </w:rPr>
              <w:t>Total Phosphorus</w:t>
            </w:r>
          </w:p>
        </w:tc>
      </w:tr>
      <w:tr w:rsidRPr="00832DFC" w:rsidR="00500A05" w:rsidTr="006A7890" w14:paraId="5408C8E2" w14:textId="77777777">
        <w:trPr>
          <w:trHeight w:val="2124"/>
        </w:trPr>
        <w:tc>
          <w:tcPr>
            <w:tcW w:w="2736" w:type="dxa"/>
            <w:vAlign w:val="center"/>
          </w:tcPr>
          <w:p w:rsidRPr="00832DFC" w:rsidR="00832DFC" w:rsidP="00832DFC" w:rsidRDefault="003A535E" w14:paraId="5ED3AD7C" w14:textId="53D536B7">
            <w:pPr>
              <w:widowControl w:val="0"/>
              <w:autoSpaceDE w:val="0"/>
              <w:autoSpaceDN w:val="0"/>
              <w:spacing w:before="0" w:after="0" w:line="240" w:lineRule="auto"/>
              <w:ind w:left="10" w:right="2"/>
              <w:jc w:val="center"/>
              <w:rPr>
                <w:rFonts w:eastAsia="Arial" w:cs="Arial"/>
                <w:sz w:val="22"/>
                <w:szCs w:val="22"/>
                <w:lang w:eastAsia="en-US"/>
              </w:rPr>
            </w:pPr>
            <w:r w:rsidRPr="00E13184">
              <w:rPr>
                <w:rFonts w:eastAsia="Arial" w:cs="Arial"/>
                <w:sz w:val="22"/>
                <w:szCs w:val="22"/>
                <w:lang w:eastAsia="en-US"/>
              </w:rPr>
              <w:t>10 mg/L</w:t>
            </w:r>
          </w:p>
        </w:tc>
        <w:tc>
          <w:tcPr>
            <w:tcW w:w="2736" w:type="dxa"/>
          </w:tcPr>
          <w:p w:rsidRPr="00832DFC" w:rsidR="00832DFC" w:rsidP="00832DFC" w:rsidRDefault="00832DFC" w14:paraId="79B3628F" w14:textId="31286F60">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 xml:space="preserve">1.1 </w:t>
            </w:r>
            <w:r w:rsidRPr="00E13184" w:rsidR="00011311">
              <w:rPr>
                <w:rFonts w:eastAsia="Arial" w:cs="Arial"/>
                <w:sz w:val="22"/>
                <w:szCs w:val="22"/>
                <w:lang w:eastAsia="en-US"/>
              </w:rPr>
              <w:t xml:space="preserve">mg/L </w:t>
            </w:r>
            <w:r w:rsidRPr="00832DFC">
              <w:rPr>
                <w:rFonts w:eastAsia="Calibri" w:cs="Arial"/>
                <w:color w:val="000000"/>
                <w:sz w:val="22"/>
                <w:szCs w:val="22"/>
                <w:lang w:eastAsia="en-US"/>
              </w:rPr>
              <w:t>Maximum</w:t>
            </w:r>
          </w:p>
          <w:p w:rsidRPr="00832DFC" w:rsidR="00832DFC" w:rsidP="00832DFC" w:rsidRDefault="00832DFC" w14:paraId="71D8F318" w14:textId="77777777">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 xml:space="preserve">Dry Season Samples </w:t>
            </w:r>
          </w:p>
          <w:p w:rsidRPr="00832DFC" w:rsidR="00832DFC" w:rsidP="00832DFC" w:rsidRDefault="00832DFC" w14:paraId="2AF2D655" w14:textId="77777777">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(May 1 – October 31)</w:t>
            </w:r>
          </w:p>
          <w:p w:rsidRPr="00832DFC" w:rsidR="00832DFC" w:rsidP="0067616F" w:rsidRDefault="00832DFC" w14:paraId="41154309" w14:textId="77777777">
            <w:pPr>
              <w:autoSpaceDE w:val="0"/>
              <w:autoSpaceDN w:val="0"/>
              <w:adjustRightInd w:val="0"/>
              <w:spacing w:before="0" w:after="0" w:line="240" w:lineRule="auto"/>
              <w:ind w:left="86" w:right="86"/>
              <w:jc w:val="center"/>
              <w:rPr>
                <w:rFonts w:eastAsia="Calibri" w:cs="Arial"/>
                <w:color w:val="000000"/>
                <w:sz w:val="22"/>
                <w:szCs w:val="22"/>
                <w:lang w:eastAsia="en-US"/>
              </w:rPr>
            </w:pPr>
          </w:p>
          <w:p w:rsidRPr="00832DFC" w:rsidR="00832DFC" w:rsidP="00832DFC" w:rsidRDefault="00832DFC" w14:paraId="67B98709" w14:textId="003BF736">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8</w:t>
            </w:r>
            <w:r w:rsidR="003A535E">
              <w:rPr>
                <w:rFonts w:eastAsia="Calibri" w:cs="Arial"/>
                <w:color w:val="000000"/>
                <w:sz w:val="22"/>
                <w:szCs w:val="22"/>
                <w:lang w:eastAsia="en-US"/>
              </w:rPr>
              <w:t xml:space="preserve"> </w:t>
            </w:r>
            <w:r w:rsidRPr="00E13184" w:rsidR="003A535E">
              <w:rPr>
                <w:rFonts w:eastAsia="Arial" w:cs="Arial"/>
                <w:sz w:val="22"/>
                <w:szCs w:val="22"/>
                <w:lang w:eastAsia="en-US"/>
              </w:rPr>
              <w:t>mg/L</w:t>
            </w:r>
          </w:p>
          <w:p w:rsidRPr="00832DFC" w:rsidR="00832DFC" w:rsidP="00832DFC" w:rsidRDefault="00832DFC" w14:paraId="537E4B25" w14:textId="77777777">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Maximum</w:t>
            </w:r>
          </w:p>
          <w:p w:rsidRPr="00832DFC" w:rsidR="00832DFC" w:rsidP="00832DFC" w:rsidRDefault="00832DFC" w14:paraId="2F15B358" w14:textId="77777777">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Wet Season Samples (November 1 - April 30)</w:t>
            </w:r>
          </w:p>
        </w:tc>
        <w:tc>
          <w:tcPr>
            <w:tcW w:w="2736" w:type="dxa"/>
          </w:tcPr>
          <w:p w:rsidRPr="00832DFC" w:rsidR="00832DFC" w:rsidP="00832DFC" w:rsidRDefault="00832DFC" w14:paraId="6E8DF5D5" w14:textId="7745830C">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 xml:space="preserve">0.075 </w:t>
            </w:r>
            <w:r w:rsidRPr="00E13184" w:rsidR="00011311">
              <w:rPr>
                <w:rFonts w:eastAsia="Arial" w:cs="Arial"/>
                <w:sz w:val="22"/>
                <w:szCs w:val="22"/>
                <w:lang w:eastAsia="en-US"/>
              </w:rPr>
              <w:t xml:space="preserve">mg/L </w:t>
            </w:r>
            <w:r w:rsidRPr="00832DFC">
              <w:rPr>
                <w:rFonts w:eastAsia="Calibri" w:cs="Arial"/>
                <w:color w:val="000000"/>
                <w:sz w:val="22"/>
                <w:szCs w:val="22"/>
                <w:lang w:eastAsia="en-US"/>
              </w:rPr>
              <w:t>Maximum</w:t>
            </w:r>
          </w:p>
          <w:p w:rsidRPr="00832DFC" w:rsidR="00832DFC" w:rsidP="00832DFC" w:rsidRDefault="00832DFC" w14:paraId="571CD56D" w14:textId="77777777">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 xml:space="preserve">Dry Season Samples </w:t>
            </w:r>
          </w:p>
          <w:p w:rsidRPr="00832DFC" w:rsidR="00832DFC" w:rsidP="00832DFC" w:rsidRDefault="00832DFC" w14:paraId="0834A9EB" w14:textId="77777777">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(May 1 – October 31)</w:t>
            </w:r>
          </w:p>
          <w:p w:rsidRPr="00832DFC" w:rsidR="00832DFC" w:rsidP="0067616F" w:rsidRDefault="00832DFC" w14:paraId="67673E63" w14:textId="77777777">
            <w:pPr>
              <w:autoSpaceDE w:val="0"/>
              <w:autoSpaceDN w:val="0"/>
              <w:adjustRightInd w:val="0"/>
              <w:spacing w:before="0" w:after="0" w:line="240" w:lineRule="auto"/>
              <w:ind w:left="86" w:right="86"/>
              <w:jc w:val="center"/>
              <w:rPr>
                <w:rFonts w:eastAsia="Calibri" w:cs="Arial"/>
                <w:color w:val="000000"/>
                <w:sz w:val="22"/>
                <w:szCs w:val="22"/>
                <w:lang w:eastAsia="en-US"/>
              </w:rPr>
            </w:pPr>
          </w:p>
          <w:p w:rsidRPr="00832DFC" w:rsidR="00832DFC" w:rsidP="00832DFC" w:rsidRDefault="00832DFC" w14:paraId="7ED147A2" w14:textId="45DF7081">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0.3</w:t>
            </w:r>
            <w:r w:rsidR="003A535E">
              <w:rPr>
                <w:rFonts w:eastAsia="Calibri" w:cs="Arial"/>
                <w:color w:val="000000"/>
                <w:sz w:val="22"/>
                <w:szCs w:val="22"/>
                <w:lang w:eastAsia="en-US"/>
              </w:rPr>
              <w:t xml:space="preserve"> </w:t>
            </w:r>
            <w:r w:rsidRPr="00E13184" w:rsidR="003A535E">
              <w:rPr>
                <w:rFonts w:eastAsia="Arial" w:cs="Arial"/>
                <w:sz w:val="22"/>
                <w:szCs w:val="22"/>
                <w:lang w:eastAsia="en-US"/>
              </w:rPr>
              <w:t>mg/L</w:t>
            </w:r>
          </w:p>
          <w:p w:rsidRPr="00832DFC" w:rsidR="00832DFC" w:rsidP="00832DFC" w:rsidRDefault="00832DFC" w14:paraId="3DB612BB" w14:textId="77777777">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Maximum</w:t>
            </w:r>
          </w:p>
          <w:p w:rsidRPr="00832DFC" w:rsidR="00832DFC" w:rsidP="00832DFC" w:rsidRDefault="00832DFC" w14:paraId="0CF95399" w14:textId="77777777">
            <w:pPr>
              <w:autoSpaceDE w:val="0"/>
              <w:autoSpaceDN w:val="0"/>
              <w:adjustRightInd w:val="0"/>
              <w:spacing w:before="60" w:after="0" w:line="240" w:lineRule="auto"/>
              <w:ind w:left="86" w:right="89"/>
              <w:jc w:val="center"/>
              <w:rPr>
                <w:rFonts w:eastAsia="Calibri" w:cs="Arial"/>
                <w:color w:val="000000"/>
                <w:sz w:val="22"/>
                <w:szCs w:val="22"/>
                <w:lang w:eastAsia="en-US"/>
              </w:rPr>
            </w:pPr>
            <w:r w:rsidRPr="00832DFC">
              <w:rPr>
                <w:rFonts w:eastAsia="Calibri" w:cs="Arial"/>
                <w:color w:val="000000"/>
                <w:sz w:val="22"/>
                <w:szCs w:val="22"/>
                <w:lang w:eastAsia="en-US"/>
              </w:rPr>
              <w:t>Wet Season Samples (November 1 - April 30)</w:t>
            </w:r>
          </w:p>
        </w:tc>
      </w:tr>
    </w:tbl>
    <w:p w:rsidR="0014165E" w:rsidP="00D81330" w:rsidRDefault="0014165E" w14:paraId="3E2688CA" w14:textId="6FA6BB44">
      <w:pPr>
        <w:ind w:left="1267"/>
      </w:pPr>
      <w:r w:rsidRPr="00A53808">
        <w:rPr>
          <w:rFonts w:cs="Arial"/>
          <w:b/>
          <w:bCs/>
        </w:rPr>
        <w:t>Final Deadline for Compliance</w:t>
      </w:r>
      <w:r w:rsidRPr="00A53808">
        <w:rPr>
          <w:rFonts w:cs="Arial"/>
        </w:rPr>
        <w:t>:</w:t>
      </w:r>
      <w:r>
        <w:rPr>
          <w:rFonts w:cs="Arial"/>
        </w:rPr>
        <w:t xml:space="preserve"> </w:t>
      </w:r>
      <w:r w:rsidRPr="00297526" w:rsidR="00297526">
        <w:rPr>
          <w:rFonts w:cs="Arial"/>
        </w:rPr>
        <w:t xml:space="preserve">The final </w:t>
      </w:r>
      <w:r w:rsidR="00E603A5">
        <w:rPr>
          <w:rFonts w:cs="Arial"/>
        </w:rPr>
        <w:t xml:space="preserve">wasteload </w:t>
      </w:r>
      <w:r w:rsidRPr="00297526" w:rsidR="00297526">
        <w:rPr>
          <w:rFonts w:cs="Arial"/>
        </w:rPr>
        <w:t xml:space="preserve">allocations </w:t>
      </w:r>
      <w:r w:rsidR="0067616F">
        <w:rPr>
          <w:rFonts w:cs="Arial"/>
        </w:rPr>
        <w:t xml:space="preserve">for Franklin Creek </w:t>
      </w:r>
      <w:r w:rsidRPr="00297526" w:rsidR="00297526">
        <w:rPr>
          <w:rFonts w:cs="Arial"/>
        </w:rPr>
        <w:t>should be achieved 25-years after the TMDL effective date</w:t>
      </w:r>
      <w:r w:rsidR="00654EDD">
        <w:rPr>
          <w:rFonts w:cs="Arial"/>
        </w:rPr>
        <w:t xml:space="preserve"> (i.</w:t>
      </w:r>
      <w:r w:rsidR="00D81330">
        <w:rPr>
          <w:rFonts w:cs="Arial"/>
        </w:rPr>
        <w:t>e., the date of approval by Office of Administrative Law)</w:t>
      </w:r>
      <w:r w:rsidR="00455D59">
        <w:rPr>
          <w:rFonts w:cs="Arial"/>
        </w:rPr>
        <w:t xml:space="preserve">. </w:t>
      </w:r>
      <w:r w:rsidR="00617C95">
        <w:rPr>
          <w:rFonts w:cs="Arial"/>
        </w:rPr>
        <w:t>T</w:t>
      </w:r>
      <w:r w:rsidR="00455D59">
        <w:rPr>
          <w:rFonts w:cs="Arial"/>
        </w:rPr>
        <w:t xml:space="preserve">herefore, the </w:t>
      </w:r>
      <w:r w:rsidR="00617C95">
        <w:rPr>
          <w:rFonts w:cs="Arial"/>
        </w:rPr>
        <w:t>final deadline is May 9, 2044.</w:t>
      </w:r>
    </w:p>
    <w:p w:rsidRPr="003B286D" w:rsidR="003B286D" w:rsidP="003B286D" w:rsidRDefault="003B286D" w14:paraId="5263A84E" w14:textId="77777777">
      <w:pPr>
        <w:spacing w:before="240"/>
        <w:ind w:left="1267"/>
        <w:rPr>
          <w:rFonts w:cs="Arial"/>
          <w:b/>
          <w:bCs/>
        </w:rPr>
      </w:pPr>
    </w:p>
    <w:p w:rsidRPr="000C39A1" w:rsidR="002F7A0B" w:rsidP="003B7848" w:rsidRDefault="00836361" w14:paraId="6297806C" w14:textId="10F72901">
      <w:pPr>
        <w:pStyle w:val="Heading3"/>
        <w:tabs>
          <w:tab w:val="clear" w:pos="720"/>
          <w:tab w:val="left" w:pos="1260"/>
        </w:tabs>
        <w:ind w:left="1260" w:hanging="1260"/>
        <w:rPr>
          <w:i/>
          <w:iCs/>
        </w:rPr>
      </w:pPr>
      <w:r>
        <w:rPr>
          <w:i/>
          <w:iCs/>
        </w:rPr>
        <w:t>A13</w:t>
      </w:r>
      <w:r w:rsidRPr="000C39A1" w:rsidR="002F7A0B">
        <w:rPr>
          <w:i/>
          <w:iCs/>
        </w:rPr>
        <w:t>.3</w:t>
      </w:r>
      <w:r w:rsidRPr="000C39A1" w:rsidR="00E5252C">
        <w:rPr>
          <w:i/>
          <w:iCs/>
        </w:rPr>
        <w:t>.</w:t>
      </w:r>
      <w:r w:rsidRPr="000C39A1" w:rsidR="002F7A0B">
        <w:rPr>
          <w:i/>
          <w:iCs/>
        </w:rPr>
        <w:t>21</w:t>
      </w:r>
      <w:r w:rsidRPr="000C39A1" w:rsidR="002F7A0B">
        <w:rPr>
          <w:i/>
          <w:iCs/>
        </w:rPr>
        <w:tab/>
      </w:r>
      <w:r w:rsidRPr="000C39A1" w:rsidR="002F7A0B">
        <w:rPr>
          <w:i/>
          <w:iCs/>
        </w:rPr>
        <w:t>TMDL for Total Phosphorous to Address Cyanobacterial Blooms in Pinto Lake</w:t>
      </w:r>
      <w:r w:rsidRPr="000C39A1" w:rsidR="007356D6">
        <w:rPr>
          <w:rStyle w:val="FootnoteReference"/>
          <w:i/>
          <w:iCs/>
        </w:rPr>
        <w:footnoteReference w:id="20"/>
      </w:r>
    </w:p>
    <w:p w:rsidRPr="00D52F4F" w:rsidR="00162275" w:rsidP="00162275" w:rsidRDefault="0014165E" w14:paraId="7D98F1B3" w14:textId="362E2428">
      <w:pPr>
        <w:ind w:left="1260"/>
        <w:rPr>
          <w:rFonts w:cs="Arial"/>
        </w:rPr>
      </w:pPr>
      <w:r w:rsidRPr="00A53808">
        <w:rPr>
          <w:rFonts w:cs="Arial"/>
          <w:b/>
          <w:bCs/>
        </w:rPr>
        <w:t>Description:</w:t>
      </w:r>
      <w:r w:rsidRPr="00C97E81">
        <w:rPr>
          <w:rFonts w:cs="Arial"/>
        </w:rPr>
        <w:t xml:space="preserve"> </w:t>
      </w:r>
      <w:r w:rsidRPr="00EA59F1" w:rsidR="00EA59F1">
        <w:rPr>
          <w:rFonts w:cs="Arial"/>
        </w:rPr>
        <w:t>Pinto Lake is a shallow, 103-acre lake located within the Lower Pajaro River watershed in Santa Cruz County. Pinto Lake has experienced nutrient-driven cyanobacteria blooms, associated toxicity, and water quality degradation for many years</w:t>
      </w:r>
      <w:r w:rsidRPr="00C97E81">
        <w:rPr>
          <w:rFonts w:cs="Arial"/>
        </w:rPr>
        <w:t>.</w:t>
      </w:r>
      <w:r w:rsidR="00162275">
        <w:rPr>
          <w:rFonts w:cs="Arial"/>
        </w:rPr>
        <w:t xml:space="preserve"> </w:t>
      </w:r>
      <w:r w:rsidR="00D770DF">
        <w:rPr>
          <w:rFonts w:cs="Arial"/>
        </w:rPr>
        <w:t>Urban r</w:t>
      </w:r>
      <w:r w:rsidR="00AC706C">
        <w:rPr>
          <w:rFonts w:cs="Arial"/>
        </w:rPr>
        <w:t xml:space="preserve">unoff </w:t>
      </w:r>
      <w:r w:rsidR="00EB72D8">
        <w:rPr>
          <w:rFonts w:cs="Arial"/>
        </w:rPr>
        <w:t xml:space="preserve">is a source of </w:t>
      </w:r>
      <w:r w:rsidR="00E808C7">
        <w:rPr>
          <w:rFonts w:cs="Arial"/>
        </w:rPr>
        <w:t>phosphorus</w:t>
      </w:r>
      <w:r w:rsidR="00EB72D8">
        <w:rPr>
          <w:rFonts w:cs="Arial"/>
        </w:rPr>
        <w:t xml:space="preserve"> into Pinto Lak</w:t>
      </w:r>
      <w:r w:rsidR="00F31BC2">
        <w:rPr>
          <w:rFonts w:cs="Arial"/>
        </w:rPr>
        <w:t>e</w:t>
      </w:r>
      <w:r w:rsidR="00EB72D8">
        <w:rPr>
          <w:rFonts w:cs="Arial"/>
        </w:rPr>
        <w:t xml:space="preserve">. </w:t>
      </w:r>
      <w:r w:rsidRPr="00162275" w:rsidR="00BB1267">
        <w:rPr>
          <w:rFonts w:cs="Arial"/>
        </w:rPr>
        <w:t>Pinto Lake water quality impairments that will be corrected by reducing the total phosphorus load include the following: cyanobacteria hepatotoxic microcystins, chlorophyll a, low dissolved oxygen, and scum/foam.</w:t>
      </w:r>
      <w:r w:rsidR="00BB1267">
        <w:rPr>
          <w:rFonts w:cs="Arial"/>
        </w:rPr>
        <w:t xml:space="preserve"> </w:t>
      </w:r>
      <w:r w:rsidR="00162275">
        <w:rPr>
          <w:rFonts w:cs="Arial"/>
        </w:rPr>
        <w:t>The TMDLs were approved by t</w:t>
      </w:r>
      <w:r w:rsidRPr="000B262B" w:rsidR="00162275">
        <w:rPr>
          <w:rFonts w:cs="Arial"/>
        </w:rPr>
        <w:t xml:space="preserve">he California Office of Administrative Law </w:t>
      </w:r>
      <w:r w:rsidR="00162275">
        <w:rPr>
          <w:rFonts w:cs="Arial"/>
        </w:rPr>
        <w:t>(</w:t>
      </w:r>
      <w:r w:rsidRPr="00CD2B13" w:rsidR="00CD2B13">
        <w:rPr>
          <w:rFonts w:cs="Arial"/>
        </w:rPr>
        <w:t>September 9, 2021</w:t>
      </w:r>
      <w:r w:rsidR="00162275">
        <w:rPr>
          <w:rFonts w:cs="Arial"/>
        </w:rPr>
        <w:t>), and t</w:t>
      </w:r>
      <w:r w:rsidRPr="00A80D17" w:rsidR="00162275">
        <w:rPr>
          <w:rFonts w:cs="Arial"/>
        </w:rPr>
        <w:t xml:space="preserve">he </w:t>
      </w:r>
      <w:r w:rsidR="00766ACF">
        <w:rPr>
          <w:rFonts w:cs="Arial"/>
        </w:rPr>
        <w:t>USEPA</w:t>
      </w:r>
      <w:r w:rsidR="00C56C92">
        <w:rPr>
          <w:rFonts w:cs="Arial"/>
        </w:rPr>
        <w:t xml:space="preserve"> </w:t>
      </w:r>
      <w:r w:rsidR="00162275">
        <w:rPr>
          <w:rFonts w:cs="Arial"/>
        </w:rPr>
        <w:t>(</w:t>
      </w:r>
      <w:r w:rsidRPr="007418D0" w:rsidR="007418D0">
        <w:rPr>
          <w:rFonts w:cs="Arial"/>
        </w:rPr>
        <w:t>November 21, 2021</w:t>
      </w:r>
      <w:r w:rsidR="00162275">
        <w:rPr>
          <w:rFonts w:cs="Arial"/>
        </w:rPr>
        <w:t>)</w:t>
      </w:r>
    </w:p>
    <w:p w:rsidRPr="00D52F4F" w:rsidR="0014165E" w:rsidP="0014165E" w:rsidRDefault="0014165E" w14:paraId="31C3FB61" w14:textId="166CCD53">
      <w:pPr>
        <w:ind w:left="1260"/>
        <w:rPr>
          <w:rFonts w:cs="Arial"/>
        </w:rPr>
      </w:pPr>
      <w:r w:rsidRPr="006A53D3">
        <w:rPr>
          <w:b/>
        </w:rPr>
        <w:t>Responsible Permit</w:t>
      </w:r>
      <w:r w:rsidR="0091593F">
        <w:rPr>
          <w:b/>
        </w:rPr>
        <w:t>t</w:t>
      </w:r>
      <w:r w:rsidRPr="006A53D3">
        <w:rPr>
          <w:b/>
        </w:rPr>
        <w:t>ees</w:t>
      </w:r>
      <w:r w:rsidRPr="00315677">
        <w:rPr>
          <w:b/>
        </w:rPr>
        <w:t>:</w:t>
      </w:r>
      <w:r w:rsidRPr="00C97E81">
        <w:t xml:space="preserve"> </w:t>
      </w:r>
      <w:r w:rsidRPr="00C435BF" w:rsidR="00295345">
        <w:t xml:space="preserve">City of </w:t>
      </w:r>
      <w:r w:rsidRPr="00DD3DA6" w:rsidR="00295345">
        <w:rPr>
          <w:rFonts w:eastAsia="Arial" w:cs="Arial"/>
        </w:rPr>
        <w:t>Watsonville</w:t>
      </w:r>
      <w:r w:rsidRPr="00C435BF" w:rsidR="00295345">
        <w:t>, County of Santa Cruz</w:t>
      </w:r>
      <w:r w:rsidR="005A0069">
        <w:t xml:space="preserve"> </w:t>
      </w:r>
      <w:r w:rsidRPr="00C97E81">
        <w:t xml:space="preserve"> </w:t>
      </w:r>
    </w:p>
    <w:p w:rsidRPr="00C97E81" w:rsidR="0014165E" w:rsidP="00BE1556" w:rsidRDefault="0014165E" w14:paraId="468F97B2" w14:textId="060259B0">
      <w:pPr>
        <w:ind w:left="1260"/>
        <w:rPr>
          <w:rFonts w:cs="Arial"/>
        </w:rPr>
      </w:pPr>
      <w:r w:rsidRPr="00D52F4F">
        <w:rPr>
          <w:b/>
        </w:rPr>
        <w:t>Wasteload Allocations:</w:t>
      </w:r>
      <w:r w:rsidRPr="00C97E81">
        <w:t xml:space="preserve"> </w:t>
      </w:r>
      <w:r w:rsidRPr="00CB5F65" w:rsidR="00CB5F65">
        <w:t>This TMDL project identifies that major watershed improvement efforts should be</w:t>
      </w:r>
      <w:r w:rsidR="00775865">
        <w:t xml:space="preserve"> </w:t>
      </w:r>
      <w:r w:rsidRPr="00CB5F65" w:rsidR="00CB5F65">
        <w:t>directed towards phosphorus control.</w:t>
      </w:r>
      <w:r>
        <w:t xml:space="preserve"> </w:t>
      </w:r>
    </w:p>
    <w:p w:rsidR="00BB5F99" w:rsidP="00681ED2" w:rsidRDefault="00CA7F4D" w14:paraId="3AE9104B" w14:textId="15952A82">
      <w:pPr>
        <w:spacing w:after="0" w:line="240" w:lineRule="auto"/>
        <w:ind w:left="1267"/>
        <w:rPr>
          <w:rFonts w:cs="Arial"/>
          <w:b/>
          <w:bCs/>
        </w:rPr>
      </w:pPr>
      <w:r>
        <w:rPr>
          <w:rFonts w:cs="Arial"/>
          <w:b/>
          <w:bCs/>
        </w:rPr>
        <w:t xml:space="preserve">Phosphorus </w:t>
      </w:r>
      <w:r w:rsidRPr="00BD4591" w:rsidR="00BD4591">
        <w:rPr>
          <w:rFonts w:cs="Arial"/>
          <w:b/>
          <w:bCs/>
        </w:rPr>
        <w:t xml:space="preserve">Wasteload </w:t>
      </w:r>
      <w:r w:rsidR="00681ED2">
        <w:rPr>
          <w:rFonts w:cs="Arial"/>
          <w:b/>
          <w:bCs/>
        </w:rPr>
        <w:t>A</w:t>
      </w:r>
      <w:r w:rsidRPr="00BD4591" w:rsidR="00BD4591">
        <w:rPr>
          <w:rFonts w:cs="Arial"/>
          <w:b/>
          <w:bCs/>
        </w:rPr>
        <w:t xml:space="preserve">llocation for all </w:t>
      </w:r>
      <w:r w:rsidR="00681ED2">
        <w:rPr>
          <w:rFonts w:cs="Arial"/>
          <w:b/>
          <w:bCs/>
        </w:rPr>
        <w:t>S</w:t>
      </w:r>
      <w:r w:rsidRPr="00BD4591" w:rsidR="00BD4591">
        <w:rPr>
          <w:rFonts w:cs="Arial"/>
          <w:b/>
          <w:bCs/>
        </w:rPr>
        <w:t xml:space="preserve">urface </w:t>
      </w:r>
      <w:r w:rsidR="00681ED2">
        <w:rPr>
          <w:rFonts w:cs="Arial"/>
          <w:b/>
          <w:bCs/>
        </w:rPr>
        <w:t>W</w:t>
      </w:r>
      <w:r w:rsidRPr="00BD4591" w:rsidR="00BD4591">
        <w:rPr>
          <w:rFonts w:cs="Arial"/>
          <w:b/>
          <w:bCs/>
        </w:rPr>
        <w:t>aterbodies in the</w:t>
      </w:r>
      <w:r w:rsidR="00681ED2">
        <w:rPr>
          <w:rFonts w:cs="Arial"/>
          <w:b/>
          <w:bCs/>
        </w:rPr>
        <w:t xml:space="preserve"> </w:t>
      </w:r>
      <w:r w:rsidRPr="00BD4591" w:rsidR="00BD4591">
        <w:rPr>
          <w:rFonts w:cs="Arial"/>
          <w:b/>
          <w:bCs/>
        </w:rPr>
        <w:t xml:space="preserve">Pinto Lake </w:t>
      </w:r>
      <w:r w:rsidR="009C5C3D">
        <w:rPr>
          <w:rFonts w:cs="Arial"/>
          <w:b/>
          <w:bCs/>
        </w:rPr>
        <w:t>C</w:t>
      </w:r>
      <w:r w:rsidRPr="00BD4591" w:rsidR="00BD4591">
        <w:rPr>
          <w:rFonts w:cs="Arial"/>
          <w:b/>
          <w:bCs/>
        </w:rPr>
        <w:t>atchment</w:t>
      </w:r>
    </w:p>
    <w:tbl>
      <w:tblPr>
        <w:tblW w:w="8490" w:type="dxa"/>
        <w:tblInd w:w="1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90"/>
        <w:gridCol w:w="2460"/>
        <w:gridCol w:w="2340"/>
        <w:gridCol w:w="1800"/>
      </w:tblGrid>
      <w:tr w:rsidRPr="00714501" w:rsidR="00714501" w:rsidTr="00A40FC4" w14:paraId="006DB688" w14:textId="77777777">
        <w:trPr>
          <w:trHeight w:val="1103"/>
        </w:trPr>
        <w:tc>
          <w:tcPr>
            <w:tcW w:w="1890" w:type="dxa"/>
            <w:shd w:val="clear" w:color="auto" w:fill="D6E3BC" w:themeFill="accent3" w:themeFillTint="66"/>
            <w:vAlign w:val="center"/>
          </w:tcPr>
          <w:p w:rsidRPr="00714501" w:rsidR="00714501" w:rsidP="00534FE4" w:rsidRDefault="00714501" w14:paraId="50BA537B" w14:textId="77777777">
            <w:pPr>
              <w:widowControl w:val="0"/>
              <w:autoSpaceDE w:val="0"/>
              <w:autoSpaceDN w:val="0"/>
              <w:spacing w:before="0" w:after="0" w:line="240" w:lineRule="auto"/>
              <w:ind w:left="107"/>
              <w:jc w:val="center"/>
              <w:rPr>
                <w:rFonts w:eastAsia="Arial" w:cs="Arial"/>
                <w:b/>
                <w:sz w:val="22"/>
                <w:szCs w:val="22"/>
                <w:lang w:eastAsia="en-US"/>
              </w:rPr>
            </w:pPr>
            <w:r w:rsidRPr="00714501">
              <w:rPr>
                <w:rFonts w:eastAsia="Arial" w:cs="Arial"/>
                <w:b/>
                <w:sz w:val="22"/>
                <w:szCs w:val="22"/>
                <w:lang w:eastAsia="en-US"/>
              </w:rPr>
              <w:t>Phosphorus</w:t>
            </w:r>
            <w:r w:rsidRPr="00714501">
              <w:rPr>
                <w:rFonts w:eastAsia="Arial" w:cs="Arial"/>
                <w:b/>
                <w:spacing w:val="-6"/>
                <w:sz w:val="22"/>
                <w:szCs w:val="22"/>
                <w:lang w:eastAsia="en-US"/>
              </w:rPr>
              <w:t xml:space="preserve"> </w:t>
            </w:r>
            <w:r w:rsidRPr="00714501">
              <w:rPr>
                <w:rFonts w:eastAsia="Arial" w:cs="Arial"/>
                <w:b/>
                <w:spacing w:val="-2"/>
                <w:sz w:val="22"/>
                <w:szCs w:val="22"/>
                <w:lang w:eastAsia="en-US"/>
              </w:rPr>
              <w:t>Source</w:t>
            </w:r>
          </w:p>
        </w:tc>
        <w:tc>
          <w:tcPr>
            <w:tcW w:w="2460" w:type="dxa"/>
            <w:shd w:val="clear" w:color="auto" w:fill="D6E3BC" w:themeFill="accent3" w:themeFillTint="66"/>
            <w:vAlign w:val="center"/>
          </w:tcPr>
          <w:p w:rsidRPr="00714501" w:rsidR="00714501" w:rsidP="00ED23CA" w:rsidRDefault="00714501" w14:paraId="17218627" w14:textId="5A1B2185">
            <w:pPr>
              <w:widowControl w:val="0"/>
              <w:autoSpaceDE w:val="0"/>
              <w:autoSpaceDN w:val="0"/>
              <w:spacing w:before="0" w:after="0" w:line="276" w:lineRule="exact"/>
              <w:ind w:left="74" w:right="62"/>
              <w:jc w:val="center"/>
              <w:rPr>
                <w:rFonts w:eastAsia="Arial" w:cs="Arial"/>
                <w:b/>
                <w:sz w:val="22"/>
                <w:szCs w:val="22"/>
                <w:lang w:eastAsia="en-US"/>
              </w:rPr>
            </w:pPr>
            <w:r w:rsidRPr="00714501">
              <w:rPr>
                <w:rFonts w:eastAsia="Arial" w:cs="Arial"/>
                <w:b/>
                <w:sz w:val="22"/>
                <w:szCs w:val="22"/>
                <w:lang w:eastAsia="en-US"/>
              </w:rPr>
              <w:t>Current</w:t>
            </w:r>
            <w:r w:rsidRPr="00714501">
              <w:rPr>
                <w:rFonts w:eastAsia="Arial" w:cs="Arial"/>
                <w:b/>
                <w:spacing w:val="-17"/>
                <w:sz w:val="22"/>
                <w:szCs w:val="22"/>
                <w:lang w:eastAsia="en-US"/>
              </w:rPr>
              <w:t xml:space="preserve"> T</w:t>
            </w:r>
            <w:r w:rsidRPr="00714501">
              <w:rPr>
                <w:rFonts w:eastAsia="Arial" w:cs="Arial"/>
                <w:b/>
                <w:sz w:val="22"/>
                <w:szCs w:val="22"/>
                <w:lang w:eastAsia="en-US"/>
              </w:rPr>
              <w:t>otal P</w:t>
            </w:r>
            <w:r w:rsidRPr="00714501">
              <w:rPr>
                <w:rFonts w:eastAsia="Arial" w:cs="Arial"/>
                <w:b/>
                <w:spacing w:val="-2"/>
                <w:sz w:val="22"/>
                <w:szCs w:val="22"/>
                <w:lang w:eastAsia="en-US"/>
              </w:rPr>
              <w:t xml:space="preserve">hosphorus Loading </w:t>
            </w:r>
            <w:r w:rsidRPr="00714501">
              <w:rPr>
                <w:rFonts w:eastAsia="Arial" w:cs="Arial"/>
                <w:b/>
                <w:sz w:val="22"/>
                <w:szCs w:val="22"/>
                <w:lang w:eastAsia="en-US"/>
              </w:rPr>
              <w:t>(</w:t>
            </w:r>
            <w:r w:rsidR="009471C8">
              <w:rPr>
                <w:rFonts w:eastAsia="Arial" w:cs="Arial"/>
                <w:b/>
                <w:sz w:val="22"/>
                <w:szCs w:val="22"/>
                <w:lang w:eastAsia="en-US"/>
              </w:rPr>
              <w:t>pounds</w:t>
            </w:r>
            <w:r w:rsidR="00241C64">
              <w:rPr>
                <w:rFonts w:eastAsia="Arial" w:cs="Arial"/>
                <w:b/>
                <w:sz w:val="22"/>
                <w:szCs w:val="22"/>
                <w:lang w:eastAsia="en-US"/>
              </w:rPr>
              <w:t xml:space="preserve"> per </w:t>
            </w:r>
            <w:r w:rsidRPr="00714501">
              <w:rPr>
                <w:rFonts w:eastAsia="Arial" w:cs="Arial"/>
                <w:b/>
                <w:sz w:val="22"/>
                <w:szCs w:val="22"/>
                <w:lang w:eastAsia="en-US"/>
              </w:rPr>
              <w:t>year)</w:t>
            </w:r>
          </w:p>
        </w:tc>
        <w:tc>
          <w:tcPr>
            <w:tcW w:w="2340" w:type="dxa"/>
            <w:shd w:val="clear" w:color="auto" w:fill="D6E3BC" w:themeFill="accent3" w:themeFillTint="66"/>
            <w:vAlign w:val="center"/>
          </w:tcPr>
          <w:p w:rsidRPr="00714501" w:rsidR="00714501" w:rsidP="00ED23CA" w:rsidRDefault="00714501" w14:paraId="7C24524B" w14:textId="49AD17C8">
            <w:pPr>
              <w:widowControl w:val="0"/>
              <w:autoSpaceDE w:val="0"/>
              <w:autoSpaceDN w:val="0"/>
              <w:spacing w:before="141" w:after="0" w:line="237" w:lineRule="auto"/>
              <w:ind w:left="10"/>
              <w:jc w:val="center"/>
              <w:rPr>
                <w:rFonts w:eastAsia="Arial" w:cs="Arial"/>
                <w:b/>
                <w:sz w:val="22"/>
                <w:szCs w:val="22"/>
                <w:lang w:eastAsia="en-US"/>
              </w:rPr>
            </w:pPr>
            <w:r w:rsidRPr="00714501">
              <w:rPr>
                <w:rFonts w:eastAsia="Arial" w:cs="Arial"/>
                <w:b/>
                <w:sz w:val="22"/>
                <w:szCs w:val="22"/>
                <w:lang w:eastAsia="en-US"/>
              </w:rPr>
              <w:t>Total</w:t>
            </w:r>
            <w:r w:rsidRPr="00714501">
              <w:rPr>
                <w:rFonts w:eastAsia="Arial" w:cs="Arial"/>
                <w:b/>
                <w:spacing w:val="-17"/>
                <w:sz w:val="22"/>
                <w:szCs w:val="22"/>
                <w:lang w:eastAsia="en-US"/>
              </w:rPr>
              <w:t xml:space="preserve"> </w:t>
            </w:r>
            <w:r w:rsidRPr="00714501">
              <w:rPr>
                <w:rFonts w:eastAsia="Arial" w:cs="Arial"/>
                <w:b/>
                <w:sz w:val="22"/>
                <w:szCs w:val="22"/>
                <w:lang w:eastAsia="en-US"/>
              </w:rPr>
              <w:t>Phosphorus Load Allocation (</w:t>
            </w:r>
            <w:r w:rsidR="00241C64">
              <w:rPr>
                <w:rFonts w:eastAsia="Arial" w:cs="Arial"/>
                <w:b/>
                <w:sz w:val="22"/>
                <w:szCs w:val="22"/>
                <w:lang w:eastAsia="en-US"/>
              </w:rPr>
              <w:t xml:space="preserve">pounds per </w:t>
            </w:r>
            <w:r w:rsidRPr="00714501" w:rsidR="00241C64">
              <w:rPr>
                <w:rFonts w:eastAsia="Arial" w:cs="Arial"/>
                <w:b/>
                <w:sz w:val="22"/>
                <w:szCs w:val="22"/>
                <w:lang w:eastAsia="en-US"/>
              </w:rPr>
              <w:t>year</w:t>
            </w:r>
            <w:r w:rsidRPr="00714501">
              <w:rPr>
                <w:rFonts w:eastAsia="Arial" w:cs="Arial"/>
                <w:b/>
                <w:sz w:val="22"/>
                <w:szCs w:val="22"/>
                <w:lang w:eastAsia="en-US"/>
              </w:rPr>
              <w:t>)</w:t>
            </w:r>
          </w:p>
        </w:tc>
        <w:tc>
          <w:tcPr>
            <w:tcW w:w="1800" w:type="dxa"/>
            <w:shd w:val="clear" w:color="auto" w:fill="D6E3BC" w:themeFill="accent3" w:themeFillTint="66"/>
            <w:vAlign w:val="center"/>
          </w:tcPr>
          <w:p w:rsidRPr="00714501" w:rsidR="00714501" w:rsidP="00534FE4" w:rsidRDefault="00714501" w14:paraId="1875F611" w14:textId="3209549B">
            <w:pPr>
              <w:widowControl w:val="0"/>
              <w:autoSpaceDE w:val="0"/>
              <w:autoSpaceDN w:val="0"/>
              <w:spacing w:before="0" w:after="0" w:line="240" w:lineRule="auto"/>
              <w:ind w:left="149"/>
              <w:jc w:val="center"/>
              <w:rPr>
                <w:rFonts w:eastAsia="Arial" w:cs="Arial"/>
                <w:b/>
                <w:sz w:val="22"/>
                <w:szCs w:val="22"/>
                <w:lang w:eastAsia="en-US"/>
              </w:rPr>
            </w:pPr>
            <w:r w:rsidRPr="00714501">
              <w:rPr>
                <w:rFonts w:eastAsia="Arial" w:cs="Arial"/>
                <w:b/>
                <w:spacing w:val="-2"/>
                <w:sz w:val="22"/>
                <w:szCs w:val="22"/>
                <w:lang w:eastAsia="en-US"/>
              </w:rPr>
              <w:t xml:space="preserve">Percent </w:t>
            </w:r>
            <w:r w:rsidRPr="00714501">
              <w:rPr>
                <w:rFonts w:eastAsia="Arial" w:cs="Arial"/>
                <w:b/>
                <w:sz w:val="22"/>
                <w:szCs w:val="22"/>
                <w:lang w:eastAsia="en-US"/>
              </w:rPr>
              <w:t>reduction</w:t>
            </w:r>
            <w:r w:rsidRPr="00714501">
              <w:rPr>
                <w:rFonts w:eastAsia="Arial" w:cs="Arial"/>
                <w:b/>
                <w:spacing w:val="-17"/>
                <w:sz w:val="22"/>
                <w:szCs w:val="22"/>
                <w:lang w:eastAsia="en-US"/>
              </w:rPr>
              <w:t xml:space="preserve"> </w:t>
            </w:r>
            <w:r w:rsidR="00740710">
              <w:rPr>
                <w:rFonts w:eastAsia="Arial" w:cs="Arial"/>
                <w:b/>
                <w:spacing w:val="-17"/>
                <w:sz w:val="22"/>
                <w:szCs w:val="22"/>
                <w:lang w:eastAsia="en-US"/>
              </w:rPr>
              <w:br/>
            </w:r>
            <w:r w:rsidRPr="00714501">
              <w:rPr>
                <w:rFonts w:eastAsia="Arial" w:cs="Arial"/>
                <w:b/>
                <w:sz w:val="22"/>
                <w:szCs w:val="22"/>
                <w:lang w:eastAsia="en-US"/>
              </w:rPr>
              <w:t>(%)</w:t>
            </w:r>
          </w:p>
        </w:tc>
      </w:tr>
      <w:tr w:rsidRPr="00714501" w:rsidR="00714501" w:rsidTr="00101C90" w14:paraId="54F83FB3" w14:textId="77777777">
        <w:trPr>
          <w:trHeight w:val="791"/>
        </w:trPr>
        <w:tc>
          <w:tcPr>
            <w:tcW w:w="1890" w:type="dxa"/>
          </w:tcPr>
          <w:p w:rsidRPr="00101C90" w:rsidR="00580CC5" w:rsidP="00101C90" w:rsidRDefault="00714501" w14:paraId="0C003668" w14:textId="2DF081CA">
            <w:pPr>
              <w:widowControl w:val="0"/>
              <w:autoSpaceDE w:val="0"/>
              <w:autoSpaceDN w:val="0"/>
              <w:spacing w:before="41" w:after="0" w:line="240" w:lineRule="auto"/>
              <w:ind w:left="107"/>
              <w:rPr>
                <w:rFonts w:eastAsia="Arial" w:cs="Arial"/>
                <w:spacing w:val="-2"/>
                <w:sz w:val="22"/>
                <w:szCs w:val="22"/>
                <w:lang w:eastAsia="en-US"/>
              </w:rPr>
            </w:pPr>
            <w:r w:rsidRPr="00714501">
              <w:rPr>
                <w:rFonts w:eastAsia="Arial" w:cs="Arial"/>
                <w:sz w:val="22"/>
                <w:szCs w:val="22"/>
                <w:lang w:eastAsia="en-US"/>
              </w:rPr>
              <w:t>Urban</w:t>
            </w:r>
            <w:r w:rsidRPr="00714501">
              <w:rPr>
                <w:rFonts w:eastAsia="Arial" w:cs="Arial"/>
                <w:spacing w:val="-9"/>
                <w:sz w:val="22"/>
                <w:szCs w:val="22"/>
                <w:lang w:eastAsia="en-US"/>
              </w:rPr>
              <w:t xml:space="preserve"> </w:t>
            </w:r>
            <w:r w:rsidRPr="00714501">
              <w:rPr>
                <w:rFonts w:eastAsia="Arial" w:cs="Arial"/>
                <w:sz w:val="22"/>
                <w:szCs w:val="22"/>
                <w:lang w:eastAsia="en-US"/>
              </w:rPr>
              <w:t>stormwater-</w:t>
            </w:r>
            <w:r w:rsidRPr="00714501">
              <w:rPr>
                <w:rFonts w:eastAsia="Arial" w:cs="Arial"/>
                <w:spacing w:val="-2"/>
                <w:sz w:val="22"/>
                <w:szCs w:val="22"/>
                <w:lang w:eastAsia="en-US"/>
              </w:rPr>
              <w:t>runoff</w:t>
            </w:r>
          </w:p>
        </w:tc>
        <w:tc>
          <w:tcPr>
            <w:tcW w:w="2460" w:type="dxa"/>
          </w:tcPr>
          <w:p w:rsidRPr="00714501" w:rsidR="00714501" w:rsidP="00ED23CA" w:rsidRDefault="00714501" w14:paraId="7F33F3B1" w14:textId="77777777">
            <w:pPr>
              <w:widowControl w:val="0"/>
              <w:autoSpaceDE w:val="0"/>
              <w:autoSpaceDN w:val="0"/>
              <w:spacing w:before="41" w:after="0" w:line="240" w:lineRule="auto"/>
              <w:ind w:left="74" w:right="66"/>
              <w:jc w:val="center"/>
              <w:rPr>
                <w:rFonts w:eastAsia="Arial" w:cs="Arial"/>
                <w:sz w:val="22"/>
                <w:szCs w:val="22"/>
                <w:lang w:eastAsia="en-US"/>
              </w:rPr>
            </w:pPr>
            <w:r w:rsidRPr="00714501">
              <w:rPr>
                <w:rFonts w:eastAsia="Arial" w:cs="Arial"/>
                <w:spacing w:val="-5"/>
                <w:sz w:val="22"/>
                <w:szCs w:val="22"/>
                <w:lang w:eastAsia="en-US"/>
              </w:rPr>
              <w:t>130</w:t>
            </w:r>
          </w:p>
        </w:tc>
        <w:tc>
          <w:tcPr>
            <w:tcW w:w="2340" w:type="dxa"/>
          </w:tcPr>
          <w:p w:rsidRPr="00714501" w:rsidR="00714501" w:rsidP="00ED23CA" w:rsidRDefault="00714501" w14:paraId="0718D6B0" w14:textId="77777777">
            <w:pPr>
              <w:widowControl w:val="0"/>
              <w:autoSpaceDE w:val="0"/>
              <w:autoSpaceDN w:val="0"/>
              <w:spacing w:before="41" w:after="0" w:line="240" w:lineRule="auto"/>
              <w:ind w:left="10"/>
              <w:jc w:val="center"/>
              <w:rPr>
                <w:rFonts w:eastAsia="Arial" w:cs="Arial"/>
                <w:sz w:val="22"/>
                <w:szCs w:val="22"/>
                <w:lang w:eastAsia="en-US"/>
              </w:rPr>
            </w:pPr>
            <w:r w:rsidRPr="00714501">
              <w:rPr>
                <w:rFonts w:eastAsia="Arial" w:cs="Arial"/>
                <w:spacing w:val="-5"/>
                <w:sz w:val="22"/>
                <w:szCs w:val="22"/>
                <w:lang w:eastAsia="en-US"/>
              </w:rPr>
              <w:t>20</w:t>
            </w:r>
          </w:p>
        </w:tc>
        <w:tc>
          <w:tcPr>
            <w:tcW w:w="1800" w:type="dxa"/>
          </w:tcPr>
          <w:p w:rsidRPr="00714501" w:rsidR="00714501" w:rsidP="00ED23CA" w:rsidRDefault="00714501" w14:paraId="5EF0BFBB" w14:textId="77777777">
            <w:pPr>
              <w:widowControl w:val="0"/>
              <w:autoSpaceDE w:val="0"/>
              <w:autoSpaceDN w:val="0"/>
              <w:spacing w:before="41" w:after="0" w:line="240" w:lineRule="auto"/>
              <w:ind w:left="74" w:right="68"/>
              <w:jc w:val="center"/>
              <w:rPr>
                <w:rFonts w:eastAsia="Arial" w:cs="Arial"/>
                <w:sz w:val="22"/>
                <w:szCs w:val="22"/>
                <w:lang w:eastAsia="en-US"/>
              </w:rPr>
            </w:pPr>
            <w:r w:rsidRPr="00714501">
              <w:rPr>
                <w:rFonts w:eastAsia="Arial" w:cs="Arial"/>
                <w:spacing w:val="-4"/>
                <w:sz w:val="22"/>
                <w:szCs w:val="22"/>
                <w:lang w:eastAsia="en-US"/>
              </w:rPr>
              <w:t>~85</w:t>
            </w:r>
          </w:p>
        </w:tc>
      </w:tr>
    </w:tbl>
    <w:p w:rsidRPr="00C65F43" w:rsidR="00303A8C" w:rsidP="0078400F" w:rsidRDefault="00303A8C" w14:paraId="60B37EB1" w14:textId="77777777">
      <w:pPr>
        <w:ind w:firstLine="1267"/>
        <w:rPr>
          <w:b/>
          <w:bCs/>
        </w:rPr>
      </w:pPr>
      <w:r w:rsidRPr="00C65F43">
        <w:rPr>
          <w:b/>
          <w:bCs/>
        </w:rPr>
        <w:t>Numeric</w:t>
      </w:r>
      <w:r w:rsidRPr="00C65F43">
        <w:rPr>
          <w:b/>
          <w:bCs/>
          <w:spacing w:val="-4"/>
        </w:rPr>
        <w:t xml:space="preserve"> </w:t>
      </w:r>
      <w:r w:rsidRPr="00C65F43">
        <w:rPr>
          <w:b/>
          <w:bCs/>
          <w:spacing w:val="-2"/>
        </w:rPr>
        <w:t>Targets</w:t>
      </w:r>
    </w:p>
    <w:p w:rsidR="00580D0B" w:rsidP="0078400F" w:rsidRDefault="00656EA5" w14:paraId="4F9B13FA" w14:textId="6B602885">
      <w:pPr>
        <w:pStyle w:val="BodyText"/>
        <w:tabs>
          <w:tab w:val="left" w:pos="1260"/>
        </w:tabs>
        <w:spacing w:after="120"/>
        <w:ind w:left="1267"/>
      </w:pPr>
      <w:r>
        <w:rPr>
          <w:color w:val="262626"/>
        </w:rPr>
        <w:t>Numeric targets represent acceptable levels of pollutants that will result in the desired conditions for</w:t>
      </w:r>
      <w:r>
        <w:rPr>
          <w:color w:val="262626"/>
          <w:spacing w:val="-2"/>
        </w:rPr>
        <w:t xml:space="preserve"> </w:t>
      </w:r>
      <w:r>
        <w:rPr>
          <w:color w:val="262626"/>
        </w:rPr>
        <w:t xml:space="preserve">the lake. </w:t>
      </w:r>
      <w:r w:rsidR="00580D0B">
        <w:t>The</w:t>
      </w:r>
      <w:r w:rsidR="00580D0B">
        <w:rPr>
          <w:spacing w:val="-2"/>
        </w:rPr>
        <w:t xml:space="preserve"> </w:t>
      </w:r>
      <w:r w:rsidR="00580D0B">
        <w:t>numeric</w:t>
      </w:r>
      <w:r w:rsidR="00580D0B">
        <w:rPr>
          <w:spacing w:val="-3"/>
        </w:rPr>
        <w:t xml:space="preserve"> </w:t>
      </w:r>
      <w:r w:rsidR="00580D0B">
        <w:t>targets</w:t>
      </w:r>
      <w:r w:rsidR="00580D0B">
        <w:rPr>
          <w:spacing w:val="-2"/>
        </w:rPr>
        <w:t xml:space="preserve"> </w:t>
      </w:r>
      <w:r w:rsidR="00580D0B">
        <w:t>include</w:t>
      </w:r>
      <w:r w:rsidR="00580D0B">
        <w:rPr>
          <w:spacing w:val="-2"/>
        </w:rPr>
        <w:t xml:space="preserve"> </w:t>
      </w:r>
      <w:r w:rsidR="00580D0B">
        <w:t>the</w:t>
      </w:r>
      <w:r w:rsidR="00580D0B">
        <w:rPr>
          <w:spacing w:val="-3"/>
        </w:rPr>
        <w:t xml:space="preserve"> </w:t>
      </w:r>
      <w:r w:rsidR="00580D0B">
        <w:rPr>
          <w:spacing w:val="-2"/>
        </w:rPr>
        <w:t>following:</w:t>
      </w:r>
    </w:p>
    <w:p w:rsidR="00C86CC7" w:rsidP="00E8254E" w:rsidRDefault="00C86CC7" w14:paraId="1B164955" w14:textId="77777777">
      <w:pPr>
        <w:pStyle w:val="BodyText"/>
        <w:numPr>
          <w:ilvl w:val="0"/>
          <w:numId w:val="69"/>
        </w:numPr>
        <w:spacing w:after="120"/>
        <w:ind w:left="1627" w:right="187"/>
      </w:pPr>
      <w:r>
        <w:t>Numeric targets for nutrient-response indicators (numeric targets to interpret the narrative</w:t>
      </w:r>
      <w:r w:rsidRPr="00A40FC4">
        <w:t xml:space="preserve"> </w:t>
      </w:r>
      <w:r>
        <w:t>Basin</w:t>
      </w:r>
      <w:r w:rsidRPr="00A40FC4">
        <w:t xml:space="preserve"> </w:t>
      </w:r>
      <w:r>
        <w:t>Plan</w:t>
      </w:r>
      <w:r w:rsidRPr="00A40FC4">
        <w:t xml:space="preserve"> </w:t>
      </w:r>
      <w:r>
        <w:t>objective</w:t>
      </w:r>
      <w:r w:rsidRPr="00A40FC4">
        <w:t xml:space="preserve"> </w:t>
      </w:r>
      <w:r>
        <w:t>for</w:t>
      </w:r>
      <w:r w:rsidRPr="00A40FC4">
        <w:t xml:space="preserve"> </w:t>
      </w:r>
      <w:r>
        <w:t>biostimulatory</w:t>
      </w:r>
      <w:r w:rsidRPr="00A40FC4">
        <w:t xml:space="preserve"> </w:t>
      </w:r>
      <w:r>
        <w:t>substances</w:t>
      </w:r>
      <w:r w:rsidRPr="00A40FC4">
        <w:t xml:space="preserve"> </w:t>
      </w:r>
      <w:r>
        <w:t>and</w:t>
      </w:r>
      <w:r w:rsidRPr="00A40FC4">
        <w:t xml:space="preserve"> </w:t>
      </w:r>
      <w:r>
        <w:t>aquatic</w:t>
      </w:r>
      <w:r w:rsidRPr="00A40FC4">
        <w:t xml:space="preserve"> </w:t>
      </w:r>
      <w:r>
        <w:t>life</w:t>
      </w:r>
      <w:r w:rsidRPr="00A40FC4">
        <w:t xml:space="preserve"> </w:t>
      </w:r>
      <w:r>
        <w:t xml:space="preserve">beneficial </w:t>
      </w:r>
      <w:r w:rsidRPr="00A40FC4">
        <w:t>uses):</w:t>
      </w:r>
    </w:p>
    <w:p w:rsidR="00C86CC7" w:rsidP="00E8254E" w:rsidRDefault="00C86CC7" w14:paraId="41080F48" w14:textId="77777777">
      <w:pPr>
        <w:pStyle w:val="ListParagraph"/>
        <w:widowControl w:val="0"/>
        <w:numPr>
          <w:ilvl w:val="0"/>
          <w:numId w:val="71"/>
        </w:numPr>
        <w:autoSpaceDE w:val="0"/>
        <w:autoSpaceDN w:val="0"/>
        <w:spacing w:after="0" w:line="240" w:lineRule="auto"/>
        <w:ind w:left="2340" w:hanging="720"/>
        <w:contextualSpacing w:val="0"/>
      </w:pPr>
      <w:r>
        <w:t>Dissolved</w:t>
      </w:r>
      <w:r w:rsidRPr="00A40FC4">
        <w:t xml:space="preserve"> </w:t>
      </w:r>
      <w:r>
        <w:t>oxygen</w:t>
      </w:r>
      <w:r w:rsidRPr="00A40FC4">
        <w:t xml:space="preserve"> </w:t>
      </w:r>
      <w:r>
        <w:t>concentration</w:t>
      </w:r>
      <w:r w:rsidRPr="00A40FC4">
        <w:t xml:space="preserve"> </w:t>
      </w:r>
      <w:r>
        <w:t>not</w:t>
      </w:r>
      <w:r w:rsidRPr="00A40FC4">
        <w:t xml:space="preserve"> </w:t>
      </w:r>
      <w:r>
        <w:t>to</w:t>
      </w:r>
      <w:r w:rsidRPr="00A40FC4">
        <w:t xml:space="preserve"> </w:t>
      </w:r>
      <w:r>
        <w:t>be</w:t>
      </w:r>
      <w:r w:rsidRPr="00A40FC4">
        <w:t xml:space="preserve"> </w:t>
      </w:r>
      <w:r>
        <w:t>reduced</w:t>
      </w:r>
      <w:r w:rsidRPr="00A40FC4">
        <w:t xml:space="preserve"> </w:t>
      </w:r>
      <w:r>
        <w:t>below</w:t>
      </w:r>
      <w:r w:rsidRPr="00A40FC4">
        <w:t xml:space="preserve"> </w:t>
      </w:r>
      <w:r>
        <w:t xml:space="preserve">5.0 </w:t>
      </w:r>
      <w:r w:rsidRPr="00A40FC4">
        <w:t>mg/L.</w:t>
      </w:r>
    </w:p>
    <w:p w:rsidR="00C86CC7" w:rsidP="00E8254E" w:rsidRDefault="00C86CC7" w14:paraId="6D3F08FB" w14:textId="77777777">
      <w:pPr>
        <w:pStyle w:val="ListParagraph"/>
        <w:widowControl w:val="0"/>
        <w:numPr>
          <w:ilvl w:val="0"/>
          <w:numId w:val="71"/>
        </w:numPr>
        <w:autoSpaceDE w:val="0"/>
        <w:autoSpaceDN w:val="0"/>
        <w:spacing w:after="0" w:line="240" w:lineRule="auto"/>
        <w:ind w:left="2340" w:hanging="720"/>
        <w:contextualSpacing w:val="0"/>
      </w:pPr>
      <w:r>
        <w:t>Median</w:t>
      </w:r>
      <w:r w:rsidRPr="00A40FC4">
        <w:t xml:space="preserve"> </w:t>
      </w:r>
      <w:r>
        <w:t>values</w:t>
      </w:r>
      <w:r w:rsidRPr="00A40FC4">
        <w:t xml:space="preserve"> </w:t>
      </w:r>
      <w:r>
        <w:t>for</w:t>
      </w:r>
      <w:r w:rsidRPr="00A40FC4">
        <w:t xml:space="preserve"> </w:t>
      </w:r>
      <w:r>
        <w:t>dissolved</w:t>
      </w:r>
      <w:r w:rsidRPr="00A40FC4">
        <w:t xml:space="preserve"> </w:t>
      </w:r>
      <w:r>
        <w:t>oxygen</w:t>
      </w:r>
      <w:r w:rsidRPr="00A40FC4">
        <w:t xml:space="preserve"> </w:t>
      </w:r>
      <w:r>
        <w:t>should</w:t>
      </w:r>
      <w:r w:rsidRPr="00A40FC4">
        <w:t xml:space="preserve"> </w:t>
      </w:r>
      <w:r>
        <w:t>not</w:t>
      </w:r>
      <w:r w:rsidRPr="00A40FC4">
        <w:t xml:space="preserve"> </w:t>
      </w:r>
      <w:r>
        <w:t>fall</w:t>
      </w:r>
      <w:r w:rsidRPr="00A40FC4">
        <w:t xml:space="preserve"> </w:t>
      </w:r>
      <w:r>
        <w:t>below</w:t>
      </w:r>
      <w:r w:rsidRPr="00A40FC4">
        <w:t xml:space="preserve"> </w:t>
      </w:r>
      <w:r>
        <w:t>85%</w:t>
      </w:r>
      <w:r w:rsidRPr="00A40FC4">
        <w:t xml:space="preserve"> saturation.</w:t>
      </w:r>
    </w:p>
    <w:p w:rsidR="00C86CC7" w:rsidP="00E8254E" w:rsidRDefault="00C86CC7" w14:paraId="4629849C" w14:textId="7E8A004A">
      <w:pPr>
        <w:pStyle w:val="ListParagraph"/>
        <w:widowControl w:val="0"/>
        <w:numPr>
          <w:ilvl w:val="0"/>
          <w:numId w:val="71"/>
        </w:numPr>
        <w:autoSpaceDE w:val="0"/>
        <w:autoSpaceDN w:val="0"/>
        <w:spacing w:after="0" w:line="240" w:lineRule="auto"/>
        <w:ind w:left="2340" w:hanging="720"/>
        <w:contextualSpacing w:val="0"/>
      </w:pPr>
      <w:r>
        <w:t>In</w:t>
      </w:r>
      <w:r w:rsidRPr="00A40FC4">
        <w:t xml:space="preserve"> </w:t>
      </w:r>
      <w:r>
        <w:t>the</w:t>
      </w:r>
      <w:r w:rsidRPr="00A40FC4">
        <w:t xml:space="preserve"> </w:t>
      </w:r>
      <w:r>
        <w:t>growing</w:t>
      </w:r>
      <w:r w:rsidRPr="00A40FC4">
        <w:t xml:space="preserve"> </w:t>
      </w:r>
      <w:r>
        <w:t>season</w:t>
      </w:r>
      <w:r w:rsidRPr="00A40FC4">
        <w:t xml:space="preserve"> </w:t>
      </w:r>
      <w:r>
        <w:t>(June</w:t>
      </w:r>
      <w:r w:rsidRPr="00A40FC4">
        <w:t xml:space="preserve"> </w:t>
      </w:r>
      <w:r>
        <w:t>1</w:t>
      </w:r>
      <w:r w:rsidRPr="00A40FC4">
        <w:t xml:space="preserve"> </w:t>
      </w:r>
      <w:r>
        <w:t>–</w:t>
      </w:r>
      <w:r w:rsidRPr="00A40FC4">
        <w:t xml:space="preserve"> </w:t>
      </w:r>
      <w:r>
        <w:t>November</w:t>
      </w:r>
      <w:r w:rsidRPr="00A40FC4">
        <w:t xml:space="preserve"> </w:t>
      </w:r>
      <w:r>
        <w:t>30),</w:t>
      </w:r>
      <w:r w:rsidRPr="00A40FC4">
        <w:t xml:space="preserve"> </w:t>
      </w:r>
      <w:r>
        <w:t>water</w:t>
      </w:r>
      <w:r w:rsidRPr="00A40FC4">
        <w:t xml:space="preserve"> </w:t>
      </w:r>
      <w:r>
        <w:t>column</w:t>
      </w:r>
      <w:r w:rsidRPr="00A40FC4">
        <w:t xml:space="preserve"> </w:t>
      </w:r>
      <w:r>
        <w:t>chlorophyll</w:t>
      </w:r>
      <w:r w:rsidRPr="00A40FC4">
        <w:t xml:space="preserve"> a</w:t>
      </w:r>
      <w:r w:rsidRPr="00A40FC4" w:rsidR="00A40FC4">
        <w:t xml:space="preserve"> </w:t>
      </w:r>
      <w:r>
        <w:t>concentration</w:t>
      </w:r>
      <w:r w:rsidRPr="00A40FC4">
        <w:t xml:space="preserve"> </w:t>
      </w:r>
      <w:r>
        <w:t>not</w:t>
      </w:r>
      <w:r w:rsidRPr="00A40FC4">
        <w:t xml:space="preserve"> </w:t>
      </w:r>
      <w:r>
        <w:t>to</w:t>
      </w:r>
      <w:r w:rsidRPr="00A40FC4">
        <w:t xml:space="preserve"> </w:t>
      </w:r>
      <w:r>
        <w:t>exceed</w:t>
      </w:r>
      <w:r w:rsidRPr="00A40FC4">
        <w:t xml:space="preserve"> </w:t>
      </w:r>
      <w:r>
        <w:t>25</w:t>
      </w:r>
      <w:r w:rsidRPr="00A40FC4">
        <w:t xml:space="preserve"> µg/L.</w:t>
      </w:r>
    </w:p>
    <w:p w:rsidR="00C86CC7" w:rsidP="00E8254E" w:rsidRDefault="00C86CC7" w14:paraId="41D13089" w14:textId="77777777">
      <w:pPr>
        <w:pStyle w:val="ListParagraph"/>
        <w:widowControl w:val="0"/>
        <w:numPr>
          <w:ilvl w:val="0"/>
          <w:numId w:val="71"/>
        </w:numPr>
        <w:autoSpaceDE w:val="0"/>
        <w:autoSpaceDN w:val="0"/>
        <w:spacing w:after="0" w:line="240" w:lineRule="auto"/>
        <w:ind w:left="2340" w:hanging="720"/>
        <w:contextualSpacing w:val="0"/>
      </w:pPr>
      <w:r>
        <w:t>In</w:t>
      </w:r>
      <w:r w:rsidRPr="00A40FC4">
        <w:t xml:space="preserve"> </w:t>
      </w:r>
      <w:r>
        <w:t>the</w:t>
      </w:r>
      <w:r w:rsidRPr="00A40FC4">
        <w:t xml:space="preserve"> </w:t>
      </w:r>
      <w:r>
        <w:t>wet</w:t>
      </w:r>
      <w:r w:rsidRPr="00A40FC4">
        <w:t xml:space="preserve"> </w:t>
      </w:r>
      <w:r>
        <w:t>season</w:t>
      </w:r>
      <w:r w:rsidRPr="00A40FC4">
        <w:t xml:space="preserve"> </w:t>
      </w:r>
      <w:r>
        <w:t>(December</w:t>
      </w:r>
      <w:r w:rsidRPr="00A40FC4">
        <w:t xml:space="preserve"> </w:t>
      </w:r>
      <w:r>
        <w:t>1-</w:t>
      </w:r>
      <w:r w:rsidRPr="00A40FC4">
        <w:t xml:space="preserve"> </w:t>
      </w:r>
      <w:r>
        <w:t>May</w:t>
      </w:r>
      <w:r w:rsidRPr="00A40FC4">
        <w:t xml:space="preserve"> </w:t>
      </w:r>
      <w:r>
        <w:t>31),</w:t>
      </w:r>
      <w:r w:rsidRPr="00A40FC4">
        <w:t xml:space="preserve"> </w:t>
      </w:r>
      <w:r>
        <w:t>water</w:t>
      </w:r>
      <w:r w:rsidRPr="00A40FC4">
        <w:t xml:space="preserve"> </w:t>
      </w:r>
      <w:r>
        <w:t>column</w:t>
      </w:r>
      <w:r w:rsidRPr="00A40FC4">
        <w:t xml:space="preserve"> </w:t>
      </w:r>
      <w:r>
        <w:t>chlorophyll</w:t>
      </w:r>
      <w:r w:rsidRPr="00A40FC4">
        <w:t xml:space="preserve"> a </w:t>
      </w:r>
      <w:r>
        <w:t>concentration not to exceed 25 µg/L.</w:t>
      </w:r>
    </w:p>
    <w:p w:rsidR="00A90ACA" w:rsidP="00E8254E" w:rsidRDefault="00A90ACA" w14:paraId="6C3E3712" w14:textId="77777777">
      <w:pPr>
        <w:pStyle w:val="BodyText"/>
        <w:numPr>
          <w:ilvl w:val="0"/>
          <w:numId w:val="69"/>
        </w:numPr>
        <w:spacing w:after="120"/>
        <w:ind w:left="1627" w:right="187"/>
      </w:pPr>
      <w:r>
        <w:t>Primary</w:t>
      </w:r>
      <w:r w:rsidRPr="00A90ACA">
        <w:t xml:space="preserve"> </w:t>
      </w:r>
      <w:r>
        <w:t>numeric</w:t>
      </w:r>
      <w:r w:rsidRPr="00A90ACA">
        <w:t xml:space="preserve"> </w:t>
      </w:r>
      <w:r>
        <w:t>target</w:t>
      </w:r>
      <w:r w:rsidRPr="00A90ACA">
        <w:t xml:space="preserve"> </w:t>
      </w:r>
      <w:r>
        <w:t>for</w:t>
      </w:r>
      <w:r w:rsidRPr="00A90ACA">
        <w:t xml:space="preserve"> </w:t>
      </w:r>
      <w:r>
        <w:t>microcystin</w:t>
      </w:r>
      <w:r w:rsidRPr="00A90ACA">
        <w:t xml:space="preserve"> </w:t>
      </w:r>
      <w:r>
        <w:t>(numeric</w:t>
      </w:r>
      <w:r w:rsidRPr="00A90ACA">
        <w:t xml:space="preserve"> </w:t>
      </w:r>
      <w:r>
        <w:t>target</w:t>
      </w:r>
      <w:r w:rsidRPr="00A90ACA">
        <w:t xml:space="preserve"> </w:t>
      </w:r>
      <w:r>
        <w:t>to</w:t>
      </w:r>
      <w:r w:rsidRPr="00A90ACA">
        <w:t xml:space="preserve"> </w:t>
      </w:r>
      <w:r>
        <w:t>interpret</w:t>
      </w:r>
      <w:r w:rsidRPr="00A90ACA">
        <w:t xml:space="preserve"> </w:t>
      </w:r>
      <w:r>
        <w:t>the</w:t>
      </w:r>
      <w:r w:rsidRPr="00A90ACA">
        <w:t xml:space="preserve"> </w:t>
      </w:r>
      <w:r>
        <w:t>narrative</w:t>
      </w:r>
      <w:r w:rsidRPr="00A90ACA">
        <w:t xml:space="preserve"> </w:t>
      </w:r>
      <w:r>
        <w:t>Basin Plan objective for toxicity and recreational beneficial uses):</w:t>
      </w:r>
    </w:p>
    <w:p w:rsidR="00A90ACA" w:rsidP="00E8254E" w:rsidRDefault="00A90ACA" w14:paraId="29D39611" w14:textId="77777777">
      <w:pPr>
        <w:pStyle w:val="ListParagraph"/>
        <w:widowControl w:val="0"/>
        <w:numPr>
          <w:ilvl w:val="0"/>
          <w:numId w:val="72"/>
        </w:numPr>
        <w:autoSpaceDE w:val="0"/>
        <w:autoSpaceDN w:val="0"/>
        <w:spacing w:after="0" w:line="240" w:lineRule="auto"/>
        <w:ind w:left="2340" w:hanging="720"/>
        <w:contextualSpacing w:val="0"/>
      </w:pPr>
      <w:r>
        <w:t>Microcystin</w:t>
      </w:r>
      <w:r w:rsidRPr="00395C33">
        <w:t xml:space="preserve"> </w:t>
      </w:r>
      <w:r>
        <w:t>concentration</w:t>
      </w:r>
      <w:r w:rsidRPr="00395C33">
        <w:t xml:space="preserve"> </w:t>
      </w:r>
      <w:r>
        <w:t>not</w:t>
      </w:r>
      <w:r w:rsidRPr="00395C33">
        <w:t xml:space="preserve"> </w:t>
      </w:r>
      <w:r>
        <w:t>to</w:t>
      </w:r>
      <w:r w:rsidRPr="00395C33">
        <w:t xml:space="preserve"> </w:t>
      </w:r>
      <w:r>
        <w:t>exceed</w:t>
      </w:r>
      <w:r w:rsidRPr="00395C33">
        <w:t xml:space="preserve"> </w:t>
      </w:r>
      <w:r>
        <w:t>0.8</w:t>
      </w:r>
      <w:r w:rsidRPr="00395C33">
        <w:t xml:space="preserve"> </w:t>
      </w:r>
      <w:r>
        <w:t>micrograms</w:t>
      </w:r>
      <w:r w:rsidRPr="00395C33">
        <w:t xml:space="preserve"> </w:t>
      </w:r>
      <w:r>
        <w:t>per</w:t>
      </w:r>
      <w:r w:rsidRPr="00395C33">
        <w:t xml:space="preserve"> </w:t>
      </w:r>
      <w:r>
        <w:t>liter</w:t>
      </w:r>
      <w:r w:rsidRPr="00395C33">
        <w:t xml:space="preserve"> (µg/L).</w:t>
      </w:r>
    </w:p>
    <w:p w:rsidR="00156E0E" w:rsidP="00E8254E" w:rsidRDefault="00156E0E" w14:paraId="77C112CC" w14:textId="77777777">
      <w:pPr>
        <w:pStyle w:val="BodyText"/>
        <w:numPr>
          <w:ilvl w:val="0"/>
          <w:numId w:val="69"/>
        </w:numPr>
        <w:spacing w:after="120"/>
        <w:ind w:left="1627" w:right="187"/>
      </w:pPr>
      <w:r>
        <w:t>Secondary</w:t>
      </w:r>
      <w:r w:rsidRPr="00156E0E">
        <w:t xml:space="preserve"> </w:t>
      </w:r>
      <w:r>
        <w:t>numeric</w:t>
      </w:r>
      <w:r w:rsidRPr="00156E0E">
        <w:t xml:space="preserve"> </w:t>
      </w:r>
      <w:r>
        <w:t>target</w:t>
      </w:r>
      <w:r w:rsidRPr="00156E0E">
        <w:t xml:space="preserve"> </w:t>
      </w:r>
      <w:r>
        <w:t>for</w:t>
      </w:r>
      <w:r w:rsidRPr="00156E0E">
        <w:t xml:space="preserve"> </w:t>
      </w:r>
      <w:r>
        <w:t>microcystin</w:t>
      </w:r>
      <w:r w:rsidRPr="00156E0E">
        <w:t xml:space="preserve"> </w:t>
      </w:r>
      <w:r>
        <w:t>(numeric</w:t>
      </w:r>
      <w:r w:rsidRPr="00156E0E">
        <w:t xml:space="preserve"> </w:t>
      </w:r>
      <w:r>
        <w:t>target</w:t>
      </w:r>
      <w:r w:rsidRPr="00156E0E">
        <w:t xml:space="preserve"> </w:t>
      </w:r>
      <w:r>
        <w:t>to</w:t>
      </w:r>
      <w:r w:rsidRPr="00156E0E">
        <w:t xml:space="preserve"> </w:t>
      </w:r>
      <w:r>
        <w:t>interpret</w:t>
      </w:r>
      <w:r w:rsidRPr="00156E0E">
        <w:t xml:space="preserve"> </w:t>
      </w:r>
      <w:r>
        <w:t>the</w:t>
      </w:r>
      <w:r w:rsidRPr="00156E0E">
        <w:t xml:space="preserve"> </w:t>
      </w:r>
      <w:r>
        <w:t>narrative</w:t>
      </w:r>
      <w:r w:rsidRPr="00156E0E">
        <w:t xml:space="preserve"> </w:t>
      </w:r>
      <w:r>
        <w:t>Basin Plan objective for toxicity and domestic and municipal supply beneficial uses):</w:t>
      </w:r>
    </w:p>
    <w:p w:rsidR="00156E0E" w:rsidP="00E8254E" w:rsidRDefault="00156E0E" w14:paraId="44FB1066" w14:textId="77777777">
      <w:pPr>
        <w:pStyle w:val="ListParagraph"/>
        <w:widowControl w:val="0"/>
        <w:numPr>
          <w:ilvl w:val="0"/>
          <w:numId w:val="73"/>
        </w:numPr>
        <w:autoSpaceDE w:val="0"/>
        <w:autoSpaceDN w:val="0"/>
        <w:spacing w:line="240" w:lineRule="auto"/>
        <w:ind w:left="1980"/>
        <w:contextualSpacing w:val="0"/>
      </w:pPr>
      <w:r>
        <w:t>Microcystin</w:t>
      </w:r>
      <w:r w:rsidRPr="00156E0E">
        <w:t xml:space="preserve"> </w:t>
      </w:r>
      <w:r>
        <w:t>concentration</w:t>
      </w:r>
      <w:r w:rsidRPr="00156E0E">
        <w:t xml:space="preserve"> </w:t>
      </w:r>
      <w:r>
        <w:t>not</w:t>
      </w:r>
      <w:r w:rsidRPr="00156E0E">
        <w:t xml:space="preserve"> </w:t>
      </w:r>
      <w:r>
        <w:t>to</w:t>
      </w:r>
      <w:r w:rsidRPr="00156E0E">
        <w:t xml:space="preserve"> </w:t>
      </w:r>
      <w:r>
        <w:t>exceed</w:t>
      </w:r>
      <w:r w:rsidRPr="00156E0E">
        <w:t xml:space="preserve"> </w:t>
      </w:r>
      <w:r>
        <w:t>0.3</w:t>
      </w:r>
      <w:r w:rsidRPr="00156E0E">
        <w:t xml:space="preserve"> µg/L.</w:t>
      </w:r>
    </w:p>
    <w:p w:rsidR="00B35C6F" w:rsidP="006B798E" w:rsidRDefault="0014165E" w14:paraId="4A0CAE6E" w14:textId="6C23E55E">
      <w:pPr>
        <w:autoSpaceDE w:val="0"/>
        <w:autoSpaceDN w:val="0"/>
        <w:adjustRightInd w:val="0"/>
        <w:ind w:left="1260"/>
        <w:rPr>
          <w:rFonts w:ascii="ArialMT" w:hAnsi="ArialMT" w:cs="ArialMT"/>
          <w:lang w:eastAsia="en-US"/>
        </w:rPr>
      </w:pPr>
      <w:r w:rsidRPr="00A53808">
        <w:rPr>
          <w:rFonts w:cs="Arial"/>
          <w:b/>
          <w:bCs/>
        </w:rPr>
        <w:t>Final Deadline for Compliance</w:t>
      </w:r>
      <w:r w:rsidRPr="00A53808">
        <w:rPr>
          <w:rFonts w:cs="Arial"/>
        </w:rPr>
        <w:t>:</w:t>
      </w:r>
      <w:r>
        <w:rPr>
          <w:rFonts w:cs="Arial"/>
        </w:rPr>
        <w:t xml:space="preserve"> </w:t>
      </w:r>
      <w:r w:rsidR="00A07B0A">
        <w:rPr>
          <w:rFonts w:cs="Arial"/>
        </w:rPr>
        <w:t>By September 9, 2031, which is w</w:t>
      </w:r>
      <w:r w:rsidR="00B87C9B">
        <w:rPr>
          <w:rFonts w:ascii="ArialMT" w:hAnsi="ArialMT" w:cs="ArialMT"/>
          <w:lang w:eastAsia="en-US"/>
        </w:rPr>
        <w:t xml:space="preserve">ithin 10 years </w:t>
      </w:r>
      <w:r w:rsidR="00660076">
        <w:rPr>
          <w:rFonts w:ascii="ArialMT" w:hAnsi="ArialMT" w:cs="ArialMT"/>
          <w:lang w:eastAsia="en-US"/>
        </w:rPr>
        <w:t>after</w:t>
      </w:r>
      <w:r w:rsidR="00B87C9B">
        <w:rPr>
          <w:rFonts w:ascii="ArialMT" w:hAnsi="ArialMT" w:cs="ArialMT"/>
          <w:lang w:eastAsia="en-US"/>
        </w:rPr>
        <w:t xml:space="preserve"> the </w:t>
      </w:r>
      <w:r w:rsidR="00580CC5">
        <w:rPr>
          <w:rFonts w:ascii="ArialMT" w:hAnsi="ArialMT" w:cs="ArialMT"/>
          <w:lang w:eastAsia="en-US"/>
        </w:rPr>
        <w:t>Office of Administrative Law</w:t>
      </w:r>
      <w:r w:rsidR="00B87C9B">
        <w:rPr>
          <w:rFonts w:ascii="ArialMT" w:hAnsi="ArialMT" w:cs="ArialMT"/>
          <w:lang w:eastAsia="en-US"/>
        </w:rPr>
        <w:t xml:space="preserve"> approval date</w:t>
      </w:r>
      <w:r w:rsidR="002C6F62">
        <w:rPr>
          <w:rFonts w:ascii="ArialMT" w:hAnsi="ArialMT" w:cs="ArialMT"/>
          <w:lang w:eastAsia="en-US"/>
        </w:rPr>
        <w:t xml:space="preserve">, </w:t>
      </w:r>
      <w:r w:rsidR="0093401E">
        <w:rPr>
          <w:rFonts w:ascii="ArialMT" w:hAnsi="ArialMT" w:cs="ArialMT"/>
          <w:lang w:eastAsia="en-US"/>
        </w:rPr>
        <w:t>the Permittee shall:</w:t>
      </w:r>
    </w:p>
    <w:p w:rsidRPr="00B35C6F" w:rsidR="00B35C6F" w:rsidP="00E8254E" w:rsidRDefault="00B35C6F" w14:paraId="4B737F4E" w14:textId="5B13A735">
      <w:pPr>
        <w:pStyle w:val="ListParagraph"/>
        <w:numPr>
          <w:ilvl w:val="0"/>
          <w:numId w:val="70"/>
        </w:numPr>
        <w:autoSpaceDE w:val="0"/>
        <w:autoSpaceDN w:val="0"/>
        <w:adjustRightInd w:val="0"/>
        <w:ind w:left="1987"/>
        <w:contextualSpacing w:val="0"/>
      </w:pPr>
      <w:r>
        <w:rPr>
          <w:rFonts w:ascii="ArialMT" w:hAnsi="ArialMT" w:cs="ArialMT"/>
        </w:rPr>
        <w:t>A</w:t>
      </w:r>
      <w:r w:rsidRPr="00B35C6F" w:rsidR="00B87C9B">
        <w:rPr>
          <w:rFonts w:ascii="ArialMT" w:hAnsi="ArialMT" w:cs="ArialMT"/>
        </w:rPr>
        <w:t xml:space="preserve">chieve the phosphorus wasteload allocation; or </w:t>
      </w:r>
    </w:p>
    <w:p w:rsidRPr="00B35C6F" w:rsidR="00B35C6F" w:rsidP="00E8254E" w:rsidRDefault="00B35C6F" w14:paraId="7631FC5A" w14:textId="77777777">
      <w:pPr>
        <w:pStyle w:val="ListParagraph"/>
        <w:numPr>
          <w:ilvl w:val="0"/>
          <w:numId w:val="70"/>
        </w:numPr>
        <w:autoSpaceDE w:val="0"/>
        <w:autoSpaceDN w:val="0"/>
        <w:adjustRightInd w:val="0"/>
        <w:ind w:left="1987"/>
        <w:contextualSpacing w:val="0"/>
      </w:pPr>
      <w:r>
        <w:rPr>
          <w:rFonts w:ascii="ArialMT" w:hAnsi="ArialMT" w:cs="ArialMT"/>
        </w:rPr>
        <w:t>M</w:t>
      </w:r>
      <w:r w:rsidRPr="00B35C6F" w:rsidR="00B87C9B">
        <w:rPr>
          <w:rFonts w:ascii="ArialMT" w:hAnsi="ArialMT" w:cs="ArialMT"/>
        </w:rPr>
        <w:t xml:space="preserve">eet all regulatory and policy requirements necessary for removing the impaired waters from the Clean Water Act section 303(d) List of impaired waters; or </w:t>
      </w:r>
    </w:p>
    <w:p w:rsidR="0014165E" w:rsidP="00E8254E" w:rsidRDefault="00B35C6F" w14:paraId="0DBB713E" w14:textId="19BDBA19">
      <w:pPr>
        <w:pStyle w:val="ListParagraph"/>
        <w:numPr>
          <w:ilvl w:val="0"/>
          <w:numId w:val="70"/>
        </w:numPr>
        <w:autoSpaceDE w:val="0"/>
        <w:autoSpaceDN w:val="0"/>
        <w:adjustRightInd w:val="0"/>
        <w:ind w:left="1987"/>
        <w:contextualSpacing w:val="0"/>
      </w:pPr>
      <w:r>
        <w:rPr>
          <w:rFonts w:ascii="ArialMT" w:hAnsi="ArialMT" w:cs="ArialMT"/>
        </w:rPr>
        <w:t>A</w:t>
      </w:r>
      <w:r w:rsidRPr="00B35C6F" w:rsidR="00B87C9B">
        <w:rPr>
          <w:rFonts w:ascii="ArialMT" w:hAnsi="ArialMT" w:cs="ArialMT"/>
        </w:rPr>
        <w:t>ttain the numeric targets for nutrient</w:t>
      </w:r>
      <w:r w:rsidRPr="00B35C6F" w:rsidR="00CA7F4D">
        <w:rPr>
          <w:rFonts w:ascii="ArialMT" w:hAnsi="ArialMT" w:cs="ArialMT"/>
        </w:rPr>
        <w:t xml:space="preserve"> </w:t>
      </w:r>
      <w:r w:rsidRPr="00B35C6F" w:rsidR="00B87C9B">
        <w:rPr>
          <w:rFonts w:ascii="ArialMT" w:hAnsi="ArialMT" w:cs="ArialMT"/>
        </w:rPr>
        <w:t>response</w:t>
      </w:r>
      <w:r w:rsidRPr="00B35C6F" w:rsidR="00CA7F4D">
        <w:rPr>
          <w:rFonts w:ascii="ArialMT" w:hAnsi="ArialMT" w:cs="ArialMT"/>
        </w:rPr>
        <w:t xml:space="preserve"> </w:t>
      </w:r>
      <w:r w:rsidRPr="00B35C6F" w:rsidR="00B87C9B">
        <w:rPr>
          <w:rFonts w:ascii="ArialMT" w:hAnsi="ArialMT" w:cs="ArialMT"/>
        </w:rPr>
        <w:t xml:space="preserve">indicators (i.e., dissolved oxygen water quality objectives, chlorophyll </w:t>
      </w:r>
      <w:r w:rsidRPr="00B35C6F" w:rsidR="00B87C9B">
        <w:rPr>
          <w:rFonts w:ascii="Arial-ItalicMT" w:hAnsi="Arial-ItalicMT" w:cs="Arial-ItalicMT"/>
          <w:i/>
          <w:iCs/>
        </w:rPr>
        <w:t>a</w:t>
      </w:r>
      <w:r w:rsidRPr="00B35C6F" w:rsidR="00CA7F4D">
        <w:rPr>
          <w:rFonts w:ascii="Arial-ItalicMT" w:hAnsi="Arial-ItalicMT" w:cs="Arial-ItalicMT"/>
          <w:i/>
          <w:iCs/>
        </w:rPr>
        <w:t xml:space="preserve"> </w:t>
      </w:r>
      <w:r w:rsidRPr="00B35C6F" w:rsidR="00B87C9B">
        <w:rPr>
          <w:rFonts w:ascii="ArialMT" w:hAnsi="ArialMT" w:cs="ArialMT"/>
        </w:rPr>
        <w:t>numeric targets, and microcystin numeric targets).</w:t>
      </w:r>
    </w:p>
    <w:p w:rsidR="0069676D" w:rsidP="003B7848" w:rsidRDefault="00836361" w14:paraId="43AFD74C" w14:textId="4E4529BB">
      <w:pPr>
        <w:pStyle w:val="Heading3"/>
        <w:tabs>
          <w:tab w:val="clear" w:pos="720"/>
          <w:tab w:val="left" w:pos="1260"/>
        </w:tabs>
        <w:ind w:left="1260" w:hanging="1260"/>
        <w:rPr>
          <w:i/>
          <w:iCs/>
        </w:rPr>
      </w:pPr>
      <w:r>
        <w:rPr>
          <w:i/>
          <w:iCs/>
        </w:rPr>
        <w:t>A13</w:t>
      </w:r>
      <w:r w:rsidRPr="003F5C9D" w:rsidR="00C071C2">
        <w:rPr>
          <w:i/>
          <w:iCs/>
        </w:rPr>
        <w:t>.3.22</w:t>
      </w:r>
      <w:r w:rsidRPr="003F5C9D" w:rsidR="003B7848">
        <w:rPr>
          <w:i/>
          <w:iCs/>
        </w:rPr>
        <w:tab/>
      </w:r>
      <w:r w:rsidRPr="003F5C9D" w:rsidR="00783741">
        <w:rPr>
          <w:i/>
          <w:iCs/>
        </w:rPr>
        <w:t xml:space="preserve">TMDL for Turbidity in </w:t>
      </w:r>
      <w:r w:rsidRPr="003F5C9D" w:rsidR="003B7848">
        <w:rPr>
          <w:i/>
          <w:iCs/>
        </w:rPr>
        <w:t>Gabilan Creek Watershed</w:t>
      </w:r>
    </w:p>
    <w:p w:rsidRPr="00D52F4F" w:rsidR="0014165E" w:rsidP="0014165E" w:rsidRDefault="0014165E" w14:paraId="3CB43C1C" w14:textId="3BE6C75E">
      <w:pPr>
        <w:ind w:left="1260"/>
        <w:rPr>
          <w:rFonts w:cs="Arial"/>
        </w:rPr>
      </w:pPr>
      <w:r w:rsidRPr="00A53808">
        <w:rPr>
          <w:rFonts w:cs="Arial"/>
          <w:b/>
          <w:bCs/>
        </w:rPr>
        <w:t>Description:</w:t>
      </w:r>
      <w:r w:rsidRPr="00C97E81">
        <w:rPr>
          <w:rFonts w:cs="Arial"/>
        </w:rPr>
        <w:t xml:space="preserve"> </w:t>
      </w:r>
      <w:r w:rsidRPr="0068013A" w:rsidR="0068013A">
        <w:rPr>
          <w:rFonts w:cs="Arial"/>
        </w:rPr>
        <w:t xml:space="preserve">All major surface waters in the lower Gabilan Creek watershed are highly impaired by turbidity and do not meet the </w:t>
      </w:r>
      <w:r w:rsidR="0021773C">
        <w:rPr>
          <w:rFonts w:cs="Arial"/>
        </w:rPr>
        <w:t xml:space="preserve">turbidity </w:t>
      </w:r>
      <w:r w:rsidRPr="0068013A" w:rsidR="0068013A">
        <w:rPr>
          <w:rFonts w:cs="Arial"/>
        </w:rPr>
        <w:t>water quality objective</w:t>
      </w:r>
      <w:r w:rsidR="005B4BCE">
        <w:rPr>
          <w:rFonts w:cs="Arial"/>
        </w:rPr>
        <w:t>.</w:t>
      </w:r>
      <w:r w:rsidRPr="0068013A" w:rsidR="0068013A">
        <w:rPr>
          <w:rFonts w:cs="Arial"/>
        </w:rPr>
        <w:t xml:space="preserve"> Turbidity can be caused by suspended solids such as clay, silt, finely divided inorganic and organic matter, algae, and other microscopic organisms</w:t>
      </w:r>
      <w:r w:rsidR="007C0D16">
        <w:rPr>
          <w:rFonts w:cs="Arial"/>
        </w:rPr>
        <w:t>.</w:t>
      </w:r>
      <w:r w:rsidRPr="0068013A" w:rsidR="0068013A">
        <w:rPr>
          <w:rFonts w:cs="Arial"/>
        </w:rPr>
        <w:t xml:space="preserve"> At elevated levels, turbidity and associated suspended solids can have detrimental impacts on aquatic ecosystems</w:t>
      </w:r>
      <w:r w:rsidR="00354667">
        <w:rPr>
          <w:rFonts w:cs="Arial"/>
        </w:rPr>
        <w:t>,</w:t>
      </w:r>
      <w:r w:rsidRPr="0068013A" w:rsidR="0068013A">
        <w:rPr>
          <w:rFonts w:cs="Arial"/>
        </w:rPr>
        <w:t xml:space="preserve"> </w:t>
      </w:r>
      <w:r w:rsidR="00354667">
        <w:rPr>
          <w:rFonts w:cs="Arial"/>
        </w:rPr>
        <w:t>d</w:t>
      </w:r>
      <w:r w:rsidRPr="0068013A" w:rsidR="0068013A">
        <w:rPr>
          <w:rFonts w:cs="Arial"/>
        </w:rPr>
        <w:t>rinking water</w:t>
      </w:r>
      <w:r w:rsidR="00354667">
        <w:rPr>
          <w:rFonts w:cs="Arial"/>
        </w:rPr>
        <w:t>,</w:t>
      </w:r>
      <w:r w:rsidRPr="0068013A" w:rsidR="0068013A">
        <w:rPr>
          <w:rFonts w:cs="Arial"/>
        </w:rPr>
        <w:t xml:space="preserve"> and recreation </w:t>
      </w:r>
      <w:r w:rsidR="00354667">
        <w:rPr>
          <w:rFonts w:cs="Arial"/>
        </w:rPr>
        <w:t xml:space="preserve">beneficial </w:t>
      </w:r>
      <w:r w:rsidRPr="0068013A" w:rsidR="0068013A">
        <w:rPr>
          <w:rFonts w:cs="Arial"/>
        </w:rPr>
        <w:t xml:space="preserve">uses. </w:t>
      </w:r>
      <w:r w:rsidR="002C61D8">
        <w:rPr>
          <w:rFonts w:cs="Arial"/>
        </w:rPr>
        <w:t>The TMDL identifies urban stormwater runoff as a source.</w:t>
      </w:r>
    </w:p>
    <w:p w:rsidRPr="00D52F4F" w:rsidR="0014165E" w:rsidP="0014165E" w:rsidRDefault="0014165E" w14:paraId="6972D037" w14:textId="670D94C2">
      <w:pPr>
        <w:ind w:left="1260"/>
        <w:rPr>
          <w:rFonts w:cs="Arial"/>
        </w:rPr>
      </w:pPr>
      <w:r w:rsidRPr="006A53D3">
        <w:rPr>
          <w:b/>
        </w:rPr>
        <w:t>Responsible Permit</w:t>
      </w:r>
      <w:r w:rsidR="0091593F">
        <w:rPr>
          <w:b/>
        </w:rPr>
        <w:t>t</w:t>
      </w:r>
      <w:r w:rsidRPr="006A53D3">
        <w:rPr>
          <w:b/>
        </w:rPr>
        <w:t>ees</w:t>
      </w:r>
      <w:r w:rsidRPr="00315677">
        <w:rPr>
          <w:b/>
        </w:rPr>
        <w:t>:</w:t>
      </w:r>
      <w:r w:rsidRPr="00C435BF" w:rsidR="0026066D">
        <w:t xml:space="preserve"> County of </w:t>
      </w:r>
      <w:r w:rsidRPr="00DD3DA6" w:rsidR="0026066D">
        <w:rPr>
          <w:rFonts w:eastAsia="Arial" w:cs="Arial"/>
        </w:rPr>
        <w:t>Monterey</w:t>
      </w:r>
      <w:r w:rsidR="008F4B13">
        <w:rPr>
          <w:rFonts w:eastAsia="Arial" w:cs="Arial"/>
        </w:rPr>
        <w:t>.</w:t>
      </w:r>
      <w:r w:rsidRPr="00C97E81">
        <w:t xml:space="preserve"> </w:t>
      </w:r>
    </w:p>
    <w:p w:rsidR="00091AC2" w:rsidP="000023B0" w:rsidRDefault="0014165E" w14:paraId="18C69485" w14:textId="3B4BAE01">
      <w:pPr>
        <w:ind w:left="1267"/>
      </w:pPr>
      <w:r w:rsidRPr="00D52F4F">
        <w:rPr>
          <w:b/>
        </w:rPr>
        <w:t>Wasteload Allocations:</w:t>
      </w:r>
      <w:r w:rsidRPr="00C97E81">
        <w:t xml:space="preserve"> </w:t>
      </w:r>
      <w:r w:rsidRPr="00ED37A0" w:rsidR="00ED37A0">
        <w:t>The Gabilan Creek watershed has distinct geographic areas with separate numeric targets: the upper Gabilan Creek watershed headwaters have relatively undisturbed natural land cover and viable steelhead habitat</w:t>
      </w:r>
      <w:r w:rsidR="00033BEA">
        <w:t xml:space="preserve">, </w:t>
      </w:r>
      <w:r w:rsidR="002103B2">
        <w:t xml:space="preserve">and </w:t>
      </w:r>
      <w:r w:rsidRPr="00ED37A0" w:rsidR="00ED37A0">
        <w:t xml:space="preserve">the lower alluvial valley has highly developed land that includes waterbodies from the base of the Gabilan Range to the </w:t>
      </w:r>
      <w:r w:rsidRPr="00ED37A0" w:rsidR="00ED37A0">
        <w:t>brackish (tidally influenced) waters near the confluence of the watershed with Monterey Bay at Moss Landing.</w:t>
      </w:r>
      <w:r w:rsidR="00127E4B">
        <w:rPr>
          <w:rStyle w:val="FootnoteReference"/>
        </w:rPr>
        <w:footnoteReference w:id="21"/>
      </w:r>
      <w:r w:rsidRPr="00ED37A0" w:rsidR="00ED37A0">
        <w:t xml:space="preserve"> </w:t>
      </w:r>
    </w:p>
    <w:p w:rsidR="002607AB" w:rsidP="000023B0" w:rsidRDefault="00E26ED3" w14:paraId="07CB3132" w14:textId="686411DA">
      <w:pPr>
        <w:ind w:left="1267"/>
      </w:pPr>
      <w:r>
        <w:t xml:space="preserve">The </w:t>
      </w:r>
      <w:r w:rsidR="00F90EEA">
        <w:t>wasteload</w:t>
      </w:r>
      <w:r>
        <w:t xml:space="preserve"> allocations are equal to the interim and final </w:t>
      </w:r>
      <w:r w:rsidR="009F0EF4">
        <w:t>wasteload</w:t>
      </w:r>
      <w:r w:rsidR="005C5AE3">
        <w:t xml:space="preserve"> allocations</w:t>
      </w:r>
      <w:r>
        <w:t xml:space="preserve"> </w:t>
      </w:r>
      <w:r w:rsidRPr="009B14D3">
        <w:t xml:space="preserve">defined in </w:t>
      </w:r>
      <w:r w:rsidRPr="009B14D3" w:rsidR="001A45D9">
        <w:t xml:space="preserve">the </w:t>
      </w:r>
      <w:r w:rsidR="009B14D3">
        <w:t xml:space="preserve">three </w:t>
      </w:r>
      <w:r w:rsidRPr="009B14D3" w:rsidR="001A45D9">
        <w:t>table</w:t>
      </w:r>
      <w:r w:rsidRPr="009B14D3" w:rsidR="00C53A4C">
        <w:t>s</w:t>
      </w:r>
      <w:r w:rsidRPr="009B14D3" w:rsidR="00B028A0">
        <w:t xml:space="preserve"> b</w:t>
      </w:r>
      <w:r w:rsidRPr="009B14D3" w:rsidR="00770AF6">
        <w:t>elow</w:t>
      </w:r>
      <w:r w:rsidR="005C5AE3">
        <w:t>.</w:t>
      </w:r>
      <w:r w:rsidRPr="009B14D3" w:rsidR="00CC0D8B">
        <w:rPr>
          <w:rStyle w:val="FootnoteReference"/>
        </w:rPr>
        <w:footnoteReference w:id="22"/>
      </w:r>
      <w:r w:rsidR="00780B51">
        <w:t xml:space="preserve"> </w:t>
      </w:r>
    </w:p>
    <w:p w:rsidR="002607AB" w:rsidP="00E8254E" w:rsidRDefault="00780B51" w14:paraId="570D794C" w14:textId="77777777">
      <w:pPr>
        <w:pStyle w:val="ListParagraph"/>
        <w:numPr>
          <w:ilvl w:val="0"/>
          <w:numId w:val="75"/>
        </w:numPr>
        <w:spacing w:before="0" w:after="0" w:line="240" w:lineRule="auto"/>
        <w:ind w:left="1530" w:hanging="270"/>
      </w:pPr>
      <w:r w:rsidRPr="000B37D2">
        <w:t xml:space="preserve">To determine attainment of the final </w:t>
      </w:r>
      <w:r>
        <w:t>wasteload allocation</w:t>
      </w:r>
      <w:r w:rsidRPr="000B37D2">
        <w:t xml:space="preserve"> for streams in the upper Gabilan Creek watershed, compare the seasonal 75th percentile value of samples collected to the appropriate </w:t>
      </w:r>
      <w:r>
        <w:t>wasteload allocation</w:t>
      </w:r>
      <w:r w:rsidRPr="000B37D2">
        <w:t xml:space="preserve">. </w:t>
      </w:r>
    </w:p>
    <w:p w:rsidR="00780B51" w:rsidP="00E8254E" w:rsidRDefault="00780B51" w14:paraId="12C62688" w14:textId="6EE15F2F">
      <w:pPr>
        <w:pStyle w:val="ListParagraph"/>
        <w:numPr>
          <w:ilvl w:val="0"/>
          <w:numId w:val="75"/>
        </w:numPr>
        <w:spacing w:before="0" w:after="0" w:line="240" w:lineRule="auto"/>
        <w:ind w:left="1530" w:hanging="270"/>
      </w:pPr>
      <w:r w:rsidRPr="000B37D2">
        <w:t xml:space="preserve">To determine the interim and final </w:t>
      </w:r>
      <w:r>
        <w:t>wasteload allocations</w:t>
      </w:r>
      <w:r w:rsidRPr="000B37D2">
        <w:t xml:space="preserve"> for streams in the lower Gabilan Creek watershed (sites 309GAB to 309OLD in the table) compare the seasonal median value of samples collected to the appropriate numeric </w:t>
      </w:r>
      <w:r>
        <w:t>wasteload allocation</w:t>
      </w:r>
      <w:r w:rsidRPr="000B37D2">
        <w:t xml:space="preserve">. </w:t>
      </w:r>
    </w:p>
    <w:p w:rsidRPr="00D72546" w:rsidR="00FC3958" w:rsidP="00A46FE5" w:rsidRDefault="00D72546" w14:paraId="69EA8530" w14:textId="49E55295">
      <w:pPr>
        <w:spacing w:after="0" w:line="240" w:lineRule="auto"/>
        <w:ind w:left="900"/>
        <w:rPr>
          <w:b/>
          <w:bCs/>
        </w:rPr>
      </w:pPr>
      <w:r>
        <w:rPr>
          <w:b/>
          <w:bCs/>
        </w:rPr>
        <w:t xml:space="preserve">Gabilan Creek </w:t>
      </w:r>
      <w:r w:rsidR="00C9524D">
        <w:rPr>
          <w:b/>
          <w:bCs/>
        </w:rPr>
        <w:t xml:space="preserve">Turbidity </w:t>
      </w:r>
      <w:r w:rsidRPr="00D72546" w:rsidR="008D53F6">
        <w:rPr>
          <w:b/>
          <w:bCs/>
        </w:rPr>
        <w:t xml:space="preserve">First </w:t>
      </w:r>
      <w:r w:rsidRPr="00D72546" w:rsidR="00770AF6">
        <w:rPr>
          <w:b/>
          <w:bCs/>
        </w:rPr>
        <w:t>Interim Wasteload Allocations</w:t>
      </w:r>
      <w:r>
        <w:rPr>
          <w:b/>
          <w:bCs/>
        </w:rPr>
        <w:t xml:space="preserve">, </w:t>
      </w:r>
      <w:r w:rsidR="00A46FE5">
        <w:rPr>
          <w:b/>
          <w:bCs/>
        </w:rPr>
        <w:t xml:space="preserve">Attainment by </w:t>
      </w:r>
      <w:r w:rsidRPr="00D72546">
        <w:rPr>
          <w:b/>
          <w:bCs/>
        </w:rPr>
        <w:t>December 8, 2029</w:t>
      </w:r>
    </w:p>
    <w:tbl>
      <w:tblPr>
        <w:tblW w:w="8370" w:type="dxa"/>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0"/>
        <w:gridCol w:w="2340"/>
        <w:gridCol w:w="2340"/>
      </w:tblGrid>
      <w:tr w:rsidRPr="008F5C57" w:rsidR="00C259D7" w:rsidTr="00DA626A" w14:paraId="7FD59B83" w14:textId="77777777">
        <w:trPr>
          <w:tblHeader/>
        </w:trPr>
        <w:tc>
          <w:tcPr>
            <w:tcW w:w="369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DA626A" w:rsidR="00C259D7" w:rsidP="00091AC2" w:rsidRDefault="00C259D7" w14:paraId="5AF6C027" w14:textId="77777777">
            <w:pPr>
              <w:widowControl w:val="0"/>
              <w:autoSpaceDE w:val="0"/>
              <w:autoSpaceDN w:val="0"/>
              <w:spacing w:before="0" w:after="0" w:line="240" w:lineRule="auto"/>
              <w:ind w:left="107"/>
              <w:jc w:val="center"/>
              <w:rPr>
                <w:rFonts w:eastAsia="Arial" w:cs="Arial"/>
                <w:b/>
                <w:sz w:val="22"/>
                <w:szCs w:val="22"/>
                <w:lang w:eastAsia="en-US"/>
              </w:rPr>
            </w:pPr>
            <w:r w:rsidRPr="00DA626A">
              <w:rPr>
                <w:rFonts w:eastAsia="Arial" w:cs="Arial"/>
                <w:b/>
                <w:spacing w:val="-2"/>
                <w:sz w:val="22"/>
                <w:szCs w:val="22"/>
                <w:lang w:eastAsia="en-US"/>
              </w:rPr>
              <w:t>Waterbody</w:t>
            </w:r>
          </w:p>
          <w:p w:rsidRPr="00DA626A" w:rsidR="00C259D7" w:rsidP="00091AC2" w:rsidRDefault="00C259D7" w14:paraId="47367561" w14:textId="77777777">
            <w:pPr>
              <w:widowControl w:val="0"/>
              <w:autoSpaceDE w:val="0"/>
              <w:autoSpaceDN w:val="0"/>
              <w:spacing w:before="0" w:after="0" w:line="240" w:lineRule="auto"/>
              <w:ind w:left="107"/>
              <w:jc w:val="center"/>
              <w:rPr>
                <w:rFonts w:eastAsia="Arial" w:cs="Arial"/>
                <w:b/>
                <w:sz w:val="22"/>
                <w:szCs w:val="22"/>
                <w:lang w:eastAsia="en-US"/>
              </w:rPr>
            </w:pPr>
            <w:r w:rsidRPr="00DA626A">
              <w:rPr>
                <w:rFonts w:eastAsia="Arial" w:cs="Arial"/>
                <w:b/>
                <w:sz w:val="22"/>
                <w:szCs w:val="22"/>
                <w:lang w:eastAsia="en-US"/>
              </w:rPr>
              <w:t>(Site</w:t>
            </w:r>
            <w:r w:rsidRPr="00DA626A">
              <w:rPr>
                <w:rFonts w:eastAsia="Arial" w:cs="Arial"/>
                <w:b/>
                <w:spacing w:val="-2"/>
                <w:sz w:val="22"/>
                <w:szCs w:val="22"/>
                <w:lang w:eastAsia="en-US"/>
              </w:rPr>
              <w:t xml:space="preserve"> Number)</w:t>
            </w:r>
          </w:p>
        </w:tc>
        <w:tc>
          <w:tcPr>
            <w:tcW w:w="234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DA626A" w:rsidR="00C259D7" w:rsidP="009B7F65" w:rsidRDefault="00C259D7" w14:paraId="0F41E295" w14:textId="6AF189A1">
            <w:pPr>
              <w:widowControl w:val="0"/>
              <w:autoSpaceDE w:val="0"/>
              <w:autoSpaceDN w:val="0"/>
              <w:spacing w:before="0" w:after="0" w:line="240" w:lineRule="auto"/>
              <w:ind w:left="139" w:right="128"/>
              <w:jc w:val="center"/>
              <w:rPr>
                <w:rFonts w:eastAsia="Arial" w:cs="Arial"/>
                <w:b/>
                <w:sz w:val="22"/>
                <w:szCs w:val="22"/>
                <w:lang w:eastAsia="en-US"/>
              </w:rPr>
            </w:pPr>
            <w:r w:rsidRPr="00DA626A">
              <w:rPr>
                <w:rFonts w:eastAsia="Arial" w:cs="Arial"/>
                <w:b/>
                <w:spacing w:val="-2"/>
                <w:sz w:val="22"/>
                <w:szCs w:val="22"/>
                <w:lang w:eastAsia="en-US"/>
              </w:rPr>
              <w:t>First Interim Wasteload Allocation</w:t>
            </w:r>
            <w:r w:rsidRPr="00DA626A">
              <w:rPr>
                <w:rFonts w:eastAsia="Arial" w:cs="Arial"/>
                <w:b/>
                <w:sz w:val="22"/>
                <w:szCs w:val="22"/>
                <w:lang w:eastAsia="en-US"/>
              </w:rPr>
              <w:t xml:space="preserve"> </w:t>
            </w:r>
            <w:r w:rsidRPr="00DA626A">
              <w:rPr>
                <w:rFonts w:eastAsia="Arial" w:cs="Arial"/>
                <w:b/>
                <w:spacing w:val="-4"/>
                <w:sz w:val="22"/>
                <w:szCs w:val="22"/>
                <w:lang w:eastAsia="en-US"/>
              </w:rPr>
              <w:t xml:space="preserve">Dry </w:t>
            </w:r>
            <w:r w:rsidRPr="00DA626A">
              <w:rPr>
                <w:rFonts w:eastAsia="Arial" w:cs="Arial"/>
                <w:b/>
                <w:spacing w:val="-2"/>
                <w:sz w:val="22"/>
                <w:szCs w:val="22"/>
                <w:lang w:eastAsia="en-US"/>
              </w:rPr>
              <w:t xml:space="preserve">Season </w:t>
            </w:r>
            <w:r w:rsidRPr="00DA626A">
              <w:rPr>
                <w:rFonts w:eastAsia="Arial" w:cs="Arial"/>
                <w:b/>
                <w:spacing w:val="-4"/>
                <w:sz w:val="22"/>
                <w:szCs w:val="22"/>
                <w:lang w:eastAsia="en-US"/>
              </w:rPr>
              <w:t>(NTU)</w:t>
            </w:r>
          </w:p>
        </w:tc>
        <w:tc>
          <w:tcPr>
            <w:tcW w:w="234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DA626A" w:rsidR="00C259D7" w:rsidP="009B7F65" w:rsidRDefault="00C259D7" w14:paraId="6D9E2786" w14:textId="4F39CE76">
            <w:pPr>
              <w:widowControl w:val="0"/>
              <w:autoSpaceDE w:val="0"/>
              <w:autoSpaceDN w:val="0"/>
              <w:spacing w:before="0" w:after="0" w:line="240" w:lineRule="auto"/>
              <w:ind w:left="141" w:right="130"/>
              <w:jc w:val="center"/>
              <w:rPr>
                <w:rFonts w:eastAsia="Arial" w:cs="Arial"/>
                <w:b/>
                <w:sz w:val="22"/>
                <w:szCs w:val="22"/>
                <w:lang w:eastAsia="en-US"/>
              </w:rPr>
            </w:pPr>
            <w:r w:rsidRPr="00DA626A">
              <w:rPr>
                <w:rFonts w:eastAsia="Arial" w:cs="Arial"/>
                <w:b/>
                <w:spacing w:val="-2"/>
                <w:sz w:val="22"/>
                <w:szCs w:val="22"/>
                <w:lang w:eastAsia="en-US"/>
              </w:rPr>
              <w:t>First Interim Wasteload Allocation</w:t>
            </w:r>
            <w:r w:rsidRPr="00DA626A">
              <w:rPr>
                <w:rFonts w:eastAsia="Arial" w:cs="Arial"/>
                <w:b/>
                <w:sz w:val="22"/>
                <w:szCs w:val="22"/>
                <w:lang w:eastAsia="en-US"/>
              </w:rPr>
              <w:t xml:space="preserve"> </w:t>
            </w:r>
            <w:r w:rsidRPr="00DA626A">
              <w:rPr>
                <w:rFonts w:eastAsia="Arial" w:cs="Arial"/>
                <w:b/>
                <w:spacing w:val="-4"/>
                <w:sz w:val="22"/>
                <w:szCs w:val="22"/>
                <w:lang w:eastAsia="en-US"/>
              </w:rPr>
              <w:t xml:space="preserve">Wet </w:t>
            </w:r>
            <w:r w:rsidRPr="00DA626A">
              <w:rPr>
                <w:rFonts w:eastAsia="Arial" w:cs="Arial"/>
                <w:b/>
                <w:spacing w:val="-2"/>
                <w:sz w:val="22"/>
                <w:szCs w:val="22"/>
                <w:lang w:eastAsia="en-US"/>
              </w:rPr>
              <w:t xml:space="preserve">Season </w:t>
            </w:r>
            <w:r w:rsidRPr="00DA626A">
              <w:rPr>
                <w:rFonts w:eastAsia="Arial" w:cs="Arial"/>
                <w:b/>
                <w:spacing w:val="-4"/>
                <w:sz w:val="22"/>
                <w:szCs w:val="22"/>
                <w:lang w:eastAsia="en-US"/>
              </w:rPr>
              <w:t>(NTU)</w:t>
            </w:r>
          </w:p>
        </w:tc>
      </w:tr>
      <w:tr w:rsidRPr="008F5C57" w:rsidR="00C259D7" w:rsidTr="00DF1ADC" w14:paraId="23B66336" w14:textId="77777777">
        <w:tc>
          <w:tcPr>
            <w:tcW w:w="3690" w:type="dxa"/>
            <w:tcBorders>
              <w:top w:val="single" w:color="000000" w:sz="2" w:space="0"/>
            </w:tcBorders>
            <w:vAlign w:val="center"/>
          </w:tcPr>
          <w:p w:rsidRPr="000110C6" w:rsidR="00C259D7" w:rsidP="008F5C57" w:rsidRDefault="00C259D7" w14:paraId="40BBFB48" w14:textId="77777777">
            <w:pPr>
              <w:widowControl w:val="0"/>
              <w:autoSpaceDE w:val="0"/>
              <w:autoSpaceDN w:val="0"/>
              <w:spacing w:before="0" w:after="0" w:line="240" w:lineRule="auto"/>
              <w:ind w:left="107" w:right="161"/>
              <w:rPr>
                <w:rFonts w:eastAsia="Arial" w:cs="Arial"/>
                <w:sz w:val="22"/>
                <w:szCs w:val="22"/>
                <w:lang w:eastAsia="en-US"/>
              </w:rPr>
            </w:pPr>
            <w:r w:rsidRPr="000110C6">
              <w:rPr>
                <w:rFonts w:eastAsia="Arial" w:cs="Arial"/>
                <w:spacing w:val="-2"/>
                <w:sz w:val="22"/>
                <w:szCs w:val="22"/>
                <w:lang w:eastAsia="en-US"/>
              </w:rPr>
              <w:t xml:space="preserve">Upper Gabilan Creek, headwaters </w:t>
            </w:r>
            <w:r w:rsidRPr="000110C6">
              <w:rPr>
                <w:rFonts w:eastAsia="Arial" w:cs="Arial"/>
                <w:sz w:val="22"/>
                <w:szCs w:val="22"/>
                <w:lang w:eastAsia="en-US"/>
              </w:rPr>
              <w:t>above Old Stage</w:t>
            </w:r>
            <w:r w:rsidRPr="000110C6">
              <w:rPr>
                <w:rFonts w:eastAsia="Arial" w:cs="Arial"/>
                <w:spacing w:val="-17"/>
                <w:sz w:val="22"/>
                <w:szCs w:val="22"/>
                <w:lang w:eastAsia="en-US"/>
              </w:rPr>
              <w:t xml:space="preserve"> </w:t>
            </w:r>
            <w:r w:rsidRPr="000110C6">
              <w:rPr>
                <w:rFonts w:eastAsia="Arial" w:cs="Arial"/>
                <w:sz w:val="22"/>
                <w:szCs w:val="22"/>
                <w:lang w:eastAsia="en-US"/>
              </w:rPr>
              <w:t>Road</w:t>
            </w:r>
          </w:p>
        </w:tc>
        <w:tc>
          <w:tcPr>
            <w:tcW w:w="2340" w:type="dxa"/>
            <w:tcBorders>
              <w:top w:val="single" w:color="000000" w:sz="2" w:space="0"/>
            </w:tcBorders>
            <w:vAlign w:val="center"/>
          </w:tcPr>
          <w:p w:rsidRPr="000110C6" w:rsidR="00C259D7" w:rsidP="009B7F65" w:rsidRDefault="003F2BA4" w14:paraId="06A3DB64" w14:textId="35A94B4C">
            <w:pPr>
              <w:widowControl w:val="0"/>
              <w:autoSpaceDE w:val="0"/>
              <w:autoSpaceDN w:val="0"/>
              <w:spacing w:before="0" w:after="0" w:line="240" w:lineRule="auto"/>
              <w:ind w:left="9"/>
              <w:jc w:val="center"/>
              <w:rPr>
                <w:rFonts w:eastAsia="Arial" w:cs="Arial"/>
                <w:sz w:val="22"/>
                <w:szCs w:val="22"/>
                <w:lang w:eastAsia="en-US"/>
              </w:rPr>
            </w:pPr>
            <w:r>
              <w:rPr>
                <w:rFonts w:eastAsia="Arial" w:cs="Arial"/>
                <w:spacing w:val="-5"/>
                <w:sz w:val="22"/>
                <w:szCs w:val="22"/>
                <w:lang w:eastAsia="en-US"/>
              </w:rPr>
              <w:t>Not available</w:t>
            </w:r>
          </w:p>
        </w:tc>
        <w:tc>
          <w:tcPr>
            <w:tcW w:w="2340" w:type="dxa"/>
            <w:tcBorders>
              <w:top w:val="single" w:color="000000" w:sz="2" w:space="0"/>
            </w:tcBorders>
            <w:vAlign w:val="center"/>
          </w:tcPr>
          <w:p w:rsidRPr="000110C6" w:rsidR="00C259D7" w:rsidP="009B7F65" w:rsidRDefault="003F2BA4" w14:paraId="572443D3" w14:textId="1F5AC997">
            <w:pPr>
              <w:widowControl w:val="0"/>
              <w:autoSpaceDE w:val="0"/>
              <w:autoSpaceDN w:val="0"/>
              <w:spacing w:before="0" w:after="0" w:line="240" w:lineRule="auto"/>
              <w:ind w:left="10" w:right="1"/>
              <w:jc w:val="center"/>
              <w:rPr>
                <w:rFonts w:eastAsia="Arial" w:cs="Arial"/>
                <w:sz w:val="22"/>
                <w:szCs w:val="22"/>
                <w:lang w:eastAsia="en-US"/>
              </w:rPr>
            </w:pPr>
            <w:r>
              <w:rPr>
                <w:rFonts w:eastAsia="Arial" w:cs="Arial"/>
                <w:spacing w:val="-5"/>
                <w:sz w:val="22"/>
                <w:szCs w:val="22"/>
                <w:lang w:eastAsia="en-US"/>
              </w:rPr>
              <w:t>Not available</w:t>
            </w:r>
          </w:p>
        </w:tc>
      </w:tr>
      <w:tr w:rsidRPr="008F5C57" w:rsidR="00C259D7" w:rsidTr="00DF1ADC" w14:paraId="4DFBD31D" w14:textId="77777777">
        <w:tc>
          <w:tcPr>
            <w:tcW w:w="3690" w:type="dxa"/>
            <w:vAlign w:val="center"/>
          </w:tcPr>
          <w:p w:rsidRPr="000110C6" w:rsidR="00C259D7" w:rsidP="008F5C57" w:rsidRDefault="00C259D7" w14:paraId="2708D49A" w14:textId="77777777">
            <w:pPr>
              <w:widowControl w:val="0"/>
              <w:autoSpaceDE w:val="0"/>
              <w:autoSpaceDN w:val="0"/>
              <w:spacing w:before="0" w:after="0" w:line="240" w:lineRule="auto"/>
              <w:ind w:left="107" w:right="526"/>
              <w:rPr>
                <w:rFonts w:eastAsia="Arial" w:cs="Arial"/>
                <w:sz w:val="22"/>
                <w:szCs w:val="22"/>
                <w:lang w:eastAsia="en-US"/>
              </w:rPr>
            </w:pPr>
            <w:r w:rsidRPr="000110C6">
              <w:rPr>
                <w:rFonts w:eastAsia="Arial" w:cs="Arial"/>
                <w:spacing w:val="-2"/>
                <w:sz w:val="22"/>
                <w:szCs w:val="22"/>
                <w:lang w:eastAsia="en-US"/>
              </w:rPr>
              <w:t xml:space="preserve">Gabilan </w:t>
            </w:r>
            <w:r w:rsidRPr="000110C6">
              <w:rPr>
                <w:rFonts w:eastAsia="Arial" w:cs="Arial"/>
                <w:spacing w:val="-4"/>
                <w:sz w:val="22"/>
                <w:szCs w:val="22"/>
                <w:lang w:eastAsia="en-US"/>
              </w:rPr>
              <w:t xml:space="preserve">Creek </w:t>
            </w:r>
            <w:r w:rsidRPr="000110C6">
              <w:rPr>
                <w:rFonts w:eastAsia="Arial" w:cs="Arial"/>
                <w:spacing w:val="-2"/>
                <w:sz w:val="22"/>
                <w:szCs w:val="22"/>
                <w:lang w:eastAsia="en-US"/>
              </w:rPr>
              <w:t>(309GAB)</w:t>
            </w:r>
          </w:p>
        </w:tc>
        <w:tc>
          <w:tcPr>
            <w:tcW w:w="2340" w:type="dxa"/>
            <w:vAlign w:val="center"/>
          </w:tcPr>
          <w:p w:rsidRPr="000110C6" w:rsidR="00C259D7" w:rsidP="009B7F65" w:rsidRDefault="00C259D7" w14:paraId="18D0E473" w14:textId="77777777">
            <w:pPr>
              <w:widowControl w:val="0"/>
              <w:autoSpaceDE w:val="0"/>
              <w:autoSpaceDN w:val="0"/>
              <w:spacing w:before="0" w:after="0" w:line="240" w:lineRule="auto"/>
              <w:ind w:left="9"/>
              <w:jc w:val="center"/>
              <w:rPr>
                <w:rFonts w:eastAsia="Arial" w:cs="Arial"/>
                <w:sz w:val="22"/>
                <w:szCs w:val="22"/>
                <w:lang w:eastAsia="en-US"/>
              </w:rPr>
            </w:pPr>
            <w:r w:rsidRPr="000110C6">
              <w:rPr>
                <w:rFonts w:eastAsia="Arial" w:cs="Arial"/>
                <w:spacing w:val="-5"/>
                <w:sz w:val="22"/>
                <w:szCs w:val="22"/>
                <w:lang w:eastAsia="en-US"/>
              </w:rPr>
              <w:t>40</w:t>
            </w:r>
          </w:p>
        </w:tc>
        <w:tc>
          <w:tcPr>
            <w:tcW w:w="2340" w:type="dxa"/>
            <w:vAlign w:val="center"/>
          </w:tcPr>
          <w:p w:rsidRPr="000110C6" w:rsidR="00C259D7" w:rsidP="009B7F65" w:rsidRDefault="00C259D7" w14:paraId="20D8D4B7" w14:textId="77777777">
            <w:pPr>
              <w:widowControl w:val="0"/>
              <w:autoSpaceDE w:val="0"/>
              <w:autoSpaceDN w:val="0"/>
              <w:spacing w:before="0" w:after="0" w:line="240" w:lineRule="auto"/>
              <w:ind w:left="10" w:right="1"/>
              <w:jc w:val="center"/>
              <w:rPr>
                <w:rFonts w:eastAsia="Arial" w:cs="Arial"/>
                <w:sz w:val="22"/>
                <w:szCs w:val="22"/>
                <w:lang w:eastAsia="en-US"/>
              </w:rPr>
            </w:pPr>
            <w:r w:rsidRPr="000110C6">
              <w:rPr>
                <w:rFonts w:eastAsia="Arial" w:cs="Arial"/>
                <w:spacing w:val="-5"/>
                <w:sz w:val="22"/>
                <w:szCs w:val="22"/>
                <w:lang w:eastAsia="en-US"/>
              </w:rPr>
              <w:t>124</w:t>
            </w:r>
          </w:p>
        </w:tc>
      </w:tr>
      <w:tr w:rsidRPr="008F5C57" w:rsidR="00C259D7" w:rsidTr="00DF1ADC" w14:paraId="24E2A118" w14:textId="77777777">
        <w:tc>
          <w:tcPr>
            <w:tcW w:w="3690" w:type="dxa"/>
            <w:vAlign w:val="center"/>
          </w:tcPr>
          <w:p w:rsidRPr="000110C6" w:rsidR="00C259D7" w:rsidP="008F5C57" w:rsidRDefault="00C259D7" w14:paraId="50DEE2D0" w14:textId="77777777">
            <w:pPr>
              <w:widowControl w:val="0"/>
              <w:autoSpaceDE w:val="0"/>
              <w:autoSpaceDN w:val="0"/>
              <w:spacing w:before="0" w:after="0" w:line="240" w:lineRule="auto"/>
              <w:ind w:left="107" w:right="527"/>
              <w:rPr>
                <w:rFonts w:eastAsia="Arial" w:cs="Arial"/>
                <w:sz w:val="22"/>
                <w:szCs w:val="22"/>
                <w:lang w:eastAsia="en-US"/>
              </w:rPr>
            </w:pPr>
            <w:r w:rsidRPr="000110C6">
              <w:rPr>
                <w:rFonts w:eastAsia="Arial" w:cs="Arial"/>
                <w:spacing w:val="-2"/>
                <w:sz w:val="22"/>
                <w:szCs w:val="22"/>
                <w:lang w:eastAsia="en-US"/>
              </w:rPr>
              <w:t xml:space="preserve">Natividad </w:t>
            </w:r>
            <w:r w:rsidRPr="000110C6">
              <w:rPr>
                <w:rFonts w:eastAsia="Arial" w:cs="Arial"/>
                <w:spacing w:val="-4"/>
                <w:sz w:val="22"/>
                <w:szCs w:val="22"/>
                <w:lang w:eastAsia="en-US"/>
              </w:rPr>
              <w:t xml:space="preserve">Creek </w:t>
            </w:r>
            <w:r w:rsidRPr="000110C6">
              <w:rPr>
                <w:rFonts w:eastAsia="Arial" w:cs="Arial"/>
                <w:spacing w:val="-2"/>
                <w:sz w:val="22"/>
                <w:szCs w:val="22"/>
                <w:lang w:eastAsia="en-US"/>
              </w:rPr>
              <w:t>(309NAD)</w:t>
            </w:r>
          </w:p>
        </w:tc>
        <w:tc>
          <w:tcPr>
            <w:tcW w:w="2340" w:type="dxa"/>
            <w:vAlign w:val="center"/>
          </w:tcPr>
          <w:p w:rsidRPr="000110C6" w:rsidR="00C259D7" w:rsidP="009B7F65" w:rsidRDefault="00C259D7" w14:paraId="11B03941" w14:textId="77777777">
            <w:pPr>
              <w:widowControl w:val="0"/>
              <w:autoSpaceDE w:val="0"/>
              <w:autoSpaceDN w:val="0"/>
              <w:spacing w:before="0" w:after="0" w:line="240" w:lineRule="auto"/>
              <w:ind w:left="9"/>
              <w:jc w:val="center"/>
              <w:rPr>
                <w:rFonts w:eastAsia="Arial" w:cs="Arial"/>
                <w:sz w:val="22"/>
                <w:szCs w:val="22"/>
                <w:lang w:eastAsia="en-US"/>
              </w:rPr>
            </w:pPr>
            <w:r w:rsidRPr="000110C6">
              <w:rPr>
                <w:rFonts w:eastAsia="Arial" w:cs="Arial"/>
                <w:spacing w:val="-5"/>
                <w:sz w:val="22"/>
                <w:szCs w:val="22"/>
                <w:lang w:eastAsia="en-US"/>
              </w:rPr>
              <w:t>53</w:t>
            </w:r>
          </w:p>
        </w:tc>
        <w:tc>
          <w:tcPr>
            <w:tcW w:w="2340" w:type="dxa"/>
            <w:vAlign w:val="center"/>
          </w:tcPr>
          <w:p w:rsidRPr="000110C6" w:rsidR="00C259D7" w:rsidP="009B7F65" w:rsidRDefault="00C259D7" w14:paraId="30913779" w14:textId="77777777">
            <w:pPr>
              <w:widowControl w:val="0"/>
              <w:autoSpaceDE w:val="0"/>
              <w:autoSpaceDN w:val="0"/>
              <w:spacing w:before="0" w:after="0" w:line="240" w:lineRule="auto"/>
              <w:ind w:left="10" w:right="1"/>
              <w:jc w:val="center"/>
              <w:rPr>
                <w:rFonts w:eastAsia="Arial" w:cs="Arial"/>
                <w:sz w:val="22"/>
                <w:szCs w:val="22"/>
                <w:lang w:eastAsia="en-US"/>
              </w:rPr>
            </w:pPr>
            <w:r w:rsidRPr="000110C6">
              <w:rPr>
                <w:rFonts w:eastAsia="Arial" w:cs="Arial"/>
                <w:spacing w:val="-5"/>
                <w:sz w:val="22"/>
                <w:szCs w:val="22"/>
                <w:lang w:eastAsia="en-US"/>
              </w:rPr>
              <w:t>38</w:t>
            </w:r>
          </w:p>
        </w:tc>
      </w:tr>
      <w:tr w:rsidRPr="008F5C57" w:rsidR="00C259D7" w:rsidTr="00DF1ADC" w14:paraId="6609FB34" w14:textId="77777777">
        <w:tc>
          <w:tcPr>
            <w:tcW w:w="3690" w:type="dxa"/>
            <w:vAlign w:val="center"/>
          </w:tcPr>
          <w:p w:rsidRPr="000110C6" w:rsidR="00C259D7" w:rsidP="008F5C57" w:rsidRDefault="00C259D7" w14:paraId="254AD616" w14:textId="77777777">
            <w:pPr>
              <w:widowControl w:val="0"/>
              <w:autoSpaceDE w:val="0"/>
              <w:autoSpaceDN w:val="0"/>
              <w:spacing w:before="0" w:after="0" w:line="240" w:lineRule="auto"/>
              <w:ind w:left="107"/>
              <w:rPr>
                <w:rFonts w:eastAsia="Arial" w:cs="Arial"/>
                <w:sz w:val="22"/>
                <w:szCs w:val="22"/>
                <w:lang w:eastAsia="en-US"/>
              </w:rPr>
            </w:pPr>
            <w:r w:rsidRPr="000110C6">
              <w:rPr>
                <w:rFonts w:eastAsia="Arial" w:cs="Arial"/>
                <w:spacing w:val="-2"/>
                <w:sz w:val="22"/>
                <w:szCs w:val="22"/>
                <w:lang w:eastAsia="en-US"/>
              </w:rPr>
              <w:t xml:space="preserve">Salinas Reclamation Canal/Alisal </w:t>
            </w:r>
            <w:r w:rsidRPr="000110C6">
              <w:rPr>
                <w:rFonts w:eastAsia="Arial" w:cs="Arial"/>
                <w:spacing w:val="-4"/>
                <w:sz w:val="22"/>
                <w:szCs w:val="22"/>
                <w:lang w:eastAsia="en-US"/>
              </w:rPr>
              <w:t xml:space="preserve">Creek </w:t>
            </w:r>
            <w:r w:rsidRPr="000110C6">
              <w:rPr>
                <w:rFonts w:eastAsia="Arial" w:cs="Arial"/>
                <w:spacing w:val="-2"/>
                <w:sz w:val="22"/>
                <w:szCs w:val="22"/>
                <w:lang w:eastAsia="en-US"/>
              </w:rPr>
              <w:t>(309ALG)</w:t>
            </w:r>
          </w:p>
        </w:tc>
        <w:tc>
          <w:tcPr>
            <w:tcW w:w="2340" w:type="dxa"/>
            <w:vAlign w:val="center"/>
          </w:tcPr>
          <w:p w:rsidRPr="000110C6" w:rsidR="00C259D7" w:rsidP="009B7F65" w:rsidRDefault="00C259D7" w14:paraId="4303BE98" w14:textId="77777777">
            <w:pPr>
              <w:widowControl w:val="0"/>
              <w:autoSpaceDE w:val="0"/>
              <w:autoSpaceDN w:val="0"/>
              <w:spacing w:before="0" w:after="0" w:line="240" w:lineRule="auto"/>
              <w:ind w:left="9"/>
              <w:jc w:val="center"/>
              <w:rPr>
                <w:rFonts w:eastAsia="Arial" w:cs="Arial"/>
                <w:sz w:val="22"/>
                <w:szCs w:val="22"/>
                <w:lang w:eastAsia="en-US"/>
              </w:rPr>
            </w:pPr>
            <w:r w:rsidRPr="000110C6">
              <w:rPr>
                <w:rFonts w:eastAsia="Arial" w:cs="Arial"/>
                <w:spacing w:val="-5"/>
                <w:sz w:val="22"/>
                <w:szCs w:val="22"/>
                <w:lang w:eastAsia="en-US"/>
              </w:rPr>
              <w:t>27</w:t>
            </w:r>
          </w:p>
        </w:tc>
        <w:tc>
          <w:tcPr>
            <w:tcW w:w="2340" w:type="dxa"/>
            <w:vAlign w:val="center"/>
          </w:tcPr>
          <w:p w:rsidRPr="000110C6" w:rsidR="00C259D7" w:rsidP="009B7F65" w:rsidRDefault="00C259D7" w14:paraId="01B39454"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72</w:t>
            </w:r>
          </w:p>
        </w:tc>
      </w:tr>
      <w:tr w:rsidRPr="008F5C57" w:rsidR="00C259D7" w:rsidTr="00DF1ADC" w14:paraId="13298F92" w14:textId="77777777">
        <w:tc>
          <w:tcPr>
            <w:tcW w:w="3690" w:type="dxa"/>
            <w:vAlign w:val="center"/>
          </w:tcPr>
          <w:p w:rsidRPr="000110C6" w:rsidR="00C259D7" w:rsidP="008F5C57" w:rsidRDefault="00C259D7" w14:paraId="27F6E0FE" w14:textId="77777777">
            <w:pPr>
              <w:widowControl w:val="0"/>
              <w:autoSpaceDE w:val="0"/>
              <w:autoSpaceDN w:val="0"/>
              <w:spacing w:before="0" w:after="0" w:line="240" w:lineRule="auto"/>
              <w:ind w:left="107"/>
              <w:rPr>
                <w:rFonts w:eastAsia="Arial" w:cs="Arial"/>
                <w:sz w:val="22"/>
                <w:szCs w:val="22"/>
                <w:lang w:eastAsia="en-US"/>
              </w:rPr>
            </w:pPr>
            <w:r w:rsidRPr="000110C6">
              <w:rPr>
                <w:rFonts w:eastAsia="Arial" w:cs="Arial"/>
                <w:sz w:val="22"/>
                <w:szCs w:val="22"/>
                <w:lang w:eastAsia="en-US"/>
              </w:rPr>
              <w:t>Merritt</w:t>
            </w:r>
            <w:r w:rsidRPr="000110C6">
              <w:rPr>
                <w:rFonts w:eastAsia="Arial" w:cs="Arial"/>
                <w:spacing w:val="-17"/>
                <w:sz w:val="22"/>
                <w:szCs w:val="22"/>
                <w:lang w:eastAsia="en-US"/>
              </w:rPr>
              <w:t xml:space="preserve"> </w:t>
            </w:r>
            <w:r w:rsidRPr="000110C6">
              <w:rPr>
                <w:rFonts w:eastAsia="Arial" w:cs="Arial"/>
                <w:sz w:val="22"/>
                <w:szCs w:val="22"/>
                <w:lang w:eastAsia="en-US"/>
              </w:rPr>
              <w:t xml:space="preserve">Ditch </w:t>
            </w:r>
            <w:r w:rsidRPr="000110C6">
              <w:rPr>
                <w:rFonts w:eastAsia="Arial" w:cs="Arial"/>
                <w:spacing w:val="-2"/>
                <w:sz w:val="22"/>
                <w:szCs w:val="22"/>
                <w:lang w:eastAsia="en-US"/>
              </w:rPr>
              <w:t>(309MER)</w:t>
            </w:r>
          </w:p>
        </w:tc>
        <w:tc>
          <w:tcPr>
            <w:tcW w:w="2340" w:type="dxa"/>
            <w:vAlign w:val="center"/>
          </w:tcPr>
          <w:p w:rsidRPr="000110C6" w:rsidR="00C259D7" w:rsidP="009B7F65" w:rsidRDefault="00C259D7" w14:paraId="452247B7" w14:textId="77777777">
            <w:pPr>
              <w:widowControl w:val="0"/>
              <w:autoSpaceDE w:val="0"/>
              <w:autoSpaceDN w:val="0"/>
              <w:spacing w:before="0" w:after="0" w:line="240" w:lineRule="auto"/>
              <w:ind w:left="9"/>
              <w:jc w:val="center"/>
              <w:rPr>
                <w:rFonts w:eastAsia="Arial" w:cs="Arial"/>
                <w:sz w:val="22"/>
                <w:szCs w:val="22"/>
                <w:lang w:eastAsia="en-US"/>
              </w:rPr>
            </w:pPr>
            <w:r w:rsidRPr="000110C6">
              <w:rPr>
                <w:rFonts w:eastAsia="Arial" w:cs="Arial"/>
                <w:spacing w:val="-5"/>
                <w:sz w:val="22"/>
                <w:szCs w:val="22"/>
                <w:lang w:eastAsia="en-US"/>
              </w:rPr>
              <w:t>42</w:t>
            </w:r>
          </w:p>
        </w:tc>
        <w:tc>
          <w:tcPr>
            <w:tcW w:w="2340" w:type="dxa"/>
            <w:vAlign w:val="center"/>
          </w:tcPr>
          <w:p w:rsidRPr="000110C6" w:rsidR="00C259D7" w:rsidP="009B7F65" w:rsidRDefault="00C259D7" w14:paraId="4F261058" w14:textId="77777777">
            <w:pPr>
              <w:widowControl w:val="0"/>
              <w:autoSpaceDE w:val="0"/>
              <w:autoSpaceDN w:val="0"/>
              <w:spacing w:before="0" w:after="0" w:line="240" w:lineRule="auto"/>
              <w:jc w:val="center"/>
              <w:rPr>
                <w:rFonts w:eastAsia="Arial" w:cs="Arial"/>
                <w:sz w:val="22"/>
                <w:szCs w:val="22"/>
                <w:lang w:eastAsia="en-US"/>
              </w:rPr>
            </w:pPr>
            <w:r w:rsidRPr="000110C6">
              <w:rPr>
                <w:rFonts w:eastAsia="Arial" w:cs="Arial"/>
                <w:spacing w:val="-5"/>
                <w:sz w:val="22"/>
                <w:szCs w:val="22"/>
                <w:lang w:eastAsia="en-US"/>
              </w:rPr>
              <w:t>67</w:t>
            </w:r>
          </w:p>
        </w:tc>
      </w:tr>
      <w:tr w:rsidRPr="008F5C57" w:rsidR="00C259D7" w:rsidTr="00DF1ADC" w14:paraId="278CE90B" w14:textId="77777777">
        <w:tc>
          <w:tcPr>
            <w:tcW w:w="3690" w:type="dxa"/>
            <w:vAlign w:val="center"/>
          </w:tcPr>
          <w:p w:rsidRPr="000110C6" w:rsidR="00C259D7" w:rsidP="008F5C57" w:rsidRDefault="00C259D7" w14:paraId="3C7597D8" w14:textId="77777777">
            <w:pPr>
              <w:widowControl w:val="0"/>
              <w:autoSpaceDE w:val="0"/>
              <w:autoSpaceDN w:val="0"/>
              <w:spacing w:before="0" w:after="0" w:line="240" w:lineRule="auto"/>
              <w:ind w:left="107"/>
              <w:rPr>
                <w:rFonts w:eastAsia="Arial" w:cs="Arial"/>
                <w:sz w:val="22"/>
                <w:szCs w:val="22"/>
                <w:lang w:eastAsia="en-US"/>
              </w:rPr>
            </w:pPr>
            <w:r w:rsidRPr="000110C6">
              <w:rPr>
                <w:rFonts w:eastAsia="Arial" w:cs="Arial"/>
                <w:sz w:val="22"/>
                <w:szCs w:val="22"/>
                <w:lang w:eastAsia="en-US"/>
              </w:rPr>
              <w:t>Santa</w:t>
            </w:r>
            <w:r w:rsidRPr="000110C6">
              <w:rPr>
                <w:rFonts w:eastAsia="Arial" w:cs="Arial"/>
                <w:spacing w:val="-17"/>
                <w:sz w:val="22"/>
                <w:szCs w:val="22"/>
                <w:lang w:eastAsia="en-US"/>
              </w:rPr>
              <w:t xml:space="preserve"> </w:t>
            </w:r>
            <w:r w:rsidRPr="000110C6">
              <w:rPr>
                <w:rFonts w:eastAsia="Arial" w:cs="Arial"/>
                <w:sz w:val="22"/>
                <w:szCs w:val="22"/>
                <w:lang w:eastAsia="en-US"/>
              </w:rPr>
              <w:t xml:space="preserve">Rita </w:t>
            </w:r>
            <w:r w:rsidRPr="000110C6">
              <w:rPr>
                <w:rFonts w:eastAsia="Arial" w:cs="Arial"/>
                <w:spacing w:val="-4"/>
                <w:sz w:val="22"/>
                <w:szCs w:val="22"/>
                <w:lang w:eastAsia="en-US"/>
              </w:rPr>
              <w:t xml:space="preserve">Creek </w:t>
            </w:r>
            <w:r w:rsidRPr="000110C6">
              <w:rPr>
                <w:rFonts w:eastAsia="Arial" w:cs="Arial"/>
                <w:spacing w:val="-2"/>
                <w:sz w:val="22"/>
                <w:szCs w:val="22"/>
                <w:lang w:eastAsia="en-US"/>
              </w:rPr>
              <w:t>(309RTA)</w:t>
            </w:r>
          </w:p>
        </w:tc>
        <w:tc>
          <w:tcPr>
            <w:tcW w:w="2340" w:type="dxa"/>
            <w:vAlign w:val="center"/>
          </w:tcPr>
          <w:p w:rsidRPr="000110C6" w:rsidR="00C259D7" w:rsidP="009B7F65" w:rsidRDefault="00C259D7" w14:paraId="064F1A73" w14:textId="77777777">
            <w:pPr>
              <w:widowControl w:val="0"/>
              <w:autoSpaceDE w:val="0"/>
              <w:autoSpaceDN w:val="0"/>
              <w:spacing w:before="0" w:after="0" w:line="240" w:lineRule="auto"/>
              <w:ind w:left="9"/>
              <w:jc w:val="center"/>
              <w:rPr>
                <w:rFonts w:eastAsia="Arial" w:cs="Arial"/>
                <w:sz w:val="22"/>
                <w:szCs w:val="22"/>
                <w:lang w:eastAsia="en-US"/>
              </w:rPr>
            </w:pPr>
            <w:r w:rsidRPr="000110C6">
              <w:rPr>
                <w:rFonts w:eastAsia="Arial" w:cs="Arial"/>
                <w:spacing w:val="-5"/>
                <w:sz w:val="22"/>
                <w:szCs w:val="22"/>
                <w:lang w:eastAsia="en-US"/>
              </w:rPr>
              <w:t>51</w:t>
            </w:r>
          </w:p>
        </w:tc>
        <w:tc>
          <w:tcPr>
            <w:tcW w:w="2340" w:type="dxa"/>
            <w:vAlign w:val="center"/>
          </w:tcPr>
          <w:p w:rsidRPr="000110C6" w:rsidR="00C259D7" w:rsidP="009B7F65" w:rsidRDefault="00C259D7" w14:paraId="23B65B09"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65</w:t>
            </w:r>
          </w:p>
        </w:tc>
      </w:tr>
      <w:tr w:rsidRPr="008F5C57" w:rsidR="00C259D7" w:rsidTr="00DF1ADC" w14:paraId="3BBEF1BD" w14:textId="77777777">
        <w:tc>
          <w:tcPr>
            <w:tcW w:w="3690" w:type="dxa"/>
            <w:vAlign w:val="center"/>
          </w:tcPr>
          <w:p w:rsidRPr="000110C6" w:rsidR="00C259D7" w:rsidP="008F5C57" w:rsidRDefault="00C259D7" w14:paraId="63D50823" w14:textId="77777777">
            <w:pPr>
              <w:widowControl w:val="0"/>
              <w:autoSpaceDE w:val="0"/>
              <w:autoSpaceDN w:val="0"/>
              <w:spacing w:before="0" w:after="0" w:line="240" w:lineRule="auto"/>
              <w:ind w:left="107"/>
              <w:rPr>
                <w:rFonts w:eastAsia="Arial" w:cs="Arial"/>
                <w:sz w:val="22"/>
                <w:szCs w:val="22"/>
                <w:lang w:eastAsia="en-US"/>
              </w:rPr>
            </w:pPr>
            <w:r w:rsidRPr="000110C6">
              <w:rPr>
                <w:rFonts w:eastAsia="Arial" w:cs="Arial"/>
                <w:spacing w:val="-2"/>
                <w:sz w:val="22"/>
                <w:szCs w:val="22"/>
                <w:lang w:eastAsia="en-US"/>
              </w:rPr>
              <w:t xml:space="preserve">Salinas Reclamation </w:t>
            </w:r>
            <w:r w:rsidRPr="000110C6">
              <w:rPr>
                <w:rFonts w:eastAsia="Arial" w:cs="Arial"/>
                <w:spacing w:val="-4"/>
                <w:sz w:val="22"/>
                <w:szCs w:val="22"/>
                <w:lang w:eastAsia="en-US"/>
              </w:rPr>
              <w:t xml:space="preserve">Canal </w:t>
            </w:r>
            <w:r w:rsidRPr="000110C6">
              <w:rPr>
                <w:rFonts w:eastAsia="Arial" w:cs="Arial"/>
                <w:spacing w:val="-2"/>
                <w:sz w:val="22"/>
                <w:szCs w:val="22"/>
                <w:lang w:eastAsia="en-US"/>
              </w:rPr>
              <w:t>(309JON)</w:t>
            </w:r>
          </w:p>
        </w:tc>
        <w:tc>
          <w:tcPr>
            <w:tcW w:w="2340" w:type="dxa"/>
            <w:vAlign w:val="center"/>
          </w:tcPr>
          <w:p w:rsidRPr="000110C6" w:rsidR="00C259D7" w:rsidP="009B7F65" w:rsidRDefault="00C259D7" w14:paraId="7EA608F1" w14:textId="77777777">
            <w:pPr>
              <w:widowControl w:val="0"/>
              <w:autoSpaceDE w:val="0"/>
              <w:autoSpaceDN w:val="0"/>
              <w:spacing w:before="0" w:after="0" w:line="240" w:lineRule="auto"/>
              <w:ind w:left="9"/>
              <w:jc w:val="center"/>
              <w:rPr>
                <w:rFonts w:eastAsia="Arial" w:cs="Arial"/>
                <w:sz w:val="22"/>
                <w:szCs w:val="22"/>
                <w:lang w:eastAsia="en-US"/>
              </w:rPr>
            </w:pPr>
            <w:r w:rsidRPr="000110C6">
              <w:rPr>
                <w:rFonts w:eastAsia="Arial" w:cs="Arial"/>
                <w:spacing w:val="-5"/>
                <w:sz w:val="22"/>
                <w:szCs w:val="22"/>
                <w:lang w:eastAsia="en-US"/>
              </w:rPr>
              <w:t>18</w:t>
            </w:r>
          </w:p>
        </w:tc>
        <w:tc>
          <w:tcPr>
            <w:tcW w:w="2340" w:type="dxa"/>
            <w:vAlign w:val="center"/>
          </w:tcPr>
          <w:p w:rsidRPr="000110C6" w:rsidR="00C259D7" w:rsidP="009B7F65" w:rsidRDefault="00C259D7" w14:paraId="42B20AC6"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43</w:t>
            </w:r>
          </w:p>
        </w:tc>
      </w:tr>
      <w:tr w:rsidRPr="008F5C57" w:rsidR="00C259D7" w:rsidTr="00DF1ADC" w14:paraId="0EC10B5E" w14:textId="77777777">
        <w:tc>
          <w:tcPr>
            <w:tcW w:w="3690" w:type="dxa"/>
            <w:tcBorders>
              <w:top w:val="single" w:color="000000" w:sz="4" w:space="0"/>
              <w:left w:val="single" w:color="000000" w:sz="4" w:space="0"/>
              <w:bottom w:val="single" w:color="000000" w:sz="4" w:space="0"/>
              <w:right w:val="single" w:color="000000" w:sz="4" w:space="0"/>
            </w:tcBorders>
            <w:vAlign w:val="center"/>
          </w:tcPr>
          <w:p w:rsidRPr="000110C6" w:rsidR="00C259D7" w:rsidP="008F5C57" w:rsidRDefault="00C259D7" w14:paraId="274CA665"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Espinosa Slough (309ESP)</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42983626" w14:textId="77777777">
            <w:pPr>
              <w:widowControl w:val="0"/>
              <w:autoSpaceDE w:val="0"/>
              <w:autoSpaceDN w:val="0"/>
              <w:spacing w:before="0" w:after="0" w:line="240" w:lineRule="auto"/>
              <w:ind w:left="9"/>
              <w:jc w:val="center"/>
              <w:rPr>
                <w:rFonts w:eastAsia="Arial" w:cs="Arial"/>
                <w:spacing w:val="-5"/>
                <w:sz w:val="22"/>
                <w:szCs w:val="22"/>
                <w:lang w:eastAsia="en-US"/>
              </w:rPr>
            </w:pPr>
            <w:r w:rsidRPr="000110C6">
              <w:rPr>
                <w:rFonts w:eastAsia="Arial" w:cs="Arial"/>
                <w:spacing w:val="-5"/>
                <w:sz w:val="22"/>
                <w:szCs w:val="22"/>
                <w:lang w:eastAsia="en-US"/>
              </w:rPr>
              <w:t>13</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64623841"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65</w:t>
            </w:r>
          </w:p>
        </w:tc>
      </w:tr>
      <w:tr w:rsidRPr="008F5C57" w:rsidR="00C259D7" w:rsidTr="00DF1ADC" w14:paraId="0E0A62F3" w14:textId="77777777">
        <w:tc>
          <w:tcPr>
            <w:tcW w:w="3690" w:type="dxa"/>
            <w:tcBorders>
              <w:top w:val="single" w:color="000000" w:sz="4" w:space="0"/>
              <w:left w:val="single" w:color="000000" w:sz="4" w:space="0"/>
              <w:bottom w:val="single" w:color="000000" w:sz="4" w:space="0"/>
              <w:right w:val="single" w:color="000000" w:sz="4" w:space="0"/>
            </w:tcBorders>
            <w:vAlign w:val="center"/>
          </w:tcPr>
          <w:p w:rsidRPr="000110C6" w:rsidR="00C259D7" w:rsidP="008F5C57" w:rsidRDefault="00C259D7" w14:paraId="1EDDBE5D"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Alisal Slough (309ASB)</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3BDCA584" w14:textId="77777777">
            <w:pPr>
              <w:widowControl w:val="0"/>
              <w:autoSpaceDE w:val="0"/>
              <w:autoSpaceDN w:val="0"/>
              <w:spacing w:before="0" w:after="0" w:line="240" w:lineRule="auto"/>
              <w:ind w:left="9"/>
              <w:jc w:val="center"/>
              <w:rPr>
                <w:rFonts w:eastAsia="Arial" w:cs="Arial"/>
                <w:spacing w:val="-5"/>
                <w:sz w:val="22"/>
                <w:szCs w:val="22"/>
                <w:lang w:eastAsia="en-US"/>
              </w:rPr>
            </w:pPr>
            <w:r w:rsidRPr="000110C6">
              <w:rPr>
                <w:rFonts w:eastAsia="Arial" w:cs="Arial"/>
                <w:spacing w:val="-5"/>
                <w:sz w:val="22"/>
                <w:szCs w:val="22"/>
                <w:lang w:eastAsia="en-US"/>
              </w:rPr>
              <w:t>12</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1AC6877B"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27</w:t>
            </w:r>
          </w:p>
        </w:tc>
      </w:tr>
      <w:tr w:rsidRPr="008F5C57" w:rsidR="00C259D7" w:rsidTr="00DF1ADC" w14:paraId="1B8FEE03" w14:textId="77777777">
        <w:tc>
          <w:tcPr>
            <w:tcW w:w="3690" w:type="dxa"/>
            <w:tcBorders>
              <w:top w:val="single" w:color="000000" w:sz="4" w:space="0"/>
              <w:left w:val="single" w:color="000000" w:sz="4" w:space="0"/>
              <w:bottom w:val="single" w:color="000000" w:sz="4" w:space="0"/>
              <w:right w:val="single" w:color="000000" w:sz="4" w:space="0"/>
            </w:tcBorders>
            <w:vAlign w:val="center"/>
          </w:tcPr>
          <w:p w:rsidRPr="000110C6" w:rsidR="00C259D7" w:rsidP="008F5C57" w:rsidRDefault="00C259D7" w14:paraId="3F82CAB6"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Tembladero Slough (309TEH)</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17A77812" w14:textId="77777777">
            <w:pPr>
              <w:widowControl w:val="0"/>
              <w:autoSpaceDE w:val="0"/>
              <w:autoSpaceDN w:val="0"/>
              <w:spacing w:before="0" w:after="0" w:line="240" w:lineRule="auto"/>
              <w:ind w:left="9"/>
              <w:jc w:val="center"/>
              <w:rPr>
                <w:rFonts w:eastAsia="Arial" w:cs="Arial"/>
                <w:spacing w:val="-5"/>
                <w:sz w:val="22"/>
                <w:szCs w:val="22"/>
                <w:lang w:eastAsia="en-US"/>
              </w:rPr>
            </w:pPr>
            <w:r w:rsidRPr="000110C6">
              <w:rPr>
                <w:rFonts w:eastAsia="Arial" w:cs="Arial"/>
                <w:spacing w:val="-5"/>
                <w:sz w:val="22"/>
                <w:szCs w:val="22"/>
                <w:lang w:eastAsia="en-US"/>
              </w:rPr>
              <w:t>57</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0EB5F6C0"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84</w:t>
            </w:r>
          </w:p>
        </w:tc>
      </w:tr>
      <w:tr w:rsidRPr="008F5C57" w:rsidR="00C259D7" w:rsidTr="00DF1ADC" w14:paraId="29FD92CB" w14:textId="77777777">
        <w:tc>
          <w:tcPr>
            <w:tcW w:w="3690" w:type="dxa"/>
            <w:tcBorders>
              <w:top w:val="single" w:color="000000" w:sz="4" w:space="0"/>
              <w:left w:val="single" w:color="000000" w:sz="4" w:space="0"/>
              <w:bottom w:val="single" w:color="000000" w:sz="4" w:space="0"/>
              <w:right w:val="single" w:color="000000" w:sz="4" w:space="0"/>
            </w:tcBorders>
            <w:vAlign w:val="center"/>
          </w:tcPr>
          <w:p w:rsidRPr="000110C6" w:rsidR="00C259D7" w:rsidP="008F5C57" w:rsidRDefault="00C259D7" w14:paraId="7BAAB12B"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Tembladero Slough (309TEM)</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5E5BB4C8" w14:textId="77777777">
            <w:pPr>
              <w:widowControl w:val="0"/>
              <w:autoSpaceDE w:val="0"/>
              <w:autoSpaceDN w:val="0"/>
              <w:spacing w:before="0" w:after="0" w:line="240" w:lineRule="auto"/>
              <w:ind w:left="9"/>
              <w:jc w:val="center"/>
              <w:rPr>
                <w:rFonts w:eastAsia="Arial" w:cs="Arial"/>
                <w:spacing w:val="-5"/>
                <w:sz w:val="22"/>
                <w:szCs w:val="22"/>
                <w:lang w:eastAsia="en-US"/>
              </w:rPr>
            </w:pPr>
            <w:r w:rsidRPr="000110C6">
              <w:rPr>
                <w:rFonts w:eastAsia="Arial" w:cs="Arial"/>
                <w:spacing w:val="-5"/>
                <w:sz w:val="22"/>
                <w:szCs w:val="22"/>
                <w:lang w:eastAsia="en-US"/>
              </w:rPr>
              <w:t>38</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7F3347BA"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52</w:t>
            </w:r>
          </w:p>
        </w:tc>
      </w:tr>
      <w:tr w:rsidRPr="008F5C57" w:rsidR="00C259D7" w:rsidTr="00DF1ADC" w14:paraId="56E5FDD5" w14:textId="77777777">
        <w:tc>
          <w:tcPr>
            <w:tcW w:w="3690" w:type="dxa"/>
            <w:tcBorders>
              <w:top w:val="single" w:color="000000" w:sz="4" w:space="0"/>
              <w:left w:val="single" w:color="000000" w:sz="4" w:space="0"/>
              <w:bottom w:val="single" w:color="000000" w:sz="4" w:space="0"/>
              <w:right w:val="single" w:color="000000" w:sz="4" w:space="0"/>
            </w:tcBorders>
            <w:vAlign w:val="center"/>
          </w:tcPr>
          <w:p w:rsidRPr="000110C6" w:rsidR="00C259D7" w:rsidP="008F5C57" w:rsidRDefault="00C259D7" w14:paraId="7FF5441E"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Tembladero Slough (309TDW)</w:t>
            </w:r>
          </w:p>
          <w:p w:rsidRPr="000110C6" w:rsidR="00C259D7" w:rsidP="008F5C57" w:rsidRDefault="00C259D7" w14:paraId="7F4332F3"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(brackish)</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50067E73" w14:textId="77777777">
            <w:pPr>
              <w:widowControl w:val="0"/>
              <w:autoSpaceDE w:val="0"/>
              <w:autoSpaceDN w:val="0"/>
              <w:spacing w:before="0" w:after="0" w:line="240" w:lineRule="auto"/>
              <w:ind w:left="9"/>
              <w:jc w:val="center"/>
              <w:rPr>
                <w:rFonts w:eastAsia="Arial" w:cs="Arial"/>
                <w:spacing w:val="-5"/>
                <w:sz w:val="22"/>
                <w:szCs w:val="22"/>
                <w:lang w:eastAsia="en-US"/>
              </w:rPr>
            </w:pPr>
            <w:r w:rsidRPr="000110C6">
              <w:rPr>
                <w:rFonts w:eastAsia="Arial" w:cs="Arial"/>
                <w:spacing w:val="-5"/>
                <w:sz w:val="22"/>
                <w:szCs w:val="22"/>
                <w:lang w:eastAsia="en-US"/>
              </w:rPr>
              <w:t>59</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242DEA74"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49</w:t>
            </w:r>
          </w:p>
        </w:tc>
      </w:tr>
      <w:tr w:rsidRPr="008F5C57" w:rsidR="00C259D7" w:rsidTr="00DF1ADC" w14:paraId="67BC800F" w14:textId="77777777">
        <w:tc>
          <w:tcPr>
            <w:tcW w:w="3690" w:type="dxa"/>
            <w:tcBorders>
              <w:top w:val="single" w:color="000000" w:sz="4" w:space="0"/>
              <w:left w:val="single" w:color="000000" w:sz="4" w:space="0"/>
              <w:bottom w:val="single" w:color="000000" w:sz="4" w:space="0"/>
              <w:right w:val="single" w:color="000000" w:sz="4" w:space="0"/>
            </w:tcBorders>
            <w:vAlign w:val="center"/>
          </w:tcPr>
          <w:p w:rsidRPr="000110C6" w:rsidR="00C259D7" w:rsidP="008F5C57" w:rsidRDefault="00C259D7" w14:paraId="5047BFC0"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Old Salinas River (309OLD)</w:t>
            </w:r>
          </w:p>
          <w:p w:rsidRPr="000110C6" w:rsidR="00C259D7" w:rsidP="008F5C57" w:rsidRDefault="00C259D7" w14:paraId="6B940DC0"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(brackish)</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29E07942" w14:textId="77777777">
            <w:pPr>
              <w:widowControl w:val="0"/>
              <w:autoSpaceDE w:val="0"/>
              <w:autoSpaceDN w:val="0"/>
              <w:spacing w:before="0" w:after="0" w:line="240" w:lineRule="auto"/>
              <w:ind w:left="9"/>
              <w:jc w:val="center"/>
              <w:rPr>
                <w:rFonts w:eastAsia="Arial" w:cs="Arial"/>
                <w:spacing w:val="-5"/>
                <w:sz w:val="22"/>
                <w:szCs w:val="22"/>
                <w:lang w:eastAsia="en-US"/>
              </w:rPr>
            </w:pPr>
            <w:r w:rsidRPr="000110C6">
              <w:rPr>
                <w:rFonts w:eastAsia="Arial" w:cs="Arial"/>
                <w:spacing w:val="-5"/>
                <w:sz w:val="22"/>
                <w:szCs w:val="22"/>
                <w:lang w:eastAsia="en-US"/>
              </w:rPr>
              <w:t>29</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259D7" w:rsidP="009B7F65" w:rsidRDefault="00C259D7" w14:paraId="2398B238"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36</w:t>
            </w:r>
          </w:p>
        </w:tc>
      </w:tr>
    </w:tbl>
    <w:p w:rsidRPr="00957FEC" w:rsidR="000110C6" w:rsidP="002E1D7C" w:rsidRDefault="00123269" w14:paraId="052F0886" w14:textId="2DA4851E">
      <w:pPr>
        <w:keepNext/>
        <w:keepLines/>
        <w:spacing w:after="0" w:line="240" w:lineRule="auto"/>
        <w:ind w:left="900"/>
        <w:rPr>
          <w:rFonts w:cs="Arial"/>
          <w:b/>
          <w:bCs/>
        </w:rPr>
      </w:pPr>
      <w:r w:rsidRPr="00957FEC">
        <w:rPr>
          <w:b/>
          <w:bCs/>
        </w:rPr>
        <w:t xml:space="preserve">Gabilan Creek </w:t>
      </w:r>
      <w:r w:rsidR="00A53517">
        <w:rPr>
          <w:b/>
          <w:bCs/>
        </w:rPr>
        <w:t xml:space="preserve">Turbidity </w:t>
      </w:r>
      <w:r w:rsidR="007019B1">
        <w:rPr>
          <w:b/>
          <w:bCs/>
        </w:rPr>
        <w:t>Second</w:t>
      </w:r>
      <w:r w:rsidRPr="00957FEC">
        <w:rPr>
          <w:b/>
          <w:bCs/>
        </w:rPr>
        <w:t xml:space="preserve"> Interim Wasteload Allocations, </w:t>
      </w:r>
      <w:r w:rsidR="00C9524D">
        <w:rPr>
          <w:b/>
          <w:bCs/>
        </w:rPr>
        <w:t xml:space="preserve">Attainment by </w:t>
      </w:r>
      <w:r w:rsidRPr="00957FEC" w:rsidR="00957FEC">
        <w:rPr>
          <w:b/>
          <w:bCs/>
        </w:rPr>
        <w:t>December 8, 2037</w:t>
      </w:r>
    </w:p>
    <w:tbl>
      <w:tblPr>
        <w:tblW w:w="8370" w:type="dxa"/>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10"/>
        <w:gridCol w:w="2520"/>
        <w:gridCol w:w="2340"/>
      </w:tblGrid>
      <w:tr w:rsidRPr="009903D8" w:rsidR="00C53A4C" w:rsidTr="00DA626A" w14:paraId="779E079A" w14:textId="77777777">
        <w:trPr>
          <w:tblHeader/>
        </w:trPr>
        <w:tc>
          <w:tcPr>
            <w:tcW w:w="351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0110C6" w:rsidR="00C53A4C" w:rsidP="002E1D7C" w:rsidRDefault="00C53A4C" w14:paraId="742A3A32" w14:textId="77777777">
            <w:pPr>
              <w:keepNext/>
              <w:keepLines/>
              <w:widowControl w:val="0"/>
              <w:autoSpaceDE w:val="0"/>
              <w:autoSpaceDN w:val="0"/>
              <w:spacing w:before="0" w:after="0" w:line="240" w:lineRule="auto"/>
              <w:ind w:left="107"/>
              <w:jc w:val="center"/>
              <w:rPr>
                <w:rFonts w:eastAsia="Arial" w:cs="Arial"/>
                <w:bCs/>
                <w:sz w:val="22"/>
                <w:szCs w:val="22"/>
                <w:lang w:eastAsia="en-US"/>
              </w:rPr>
            </w:pPr>
            <w:r w:rsidRPr="000110C6">
              <w:rPr>
                <w:rFonts w:eastAsia="Arial" w:cs="Arial"/>
                <w:bCs/>
                <w:spacing w:val="-2"/>
                <w:sz w:val="22"/>
                <w:szCs w:val="22"/>
                <w:lang w:eastAsia="en-US"/>
              </w:rPr>
              <w:t>Waterbody</w:t>
            </w:r>
          </w:p>
          <w:p w:rsidRPr="000110C6" w:rsidR="00C53A4C" w:rsidP="002E1D7C" w:rsidRDefault="00C53A4C" w14:paraId="1307802F" w14:textId="77777777">
            <w:pPr>
              <w:keepNext/>
              <w:keepLines/>
              <w:widowControl w:val="0"/>
              <w:autoSpaceDE w:val="0"/>
              <w:autoSpaceDN w:val="0"/>
              <w:spacing w:before="0" w:after="0" w:line="240" w:lineRule="auto"/>
              <w:ind w:left="107"/>
              <w:jc w:val="center"/>
              <w:rPr>
                <w:rFonts w:eastAsia="Arial" w:cs="Arial"/>
                <w:bCs/>
                <w:sz w:val="22"/>
                <w:szCs w:val="22"/>
                <w:lang w:eastAsia="en-US"/>
              </w:rPr>
            </w:pPr>
            <w:r w:rsidRPr="000110C6">
              <w:rPr>
                <w:rFonts w:eastAsia="Arial" w:cs="Arial"/>
                <w:bCs/>
                <w:sz w:val="22"/>
                <w:szCs w:val="22"/>
                <w:lang w:eastAsia="en-US"/>
              </w:rPr>
              <w:t>(Site</w:t>
            </w:r>
            <w:r w:rsidRPr="000110C6">
              <w:rPr>
                <w:rFonts w:eastAsia="Arial" w:cs="Arial"/>
                <w:bCs/>
                <w:spacing w:val="-2"/>
                <w:sz w:val="22"/>
                <w:szCs w:val="22"/>
                <w:lang w:eastAsia="en-US"/>
              </w:rPr>
              <w:t xml:space="preserve"> Number)</w:t>
            </w:r>
          </w:p>
        </w:tc>
        <w:tc>
          <w:tcPr>
            <w:tcW w:w="252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0110C6" w:rsidR="00C53A4C" w:rsidP="002E1D7C" w:rsidRDefault="00C53A4C" w14:paraId="29793B88" w14:textId="77B27123">
            <w:pPr>
              <w:keepNext/>
              <w:keepLines/>
              <w:widowControl w:val="0"/>
              <w:autoSpaceDE w:val="0"/>
              <w:autoSpaceDN w:val="0"/>
              <w:spacing w:before="0" w:after="0" w:line="240" w:lineRule="auto"/>
              <w:ind w:left="219" w:right="209"/>
              <w:jc w:val="center"/>
              <w:rPr>
                <w:rFonts w:eastAsia="Arial" w:cs="Arial"/>
                <w:bCs/>
                <w:sz w:val="22"/>
                <w:szCs w:val="22"/>
                <w:lang w:eastAsia="en-US"/>
              </w:rPr>
            </w:pPr>
            <w:r w:rsidRPr="009903D8">
              <w:rPr>
                <w:rFonts w:eastAsia="Arial" w:cs="Arial"/>
                <w:bCs/>
                <w:spacing w:val="-2"/>
                <w:sz w:val="22"/>
                <w:szCs w:val="22"/>
                <w:lang w:eastAsia="en-US"/>
              </w:rPr>
              <w:t xml:space="preserve">Second </w:t>
            </w:r>
            <w:r w:rsidRPr="000110C6">
              <w:rPr>
                <w:rFonts w:eastAsia="Arial" w:cs="Arial"/>
                <w:bCs/>
                <w:spacing w:val="-2"/>
                <w:sz w:val="22"/>
                <w:szCs w:val="22"/>
                <w:lang w:eastAsia="en-US"/>
              </w:rPr>
              <w:t xml:space="preserve">Interim </w:t>
            </w:r>
            <w:r w:rsidRPr="009903D8">
              <w:rPr>
                <w:rFonts w:eastAsia="Arial" w:cs="Arial"/>
                <w:bCs/>
                <w:spacing w:val="-2"/>
                <w:sz w:val="22"/>
                <w:szCs w:val="22"/>
                <w:lang w:eastAsia="en-US"/>
              </w:rPr>
              <w:t>Wasteload Allocation</w:t>
            </w:r>
            <w:r w:rsidRPr="000110C6">
              <w:rPr>
                <w:rFonts w:eastAsia="Arial" w:cs="Arial"/>
                <w:bCs/>
                <w:spacing w:val="-2"/>
                <w:sz w:val="22"/>
                <w:szCs w:val="22"/>
                <w:lang w:eastAsia="en-US"/>
              </w:rPr>
              <w:t xml:space="preserve"> </w:t>
            </w:r>
            <w:r w:rsidRPr="000110C6">
              <w:rPr>
                <w:rFonts w:eastAsia="Arial" w:cs="Arial"/>
                <w:bCs/>
                <w:spacing w:val="-4"/>
                <w:sz w:val="22"/>
                <w:szCs w:val="22"/>
                <w:lang w:eastAsia="en-US"/>
              </w:rPr>
              <w:t xml:space="preserve">Dry </w:t>
            </w:r>
            <w:r w:rsidRPr="000110C6">
              <w:rPr>
                <w:rFonts w:eastAsia="Arial" w:cs="Arial"/>
                <w:bCs/>
                <w:spacing w:val="-2"/>
                <w:sz w:val="22"/>
                <w:szCs w:val="22"/>
                <w:lang w:eastAsia="en-US"/>
              </w:rPr>
              <w:t xml:space="preserve">Season </w:t>
            </w:r>
            <w:r w:rsidRPr="000110C6">
              <w:rPr>
                <w:rFonts w:eastAsia="Arial" w:cs="Arial"/>
                <w:bCs/>
                <w:spacing w:val="-4"/>
                <w:sz w:val="22"/>
                <w:szCs w:val="22"/>
                <w:lang w:eastAsia="en-US"/>
              </w:rPr>
              <w:t>(NTU)</w:t>
            </w:r>
          </w:p>
        </w:tc>
        <w:tc>
          <w:tcPr>
            <w:tcW w:w="234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0110C6" w:rsidR="00C53A4C" w:rsidP="002E1D7C" w:rsidRDefault="00C53A4C" w14:paraId="2AED95F1" w14:textId="13AB379D">
            <w:pPr>
              <w:keepNext/>
              <w:keepLines/>
              <w:widowControl w:val="0"/>
              <w:autoSpaceDE w:val="0"/>
              <w:autoSpaceDN w:val="0"/>
              <w:spacing w:before="0" w:after="0" w:line="240" w:lineRule="auto"/>
              <w:ind w:left="141" w:right="130"/>
              <w:jc w:val="center"/>
              <w:rPr>
                <w:rFonts w:eastAsia="Arial" w:cs="Arial"/>
                <w:bCs/>
                <w:sz w:val="22"/>
                <w:szCs w:val="22"/>
                <w:lang w:eastAsia="en-US"/>
              </w:rPr>
            </w:pPr>
            <w:r w:rsidRPr="009903D8">
              <w:rPr>
                <w:rFonts w:eastAsia="Arial" w:cs="Arial"/>
                <w:bCs/>
                <w:spacing w:val="-2"/>
                <w:sz w:val="22"/>
                <w:szCs w:val="22"/>
                <w:lang w:eastAsia="en-US"/>
              </w:rPr>
              <w:t xml:space="preserve">Second </w:t>
            </w:r>
            <w:r w:rsidRPr="000110C6">
              <w:rPr>
                <w:rFonts w:eastAsia="Arial" w:cs="Arial"/>
                <w:bCs/>
                <w:spacing w:val="-2"/>
                <w:sz w:val="22"/>
                <w:szCs w:val="22"/>
                <w:lang w:eastAsia="en-US"/>
              </w:rPr>
              <w:t xml:space="preserve">Interim </w:t>
            </w:r>
            <w:r w:rsidRPr="009903D8">
              <w:rPr>
                <w:rFonts w:eastAsia="Arial" w:cs="Arial"/>
                <w:bCs/>
                <w:spacing w:val="-2"/>
                <w:sz w:val="22"/>
                <w:szCs w:val="22"/>
                <w:lang w:eastAsia="en-US"/>
              </w:rPr>
              <w:t xml:space="preserve">Wasteload Allocation </w:t>
            </w:r>
            <w:r w:rsidRPr="000110C6">
              <w:rPr>
                <w:rFonts w:eastAsia="Arial" w:cs="Arial"/>
                <w:bCs/>
                <w:spacing w:val="-4"/>
                <w:sz w:val="22"/>
                <w:szCs w:val="22"/>
                <w:lang w:eastAsia="en-US"/>
              </w:rPr>
              <w:t xml:space="preserve">Wet </w:t>
            </w:r>
            <w:r w:rsidRPr="000110C6">
              <w:rPr>
                <w:rFonts w:eastAsia="Arial" w:cs="Arial"/>
                <w:bCs/>
                <w:spacing w:val="-2"/>
                <w:sz w:val="22"/>
                <w:szCs w:val="22"/>
                <w:lang w:eastAsia="en-US"/>
              </w:rPr>
              <w:t xml:space="preserve">Season </w:t>
            </w:r>
            <w:r w:rsidRPr="000110C6">
              <w:rPr>
                <w:rFonts w:eastAsia="Arial" w:cs="Arial"/>
                <w:bCs/>
                <w:spacing w:val="-4"/>
                <w:sz w:val="22"/>
                <w:szCs w:val="22"/>
                <w:lang w:eastAsia="en-US"/>
              </w:rPr>
              <w:t>(NTU)</w:t>
            </w:r>
          </w:p>
        </w:tc>
      </w:tr>
      <w:tr w:rsidRPr="008F5C57" w:rsidR="00C53A4C" w:rsidTr="00DF1ADC" w14:paraId="05223628" w14:textId="77777777">
        <w:tc>
          <w:tcPr>
            <w:tcW w:w="3510" w:type="dxa"/>
            <w:tcBorders>
              <w:top w:val="single" w:color="000000" w:sz="2" w:space="0"/>
            </w:tcBorders>
            <w:vAlign w:val="center"/>
          </w:tcPr>
          <w:p w:rsidRPr="000110C6" w:rsidR="00C53A4C" w:rsidP="00957FEC" w:rsidRDefault="00C53A4C" w14:paraId="0496A2F9" w14:textId="13B10441">
            <w:pPr>
              <w:widowControl w:val="0"/>
              <w:autoSpaceDE w:val="0"/>
              <w:autoSpaceDN w:val="0"/>
              <w:spacing w:before="0" w:after="0" w:line="240" w:lineRule="auto"/>
              <w:ind w:left="107" w:right="161"/>
              <w:rPr>
                <w:rFonts w:eastAsia="Arial" w:cs="Arial"/>
                <w:sz w:val="22"/>
                <w:szCs w:val="22"/>
                <w:lang w:eastAsia="en-US"/>
              </w:rPr>
            </w:pPr>
            <w:r w:rsidRPr="000110C6">
              <w:rPr>
                <w:rFonts w:eastAsia="Arial" w:cs="Arial"/>
                <w:spacing w:val="-2"/>
                <w:sz w:val="22"/>
                <w:szCs w:val="22"/>
                <w:lang w:eastAsia="en-US"/>
              </w:rPr>
              <w:t xml:space="preserve">Upper Gabilan Creek, </w:t>
            </w:r>
            <w:r w:rsidRPr="000110C6">
              <w:rPr>
                <w:rFonts w:eastAsia="Arial" w:cs="Arial"/>
                <w:spacing w:val="-2"/>
                <w:sz w:val="22"/>
                <w:szCs w:val="22"/>
                <w:lang w:eastAsia="en-US"/>
              </w:rPr>
              <w:t xml:space="preserve">headwaters </w:t>
            </w:r>
            <w:r w:rsidR="00926E13">
              <w:rPr>
                <w:rFonts w:eastAsia="Arial" w:cs="Arial"/>
                <w:sz w:val="22"/>
                <w:szCs w:val="22"/>
                <w:lang w:eastAsia="en-US"/>
              </w:rPr>
              <w:t>above Old Stage Road</w:t>
            </w:r>
          </w:p>
        </w:tc>
        <w:tc>
          <w:tcPr>
            <w:tcW w:w="2520" w:type="dxa"/>
            <w:tcBorders>
              <w:top w:val="single" w:color="000000" w:sz="2" w:space="0"/>
            </w:tcBorders>
            <w:vAlign w:val="center"/>
          </w:tcPr>
          <w:p w:rsidRPr="000110C6" w:rsidR="00C53A4C" w:rsidP="00957FEC" w:rsidRDefault="003F2BA4" w14:paraId="1286D578" w14:textId="545B3DC9">
            <w:pPr>
              <w:widowControl w:val="0"/>
              <w:autoSpaceDE w:val="0"/>
              <w:autoSpaceDN w:val="0"/>
              <w:spacing w:before="0" w:after="0" w:line="240" w:lineRule="auto"/>
              <w:ind w:left="8"/>
              <w:jc w:val="center"/>
              <w:rPr>
                <w:rFonts w:eastAsia="Arial" w:cs="Arial"/>
                <w:sz w:val="22"/>
                <w:szCs w:val="22"/>
                <w:lang w:eastAsia="en-US"/>
              </w:rPr>
            </w:pPr>
            <w:r>
              <w:rPr>
                <w:rFonts w:eastAsia="Arial" w:cs="Arial"/>
                <w:spacing w:val="-5"/>
                <w:sz w:val="22"/>
                <w:szCs w:val="22"/>
                <w:lang w:eastAsia="en-US"/>
              </w:rPr>
              <w:t>Not available</w:t>
            </w:r>
          </w:p>
        </w:tc>
        <w:tc>
          <w:tcPr>
            <w:tcW w:w="2340" w:type="dxa"/>
            <w:tcBorders>
              <w:top w:val="single" w:color="000000" w:sz="2" w:space="0"/>
            </w:tcBorders>
            <w:vAlign w:val="center"/>
          </w:tcPr>
          <w:p w:rsidRPr="000110C6" w:rsidR="00C53A4C" w:rsidP="00957FEC" w:rsidRDefault="003F2BA4" w14:paraId="59B80EF2" w14:textId="78DD9D35">
            <w:pPr>
              <w:widowControl w:val="0"/>
              <w:autoSpaceDE w:val="0"/>
              <w:autoSpaceDN w:val="0"/>
              <w:spacing w:before="0" w:after="0" w:line="240" w:lineRule="auto"/>
              <w:ind w:left="10" w:right="1"/>
              <w:jc w:val="center"/>
              <w:rPr>
                <w:rFonts w:eastAsia="Arial" w:cs="Arial"/>
                <w:sz w:val="22"/>
                <w:szCs w:val="22"/>
                <w:lang w:eastAsia="en-US"/>
              </w:rPr>
            </w:pPr>
            <w:r>
              <w:rPr>
                <w:rFonts w:eastAsia="Arial" w:cs="Arial"/>
                <w:spacing w:val="-5"/>
                <w:sz w:val="22"/>
                <w:szCs w:val="22"/>
                <w:lang w:eastAsia="en-US"/>
              </w:rPr>
              <w:t>Not available</w:t>
            </w:r>
          </w:p>
        </w:tc>
      </w:tr>
      <w:tr w:rsidRPr="008F5C57" w:rsidR="00C53A4C" w:rsidTr="00DF1ADC" w14:paraId="0813EB0A" w14:textId="77777777">
        <w:tc>
          <w:tcPr>
            <w:tcW w:w="3510" w:type="dxa"/>
            <w:vAlign w:val="center"/>
          </w:tcPr>
          <w:p w:rsidRPr="000110C6" w:rsidR="00C53A4C" w:rsidP="00957FEC" w:rsidRDefault="00C53A4C" w14:paraId="0C8440A6" w14:textId="77777777">
            <w:pPr>
              <w:widowControl w:val="0"/>
              <w:autoSpaceDE w:val="0"/>
              <w:autoSpaceDN w:val="0"/>
              <w:spacing w:before="0" w:after="0" w:line="240" w:lineRule="auto"/>
              <w:ind w:left="107" w:right="526"/>
              <w:rPr>
                <w:rFonts w:eastAsia="Arial" w:cs="Arial"/>
                <w:sz w:val="22"/>
                <w:szCs w:val="22"/>
                <w:lang w:eastAsia="en-US"/>
              </w:rPr>
            </w:pPr>
            <w:r w:rsidRPr="000110C6">
              <w:rPr>
                <w:rFonts w:eastAsia="Arial" w:cs="Arial"/>
                <w:spacing w:val="-2"/>
                <w:sz w:val="22"/>
                <w:szCs w:val="22"/>
                <w:lang w:eastAsia="en-US"/>
              </w:rPr>
              <w:t xml:space="preserve">Gabilan </w:t>
            </w:r>
            <w:r w:rsidRPr="000110C6">
              <w:rPr>
                <w:rFonts w:eastAsia="Arial" w:cs="Arial"/>
                <w:spacing w:val="-4"/>
                <w:sz w:val="22"/>
                <w:szCs w:val="22"/>
                <w:lang w:eastAsia="en-US"/>
              </w:rPr>
              <w:t xml:space="preserve">Creek </w:t>
            </w:r>
            <w:r w:rsidRPr="000110C6">
              <w:rPr>
                <w:rFonts w:eastAsia="Arial" w:cs="Arial"/>
                <w:spacing w:val="-2"/>
                <w:sz w:val="22"/>
                <w:szCs w:val="22"/>
                <w:lang w:eastAsia="en-US"/>
              </w:rPr>
              <w:t>(309GAB)</w:t>
            </w:r>
          </w:p>
        </w:tc>
        <w:tc>
          <w:tcPr>
            <w:tcW w:w="2520" w:type="dxa"/>
            <w:vAlign w:val="center"/>
          </w:tcPr>
          <w:p w:rsidRPr="000110C6" w:rsidR="00C53A4C" w:rsidP="00957FEC" w:rsidRDefault="00C53A4C" w14:paraId="58CE2212" w14:textId="77777777">
            <w:pPr>
              <w:widowControl w:val="0"/>
              <w:autoSpaceDE w:val="0"/>
              <w:autoSpaceDN w:val="0"/>
              <w:spacing w:before="0" w:after="0" w:line="240" w:lineRule="auto"/>
              <w:ind w:left="8"/>
              <w:jc w:val="center"/>
              <w:rPr>
                <w:rFonts w:eastAsia="Arial" w:cs="Arial"/>
                <w:sz w:val="22"/>
                <w:szCs w:val="22"/>
                <w:lang w:eastAsia="en-US"/>
              </w:rPr>
            </w:pPr>
            <w:r w:rsidRPr="000110C6">
              <w:rPr>
                <w:rFonts w:eastAsia="Arial" w:cs="Arial"/>
                <w:spacing w:val="-5"/>
                <w:sz w:val="22"/>
                <w:szCs w:val="22"/>
                <w:lang w:eastAsia="en-US"/>
              </w:rPr>
              <w:t>12</w:t>
            </w:r>
          </w:p>
        </w:tc>
        <w:tc>
          <w:tcPr>
            <w:tcW w:w="2340" w:type="dxa"/>
            <w:vAlign w:val="center"/>
          </w:tcPr>
          <w:p w:rsidRPr="000110C6" w:rsidR="00C53A4C" w:rsidP="00957FEC" w:rsidRDefault="00C53A4C" w14:paraId="76FDF7AF"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21</w:t>
            </w:r>
          </w:p>
        </w:tc>
      </w:tr>
      <w:tr w:rsidRPr="008F5C57" w:rsidR="00C53A4C" w:rsidTr="00DF1ADC" w14:paraId="22309845" w14:textId="77777777">
        <w:tc>
          <w:tcPr>
            <w:tcW w:w="3510" w:type="dxa"/>
            <w:vAlign w:val="center"/>
          </w:tcPr>
          <w:p w:rsidRPr="000110C6" w:rsidR="00C53A4C" w:rsidP="00957FEC" w:rsidRDefault="00C53A4C" w14:paraId="7F2C98D9" w14:textId="77777777">
            <w:pPr>
              <w:widowControl w:val="0"/>
              <w:autoSpaceDE w:val="0"/>
              <w:autoSpaceDN w:val="0"/>
              <w:spacing w:before="0" w:after="0" w:line="240" w:lineRule="auto"/>
              <w:ind w:left="107" w:right="527"/>
              <w:rPr>
                <w:rFonts w:eastAsia="Arial" w:cs="Arial"/>
                <w:sz w:val="22"/>
                <w:szCs w:val="22"/>
                <w:lang w:eastAsia="en-US"/>
              </w:rPr>
            </w:pPr>
            <w:r w:rsidRPr="000110C6">
              <w:rPr>
                <w:rFonts w:eastAsia="Arial" w:cs="Arial"/>
                <w:spacing w:val="-2"/>
                <w:sz w:val="22"/>
                <w:szCs w:val="22"/>
                <w:lang w:eastAsia="en-US"/>
              </w:rPr>
              <w:t xml:space="preserve">Natividad </w:t>
            </w:r>
            <w:r w:rsidRPr="000110C6">
              <w:rPr>
                <w:rFonts w:eastAsia="Arial" w:cs="Arial"/>
                <w:spacing w:val="-4"/>
                <w:sz w:val="22"/>
                <w:szCs w:val="22"/>
                <w:lang w:eastAsia="en-US"/>
              </w:rPr>
              <w:t xml:space="preserve">Creek </w:t>
            </w:r>
            <w:r w:rsidRPr="000110C6">
              <w:rPr>
                <w:rFonts w:eastAsia="Arial" w:cs="Arial"/>
                <w:spacing w:val="-2"/>
                <w:sz w:val="22"/>
                <w:szCs w:val="22"/>
                <w:lang w:eastAsia="en-US"/>
              </w:rPr>
              <w:t>(309NAD)</w:t>
            </w:r>
          </w:p>
        </w:tc>
        <w:tc>
          <w:tcPr>
            <w:tcW w:w="2520" w:type="dxa"/>
            <w:vAlign w:val="center"/>
          </w:tcPr>
          <w:p w:rsidRPr="000110C6" w:rsidR="00C53A4C" w:rsidP="00957FEC" w:rsidRDefault="00C53A4C" w14:paraId="0A1A2879" w14:textId="77777777">
            <w:pPr>
              <w:widowControl w:val="0"/>
              <w:autoSpaceDE w:val="0"/>
              <w:autoSpaceDN w:val="0"/>
              <w:spacing w:before="0" w:after="0" w:line="240" w:lineRule="auto"/>
              <w:ind w:left="8"/>
              <w:jc w:val="center"/>
              <w:rPr>
                <w:rFonts w:eastAsia="Arial" w:cs="Arial"/>
                <w:sz w:val="22"/>
                <w:szCs w:val="22"/>
                <w:lang w:eastAsia="en-US"/>
              </w:rPr>
            </w:pPr>
            <w:r w:rsidRPr="000110C6">
              <w:rPr>
                <w:rFonts w:eastAsia="Arial" w:cs="Arial"/>
                <w:spacing w:val="-5"/>
                <w:sz w:val="22"/>
                <w:szCs w:val="22"/>
                <w:lang w:eastAsia="en-US"/>
              </w:rPr>
              <w:t>12</w:t>
            </w:r>
          </w:p>
        </w:tc>
        <w:tc>
          <w:tcPr>
            <w:tcW w:w="2340" w:type="dxa"/>
            <w:vAlign w:val="center"/>
          </w:tcPr>
          <w:p w:rsidRPr="000110C6" w:rsidR="00C53A4C" w:rsidP="00957FEC" w:rsidRDefault="00C53A4C" w14:paraId="288F72B7"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21</w:t>
            </w:r>
          </w:p>
        </w:tc>
      </w:tr>
      <w:tr w:rsidRPr="008F5C57" w:rsidR="00C53A4C" w:rsidTr="00DF1ADC" w14:paraId="31252AD3" w14:textId="77777777">
        <w:tc>
          <w:tcPr>
            <w:tcW w:w="3510" w:type="dxa"/>
            <w:vAlign w:val="center"/>
          </w:tcPr>
          <w:p w:rsidRPr="000110C6" w:rsidR="00C53A4C" w:rsidP="00957FEC" w:rsidRDefault="00C53A4C" w14:paraId="3D4E54FA" w14:textId="77777777">
            <w:pPr>
              <w:widowControl w:val="0"/>
              <w:autoSpaceDE w:val="0"/>
              <w:autoSpaceDN w:val="0"/>
              <w:spacing w:before="0" w:after="0" w:line="240" w:lineRule="auto"/>
              <w:ind w:left="107"/>
              <w:rPr>
                <w:rFonts w:eastAsia="Arial" w:cs="Arial"/>
                <w:sz w:val="22"/>
                <w:szCs w:val="22"/>
                <w:lang w:eastAsia="en-US"/>
              </w:rPr>
            </w:pPr>
            <w:r w:rsidRPr="000110C6">
              <w:rPr>
                <w:rFonts w:eastAsia="Arial" w:cs="Arial"/>
                <w:spacing w:val="-2"/>
                <w:sz w:val="22"/>
                <w:szCs w:val="22"/>
                <w:lang w:eastAsia="en-US"/>
              </w:rPr>
              <w:t xml:space="preserve">Salinas Reclamation Canal/Alisal </w:t>
            </w:r>
            <w:r w:rsidRPr="000110C6">
              <w:rPr>
                <w:rFonts w:eastAsia="Arial" w:cs="Arial"/>
                <w:spacing w:val="-4"/>
                <w:sz w:val="22"/>
                <w:szCs w:val="22"/>
                <w:lang w:eastAsia="en-US"/>
              </w:rPr>
              <w:t xml:space="preserve">Creek </w:t>
            </w:r>
            <w:r w:rsidRPr="000110C6">
              <w:rPr>
                <w:rFonts w:eastAsia="Arial" w:cs="Arial"/>
                <w:spacing w:val="-2"/>
                <w:sz w:val="22"/>
                <w:szCs w:val="22"/>
                <w:lang w:eastAsia="en-US"/>
              </w:rPr>
              <w:t>(309ALG)</w:t>
            </w:r>
          </w:p>
        </w:tc>
        <w:tc>
          <w:tcPr>
            <w:tcW w:w="2520" w:type="dxa"/>
            <w:vAlign w:val="center"/>
          </w:tcPr>
          <w:p w:rsidRPr="000110C6" w:rsidR="00C53A4C" w:rsidP="00957FEC" w:rsidRDefault="00C53A4C" w14:paraId="34973233" w14:textId="77777777">
            <w:pPr>
              <w:widowControl w:val="0"/>
              <w:autoSpaceDE w:val="0"/>
              <w:autoSpaceDN w:val="0"/>
              <w:spacing w:before="0" w:after="0" w:line="240" w:lineRule="auto"/>
              <w:ind w:left="8"/>
              <w:jc w:val="center"/>
              <w:rPr>
                <w:rFonts w:eastAsia="Arial" w:cs="Arial"/>
                <w:sz w:val="22"/>
                <w:szCs w:val="22"/>
                <w:lang w:eastAsia="en-US"/>
              </w:rPr>
            </w:pPr>
            <w:r w:rsidRPr="000110C6">
              <w:rPr>
                <w:rFonts w:eastAsia="Arial" w:cs="Arial"/>
                <w:spacing w:val="-5"/>
                <w:sz w:val="22"/>
                <w:szCs w:val="22"/>
                <w:lang w:eastAsia="en-US"/>
              </w:rPr>
              <w:t>12</w:t>
            </w:r>
          </w:p>
        </w:tc>
        <w:tc>
          <w:tcPr>
            <w:tcW w:w="2340" w:type="dxa"/>
            <w:vAlign w:val="center"/>
          </w:tcPr>
          <w:p w:rsidRPr="000110C6" w:rsidR="00C53A4C" w:rsidP="00957FEC" w:rsidRDefault="00C53A4C" w14:paraId="276D8F74"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21</w:t>
            </w:r>
          </w:p>
        </w:tc>
      </w:tr>
      <w:tr w:rsidRPr="008F5C57" w:rsidR="00C53A4C" w:rsidTr="00DF1ADC" w14:paraId="1BF4782E" w14:textId="77777777">
        <w:tc>
          <w:tcPr>
            <w:tcW w:w="3510" w:type="dxa"/>
            <w:vAlign w:val="center"/>
          </w:tcPr>
          <w:p w:rsidRPr="000110C6" w:rsidR="00C53A4C" w:rsidP="00957FEC" w:rsidRDefault="00C53A4C" w14:paraId="79E89C08" w14:textId="77777777">
            <w:pPr>
              <w:widowControl w:val="0"/>
              <w:autoSpaceDE w:val="0"/>
              <w:autoSpaceDN w:val="0"/>
              <w:spacing w:before="0" w:after="0" w:line="240" w:lineRule="auto"/>
              <w:ind w:left="107"/>
              <w:rPr>
                <w:rFonts w:eastAsia="Arial" w:cs="Arial"/>
                <w:sz w:val="22"/>
                <w:szCs w:val="22"/>
                <w:lang w:eastAsia="en-US"/>
              </w:rPr>
            </w:pPr>
            <w:r w:rsidRPr="000110C6">
              <w:rPr>
                <w:rFonts w:eastAsia="Arial" w:cs="Arial"/>
                <w:sz w:val="22"/>
                <w:szCs w:val="22"/>
                <w:lang w:eastAsia="en-US"/>
              </w:rPr>
              <w:t>Merritt</w:t>
            </w:r>
            <w:r w:rsidRPr="000110C6">
              <w:rPr>
                <w:rFonts w:eastAsia="Arial" w:cs="Arial"/>
                <w:spacing w:val="-17"/>
                <w:sz w:val="22"/>
                <w:szCs w:val="22"/>
                <w:lang w:eastAsia="en-US"/>
              </w:rPr>
              <w:t xml:space="preserve"> </w:t>
            </w:r>
            <w:r w:rsidRPr="000110C6">
              <w:rPr>
                <w:rFonts w:eastAsia="Arial" w:cs="Arial"/>
                <w:sz w:val="22"/>
                <w:szCs w:val="22"/>
                <w:lang w:eastAsia="en-US"/>
              </w:rPr>
              <w:t xml:space="preserve">Ditch </w:t>
            </w:r>
            <w:r w:rsidRPr="000110C6">
              <w:rPr>
                <w:rFonts w:eastAsia="Arial" w:cs="Arial"/>
                <w:spacing w:val="-2"/>
                <w:sz w:val="22"/>
                <w:szCs w:val="22"/>
                <w:lang w:eastAsia="en-US"/>
              </w:rPr>
              <w:t>(309MER)</w:t>
            </w:r>
          </w:p>
        </w:tc>
        <w:tc>
          <w:tcPr>
            <w:tcW w:w="2520" w:type="dxa"/>
            <w:vAlign w:val="center"/>
          </w:tcPr>
          <w:p w:rsidRPr="000110C6" w:rsidR="00C53A4C" w:rsidP="00957FEC" w:rsidRDefault="00C53A4C" w14:paraId="2A9965A6" w14:textId="77777777">
            <w:pPr>
              <w:widowControl w:val="0"/>
              <w:autoSpaceDE w:val="0"/>
              <w:autoSpaceDN w:val="0"/>
              <w:spacing w:before="0" w:after="0" w:line="240" w:lineRule="auto"/>
              <w:ind w:left="8"/>
              <w:jc w:val="center"/>
              <w:rPr>
                <w:rFonts w:eastAsia="Arial" w:cs="Arial"/>
                <w:sz w:val="22"/>
                <w:szCs w:val="22"/>
                <w:lang w:eastAsia="en-US"/>
              </w:rPr>
            </w:pPr>
            <w:r w:rsidRPr="000110C6">
              <w:rPr>
                <w:rFonts w:eastAsia="Arial" w:cs="Arial"/>
                <w:spacing w:val="-5"/>
                <w:sz w:val="22"/>
                <w:szCs w:val="22"/>
                <w:lang w:eastAsia="en-US"/>
              </w:rPr>
              <w:t>12</w:t>
            </w:r>
          </w:p>
        </w:tc>
        <w:tc>
          <w:tcPr>
            <w:tcW w:w="2340" w:type="dxa"/>
            <w:vAlign w:val="center"/>
          </w:tcPr>
          <w:p w:rsidRPr="000110C6" w:rsidR="00C53A4C" w:rsidP="00957FEC" w:rsidRDefault="00C53A4C" w14:paraId="59DD5AE2"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21</w:t>
            </w:r>
          </w:p>
        </w:tc>
      </w:tr>
      <w:tr w:rsidRPr="008F5C57" w:rsidR="00C53A4C" w:rsidTr="00DF1ADC" w14:paraId="6C60CE20" w14:textId="77777777">
        <w:tc>
          <w:tcPr>
            <w:tcW w:w="3510" w:type="dxa"/>
            <w:vAlign w:val="center"/>
          </w:tcPr>
          <w:p w:rsidRPr="000110C6" w:rsidR="00C53A4C" w:rsidP="00957FEC" w:rsidRDefault="00C53A4C" w14:paraId="0CB33BA7" w14:textId="77777777">
            <w:pPr>
              <w:widowControl w:val="0"/>
              <w:autoSpaceDE w:val="0"/>
              <w:autoSpaceDN w:val="0"/>
              <w:spacing w:before="0" w:after="0" w:line="240" w:lineRule="auto"/>
              <w:ind w:left="107"/>
              <w:rPr>
                <w:rFonts w:eastAsia="Arial" w:cs="Arial"/>
                <w:sz w:val="22"/>
                <w:szCs w:val="22"/>
                <w:lang w:eastAsia="en-US"/>
              </w:rPr>
            </w:pPr>
            <w:r w:rsidRPr="000110C6">
              <w:rPr>
                <w:rFonts w:eastAsia="Arial" w:cs="Arial"/>
                <w:sz w:val="22"/>
                <w:szCs w:val="22"/>
                <w:lang w:eastAsia="en-US"/>
              </w:rPr>
              <w:t>Santa</w:t>
            </w:r>
            <w:r w:rsidRPr="000110C6">
              <w:rPr>
                <w:rFonts w:eastAsia="Arial" w:cs="Arial"/>
                <w:spacing w:val="-17"/>
                <w:sz w:val="22"/>
                <w:szCs w:val="22"/>
                <w:lang w:eastAsia="en-US"/>
              </w:rPr>
              <w:t xml:space="preserve"> </w:t>
            </w:r>
            <w:r w:rsidRPr="000110C6">
              <w:rPr>
                <w:rFonts w:eastAsia="Arial" w:cs="Arial"/>
                <w:sz w:val="22"/>
                <w:szCs w:val="22"/>
                <w:lang w:eastAsia="en-US"/>
              </w:rPr>
              <w:t xml:space="preserve">Rita </w:t>
            </w:r>
            <w:r w:rsidRPr="000110C6">
              <w:rPr>
                <w:rFonts w:eastAsia="Arial" w:cs="Arial"/>
                <w:spacing w:val="-4"/>
                <w:sz w:val="22"/>
                <w:szCs w:val="22"/>
                <w:lang w:eastAsia="en-US"/>
              </w:rPr>
              <w:t xml:space="preserve">Creek </w:t>
            </w:r>
            <w:r w:rsidRPr="000110C6">
              <w:rPr>
                <w:rFonts w:eastAsia="Arial" w:cs="Arial"/>
                <w:spacing w:val="-2"/>
                <w:sz w:val="22"/>
                <w:szCs w:val="22"/>
                <w:lang w:eastAsia="en-US"/>
              </w:rPr>
              <w:t>(309RTA)</w:t>
            </w:r>
          </w:p>
        </w:tc>
        <w:tc>
          <w:tcPr>
            <w:tcW w:w="2520" w:type="dxa"/>
            <w:vAlign w:val="center"/>
          </w:tcPr>
          <w:p w:rsidRPr="000110C6" w:rsidR="00C53A4C" w:rsidP="00957FEC" w:rsidRDefault="00C53A4C" w14:paraId="037E9B91" w14:textId="77777777">
            <w:pPr>
              <w:widowControl w:val="0"/>
              <w:autoSpaceDE w:val="0"/>
              <w:autoSpaceDN w:val="0"/>
              <w:spacing w:before="0" w:after="0" w:line="240" w:lineRule="auto"/>
              <w:ind w:left="8"/>
              <w:jc w:val="center"/>
              <w:rPr>
                <w:rFonts w:eastAsia="Arial" w:cs="Arial"/>
                <w:sz w:val="22"/>
                <w:szCs w:val="22"/>
                <w:lang w:eastAsia="en-US"/>
              </w:rPr>
            </w:pPr>
            <w:r w:rsidRPr="000110C6">
              <w:rPr>
                <w:rFonts w:eastAsia="Arial" w:cs="Arial"/>
                <w:spacing w:val="-5"/>
                <w:sz w:val="22"/>
                <w:szCs w:val="22"/>
                <w:lang w:eastAsia="en-US"/>
              </w:rPr>
              <w:t>12</w:t>
            </w:r>
          </w:p>
        </w:tc>
        <w:tc>
          <w:tcPr>
            <w:tcW w:w="2340" w:type="dxa"/>
            <w:vAlign w:val="center"/>
          </w:tcPr>
          <w:p w:rsidRPr="000110C6" w:rsidR="00C53A4C" w:rsidP="00957FEC" w:rsidRDefault="00C53A4C" w14:paraId="2B22AD58"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21</w:t>
            </w:r>
          </w:p>
        </w:tc>
      </w:tr>
      <w:tr w:rsidRPr="008F5C57" w:rsidR="00C53A4C" w:rsidTr="00DF1ADC" w14:paraId="1DFEE292" w14:textId="77777777">
        <w:tc>
          <w:tcPr>
            <w:tcW w:w="3510" w:type="dxa"/>
            <w:vAlign w:val="center"/>
          </w:tcPr>
          <w:p w:rsidRPr="000110C6" w:rsidR="00C53A4C" w:rsidP="00957FEC" w:rsidRDefault="00C53A4C" w14:paraId="58D09490" w14:textId="77777777">
            <w:pPr>
              <w:widowControl w:val="0"/>
              <w:autoSpaceDE w:val="0"/>
              <w:autoSpaceDN w:val="0"/>
              <w:spacing w:before="0" w:after="0" w:line="240" w:lineRule="auto"/>
              <w:ind w:left="107"/>
              <w:rPr>
                <w:rFonts w:eastAsia="Arial" w:cs="Arial"/>
                <w:sz w:val="22"/>
                <w:szCs w:val="22"/>
                <w:lang w:eastAsia="en-US"/>
              </w:rPr>
            </w:pPr>
            <w:r w:rsidRPr="000110C6">
              <w:rPr>
                <w:rFonts w:eastAsia="Arial" w:cs="Arial"/>
                <w:spacing w:val="-2"/>
                <w:sz w:val="22"/>
                <w:szCs w:val="22"/>
                <w:lang w:eastAsia="en-US"/>
              </w:rPr>
              <w:t xml:space="preserve">Salinas Reclamation </w:t>
            </w:r>
            <w:r w:rsidRPr="000110C6">
              <w:rPr>
                <w:rFonts w:eastAsia="Arial" w:cs="Arial"/>
                <w:spacing w:val="-4"/>
                <w:sz w:val="22"/>
                <w:szCs w:val="22"/>
                <w:lang w:eastAsia="en-US"/>
              </w:rPr>
              <w:t xml:space="preserve">Canal </w:t>
            </w:r>
            <w:r w:rsidRPr="000110C6">
              <w:rPr>
                <w:rFonts w:eastAsia="Arial" w:cs="Arial"/>
                <w:spacing w:val="-2"/>
                <w:sz w:val="22"/>
                <w:szCs w:val="22"/>
                <w:lang w:eastAsia="en-US"/>
              </w:rPr>
              <w:t>(309JON)</w:t>
            </w:r>
          </w:p>
        </w:tc>
        <w:tc>
          <w:tcPr>
            <w:tcW w:w="2520" w:type="dxa"/>
            <w:vAlign w:val="center"/>
          </w:tcPr>
          <w:p w:rsidRPr="000110C6" w:rsidR="00C53A4C" w:rsidP="00957FEC" w:rsidRDefault="00C53A4C" w14:paraId="773364A1" w14:textId="77777777">
            <w:pPr>
              <w:widowControl w:val="0"/>
              <w:autoSpaceDE w:val="0"/>
              <w:autoSpaceDN w:val="0"/>
              <w:spacing w:before="0" w:after="0" w:line="240" w:lineRule="auto"/>
              <w:ind w:left="8"/>
              <w:jc w:val="center"/>
              <w:rPr>
                <w:rFonts w:eastAsia="Arial" w:cs="Arial"/>
                <w:sz w:val="22"/>
                <w:szCs w:val="22"/>
                <w:lang w:eastAsia="en-US"/>
              </w:rPr>
            </w:pPr>
            <w:r w:rsidRPr="000110C6">
              <w:rPr>
                <w:rFonts w:eastAsia="Arial" w:cs="Arial"/>
                <w:spacing w:val="-5"/>
                <w:sz w:val="22"/>
                <w:szCs w:val="22"/>
                <w:lang w:eastAsia="en-US"/>
              </w:rPr>
              <w:t>12</w:t>
            </w:r>
          </w:p>
        </w:tc>
        <w:tc>
          <w:tcPr>
            <w:tcW w:w="2340" w:type="dxa"/>
            <w:vAlign w:val="center"/>
          </w:tcPr>
          <w:p w:rsidRPr="000110C6" w:rsidR="00C53A4C" w:rsidP="00957FEC" w:rsidRDefault="00C53A4C" w14:paraId="09A870DF" w14:textId="77777777">
            <w:pPr>
              <w:widowControl w:val="0"/>
              <w:autoSpaceDE w:val="0"/>
              <w:autoSpaceDN w:val="0"/>
              <w:spacing w:before="0" w:after="0" w:line="240" w:lineRule="auto"/>
              <w:ind w:left="10"/>
              <w:jc w:val="center"/>
              <w:rPr>
                <w:rFonts w:eastAsia="Arial" w:cs="Arial"/>
                <w:sz w:val="22"/>
                <w:szCs w:val="22"/>
                <w:lang w:eastAsia="en-US"/>
              </w:rPr>
            </w:pPr>
            <w:r w:rsidRPr="000110C6">
              <w:rPr>
                <w:rFonts w:eastAsia="Arial" w:cs="Arial"/>
                <w:spacing w:val="-5"/>
                <w:sz w:val="22"/>
                <w:szCs w:val="22"/>
                <w:lang w:eastAsia="en-US"/>
              </w:rPr>
              <w:t>21</w:t>
            </w:r>
          </w:p>
        </w:tc>
      </w:tr>
      <w:tr w:rsidRPr="008F5C57" w:rsidR="00C53A4C" w:rsidTr="00DF1ADC" w14:paraId="5E27CBB7" w14:textId="77777777">
        <w:tc>
          <w:tcPr>
            <w:tcW w:w="351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5646C06C"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Espinosa Slough (309ESP)</w:t>
            </w:r>
          </w:p>
        </w:tc>
        <w:tc>
          <w:tcPr>
            <w:tcW w:w="252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58F0A4A3" w14:textId="77777777">
            <w:pPr>
              <w:widowControl w:val="0"/>
              <w:autoSpaceDE w:val="0"/>
              <w:autoSpaceDN w:val="0"/>
              <w:spacing w:before="0" w:after="0" w:line="240" w:lineRule="auto"/>
              <w:ind w:left="8"/>
              <w:jc w:val="center"/>
              <w:rPr>
                <w:rFonts w:eastAsia="Arial" w:cs="Arial"/>
                <w:spacing w:val="-5"/>
                <w:sz w:val="22"/>
                <w:szCs w:val="22"/>
                <w:lang w:eastAsia="en-US"/>
              </w:rPr>
            </w:pPr>
            <w:r w:rsidRPr="000110C6">
              <w:rPr>
                <w:rFonts w:eastAsia="Arial" w:cs="Arial"/>
                <w:spacing w:val="-5"/>
                <w:sz w:val="22"/>
                <w:szCs w:val="22"/>
                <w:lang w:eastAsia="en-US"/>
              </w:rPr>
              <w:t>12</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22E8F5BB"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21</w:t>
            </w:r>
          </w:p>
        </w:tc>
      </w:tr>
      <w:tr w:rsidRPr="008F5C57" w:rsidR="00C53A4C" w:rsidTr="00DF1ADC" w14:paraId="396FF02E" w14:textId="77777777">
        <w:tc>
          <w:tcPr>
            <w:tcW w:w="351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37BF21F1"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Alisal Slough (309ASB)</w:t>
            </w:r>
          </w:p>
        </w:tc>
        <w:tc>
          <w:tcPr>
            <w:tcW w:w="252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4F8613A8" w14:textId="77777777">
            <w:pPr>
              <w:widowControl w:val="0"/>
              <w:autoSpaceDE w:val="0"/>
              <w:autoSpaceDN w:val="0"/>
              <w:spacing w:before="0" w:after="0" w:line="240" w:lineRule="auto"/>
              <w:ind w:left="8"/>
              <w:jc w:val="center"/>
              <w:rPr>
                <w:rFonts w:eastAsia="Arial" w:cs="Arial"/>
                <w:spacing w:val="-5"/>
                <w:sz w:val="22"/>
                <w:szCs w:val="22"/>
                <w:lang w:eastAsia="en-US"/>
              </w:rPr>
            </w:pPr>
            <w:r w:rsidRPr="000110C6">
              <w:rPr>
                <w:rFonts w:eastAsia="Arial" w:cs="Arial"/>
                <w:spacing w:val="-5"/>
                <w:sz w:val="22"/>
                <w:szCs w:val="22"/>
                <w:lang w:eastAsia="en-US"/>
              </w:rPr>
              <w:t>12</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65AD0399"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21</w:t>
            </w:r>
          </w:p>
        </w:tc>
      </w:tr>
      <w:tr w:rsidRPr="008F5C57" w:rsidR="00C53A4C" w:rsidTr="00DF1ADC" w14:paraId="3CC96566" w14:textId="77777777">
        <w:tc>
          <w:tcPr>
            <w:tcW w:w="351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165DE842"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Tembladero Slough (309TEH)</w:t>
            </w:r>
          </w:p>
        </w:tc>
        <w:tc>
          <w:tcPr>
            <w:tcW w:w="252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4D8DBB52" w14:textId="77777777">
            <w:pPr>
              <w:widowControl w:val="0"/>
              <w:autoSpaceDE w:val="0"/>
              <w:autoSpaceDN w:val="0"/>
              <w:spacing w:before="0" w:after="0" w:line="240" w:lineRule="auto"/>
              <w:ind w:left="8"/>
              <w:jc w:val="center"/>
              <w:rPr>
                <w:rFonts w:eastAsia="Arial" w:cs="Arial"/>
                <w:spacing w:val="-5"/>
                <w:sz w:val="22"/>
                <w:szCs w:val="22"/>
                <w:lang w:eastAsia="en-US"/>
              </w:rPr>
            </w:pPr>
            <w:r w:rsidRPr="000110C6">
              <w:rPr>
                <w:rFonts w:eastAsia="Arial" w:cs="Arial"/>
                <w:spacing w:val="-5"/>
                <w:sz w:val="22"/>
                <w:szCs w:val="22"/>
                <w:lang w:eastAsia="en-US"/>
              </w:rPr>
              <w:t>12</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51581FD1"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21</w:t>
            </w:r>
          </w:p>
        </w:tc>
      </w:tr>
      <w:tr w:rsidRPr="008F5C57" w:rsidR="00C53A4C" w:rsidTr="00DF1ADC" w14:paraId="68304614" w14:textId="77777777">
        <w:tc>
          <w:tcPr>
            <w:tcW w:w="351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1543D70B"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Tembladero Slough (309TEM)</w:t>
            </w:r>
          </w:p>
        </w:tc>
        <w:tc>
          <w:tcPr>
            <w:tcW w:w="252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2A4F6F97" w14:textId="77777777">
            <w:pPr>
              <w:widowControl w:val="0"/>
              <w:autoSpaceDE w:val="0"/>
              <w:autoSpaceDN w:val="0"/>
              <w:spacing w:before="0" w:after="0" w:line="240" w:lineRule="auto"/>
              <w:ind w:left="8"/>
              <w:jc w:val="center"/>
              <w:rPr>
                <w:rFonts w:eastAsia="Arial" w:cs="Arial"/>
                <w:spacing w:val="-5"/>
                <w:sz w:val="22"/>
                <w:szCs w:val="22"/>
                <w:lang w:eastAsia="en-US"/>
              </w:rPr>
            </w:pPr>
            <w:r w:rsidRPr="000110C6">
              <w:rPr>
                <w:rFonts w:eastAsia="Arial" w:cs="Arial"/>
                <w:spacing w:val="-5"/>
                <w:sz w:val="22"/>
                <w:szCs w:val="22"/>
                <w:lang w:eastAsia="en-US"/>
              </w:rPr>
              <w:t>12</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4478C527"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21</w:t>
            </w:r>
          </w:p>
        </w:tc>
      </w:tr>
      <w:tr w:rsidRPr="008F5C57" w:rsidR="00C53A4C" w:rsidTr="00DF1ADC" w14:paraId="14A8B683" w14:textId="77777777">
        <w:tc>
          <w:tcPr>
            <w:tcW w:w="351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1EFD5019"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Tembladero Slough (309TDW)</w:t>
            </w:r>
          </w:p>
          <w:p w:rsidRPr="000110C6" w:rsidR="00C53A4C" w:rsidP="00957FEC" w:rsidRDefault="00C53A4C" w14:paraId="76F698F5"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(brackish)</w:t>
            </w:r>
          </w:p>
        </w:tc>
        <w:tc>
          <w:tcPr>
            <w:tcW w:w="252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68FF0CF7" w14:textId="77777777">
            <w:pPr>
              <w:widowControl w:val="0"/>
              <w:autoSpaceDE w:val="0"/>
              <w:autoSpaceDN w:val="0"/>
              <w:spacing w:before="0" w:after="0" w:line="240" w:lineRule="auto"/>
              <w:ind w:left="8"/>
              <w:jc w:val="center"/>
              <w:rPr>
                <w:rFonts w:eastAsia="Arial" w:cs="Arial"/>
                <w:spacing w:val="-5"/>
                <w:sz w:val="22"/>
                <w:szCs w:val="22"/>
                <w:lang w:eastAsia="en-US"/>
              </w:rPr>
            </w:pPr>
            <w:r w:rsidRPr="000110C6">
              <w:rPr>
                <w:rFonts w:eastAsia="Arial" w:cs="Arial"/>
                <w:spacing w:val="-5"/>
                <w:sz w:val="22"/>
                <w:szCs w:val="22"/>
                <w:lang w:eastAsia="en-US"/>
              </w:rPr>
              <w:t>29</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1BA1438A"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36</w:t>
            </w:r>
          </w:p>
        </w:tc>
      </w:tr>
      <w:tr w:rsidRPr="008F5C57" w:rsidR="00C53A4C" w:rsidTr="00DF1ADC" w14:paraId="31088C5B" w14:textId="77777777">
        <w:tc>
          <w:tcPr>
            <w:tcW w:w="351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276E8DF7"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Old Salinas River (309OLD)</w:t>
            </w:r>
          </w:p>
          <w:p w:rsidRPr="000110C6" w:rsidR="00C53A4C" w:rsidP="00957FEC" w:rsidRDefault="00C53A4C" w14:paraId="5749166B" w14:textId="77777777">
            <w:pPr>
              <w:widowControl w:val="0"/>
              <w:autoSpaceDE w:val="0"/>
              <w:autoSpaceDN w:val="0"/>
              <w:spacing w:before="0" w:after="0" w:line="240" w:lineRule="auto"/>
              <w:ind w:left="107"/>
              <w:rPr>
                <w:rFonts w:eastAsia="Arial" w:cs="Arial"/>
                <w:spacing w:val="-2"/>
                <w:sz w:val="22"/>
                <w:szCs w:val="22"/>
                <w:lang w:eastAsia="en-US"/>
              </w:rPr>
            </w:pPr>
            <w:r w:rsidRPr="000110C6">
              <w:rPr>
                <w:rFonts w:eastAsia="Arial" w:cs="Arial"/>
                <w:spacing w:val="-2"/>
                <w:sz w:val="22"/>
                <w:szCs w:val="22"/>
                <w:lang w:eastAsia="en-US"/>
              </w:rPr>
              <w:t>(brackish)</w:t>
            </w:r>
          </w:p>
        </w:tc>
        <w:tc>
          <w:tcPr>
            <w:tcW w:w="252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0FFA1C0D" w14:textId="77777777">
            <w:pPr>
              <w:widowControl w:val="0"/>
              <w:autoSpaceDE w:val="0"/>
              <w:autoSpaceDN w:val="0"/>
              <w:spacing w:before="0" w:after="0" w:line="240" w:lineRule="auto"/>
              <w:ind w:left="8"/>
              <w:jc w:val="center"/>
              <w:rPr>
                <w:rFonts w:eastAsia="Arial" w:cs="Arial"/>
                <w:spacing w:val="-5"/>
                <w:sz w:val="22"/>
                <w:szCs w:val="22"/>
                <w:lang w:eastAsia="en-US"/>
              </w:rPr>
            </w:pPr>
            <w:r w:rsidRPr="000110C6">
              <w:rPr>
                <w:rFonts w:eastAsia="Arial" w:cs="Arial"/>
                <w:spacing w:val="-5"/>
                <w:sz w:val="22"/>
                <w:szCs w:val="22"/>
                <w:lang w:eastAsia="en-US"/>
              </w:rPr>
              <w:t>29</w:t>
            </w:r>
          </w:p>
        </w:tc>
        <w:tc>
          <w:tcPr>
            <w:tcW w:w="2340" w:type="dxa"/>
            <w:tcBorders>
              <w:top w:val="single" w:color="000000" w:sz="4" w:space="0"/>
              <w:left w:val="single" w:color="000000" w:sz="4" w:space="0"/>
              <w:bottom w:val="single" w:color="000000" w:sz="4" w:space="0"/>
              <w:right w:val="single" w:color="000000" w:sz="4" w:space="0"/>
            </w:tcBorders>
            <w:vAlign w:val="center"/>
          </w:tcPr>
          <w:p w:rsidRPr="000110C6" w:rsidR="00C53A4C" w:rsidP="00957FEC" w:rsidRDefault="00C53A4C" w14:paraId="0912CB29" w14:textId="77777777">
            <w:pPr>
              <w:widowControl w:val="0"/>
              <w:autoSpaceDE w:val="0"/>
              <w:autoSpaceDN w:val="0"/>
              <w:spacing w:before="0" w:after="0" w:line="240" w:lineRule="auto"/>
              <w:ind w:left="10"/>
              <w:jc w:val="center"/>
              <w:rPr>
                <w:rFonts w:eastAsia="Arial" w:cs="Arial"/>
                <w:spacing w:val="-5"/>
                <w:sz w:val="22"/>
                <w:szCs w:val="22"/>
                <w:lang w:eastAsia="en-US"/>
              </w:rPr>
            </w:pPr>
            <w:r w:rsidRPr="000110C6">
              <w:rPr>
                <w:rFonts w:eastAsia="Arial" w:cs="Arial"/>
                <w:spacing w:val="-5"/>
                <w:sz w:val="22"/>
                <w:szCs w:val="22"/>
                <w:lang w:eastAsia="en-US"/>
              </w:rPr>
              <w:t>36</w:t>
            </w:r>
          </w:p>
        </w:tc>
      </w:tr>
    </w:tbl>
    <w:p w:rsidRPr="00957FEC" w:rsidR="007019B1" w:rsidP="00A46FE5" w:rsidRDefault="007019B1" w14:paraId="63E16EF7" w14:textId="65E49213">
      <w:pPr>
        <w:spacing w:after="0" w:line="240" w:lineRule="auto"/>
        <w:ind w:left="900"/>
        <w:rPr>
          <w:rFonts w:cs="Arial"/>
          <w:b/>
          <w:bCs/>
        </w:rPr>
      </w:pPr>
      <w:r w:rsidRPr="00957FEC">
        <w:rPr>
          <w:b/>
          <w:bCs/>
        </w:rPr>
        <w:t xml:space="preserve">Gabilan Creek </w:t>
      </w:r>
      <w:r w:rsidR="00A46FE5">
        <w:rPr>
          <w:b/>
          <w:bCs/>
        </w:rPr>
        <w:t>Final Turbidity</w:t>
      </w:r>
      <w:r w:rsidRPr="00957FEC">
        <w:rPr>
          <w:b/>
          <w:bCs/>
        </w:rPr>
        <w:t xml:space="preserve"> Wasteload Allocations, </w:t>
      </w:r>
      <w:r w:rsidR="00A46FE5">
        <w:rPr>
          <w:b/>
          <w:bCs/>
        </w:rPr>
        <w:t xml:space="preserve">Attainment by </w:t>
      </w:r>
      <w:r w:rsidRPr="00957FEC">
        <w:rPr>
          <w:b/>
          <w:bCs/>
        </w:rPr>
        <w:t xml:space="preserve">December 8, </w:t>
      </w:r>
      <w:r w:rsidRPr="008A4727" w:rsidR="008A4727">
        <w:rPr>
          <w:b/>
          <w:bCs/>
        </w:rPr>
        <w:t>2042</w:t>
      </w:r>
    </w:p>
    <w:tbl>
      <w:tblPr>
        <w:tblW w:w="8370" w:type="dxa"/>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40"/>
        <w:gridCol w:w="1530"/>
        <w:gridCol w:w="1620"/>
        <w:gridCol w:w="1980"/>
      </w:tblGrid>
      <w:tr w:rsidRPr="00246C2B" w:rsidR="005A4130" w:rsidTr="009C13EF" w14:paraId="1C750438" w14:textId="77777777">
        <w:trPr>
          <w:tblHeader/>
        </w:trPr>
        <w:tc>
          <w:tcPr>
            <w:tcW w:w="324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5A4130" w:rsidR="005A4130" w:rsidP="00246C2B" w:rsidRDefault="005A4130" w14:paraId="56CFEAEA" w14:textId="77777777">
            <w:pPr>
              <w:widowControl w:val="0"/>
              <w:autoSpaceDE w:val="0"/>
              <w:autoSpaceDN w:val="0"/>
              <w:spacing w:before="0" w:after="0" w:line="240" w:lineRule="auto"/>
              <w:ind w:left="107"/>
              <w:jc w:val="center"/>
              <w:rPr>
                <w:rFonts w:eastAsia="Arial" w:cs="Arial"/>
                <w:bCs/>
                <w:sz w:val="22"/>
                <w:szCs w:val="22"/>
                <w:lang w:eastAsia="en-US"/>
              </w:rPr>
            </w:pPr>
            <w:r w:rsidRPr="005A4130">
              <w:rPr>
                <w:rFonts w:eastAsia="Arial" w:cs="Arial"/>
                <w:bCs/>
                <w:spacing w:val="-2"/>
                <w:sz w:val="22"/>
                <w:szCs w:val="22"/>
                <w:lang w:eastAsia="en-US"/>
              </w:rPr>
              <w:t>Waterbody</w:t>
            </w:r>
          </w:p>
          <w:p w:rsidRPr="005A4130" w:rsidR="005A4130" w:rsidP="00246C2B" w:rsidRDefault="005A4130" w14:paraId="0173EF19" w14:textId="77777777">
            <w:pPr>
              <w:widowControl w:val="0"/>
              <w:autoSpaceDE w:val="0"/>
              <w:autoSpaceDN w:val="0"/>
              <w:spacing w:before="0" w:after="0" w:line="240" w:lineRule="auto"/>
              <w:ind w:left="107"/>
              <w:jc w:val="center"/>
              <w:rPr>
                <w:rFonts w:eastAsia="Arial" w:cs="Arial"/>
                <w:sz w:val="22"/>
                <w:szCs w:val="22"/>
                <w:lang w:eastAsia="en-US"/>
              </w:rPr>
            </w:pPr>
            <w:r w:rsidRPr="005A4130">
              <w:rPr>
                <w:rFonts w:eastAsia="Arial" w:cs="Arial"/>
                <w:sz w:val="22"/>
                <w:szCs w:val="22"/>
                <w:lang w:eastAsia="en-US"/>
              </w:rPr>
              <w:t>(Site</w:t>
            </w:r>
            <w:r w:rsidRPr="005A4130">
              <w:rPr>
                <w:rFonts w:eastAsia="Arial" w:cs="Arial"/>
                <w:spacing w:val="-2"/>
                <w:sz w:val="22"/>
                <w:szCs w:val="22"/>
                <w:lang w:eastAsia="en-US"/>
              </w:rPr>
              <w:t xml:space="preserve"> Number)</w:t>
            </w:r>
          </w:p>
        </w:tc>
        <w:tc>
          <w:tcPr>
            <w:tcW w:w="153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5A4130" w:rsidR="005A4130" w:rsidP="00246C2B" w:rsidRDefault="005A4130" w14:paraId="57A84E9F" w14:textId="06371B6C">
            <w:pPr>
              <w:widowControl w:val="0"/>
              <w:autoSpaceDE w:val="0"/>
              <w:autoSpaceDN w:val="0"/>
              <w:spacing w:before="0" w:after="0" w:line="240" w:lineRule="auto"/>
              <w:ind w:left="133" w:right="121"/>
              <w:jc w:val="center"/>
              <w:rPr>
                <w:rFonts w:eastAsia="Arial" w:cs="Arial"/>
                <w:sz w:val="22"/>
                <w:szCs w:val="22"/>
                <w:lang w:eastAsia="en-US"/>
              </w:rPr>
            </w:pPr>
            <w:r w:rsidRPr="005A4130">
              <w:rPr>
                <w:rFonts w:eastAsia="Arial" w:cs="Arial"/>
                <w:spacing w:val="-2"/>
                <w:sz w:val="22"/>
                <w:szCs w:val="22"/>
                <w:lang w:eastAsia="en-US"/>
              </w:rPr>
              <w:t xml:space="preserve">Final Wasteload Allocation </w:t>
            </w:r>
            <w:r w:rsidR="009B222B">
              <w:rPr>
                <w:rFonts w:eastAsia="Arial" w:cs="Arial"/>
                <w:spacing w:val="-2"/>
                <w:sz w:val="22"/>
                <w:szCs w:val="22"/>
                <w:lang w:eastAsia="en-US"/>
              </w:rPr>
              <w:br/>
            </w:r>
            <w:r w:rsidRPr="005A4130">
              <w:rPr>
                <w:rFonts w:eastAsia="Arial" w:cs="Arial"/>
                <w:spacing w:val="-4"/>
                <w:sz w:val="22"/>
                <w:szCs w:val="22"/>
                <w:lang w:eastAsia="en-US"/>
              </w:rPr>
              <w:t xml:space="preserve">Dry </w:t>
            </w:r>
            <w:r w:rsidRPr="005A4130">
              <w:rPr>
                <w:rFonts w:eastAsia="Arial" w:cs="Arial"/>
                <w:spacing w:val="-2"/>
                <w:sz w:val="22"/>
                <w:szCs w:val="22"/>
                <w:lang w:eastAsia="en-US"/>
              </w:rPr>
              <w:t>Season (NTU)</w:t>
            </w:r>
          </w:p>
        </w:tc>
        <w:tc>
          <w:tcPr>
            <w:tcW w:w="162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5A4130" w:rsidR="005A4130" w:rsidP="00246C2B" w:rsidRDefault="005A4130" w14:paraId="6EDD20F9" w14:textId="0B23A414">
            <w:pPr>
              <w:widowControl w:val="0"/>
              <w:autoSpaceDE w:val="0"/>
              <w:autoSpaceDN w:val="0"/>
              <w:spacing w:before="0" w:after="0" w:line="240" w:lineRule="auto"/>
              <w:ind w:left="176" w:right="165"/>
              <w:jc w:val="center"/>
              <w:rPr>
                <w:rFonts w:eastAsia="Arial" w:cs="Arial"/>
                <w:sz w:val="22"/>
                <w:szCs w:val="22"/>
                <w:lang w:eastAsia="en-US"/>
              </w:rPr>
            </w:pPr>
            <w:r w:rsidRPr="005A4130">
              <w:rPr>
                <w:rFonts w:eastAsia="Arial" w:cs="Arial"/>
                <w:spacing w:val="-2"/>
                <w:sz w:val="22"/>
                <w:szCs w:val="22"/>
                <w:lang w:eastAsia="en-US"/>
              </w:rPr>
              <w:t xml:space="preserve">Final Wasteload Allocation </w:t>
            </w:r>
            <w:r w:rsidR="009B222B">
              <w:rPr>
                <w:rFonts w:eastAsia="Arial" w:cs="Arial"/>
                <w:spacing w:val="-2"/>
                <w:sz w:val="22"/>
                <w:szCs w:val="22"/>
                <w:lang w:eastAsia="en-US"/>
              </w:rPr>
              <w:br/>
            </w:r>
            <w:r w:rsidRPr="005A4130">
              <w:rPr>
                <w:rFonts w:eastAsia="Arial" w:cs="Arial"/>
                <w:spacing w:val="-4"/>
                <w:sz w:val="22"/>
                <w:szCs w:val="22"/>
                <w:lang w:eastAsia="en-US"/>
              </w:rPr>
              <w:t xml:space="preserve">Wet </w:t>
            </w:r>
            <w:r w:rsidRPr="005A4130">
              <w:rPr>
                <w:rFonts w:eastAsia="Arial" w:cs="Arial"/>
                <w:spacing w:val="-2"/>
                <w:sz w:val="22"/>
                <w:szCs w:val="22"/>
                <w:lang w:eastAsia="en-US"/>
              </w:rPr>
              <w:t>Season (NTU)</w:t>
            </w:r>
          </w:p>
        </w:tc>
        <w:tc>
          <w:tcPr>
            <w:tcW w:w="1980" w:type="dxa"/>
            <w:tcBorders>
              <w:top w:val="single" w:color="000000" w:sz="2" w:space="0"/>
              <w:left w:val="single" w:color="000000" w:sz="2" w:space="0"/>
              <w:bottom w:val="single" w:color="000000" w:sz="2" w:space="0"/>
              <w:right w:val="single" w:color="000000" w:sz="2" w:space="0"/>
            </w:tcBorders>
            <w:shd w:val="clear" w:color="auto" w:fill="D6E3BC" w:themeFill="accent3" w:themeFillTint="66"/>
            <w:vAlign w:val="center"/>
          </w:tcPr>
          <w:p w:rsidRPr="005A4130" w:rsidR="005A4130" w:rsidP="00246C2B" w:rsidRDefault="005A4130" w14:paraId="3446D563" w14:textId="715A3C53">
            <w:pPr>
              <w:widowControl w:val="0"/>
              <w:autoSpaceDE w:val="0"/>
              <w:autoSpaceDN w:val="0"/>
              <w:spacing w:before="0" w:after="0" w:line="240" w:lineRule="auto"/>
              <w:ind w:left="231" w:right="219"/>
              <w:jc w:val="center"/>
              <w:rPr>
                <w:rFonts w:eastAsia="Arial" w:cs="Arial"/>
                <w:sz w:val="22"/>
                <w:szCs w:val="22"/>
                <w:lang w:eastAsia="en-US"/>
              </w:rPr>
            </w:pPr>
            <w:r w:rsidRPr="005A4130">
              <w:rPr>
                <w:rFonts w:eastAsia="Arial" w:cs="Arial"/>
                <w:spacing w:val="-2"/>
                <w:sz w:val="22"/>
                <w:szCs w:val="22"/>
                <w:lang w:eastAsia="en-US"/>
              </w:rPr>
              <w:t xml:space="preserve">Final Wasteload Allocation </w:t>
            </w:r>
            <w:r w:rsidR="009B222B">
              <w:rPr>
                <w:rFonts w:eastAsia="Arial" w:cs="Arial"/>
                <w:spacing w:val="-2"/>
                <w:sz w:val="22"/>
                <w:szCs w:val="22"/>
                <w:lang w:eastAsia="en-US"/>
              </w:rPr>
              <w:br/>
            </w:r>
            <w:r w:rsidRPr="005A4130">
              <w:rPr>
                <w:rFonts w:eastAsia="Arial" w:cs="Arial"/>
                <w:spacing w:val="-2"/>
                <w:sz w:val="22"/>
                <w:szCs w:val="22"/>
                <w:lang w:eastAsia="en-US"/>
              </w:rPr>
              <w:t>Year- Round (NTU)</w:t>
            </w:r>
          </w:p>
        </w:tc>
      </w:tr>
      <w:tr w:rsidRPr="00246C2B" w:rsidR="000A4576" w:rsidTr="009C13EF" w14:paraId="64FBE36E" w14:textId="77777777">
        <w:tc>
          <w:tcPr>
            <w:tcW w:w="3240" w:type="dxa"/>
            <w:tcBorders>
              <w:top w:val="single" w:color="000000" w:sz="2" w:space="0"/>
            </w:tcBorders>
            <w:vAlign w:val="center"/>
          </w:tcPr>
          <w:p w:rsidRPr="005A4130" w:rsidR="005A4130" w:rsidP="00246C2B" w:rsidRDefault="005A4130" w14:paraId="502F963C" w14:textId="77777777">
            <w:pPr>
              <w:widowControl w:val="0"/>
              <w:autoSpaceDE w:val="0"/>
              <w:autoSpaceDN w:val="0"/>
              <w:spacing w:before="0" w:after="0" w:line="240" w:lineRule="auto"/>
              <w:ind w:left="107" w:right="161"/>
              <w:rPr>
                <w:rFonts w:eastAsia="Arial" w:cs="Arial"/>
                <w:sz w:val="22"/>
                <w:szCs w:val="22"/>
                <w:lang w:eastAsia="en-US"/>
              </w:rPr>
            </w:pPr>
            <w:r w:rsidRPr="005A4130">
              <w:rPr>
                <w:rFonts w:eastAsia="Arial" w:cs="Arial"/>
                <w:spacing w:val="-2"/>
                <w:sz w:val="22"/>
                <w:szCs w:val="22"/>
                <w:lang w:eastAsia="en-US"/>
              </w:rPr>
              <w:t xml:space="preserve">Upper Gabilan Creek, headwaters </w:t>
            </w:r>
            <w:r w:rsidRPr="005A4130">
              <w:rPr>
                <w:rFonts w:eastAsia="Arial" w:cs="Arial"/>
                <w:sz w:val="22"/>
                <w:szCs w:val="22"/>
                <w:lang w:eastAsia="en-US"/>
              </w:rPr>
              <w:t>above Old Stage</w:t>
            </w:r>
            <w:r w:rsidRPr="005A4130">
              <w:rPr>
                <w:rFonts w:eastAsia="Arial" w:cs="Arial"/>
                <w:spacing w:val="-17"/>
                <w:sz w:val="22"/>
                <w:szCs w:val="22"/>
                <w:lang w:eastAsia="en-US"/>
              </w:rPr>
              <w:t xml:space="preserve"> </w:t>
            </w:r>
            <w:r w:rsidRPr="005A4130">
              <w:rPr>
                <w:rFonts w:eastAsia="Arial" w:cs="Arial"/>
                <w:sz w:val="22"/>
                <w:szCs w:val="22"/>
                <w:lang w:eastAsia="en-US"/>
              </w:rPr>
              <w:t>Road</w:t>
            </w:r>
          </w:p>
        </w:tc>
        <w:tc>
          <w:tcPr>
            <w:tcW w:w="1530" w:type="dxa"/>
            <w:tcBorders>
              <w:top w:val="single" w:color="000000" w:sz="2" w:space="0"/>
            </w:tcBorders>
            <w:vAlign w:val="center"/>
          </w:tcPr>
          <w:p w:rsidRPr="005A4130" w:rsidR="005A4130" w:rsidP="00246C2B" w:rsidRDefault="005A4130" w14:paraId="4CA356FC" w14:textId="77777777">
            <w:pPr>
              <w:widowControl w:val="0"/>
              <w:autoSpaceDE w:val="0"/>
              <w:autoSpaceDN w:val="0"/>
              <w:spacing w:before="0" w:after="0" w:line="240" w:lineRule="auto"/>
              <w:ind w:left="9"/>
              <w:jc w:val="center"/>
              <w:rPr>
                <w:rFonts w:eastAsia="Arial" w:cs="Arial"/>
                <w:sz w:val="22"/>
                <w:szCs w:val="22"/>
                <w:lang w:eastAsia="en-US"/>
              </w:rPr>
            </w:pPr>
            <w:r w:rsidRPr="005A4130">
              <w:rPr>
                <w:rFonts w:eastAsia="Arial" w:cs="Arial"/>
                <w:spacing w:val="-5"/>
                <w:sz w:val="22"/>
                <w:szCs w:val="22"/>
                <w:lang w:eastAsia="en-US"/>
              </w:rPr>
              <w:t>2.2</w:t>
            </w:r>
          </w:p>
        </w:tc>
        <w:tc>
          <w:tcPr>
            <w:tcW w:w="1620" w:type="dxa"/>
            <w:tcBorders>
              <w:top w:val="single" w:color="000000" w:sz="2" w:space="0"/>
            </w:tcBorders>
            <w:vAlign w:val="center"/>
          </w:tcPr>
          <w:p w:rsidRPr="005A4130" w:rsidR="005A4130" w:rsidP="00246C2B" w:rsidRDefault="005A4130" w14:paraId="314CDD8F" w14:textId="77777777">
            <w:pPr>
              <w:widowControl w:val="0"/>
              <w:autoSpaceDE w:val="0"/>
              <w:autoSpaceDN w:val="0"/>
              <w:spacing w:before="0" w:after="0" w:line="240" w:lineRule="auto"/>
              <w:ind w:left="8"/>
              <w:jc w:val="center"/>
              <w:rPr>
                <w:rFonts w:eastAsia="Arial" w:cs="Arial"/>
                <w:sz w:val="22"/>
                <w:szCs w:val="22"/>
                <w:lang w:eastAsia="en-US"/>
              </w:rPr>
            </w:pPr>
            <w:r w:rsidRPr="005A4130">
              <w:rPr>
                <w:rFonts w:eastAsia="Arial" w:cs="Arial"/>
                <w:spacing w:val="-5"/>
                <w:sz w:val="22"/>
                <w:szCs w:val="22"/>
                <w:lang w:eastAsia="en-US"/>
              </w:rPr>
              <w:t>3.3</w:t>
            </w:r>
          </w:p>
        </w:tc>
        <w:tc>
          <w:tcPr>
            <w:tcW w:w="1980" w:type="dxa"/>
            <w:tcBorders>
              <w:top w:val="single" w:color="000000" w:sz="2" w:space="0"/>
            </w:tcBorders>
            <w:vAlign w:val="center"/>
          </w:tcPr>
          <w:p w:rsidRPr="005A4130" w:rsidR="005A4130" w:rsidP="00246C2B" w:rsidRDefault="005A4130" w14:paraId="6CDC92E2" w14:textId="77777777">
            <w:pPr>
              <w:widowControl w:val="0"/>
              <w:autoSpaceDE w:val="0"/>
              <w:autoSpaceDN w:val="0"/>
              <w:spacing w:before="0" w:after="0" w:line="240" w:lineRule="auto"/>
              <w:ind w:left="8"/>
              <w:jc w:val="center"/>
              <w:rPr>
                <w:rFonts w:eastAsia="Arial" w:cs="Arial"/>
                <w:sz w:val="22"/>
                <w:szCs w:val="22"/>
                <w:lang w:eastAsia="en-US"/>
              </w:rPr>
            </w:pPr>
            <w:r w:rsidRPr="005A4130">
              <w:rPr>
                <w:rFonts w:eastAsia="Arial" w:cs="Arial"/>
                <w:spacing w:val="-5"/>
                <w:sz w:val="22"/>
                <w:szCs w:val="22"/>
                <w:lang w:eastAsia="en-US"/>
              </w:rPr>
              <w:t>2.5</w:t>
            </w:r>
          </w:p>
        </w:tc>
      </w:tr>
      <w:tr w:rsidRPr="00246C2B" w:rsidR="000A4576" w:rsidTr="009C13EF" w14:paraId="377CDEE8" w14:textId="77777777">
        <w:tc>
          <w:tcPr>
            <w:tcW w:w="3240" w:type="dxa"/>
            <w:vAlign w:val="center"/>
          </w:tcPr>
          <w:p w:rsidRPr="005A4130" w:rsidR="005A4130" w:rsidP="00246C2B" w:rsidRDefault="005A4130" w14:paraId="2E50F291" w14:textId="77777777">
            <w:pPr>
              <w:widowControl w:val="0"/>
              <w:autoSpaceDE w:val="0"/>
              <w:autoSpaceDN w:val="0"/>
              <w:spacing w:before="0" w:after="0" w:line="240" w:lineRule="auto"/>
              <w:ind w:left="107" w:right="526"/>
              <w:rPr>
                <w:rFonts w:eastAsia="Arial" w:cs="Arial"/>
                <w:sz w:val="22"/>
                <w:szCs w:val="22"/>
                <w:lang w:eastAsia="en-US"/>
              </w:rPr>
            </w:pPr>
            <w:r w:rsidRPr="005A4130">
              <w:rPr>
                <w:rFonts w:eastAsia="Arial" w:cs="Arial"/>
                <w:spacing w:val="-2"/>
                <w:sz w:val="22"/>
                <w:szCs w:val="22"/>
                <w:lang w:eastAsia="en-US"/>
              </w:rPr>
              <w:t xml:space="preserve">Gabilan </w:t>
            </w:r>
            <w:r w:rsidRPr="005A4130">
              <w:rPr>
                <w:rFonts w:eastAsia="Arial" w:cs="Arial"/>
                <w:spacing w:val="-4"/>
                <w:sz w:val="22"/>
                <w:szCs w:val="22"/>
                <w:lang w:eastAsia="en-US"/>
              </w:rPr>
              <w:t xml:space="preserve">Creek </w:t>
            </w:r>
            <w:r w:rsidRPr="005A4130">
              <w:rPr>
                <w:rFonts w:eastAsia="Arial" w:cs="Arial"/>
                <w:spacing w:val="-2"/>
                <w:sz w:val="22"/>
                <w:szCs w:val="22"/>
                <w:lang w:eastAsia="en-US"/>
              </w:rPr>
              <w:t>(309GAB)</w:t>
            </w:r>
          </w:p>
        </w:tc>
        <w:tc>
          <w:tcPr>
            <w:tcW w:w="1530" w:type="dxa"/>
            <w:vAlign w:val="center"/>
          </w:tcPr>
          <w:p w:rsidRPr="005A4130" w:rsidR="005A4130" w:rsidP="00246C2B" w:rsidRDefault="005A4130" w14:paraId="727664F6" w14:textId="77777777">
            <w:pPr>
              <w:widowControl w:val="0"/>
              <w:autoSpaceDE w:val="0"/>
              <w:autoSpaceDN w:val="0"/>
              <w:spacing w:before="0" w:after="0" w:line="240" w:lineRule="auto"/>
              <w:ind w:left="9" w:right="1"/>
              <w:jc w:val="center"/>
              <w:rPr>
                <w:rFonts w:eastAsia="Arial" w:cs="Arial"/>
                <w:sz w:val="22"/>
                <w:szCs w:val="22"/>
                <w:lang w:eastAsia="en-US"/>
              </w:rPr>
            </w:pPr>
            <w:r w:rsidRPr="005A4130">
              <w:rPr>
                <w:rFonts w:eastAsia="Arial" w:cs="Arial"/>
                <w:spacing w:val="-10"/>
                <w:sz w:val="22"/>
                <w:szCs w:val="22"/>
                <w:lang w:eastAsia="en-US"/>
              </w:rPr>
              <w:t>6</w:t>
            </w:r>
          </w:p>
        </w:tc>
        <w:tc>
          <w:tcPr>
            <w:tcW w:w="1620" w:type="dxa"/>
            <w:vAlign w:val="center"/>
          </w:tcPr>
          <w:p w:rsidRPr="005A4130" w:rsidR="005A4130" w:rsidP="00246C2B" w:rsidRDefault="005A4130" w14:paraId="430C2BBA" w14:textId="77777777">
            <w:pPr>
              <w:widowControl w:val="0"/>
              <w:autoSpaceDE w:val="0"/>
              <w:autoSpaceDN w:val="0"/>
              <w:spacing w:before="0" w:after="0" w:line="240" w:lineRule="auto"/>
              <w:ind w:left="8"/>
              <w:jc w:val="center"/>
              <w:rPr>
                <w:rFonts w:eastAsia="Arial" w:cs="Arial"/>
                <w:sz w:val="22"/>
                <w:szCs w:val="22"/>
                <w:lang w:eastAsia="en-US"/>
              </w:rPr>
            </w:pPr>
            <w:r w:rsidRPr="005A4130">
              <w:rPr>
                <w:rFonts w:eastAsia="Arial" w:cs="Arial"/>
                <w:spacing w:val="-5"/>
                <w:sz w:val="22"/>
                <w:szCs w:val="22"/>
                <w:lang w:eastAsia="en-US"/>
              </w:rPr>
              <w:t>11</w:t>
            </w:r>
          </w:p>
        </w:tc>
        <w:tc>
          <w:tcPr>
            <w:tcW w:w="1980" w:type="dxa"/>
            <w:vAlign w:val="center"/>
          </w:tcPr>
          <w:p w:rsidRPr="005A4130" w:rsidR="005A4130" w:rsidP="00246C2B" w:rsidRDefault="005A4130" w14:paraId="44F649E0" w14:textId="77777777">
            <w:pPr>
              <w:widowControl w:val="0"/>
              <w:autoSpaceDE w:val="0"/>
              <w:autoSpaceDN w:val="0"/>
              <w:spacing w:before="0" w:after="0" w:line="240" w:lineRule="auto"/>
              <w:ind w:left="9"/>
              <w:jc w:val="center"/>
              <w:rPr>
                <w:rFonts w:eastAsia="Arial" w:cs="Arial"/>
                <w:sz w:val="22"/>
                <w:szCs w:val="22"/>
                <w:lang w:eastAsia="en-US"/>
              </w:rPr>
            </w:pPr>
            <w:r w:rsidRPr="005A4130">
              <w:rPr>
                <w:rFonts w:eastAsia="Arial" w:cs="Arial"/>
                <w:spacing w:val="-10"/>
                <w:sz w:val="22"/>
                <w:szCs w:val="22"/>
                <w:lang w:eastAsia="en-US"/>
              </w:rPr>
              <w:t>8</w:t>
            </w:r>
          </w:p>
        </w:tc>
      </w:tr>
      <w:tr w:rsidRPr="00246C2B" w:rsidR="000A4576" w:rsidTr="009C13EF" w14:paraId="648D3C67" w14:textId="77777777">
        <w:tc>
          <w:tcPr>
            <w:tcW w:w="3240" w:type="dxa"/>
            <w:vAlign w:val="center"/>
          </w:tcPr>
          <w:p w:rsidRPr="005A4130" w:rsidR="005A4130" w:rsidP="00246C2B" w:rsidRDefault="005A4130" w14:paraId="4C803D87" w14:textId="77777777">
            <w:pPr>
              <w:widowControl w:val="0"/>
              <w:autoSpaceDE w:val="0"/>
              <w:autoSpaceDN w:val="0"/>
              <w:spacing w:before="0" w:after="0" w:line="240" w:lineRule="auto"/>
              <w:ind w:left="107" w:right="527"/>
              <w:rPr>
                <w:rFonts w:eastAsia="Arial" w:cs="Arial"/>
                <w:sz w:val="22"/>
                <w:szCs w:val="22"/>
                <w:lang w:eastAsia="en-US"/>
              </w:rPr>
            </w:pPr>
            <w:r w:rsidRPr="005A4130">
              <w:rPr>
                <w:rFonts w:eastAsia="Arial" w:cs="Arial"/>
                <w:spacing w:val="-2"/>
                <w:sz w:val="22"/>
                <w:szCs w:val="22"/>
                <w:lang w:eastAsia="en-US"/>
              </w:rPr>
              <w:t xml:space="preserve">Natividad </w:t>
            </w:r>
            <w:r w:rsidRPr="005A4130">
              <w:rPr>
                <w:rFonts w:eastAsia="Arial" w:cs="Arial"/>
                <w:spacing w:val="-4"/>
                <w:sz w:val="22"/>
                <w:szCs w:val="22"/>
                <w:lang w:eastAsia="en-US"/>
              </w:rPr>
              <w:t xml:space="preserve">Creek </w:t>
            </w:r>
            <w:r w:rsidRPr="005A4130">
              <w:rPr>
                <w:rFonts w:eastAsia="Arial" w:cs="Arial"/>
                <w:spacing w:val="-2"/>
                <w:sz w:val="22"/>
                <w:szCs w:val="22"/>
                <w:lang w:eastAsia="en-US"/>
              </w:rPr>
              <w:t>(309NAD)</w:t>
            </w:r>
          </w:p>
        </w:tc>
        <w:tc>
          <w:tcPr>
            <w:tcW w:w="1530" w:type="dxa"/>
            <w:vAlign w:val="center"/>
          </w:tcPr>
          <w:p w:rsidRPr="005A4130" w:rsidR="005A4130" w:rsidP="00246C2B" w:rsidRDefault="005A4130" w14:paraId="6EC53650" w14:textId="77777777">
            <w:pPr>
              <w:widowControl w:val="0"/>
              <w:autoSpaceDE w:val="0"/>
              <w:autoSpaceDN w:val="0"/>
              <w:spacing w:before="0" w:after="0" w:line="240" w:lineRule="auto"/>
              <w:ind w:left="9" w:right="1"/>
              <w:jc w:val="center"/>
              <w:rPr>
                <w:rFonts w:eastAsia="Arial" w:cs="Arial"/>
                <w:sz w:val="22"/>
                <w:szCs w:val="22"/>
                <w:lang w:eastAsia="en-US"/>
              </w:rPr>
            </w:pPr>
            <w:r w:rsidRPr="005A4130">
              <w:rPr>
                <w:rFonts w:eastAsia="Arial" w:cs="Arial"/>
                <w:spacing w:val="-10"/>
                <w:sz w:val="22"/>
                <w:szCs w:val="22"/>
                <w:lang w:eastAsia="en-US"/>
              </w:rPr>
              <w:t>6</w:t>
            </w:r>
          </w:p>
        </w:tc>
        <w:tc>
          <w:tcPr>
            <w:tcW w:w="1620" w:type="dxa"/>
            <w:vAlign w:val="center"/>
          </w:tcPr>
          <w:p w:rsidRPr="005A4130" w:rsidR="005A4130" w:rsidP="00246C2B" w:rsidRDefault="005A4130" w14:paraId="1EC185D6" w14:textId="77777777">
            <w:pPr>
              <w:widowControl w:val="0"/>
              <w:autoSpaceDE w:val="0"/>
              <w:autoSpaceDN w:val="0"/>
              <w:spacing w:before="0" w:after="0" w:line="240" w:lineRule="auto"/>
              <w:ind w:left="8"/>
              <w:jc w:val="center"/>
              <w:rPr>
                <w:rFonts w:eastAsia="Arial" w:cs="Arial"/>
                <w:sz w:val="22"/>
                <w:szCs w:val="22"/>
                <w:lang w:eastAsia="en-US"/>
              </w:rPr>
            </w:pPr>
            <w:r w:rsidRPr="005A4130">
              <w:rPr>
                <w:rFonts w:eastAsia="Arial" w:cs="Arial"/>
                <w:spacing w:val="-5"/>
                <w:sz w:val="22"/>
                <w:szCs w:val="22"/>
                <w:lang w:eastAsia="en-US"/>
              </w:rPr>
              <w:t>11</w:t>
            </w:r>
          </w:p>
        </w:tc>
        <w:tc>
          <w:tcPr>
            <w:tcW w:w="1980" w:type="dxa"/>
            <w:vAlign w:val="center"/>
          </w:tcPr>
          <w:p w:rsidRPr="005A4130" w:rsidR="005A4130" w:rsidP="00246C2B" w:rsidRDefault="005A4130" w14:paraId="01383671" w14:textId="77777777">
            <w:pPr>
              <w:widowControl w:val="0"/>
              <w:autoSpaceDE w:val="0"/>
              <w:autoSpaceDN w:val="0"/>
              <w:spacing w:before="0" w:after="0" w:line="240" w:lineRule="auto"/>
              <w:ind w:left="9"/>
              <w:jc w:val="center"/>
              <w:rPr>
                <w:rFonts w:eastAsia="Arial" w:cs="Arial"/>
                <w:sz w:val="22"/>
                <w:szCs w:val="22"/>
                <w:lang w:eastAsia="en-US"/>
              </w:rPr>
            </w:pPr>
            <w:r w:rsidRPr="005A4130">
              <w:rPr>
                <w:rFonts w:eastAsia="Arial" w:cs="Arial"/>
                <w:spacing w:val="-10"/>
                <w:sz w:val="22"/>
                <w:szCs w:val="22"/>
                <w:lang w:eastAsia="en-US"/>
              </w:rPr>
              <w:t>8</w:t>
            </w:r>
          </w:p>
        </w:tc>
      </w:tr>
      <w:tr w:rsidRPr="00246C2B" w:rsidR="000A4576" w:rsidTr="009C13EF" w14:paraId="3CE9653B" w14:textId="77777777">
        <w:tc>
          <w:tcPr>
            <w:tcW w:w="3240" w:type="dxa"/>
            <w:vAlign w:val="center"/>
          </w:tcPr>
          <w:p w:rsidRPr="005A4130" w:rsidR="005A4130" w:rsidP="00246C2B" w:rsidRDefault="005A4130" w14:paraId="195333D5" w14:textId="77777777">
            <w:pPr>
              <w:widowControl w:val="0"/>
              <w:autoSpaceDE w:val="0"/>
              <w:autoSpaceDN w:val="0"/>
              <w:spacing w:before="0" w:after="0" w:line="240" w:lineRule="auto"/>
              <w:ind w:left="107"/>
              <w:rPr>
                <w:rFonts w:eastAsia="Arial" w:cs="Arial"/>
                <w:sz w:val="22"/>
                <w:szCs w:val="22"/>
                <w:lang w:eastAsia="en-US"/>
              </w:rPr>
            </w:pPr>
            <w:r w:rsidRPr="005A4130">
              <w:rPr>
                <w:rFonts w:eastAsia="Arial" w:cs="Arial"/>
                <w:spacing w:val="-2"/>
                <w:sz w:val="22"/>
                <w:szCs w:val="22"/>
                <w:lang w:eastAsia="en-US"/>
              </w:rPr>
              <w:t xml:space="preserve">Salinas Reclamation Canal/Alisal </w:t>
            </w:r>
            <w:r w:rsidRPr="005A4130">
              <w:rPr>
                <w:rFonts w:eastAsia="Arial" w:cs="Arial"/>
                <w:spacing w:val="-4"/>
                <w:sz w:val="22"/>
                <w:szCs w:val="22"/>
                <w:lang w:eastAsia="en-US"/>
              </w:rPr>
              <w:t xml:space="preserve">Creek </w:t>
            </w:r>
            <w:r w:rsidRPr="005A4130">
              <w:rPr>
                <w:rFonts w:eastAsia="Arial" w:cs="Arial"/>
                <w:spacing w:val="-2"/>
                <w:sz w:val="22"/>
                <w:szCs w:val="22"/>
                <w:lang w:eastAsia="en-US"/>
              </w:rPr>
              <w:t>(309ALG)</w:t>
            </w:r>
          </w:p>
        </w:tc>
        <w:tc>
          <w:tcPr>
            <w:tcW w:w="1530" w:type="dxa"/>
            <w:vAlign w:val="center"/>
          </w:tcPr>
          <w:p w:rsidRPr="005A4130" w:rsidR="005A4130" w:rsidP="00246C2B" w:rsidRDefault="005A4130" w14:paraId="27F82D59" w14:textId="77777777">
            <w:pPr>
              <w:widowControl w:val="0"/>
              <w:autoSpaceDE w:val="0"/>
              <w:autoSpaceDN w:val="0"/>
              <w:spacing w:before="0" w:after="0" w:line="240" w:lineRule="auto"/>
              <w:ind w:left="9" w:right="1"/>
              <w:jc w:val="center"/>
              <w:rPr>
                <w:rFonts w:eastAsia="Arial" w:cs="Arial"/>
                <w:sz w:val="22"/>
                <w:szCs w:val="22"/>
                <w:lang w:eastAsia="en-US"/>
              </w:rPr>
            </w:pPr>
            <w:r w:rsidRPr="005A4130">
              <w:rPr>
                <w:rFonts w:eastAsia="Arial" w:cs="Arial"/>
                <w:spacing w:val="-10"/>
                <w:sz w:val="22"/>
                <w:szCs w:val="22"/>
                <w:lang w:eastAsia="en-US"/>
              </w:rPr>
              <w:t>6</w:t>
            </w:r>
          </w:p>
        </w:tc>
        <w:tc>
          <w:tcPr>
            <w:tcW w:w="1620" w:type="dxa"/>
            <w:vAlign w:val="center"/>
          </w:tcPr>
          <w:p w:rsidRPr="005A4130" w:rsidR="005A4130" w:rsidP="00246C2B" w:rsidRDefault="005A4130" w14:paraId="76F0874B" w14:textId="77777777">
            <w:pPr>
              <w:widowControl w:val="0"/>
              <w:autoSpaceDE w:val="0"/>
              <w:autoSpaceDN w:val="0"/>
              <w:spacing w:before="0" w:after="0" w:line="240" w:lineRule="auto"/>
              <w:ind w:left="8"/>
              <w:jc w:val="center"/>
              <w:rPr>
                <w:rFonts w:eastAsia="Arial" w:cs="Arial"/>
                <w:sz w:val="22"/>
                <w:szCs w:val="22"/>
                <w:lang w:eastAsia="en-US"/>
              </w:rPr>
            </w:pPr>
            <w:r w:rsidRPr="005A4130">
              <w:rPr>
                <w:rFonts w:eastAsia="Arial" w:cs="Arial"/>
                <w:spacing w:val="-5"/>
                <w:sz w:val="22"/>
                <w:szCs w:val="22"/>
                <w:lang w:eastAsia="en-US"/>
              </w:rPr>
              <w:t>11</w:t>
            </w:r>
          </w:p>
        </w:tc>
        <w:tc>
          <w:tcPr>
            <w:tcW w:w="1980" w:type="dxa"/>
            <w:vAlign w:val="center"/>
          </w:tcPr>
          <w:p w:rsidRPr="005A4130" w:rsidR="005A4130" w:rsidP="00246C2B" w:rsidRDefault="005A4130" w14:paraId="048351E5" w14:textId="77777777">
            <w:pPr>
              <w:widowControl w:val="0"/>
              <w:autoSpaceDE w:val="0"/>
              <w:autoSpaceDN w:val="0"/>
              <w:spacing w:before="0" w:after="0" w:line="240" w:lineRule="auto"/>
              <w:ind w:left="9"/>
              <w:jc w:val="center"/>
              <w:rPr>
                <w:rFonts w:eastAsia="Arial" w:cs="Arial"/>
                <w:sz w:val="22"/>
                <w:szCs w:val="22"/>
                <w:lang w:eastAsia="en-US"/>
              </w:rPr>
            </w:pPr>
            <w:r w:rsidRPr="005A4130">
              <w:rPr>
                <w:rFonts w:eastAsia="Arial" w:cs="Arial"/>
                <w:spacing w:val="-10"/>
                <w:sz w:val="22"/>
                <w:szCs w:val="22"/>
                <w:lang w:eastAsia="en-US"/>
              </w:rPr>
              <w:t>8</w:t>
            </w:r>
          </w:p>
        </w:tc>
      </w:tr>
      <w:tr w:rsidRPr="00246C2B" w:rsidR="000A4576" w:rsidTr="009C13EF" w14:paraId="6BDE61EB" w14:textId="77777777">
        <w:tc>
          <w:tcPr>
            <w:tcW w:w="3240" w:type="dxa"/>
            <w:vAlign w:val="center"/>
          </w:tcPr>
          <w:p w:rsidRPr="005A4130" w:rsidR="005A4130" w:rsidP="00246C2B" w:rsidRDefault="005A4130" w14:paraId="60DD5442" w14:textId="77777777">
            <w:pPr>
              <w:widowControl w:val="0"/>
              <w:autoSpaceDE w:val="0"/>
              <w:autoSpaceDN w:val="0"/>
              <w:spacing w:before="0" w:after="0" w:line="240" w:lineRule="auto"/>
              <w:ind w:left="107"/>
              <w:rPr>
                <w:rFonts w:eastAsia="Arial" w:cs="Arial"/>
                <w:sz w:val="22"/>
                <w:szCs w:val="22"/>
                <w:lang w:eastAsia="en-US"/>
              </w:rPr>
            </w:pPr>
            <w:r w:rsidRPr="005A4130">
              <w:rPr>
                <w:rFonts w:eastAsia="Arial" w:cs="Arial"/>
                <w:sz w:val="22"/>
                <w:szCs w:val="22"/>
                <w:lang w:eastAsia="en-US"/>
              </w:rPr>
              <w:t>Merritt</w:t>
            </w:r>
            <w:r w:rsidRPr="005A4130">
              <w:rPr>
                <w:rFonts w:eastAsia="Arial" w:cs="Arial"/>
                <w:spacing w:val="-17"/>
                <w:sz w:val="22"/>
                <w:szCs w:val="22"/>
                <w:lang w:eastAsia="en-US"/>
              </w:rPr>
              <w:t xml:space="preserve"> </w:t>
            </w:r>
            <w:r w:rsidRPr="005A4130">
              <w:rPr>
                <w:rFonts w:eastAsia="Arial" w:cs="Arial"/>
                <w:sz w:val="22"/>
                <w:szCs w:val="22"/>
                <w:lang w:eastAsia="en-US"/>
              </w:rPr>
              <w:t xml:space="preserve">Ditch </w:t>
            </w:r>
            <w:r w:rsidRPr="005A4130">
              <w:rPr>
                <w:rFonts w:eastAsia="Arial" w:cs="Arial"/>
                <w:spacing w:val="-2"/>
                <w:sz w:val="22"/>
                <w:szCs w:val="22"/>
                <w:lang w:eastAsia="en-US"/>
              </w:rPr>
              <w:t>(309MER)</w:t>
            </w:r>
          </w:p>
        </w:tc>
        <w:tc>
          <w:tcPr>
            <w:tcW w:w="1530" w:type="dxa"/>
            <w:vAlign w:val="center"/>
          </w:tcPr>
          <w:p w:rsidRPr="005A4130" w:rsidR="005A4130" w:rsidP="00246C2B" w:rsidRDefault="005A4130" w14:paraId="25F6614A" w14:textId="77777777">
            <w:pPr>
              <w:widowControl w:val="0"/>
              <w:autoSpaceDE w:val="0"/>
              <w:autoSpaceDN w:val="0"/>
              <w:spacing w:before="0" w:after="0" w:line="240" w:lineRule="auto"/>
              <w:ind w:left="9" w:right="1"/>
              <w:jc w:val="center"/>
              <w:rPr>
                <w:rFonts w:eastAsia="Arial" w:cs="Arial"/>
                <w:sz w:val="22"/>
                <w:szCs w:val="22"/>
                <w:lang w:eastAsia="en-US"/>
              </w:rPr>
            </w:pPr>
            <w:r w:rsidRPr="005A4130">
              <w:rPr>
                <w:rFonts w:eastAsia="Arial" w:cs="Arial"/>
                <w:spacing w:val="-10"/>
                <w:sz w:val="22"/>
                <w:szCs w:val="22"/>
                <w:lang w:eastAsia="en-US"/>
              </w:rPr>
              <w:t>6</w:t>
            </w:r>
          </w:p>
        </w:tc>
        <w:tc>
          <w:tcPr>
            <w:tcW w:w="1620" w:type="dxa"/>
            <w:vAlign w:val="center"/>
          </w:tcPr>
          <w:p w:rsidRPr="005A4130" w:rsidR="005A4130" w:rsidP="00246C2B" w:rsidRDefault="005A4130" w14:paraId="77FF0A47" w14:textId="77777777">
            <w:pPr>
              <w:widowControl w:val="0"/>
              <w:autoSpaceDE w:val="0"/>
              <w:autoSpaceDN w:val="0"/>
              <w:spacing w:before="0" w:after="0" w:line="240" w:lineRule="auto"/>
              <w:ind w:left="8"/>
              <w:jc w:val="center"/>
              <w:rPr>
                <w:rFonts w:eastAsia="Arial" w:cs="Arial"/>
                <w:sz w:val="22"/>
                <w:szCs w:val="22"/>
                <w:lang w:eastAsia="en-US"/>
              </w:rPr>
            </w:pPr>
            <w:r w:rsidRPr="005A4130">
              <w:rPr>
                <w:rFonts w:eastAsia="Arial" w:cs="Arial"/>
                <w:spacing w:val="-5"/>
                <w:sz w:val="22"/>
                <w:szCs w:val="22"/>
                <w:lang w:eastAsia="en-US"/>
              </w:rPr>
              <w:t>11</w:t>
            </w:r>
          </w:p>
        </w:tc>
        <w:tc>
          <w:tcPr>
            <w:tcW w:w="1980" w:type="dxa"/>
            <w:vAlign w:val="center"/>
          </w:tcPr>
          <w:p w:rsidRPr="005A4130" w:rsidR="005A4130" w:rsidP="00246C2B" w:rsidRDefault="005A4130" w14:paraId="0E3A410E" w14:textId="77777777">
            <w:pPr>
              <w:widowControl w:val="0"/>
              <w:autoSpaceDE w:val="0"/>
              <w:autoSpaceDN w:val="0"/>
              <w:spacing w:before="0" w:after="0" w:line="240" w:lineRule="auto"/>
              <w:ind w:left="9"/>
              <w:jc w:val="center"/>
              <w:rPr>
                <w:rFonts w:eastAsia="Arial" w:cs="Arial"/>
                <w:sz w:val="22"/>
                <w:szCs w:val="22"/>
                <w:lang w:eastAsia="en-US"/>
              </w:rPr>
            </w:pPr>
            <w:r w:rsidRPr="005A4130">
              <w:rPr>
                <w:rFonts w:eastAsia="Arial" w:cs="Arial"/>
                <w:spacing w:val="-10"/>
                <w:sz w:val="22"/>
                <w:szCs w:val="22"/>
                <w:lang w:eastAsia="en-US"/>
              </w:rPr>
              <w:t>8</w:t>
            </w:r>
          </w:p>
        </w:tc>
      </w:tr>
      <w:tr w:rsidRPr="00246C2B" w:rsidR="000A4576" w:rsidTr="009C13EF" w14:paraId="06EAC6DD" w14:textId="77777777">
        <w:tc>
          <w:tcPr>
            <w:tcW w:w="3240" w:type="dxa"/>
            <w:vAlign w:val="center"/>
          </w:tcPr>
          <w:p w:rsidRPr="005A4130" w:rsidR="005A4130" w:rsidP="00246C2B" w:rsidRDefault="005A4130" w14:paraId="4D5F582D" w14:textId="77777777">
            <w:pPr>
              <w:widowControl w:val="0"/>
              <w:autoSpaceDE w:val="0"/>
              <w:autoSpaceDN w:val="0"/>
              <w:spacing w:before="0" w:after="0" w:line="240" w:lineRule="auto"/>
              <w:ind w:left="107"/>
              <w:rPr>
                <w:rFonts w:eastAsia="Arial" w:cs="Arial"/>
                <w:sz w:val="22"/>
                <w:szCs w:val="22"/>
                <w:lang w:eastAsia="en-US"/>
              </w:rPr>
            </w:pPr>
            <w:r w:rsidRPr="005A4130">
              <w:rPr>
                <w:rFonts w:eastAsia="Arial" w:cs="Arial"/>
                <w:sz w:val="22"/>
                <w:szCs w:val="22"/>
                <w:lang w:eastAsia="en-US"/>
              </w:rPr>
              <w:t>Santa</w:t>
            </w:r>
            <w:r w:rsidRPr="005A4130">
              <w:rPr>
                <w:rFonts w:eastAsia="Arial" w:cs="Arial"/>
                <w:spacing w:val="-17"/>
                <w:sz w:val="22"/>
                <w:szCs w:val="22"/>
                <w:lang w:eastAsia="en-US"/>
              </w:rPr>
              <w:t xml:space="preserve"> </w:t>
            </w:r>
            <w:r w:rsidRPr="005A4130">
              <w:rPr>
                <w:rFonts w:eastAsia="Arial" w:cs="Arial"/>
                <w:sz w:val="22"/>
                <w:szCs w:val="22"/>
                <w:lang w:eastAsia="en-US"/>
              </w:rPr>
              <w:t xml:space="preserve">Rita </w:t>
            </w:r>
            <w:r w:rsidRPr="005A4130">
              <w:rPr>
                <w:rFonts w:eastAsia="Arial" w:cs="Arial"/>
                <w:spacing w:val="-4"/>
                <w:sz w:val="22"/>
                <w:szCs w:val="22"/>
                <w:lang w:eastAsia="en-US"/>
              </w:rPr>
              <w:t xml:space="preserve">Creek </w:t>
            </w:r>
            <w:r w:rsidRPr="005A4130">
              <w:rPr>
                <w:rFonts w:eastAsia="Arial" w:cs="Arial"/>
                <w:spacing w:val="-2"/>
                <w:sz w:val="22"/>
                <w:szCs w:val="22"/>
                <w:lang w:eastAsia="en-US"/>
              </w:rPr>
              <w:t>(309RTA)</w:t>
            </w:r>
          </w:p>
        </w:tc>
        <w:tc>
          <w:tcPr>
            <w:tcW w:w="1530" w:type="dxa"/>
            <w:vAlign w:val="center"/>
          </w:tcPr>
          <w:p w:rsidRPr="005A4130" w:rsidR="005A4130" w:rsidP="00246C2B" w:rsidRDefault="005A4130" w14:paraId="5DC68E16" w14:textId="77777777">
            <w:pPr>
              <w:widowControl w:val="0"/>
              <w:autoSpaceDE w:val="0"/>
              <w:autoSpaceDN w:val="0"/>
              <w:spacing w:before="0" w:after="0" w:line="240" w:lineRule="auto"/>
              <w:ind w:left="9" w:right="1"/>
              <w:jc w:val="center"/>
              <w:rPr>
                <w:rFonts w:eastAsia="Arial" w:cs="Arial"/>
                <w:sz w:val="22"/>
                <w:szCs w:val="22"/>
                <w:lang w:eastAsia="en-US"/>
              </w:rPr>
            </w:pPr>
            <w:r w:rsidRPr="005A4130">
              <w:rPr>
                <w:rFonts w:eastAsia="Arial" w:cs="Arial"/>
                <w:spacing w:val="-10"/>
                <w:sz w:val="22"/>
                <w:szCs w:val="22"/>
                <w:lang w:eastAsia="en-US"/>
              </w:rPr>
              <w:t>6</w:t>
            </w:r>
          </w:p>
        </w:tc>
        <w:tc>
          <w:tcPr>
            <w:tcW w:w="1620" w:type="dxa"/>
            <w:vAlign w:val="center"/>
          </w:tcPr>
          <w:p w:rsidRPr="005A4130" w:rsidR="005A4130" w:rsidP="00246C2B" w:rsidRDefault="005A4130" w14:paraId="2545D6BB" w14:textId="77777777">
            <w:pPr>
              <w:widowControl w:val="0"/>
              <w:autoSpaceDE w:val="0"/>
              <w:autoSpaceDN w:val="0"/>
              <w:spacing w:before="0" w:after="0" w:line="240" w:lineRule="auto"/>
              <w:ind w:left="8"/>
              <w:jc w:val="center"/>
              <w:rPr>
                <w:rFonts w:eastAsia="Arial" w:cs="Arial"/>
                <w:sz w:val="22"/>
                <w:szCs w:val="22"/>
                <w:lang w:eastAsia="en-US"/>
              </w:rPr>
            </w:pPr>
            <w:r w:rsidRPr="005A4130">
              <w:rPr>
                <w:rFonts w:eastAsia="Arial" w:cs="Arial"/>
                <w:spacing w:val="-5"/>
                <w:sz w:val="22"/>
                <w:szCs w:val="22"/>
                <w:lang w:eastAsia="en-US"/>
              </w:rPr>
              <w:t>11</w:t>
            </w:r>
          </w:p>
        </w:tc>
        <w:tc>
          <w:tcPr>
            <w:tcW w:w="1980" w:type="dxa"/>
            <w:vAlign w:val="center"/>
          </w:tcPr>
          <w:p w:rsidRPr="005A4130" w:rsidR="005A4130" w:rsidP="00246C2B" w:rsidRDefault="005A4130" w14:paraId="034B9DA0" w14:textId="77777777">
            <w:pPr>
              <w:widowControl w:val="0"/>
              <w:autoSpaceDE w:val="0"/>
              <w:autoSpaceDN w:val="0"/>
              <w:spacing w:before="0" w:after="0" w:line="240" w:lineRule="auto"/>
              <w:ind w:left="9"/>
              <w:jc w:val="center"/>
              <w:rPr>
                <w:rFonts w:eastAsia="Arial" w:cs="Arial"/>
                <w:sz w:val="22"/>
                <w:szCs w:val="22"/>
                <w:lang w:eastAsia="en-US"/>
              </w:rPr>
            </w:pPr>
            <w:r w:rsidRPr="005A4130">
              <w:rPr>
                <w:rFonts w:eastAsia="Arial" w:cs="Arial"/>
                <w:spacing w:val="-10"/>
                <w:sz w:val="22"/>
                <w:szCs w:val="22"/>
                <w:lang w:eastAsia="en-US"/>
              </w:rPr>
              <w:t>8</w:t>
            </w:r>
          </w:p>
        </w:tc>
      </w:tr>
      <w:tr w:rsidRPr="00246C2B" w:rsidR="000A4576" w:rsidTr="009C13EF" w14:paraId="212176AE" w14:textId="77777777">
        <w:tc>
          <w:tcPr>
            <w:tcW w:w="3240" w:type="dxa"/>
            <w:vAlign w:val="center"/>
          </w:tcPr>
          <w:p w:rsidRPr="005A4130" w:rsidR="005A4130" w:rsidP="00246C2B" w:rsidRDefault="005A4130" w14:paraId="77DBC78D" w14:textId="77777777">
            <w:pPr>
              <w:widowControl w:val="0"/>
              <w:autoSpaceDE w:val="0"/>
              <w:autoSpaceDN w:val="0"/>
              <w:spacing w:before="0" w:after="0" w:line="240" w:lineRule="auto"/>
              <w:ind w:left="107"/>
              <w:rPr>
                <w:rFonts w:eastAsia="Arial" w:cs="Arial"/>
                <w:sz w:val="22"/>
                <w:szCs w:val="22"/>
                <w:lang w:eastAsia="en-US"/>
              </w:rPr>
            </w:pPr>
            <w:r w:rsidRPr="005A4130">
              <w:rPr>
                <w:rFonts w:eastAsia="Arial" w:cs="Arial"/>
                <w:spacing w:val="-2"/>
                <w:sz w:val="22"/>
                <w:szCs w:val="22"/>
                <w:lang w:eastAsia="en-US"/>
              </w:rPr>
              <w:t xml:space="preserve">Salinas Reclamation </w:t>
            </w:r>
            <w:r w:rsidRPr="005A4130">
              <w:rPr>
                <w:rFonts w:eastAsia="Arial" w:cs="Arial"/>
                <w:spacing w:val="-4"/>
                <w:sz w:val="22"/>
                <w:szCs w:val="22"/>
                <w:lang w:eastAsia="en-US"/>
              </w:rPr>
              <w:t xml:space="preserve">Canal </w:t>
            </w:r>
            <w:r w:rsidRPr="005A4130">
              <w:rPr>
                <w:rFonts w:eastAsia="Arial" w:cs="Arial"/>
                <w:spacing w:val="-2"/>
                <w:sz w:val="22"/>
                <w:szCs w:val="22"/>
                <w:lang w:eastAsia="en-US"/>
              </w:rPr>
              <w:t>(309JON)</w:t>
            </w:r>
          </w:p>
        </w:tc>
        <w:tc>
          <w:tcPr>
            <w:tcW w:w="1530" w:type="dxa"/>
            <w:vAlign w:val="center"/>
          </w:tcPr>
          <w:p w:rsidRPr="005A4130" w:rsidR="005A4130" w:rsidP="00246C2B" w:rsidRDefault="005A4130" w14:paraId="4583770E" w14:textId="77777777">
            <w:pPr>
              <w:widowControl w:val="0"/>
              <w:autoSpaceDE w:val="0"/>
              <w:autoSpaceDN w:val="0"/>
              <w:spacing w:before="0" w:after="0" w:line="240" w:lineRule="auto"/>
              <w:ind w:left="9" w:right="1"/>
              <w:jc w:val="center"/>
              <w:rPr>
                <w:rFonts w:eastAsia="Arial" w:cs="Arial"/>
                <w:sz w:val="22"/>
                <w:szCs w:val="22"/>
                <w:lang w:eastAsia="en-US"/>
              </w:rPr>
            </w:pPr>
            <w:r w:rsidRPr="005A4130">
              <w:rPr>
                <w:rFonts w:eastAsia="Arial" w:cs="Arial"/>
                <w:spacing w:val="-10"/>
                <w:sz w:val="22"/>
                <w:szCs w:val="22"/>
                <w:lang w:eastAsia="en-US"/>
              </w:rPr>
              <w:t>6</w:t>
            </w:r>
          </w:p>
        </w:tc>
        <w:tc>
          <w:tcPr>
            <w:tcW w:w="1620" w:type="dxa"/>
            <w:vAlign w:val="center"/>
          </w:tcPr>
          <w:p w:rsidRPr="005A4130" w:rsidR="005A4130" w:rsidP="00246C2B" w:rsidRDefault="005A4130" w14:paraId="5F7B34F7" w14:textId="77777777">
            <w:pPr>
              <w:widowControl w:val="0"/>
              <w:autoSpaceDE w:val="0"/>
              <w:autoSpaceDN w:val="0"/>
              <w:spacing w:before="0" w:after="0" w:line="240" w:lineRule="auto"/>
              <w:ind w:left="8"/>
              <w:jc w:val="center"/>
              <w:rPr>
                <w:rFonts w:eastAsia="Arial" w:cs="Arial"/>
                <w:sz w:val="22"/>
                <w:szCs w:val="22"/>
                <w:lang w:eastAsia="en-US"/>
              </w:rPr>
            </w:pPr>
            <w:r w:rsidRPr="005A4130">
              <w:rPr>
                <w:rFonts w:eastAsia="Arial" w:cs="Arial"/>
                <w:spacing w:val="-5"/>
                <w:sz w:val="22"/>
                <w:szCs w:val="22"/>
                <w:lang w:eastAsia="en-US"/>
              </w:rPr>
              <w:t>11</w:t>
            </w:r>
          </w:p>
        </w:tc>
        <w:tc>
          <w:tcPr>
            <w:tcW w:w="1980" w:type="dxa"/>
            <w:vAlign w:val="center"/>
          </w:tcPr>
          <w:p w:rsidRPr="005A4130" w:rsidR="005A4130" w:rsidP="00246C2B" w:rsidRDefault="005A4130" w14:paraId="14ABE29E" w14:textId="77777777">
            <w:pPr>
              <w:widowControl w:val="0"/>
              <w:autoSpaceDE w:val="0"/>
              <w:autoSpaceDN w:val="0"/>
              <w:spacing w:before="0" w:after="0" w:line="240" w:lineRule="auto"/>
              <w:ind w:left="9"/>
              <w:jc w:val="center"/>
              <w:rPr>
                <w:rFonts w:eastAsia="Arial" w:cs="Arial"/>
                <w:sz w:val="22"/>
                <w:szCs w:val="22"/>
                <w:lang w:eastAsia="en-US"/>
              </w:rPr>
            </w:pPr>
            <w:r w:rsidRPr="005A4130">
              <w:rPr>
                <w:rFonts w:eastAsia="Arial" w:cs="Arial"/>
                <w:spacing w:val="-10"/>
                <w:sz w:val="22"/>
                <w:szCs w:val="22"/>
                <w:lang w:eastAsia="en-US"/>
              </w:rPr>
              <w:t>8</w:t>
            </w:r>
          </w:p>
        </w:tc>
      </w:tr>
      <w:tr w:rsidRPr="00246C2B" w:rsidR="000A4576" w:rsidTr="009C13EF" w14:paraId="2D78939F" w14:textId="77777777">
        <w:tc>
          <w:tcPr>
            <w:tcW w:w="324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1BD2BC4B" w14:textId="77777777">
            <w:pPr>
              <w:widowControl w:val="0"/>
              <w:autoSpaceDE w:val="0"/>
              <w:autoSpaceDN w:val="0"/>
              <w:spacing w:before="0" w:after="0" w:line="240" w:lineRule="auto"/>
              <w:ind w:left="107"/>
              <w:rPr>
                <w:rFonts w:eastAsia="Arial" w:cs="Arial"/>
                <w:spacing w:val="-2"/>
                <w:sz w:val="22"/>
                <w:szCs w:val="22"/>
                <w:lang w:eastAsia="en-US"/>
              </w:rPr>
            </w:pPr>
            <w:r w:rsidRPr="005A4130">
              <w:rPr>
                <w:rFonts w:eastAsia="Arial" w:cs="Arial"/>
                <w:spacing w:val="-2"/>
                <w:sz w:val="22"/>
                <w:szCs w:val="22"/>
                <w:lang w:eastAsia="en-US"/>
              </w:rPr>
              <w:t>Espinosa Slough (309ESP)</w:t>
            </w:r>
          </w:p>
        </w:tc>
        <w:tc>
          <w:tcPr>
            <w:tcW w:w="153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7E8E3CDE" w14:textId="77777777">
            <w:pPr>
              <w:widowControl w:val="0"/>
              <w:autoSpaceDE w:val="0"/>
              <w:autoSpaceDN w:val="0"/>
              <w:spacing w:before="0" w:after="0" w:line="240" w:lineRule="auto"/>
              <w:ind w:left="9" w:right="1"/>
              <w:jc w:val="center"/>
              <w:rPr>
                <w:rFonts w:eastAsia="Arial" w:cs="Arial"/>
                <w:spacing w:val="-10"/>
                <w:sz w:val="22"/>
                <w:szCs w:val="22"/>
                <w:lang w:eastAsia="en-US"/>
              </w:rPr>
            </w:pPr>
            <w:r w:rsidRPr="005A4130">
              <w:rPr>
                <w:rFonts w:eastAsia="Arial" w:cs="Arial"/>
                <w:spacing w:val="-10"/>
                <w:sz w:val="22"/>
                <w:szCs w:val="22"/>
                <w:lang w:eastAsia="en-US"/>
              </w:rPr>
              <w:t>6</w:t>
            </w:r>
          </w:p>
        </w:tc>
        <w:tc>
          <w:tcPr>
            <w:tcW w:w="162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31C2169F" w14:textId="77777777">
            <w:pPr>
              <w:widowControl w:val="0"/>
              <w:autoSpaceDE w:val="0"/>
              <w:autoSpaceDN w:val="0"/>
              <w:spacing w:before="0" w:after="0" w:line="240" w:lineRule="auto"/>
              <w:ind w:left="8"/>
              <w:jc w:val="center"/>
              <w:rPr>
                <w:rFonts w:eastAsia="Arial" w:cs="Arial"/>
                <w:spacing w:val="-5"/>
                <w:sz w:val="22"/>
                <w:szCs w:val="22"/>
                <w:lang w:eastAsia="en-US"/>
              </w:rPr>
            </w:pPr>
            <w:r w:rsidRPr="005A4130">
              <w:rPr>
                <w:rFonts w:eastAsia="Arial" w:cs="Arial"/>
                <w:spacing w:val="-5"/>
                <w:sz w:val="22"/>
                <w:szCs w:val="22"/>
                <w:lang w:eastAsia="en-US"/>
              </w:rPr>
              <w:t>11</w:t>
            </w:r>
          </w:p>
        </w:tc>
        <w:tc>
          <w:tcPr>
            <w:tcW w:w="198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7DEAA2E8" w14:textId="77777777">
            <w:pPr>
              <w:widowControl w:val="0"/>
              <w:autoSpaceDE w:val="0"/>
              <w:autoSpaceDN w:val="0"/>
              <w:spacing w:before="0" w:after="0" w:line="240" w:lineRule="auto"/>
              <w:ind w:left="9"/>
              <w:jc w:val="center"/>
              <w:rPr>
                <w:rFonts w:eastAsia="Arial" w:cs="Arial"/>
                <w:spacing w:val="-10"/>
                <w:sz w:val="22"/>
                <w:szCs w:val="22"/>
                <w:lang w:eastAsia="en-US"/>
              </w:rPr>
            </w:pPr>
            <w:r w:rsidRPr="005A4130">
              <w:rPr>
                <w:rFonts w:eastAsia="Arial" w:cs="Arial"/>
                <w:spacing w:val="-10"/>
                <w:sz w:val="22"/>
                <w:szCs w:val="22"/>
                <w:lang w:eastAsia="en-US"/>
              </w:rPr>
              <w:t>8</w:t>
            </w:r>
          </w:p>
        </w:tc>
      </w:tr>
      <w:tr w:rsidRPr="00246C2B" w:rsidR="000A4576" w:rsidTr="009C13EF" w14:paraId="4A07871B" w14:textId="77777777">
        <w:tc>
          <w:tcPr>
            <w:tcW w:w="324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05C3FFA0" w14:textId="77777777">
            <w:pPr>
              <w:widowControl w:val="0"/>
              <w:autoSpaceDE w:val="0"/>
              <w:autoSpaceDN w:val="0"/>
              <w:spacing w:before="0" w:after="0" w:line="240" w:lineRule="auto"/>
              <w:ind w:left="107"/>
              <w:rPr>
                <w:rFonts w:eastAsia="Arial" w:cs="Arial"/>
                <w:spacing w:val="-2"/>
                <w:sz w:val="22"/>
                <w:szCs w:val="22"/>
                <w:lang w:eastAsia="en-US"/>
              </w:rPr>
            </w:pPr>
            <w:r w:rsidRPr="005A4130">
              <w:rPr>
                <w:rFonts w:eastAsia="Arial" w:cs="Arial"/>
                <w:spacing w:val="-2"/>
                <w:sz w:val="22"/>
                <w:szCs w:val="22"/>
                <w:lang w:eastAsia="en-US"/>
              </w:rPr>
              <w:t>Alisal Slough (309ASB)</w:t>
            </w:r>
          </w:p>
        </w:tc>
        <w:tc>
          <w:tcPr>
            <w:tcW w:w="153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4B324DD4" w14:textId="77777777">
            <w:pPr>
              <w:widowControl w:val="0"/>
              <w:autoSpaceDE w:val="0"/>
              <w:autoSpaceDN w:val="0"/>
              <w:spacing w:before="0" w:after="0" w:line="240" w:lineRule="auto"/>
              <w:ind w:left="9" w:right="1"/>
              <w:jc w:val="center"/>
              <w:rPr>
                <w:rFonts w:eastAsia="Arial" w:cs="Arial"/>
                <w:spacing w:val="-10"/>
                <w:sz w:val="22"/>
                <w:szCs w:val="22"/>
                <w:lang w:eastAsia="en-US"/>
              </w:rPr>
            </w:pPr>
            <w:r w:rsidRPr="005A4130">
              <w:rPr>
                <w:rFonts w:eastAsia="Arial" w:cs="Arial"/>
                <w:spacing w:val="-10"/>
                <w:sz w:val="22"/>
                <w:szCs w:val="22"/>
                <w:lang w:eastAsia="en-US"/>
              </w:rPr>
              <w:t>6</w:t>
            </w:r>
          </w:p>
        </w:tc>
        <w:tc>
          <w:tcPr>
            <w:tcW w:w="162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63E09A66" w14:textId="77777777">
            <w:pPr>
              <w:widowControl w:val="0"/>
              <w:autoSpaceDE w:val="0"/>
              <w:autoSpaceDN w:val="0"/>
              <w:spacing w:before="0" w:after="0" w:line="240" w:lineRule="auto"/>
              <w:ind w:left="8"/>
              <w:jc w:val="center"/>
              <w:rPr>
                <w:rFonts w:eastAsia="Arial" w:cs="Arial"/>
                <w:spacing w:val="-5"/>
                <w:sz w:val="22"/>
                <w:szCs w:val="22"/>
                <w:lang w:eastAsia="en-US"/>
              </w:rPr>
            </w:pPr>
            <w:r w:rsidRPr="005A4130">
              <w:rPr>
                <w:rFonts w:eastAsia="Arial" w:cs="Arial"/>
                <w:spacing w:val="-5"/>
                <w:sz w:val="22"/>
                <w:szCs w:val="22"/>
                <w:lang w:eastAsia="en-US"/>
              </w:rPr>
              <w:t>11</w:t>
            </w:r>
          </w:p>
        </w:tc>
        <w:tc>
          <w:tcPr>
            <w:tcW w:w="198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3A9039D6" w14:textId="77777777">
            <w:pPr>
              <w:widowControl w:val="0"/>
              <w:autoSpaceDE w:val="0"/>
              <w:autoSpaceDN w:val="0"/>
              <w:spacing w:before="0" w:after="0" w:line="240" w:lineRule="auto"/>
              <w:ind w:left="9"/>
              <w:jc w:val="center"/>
              <w:rPr>
                <w:rFonts w:eastAsia="Arial" w:cs="Arial"/>
                <w:spacing w:val="-10"/>
                <w:sz w:val="22"/>
                <w:szCs w:val="22"/>
                <w:lang w:eastAsia="en-US"/>
              </w:rPr>
            </w:pPr>
            <w:r w:rsidRPr="005A4130">
              <w:rPr>
                <w:rFonts w:eastAsia="Arial" w:cs="Arial"/>
                <w:spacing w:val="-10"/>
                <w:sz w:val="22"/>
                <w:szCs w:val="22"/>
                <w:lang w:eastAsia="en-US"/>
              </w:rPr>
              <w:t>8</w:t>
            </w:r>
          </w:p>
        </w:tc>
      </w:tr>
      <w:tr w:rsidRPr="00246C2B" w:rsidR="000A4576" w:rsidTr="009C13EF" w14:paraId="52CE2EC1" w14:textId="77777777">
        <w:tc>
          <w:tcPr>
            <w:tcW w:w="324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1DD6F1C6" w14:textId="77777777">
            <w:pPr>
              <w:widowControl w:val="0"/>
              <w:autoSpaceDE w:val="0"/>
              <w:autoSpaceDN w:val="0"/>
              <w:spacing w:before="0" w:after="0" w:line="240" w:lineRule="auto"/>
              <w:ind w:left="107"/>
              <w:rPr>
                <w:rFonts w:eastAsia="Arial" w:cs="Arial"/>
                <w:spacing w:val="-2"/>
                <w:sz w:val="22"/>
                <w:szCs w:val="22"/>
                <w:lang w:eastAsia="en-US"/>
              </w:rPr>
            </w:pPr>
            <w:r w:rsidRPr="005A4130">
              <w:rPr>
                <w:rFonts w:eastAsia="Arial" w:cs="Arial"/>
                <w:spacing w:val="-2"/>
                <w:sz w:val="22"/>
                <w:szCs w:val="22"/>
                <w:lang w:eastAsia="en-US"/>
              </w:rPr>
              <w:t>Tembladero Slough (309TEH)</w:t>
            </w:r>
          </w:p>
        </w:tc>
        <w:tc>
          <w:tcPr>
            <w:tcW w:w="153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5A060009" w14:textId="77777777">
            <w:pPr>
              <w:widowControl w:val="0"/>
              <w:autoSpaceDE w:val="0"/>
              <w:autoSpaceDN w:val="0"/>
              <w:spacing w:before="0" w:after="0" w:line="240" w:lineRule="auto"/>
              <w:ind w:left="9" w:right="1"/>
              <w:jc w:val="center"/>
              <w:rPr>
                <w:rFonts w:eastAsia="Arial" w:cs="Arial"/>
                <w:spacing w:val="-10"/>
                <w:sz w:val="22"/>
                <w:szCs w:val="22"/>
                <w:lang w:eastAsia="en-US"/>
              </w:rPr>
            </w:pPr>
            <w:r w:rsidRPr="005A4130">
              <w:rPr>
                <w:rFonts w:eastAsia="Arial" w:cs="Arial"/>
                <w:spacing w:val="-10"/>
                <w:sz w:val="22"/>
                <w:szCs w:val="22"/>
                <w:lang w:eastAsia="en-US"/>
              </w:rPr>
              <w:t>6</w:t>
            </w:r>
          </w:p>
        </w:tc>
        <w:tc>
          <w:tcPr>
            <w:tcW w:w="162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333C4192" w14:textId="77777777">
            <w:pPr>
              <w:widowControl w:val="0"/>
              <w:autoSpaceDE w:val="0"/>
              <w:autoSpaceDN w:val="0"/>
              <w:spacing w:before="0" w:after="0" w:line="240" w:lineRule="auto"/>
              <w:ind w:left="8"/>
              <w:jc w:val="center"/>
              <w:rPr>
                <w:rFonts w:eastAsia="Arial" w:cs="Arial"/>
                <w:spacing w:val="-5"/>
                <w:sz w:val="22"/>
                <w:szCs w:val="22"/>
                <w:lang w:eastAsia="en-US"/>
              </w:rPr>
            </w:pPr>
            <w:r w:rsidRPr="005A4130">
              <w:rPr>
                <w:rFonts w:eastAsia="Arial" w:cs="Arial"/>
                <w:spacing w:val="-5"/>
                <w:sz w:val="22"/>
                <w:szCs w:val="22"/>
                <w:lang w:eastAsia="en-US"/>
              </w:rPr>
              <w:t>11</w:t>
            </w:r>
          </w:p>
        </w:tc>
        <w:tc>
          <w:tcPr>
            <w:tcW w:w="198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29AC51E3" w14:textId="77777777">
            <w:pPr>
              <w:widowControl w:val="0"/>
              <w:autoSpaceDE w:val="0"/>
              <w:autoSpaceDN w:val="0"/>
              <w:spacing w:before="0" w:after="0" w:line="240" w:lineRule="auto"/>
              <w:ind w:left="9"/>
              <w:jc w:val="center"/>
              <w:rPr>
                <w:rFonts w:eastAsia="Arial" w:cs="Arial"/>
                <w:spacing w:val="-10"/>
                <w:sz w:val="22"/>
                <w:szCs w:val="22"/>
                <w:lang w:eastAsia="en-US"/>
              </w:rPr>
            </w:pPr>
            <w:r w:rsidRPr="005A4130">
              <w:rPr>
                <w:rFonts w:eastAsia="Arial" w:cs="Arial"/>
                <w:spacing w:val="-10"/>
                <w:sz w:val="22"/>
                <w:szCs w:val="22"/>
                <w:lang w:eastAsia="en-US"/>
              </w:rPr>
              <w:t>8</w:t>
            </w:r>
          </w:p>
        </w:tc>
      </w:tr>
      <w:tr w:rsidRPr="00246C2B" w:rsidR="000A4576" w:rsidTr="009C13EF" w14:paraId="42776103" w14:textId="77777777">
        <w:tc>
          <w:tcPr>
            <w:tcW w:w="324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4AE49248" w14:textId="77777777">
            <w:pPr>
              <w:widowControl w:val="0"/>
              <w:autoSpaceDE w:val="0"/>
              <w:autoSpaceDN w:val="0"/>
              <w:spacing w:before="0" w:after="0" w:line="240" w:lineRule="auto"/>
              <w:ind w:left="107"/>
              <w:rPr>
                <w:rFonts w:eastAsia="Arial" w:cs="Arial"/>
                <w:spacing w:val="-2"/>
                <w:sz w:val="22"/>
                <w:szCs w:val="22"/>
                <w:lang w:eastAsia="en-US"/>
              </w:rPr>
            </w:pPr>
            <w:r w:rsidRPr="005A4130">
              <w:rPr>
                <w:rFonts w:eastAsia="Arial" w:cs="Arial"/>
                <w:spacing w:val="-2"/>
                <w:sz w:val="22"/>
                <w:szCs w:val="22"/>
                <w:lang w:eastAsia="en-US"/>
              </w:rPr>
              <w:t>Tembladero Slough (309TEM)</w:t>
            </w:r>
          </w:p>
        </w:tc>
        <w:tc>
          <w:tcPr>
            <w:tcW w:w="153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3DCCAAC6" w14:textId="77777777">
            <w:pPr>
              <w:widowControl w:val="0"/>
              <w:autoSpaceDE w:val="0"/>
              <w:autoSpaceDN w:val="0"/>
              <w:spacing w:before="0" w:after="0" w:line="240" w:lineRule="auto"/>
              <w:ind w:left="9" w:right="1"/>
              <w:jc w:val="center"/>
              <w:rPr>
                <w:rFonts w:eastAsia="Arial" w:cs="Arial"/>
                <w:spacing w:val="-10"/>
                <w:sz w:val="22"/>
                <w:szCs w:val="22"/>
                <w:lang w:eastAsia="en-US"/>
              </w:rPr>
            </w:pPr>
            <w:r w:rsidRPr="005A4130">
              <w:rPr>
                <w:rFonts w:eastAsia="Arial" w:cs="Arial"/>
                <w:spacing w:val="-10"/>
                <w:sz w:val="22"/>
                <w:szCs w:val="22"/>
                <w:lang w:eastAsia="en-US"/>
              </w:rPr>
              <w:t>6</w:t>
            </w:r>
          </w:p>
        </w:tc>
        <w:tc>
          <w:tcPr>
            <w:tcW w:w="162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6FC046DE" w14:textId="77777777">
            <w:pPr>
              <w:widowControl w:val="0"/>
              <w:autoSpaceDE w:val="0"/>
              <w:autoSpaceDN w:val="0"/>
              <w:spacing w:before="0" w:after="0" w:line="240" w:lineRule="auto"/>
              <w:ind w:left="8"/>
              <w:jc w:val="center"/>
              <w:rPr>
                <w:rFonts w:eastAsia="Arial" w:cs="Arial"/>
                <w:spacing w:val="-5"/>
                <w:sz w:val="22"/>
                <w:szCs w:val="22"/>
                <w:lang w:eastAsia="en-US"/>
              </w:rPr>
            </w:pPr>
            <w:r w:rsidRPr="005A4130">
              <w:rPr>
                <w:rFonts w:eastAsia="Arial" w:cs="Arial"/>
                <w:spacing w:val="-5"/>
                <w:sz w:val="22"/>
                <w:szCs w:val="22"/>
                <w:lang w:eastAsia="en-US"/>
              </w:rPr>
              <w:t>11</w:t>
            </w:r>
          </w:p>
        </w:tc>
        <w:tc>
          <w:tcPr>
            <w:tcW w:w="198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3E6BA3CA" w14:textId="77777777">
            <w:pPr>
              <w:widowControl w:val="0"/>
              <w:autoSpaceDE w:val="0"/>
              <w:autoSpaceDN w:val="0"/>
              <w:spacing w:before="0" w:after="0" w:line="240" w:lineRule="auto"/>
              <w:ind w:left="9"/>
              <w:jc w:val="center"/>
              <w:rPr>
                <w:rFonts w:eastAsia="Arial" w:cs="Arial"/>
                <w:spacing w:val="-10"/>
                <w:sz w:val="22"/>
                <w:szCs w:val="22"/>
                <w:lang w:eastAsia="en-US"/>
              </w:rPr>
            </w:pPr>
            <w:r w:rsidRPr="005A4130">
              <w:rPr>
                <w:rFonts w:eastAsia="Arial" w:cs="Arial"/>
                <w:spacing w:val="-10"/>
                <w:sz w:val="22"/>
                <w:szCs w:val="22"/>
                <w:lang w:eastAsia="en-US"/>
              </w:rPr>
              <w:t>8</w:t>
            </w:r>
          </w:p>
        </w:tc>
      </w:tr>
      <w:tr w:rsidRPr="00246C2B" w:rsidR="000A4576" w:rsidTr="009C13EF" w14:paraId="161E2A42" w14:textId="77777777">
        <w:tc>
          <w:tcPr>
            <w:tcW w:w="324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78D187C1" w14:textId="77777777">
            <w:pPr>
              <w:widowControl w:val="0"/>
              <w:autoSpaceDE w:val="0"/>
              <w:autoSpaceDN w:val="0"/>
              <w:spacing w:before="0" w:after="0" w:line="240" w:lineRule="auto"/>
              <w:ind w:left="107"/>
              <w:rPr>
                <w:rFonts w:eastAsia="Arial" w:cs="Arial"/>
                <w:spacing w:val="-2"/>
                <w:sz w:val="22"/>
                <w:szCs w:val="22"/>
                <w:lang w:eastAsia="en-US"/>
              </w:rPr>
            </w:pPr>
            <w:r w:rsidRPr="005A4130">
              <w:rPr>
                <w:rFonts w:eastAsia="Arial" w:cs="Arial"/>
                <w:spacing w:val="-2"/>
                <w:sz w:val="22"/>
                <w:szCs w:val="22"/>
                <w:lang w:eastAsia="en-US"/>
              </w:rPr>
              <w:t>Tembladero Slough (309TDW)</w:t>
            </w:r>
          </w:p>
          <w:p w:rsidRPr="005A4130" w:rsidR="005A4130" w:rsidP="00246C2B" w:rsidRDefault="005A4130" w14:paraId="1951E4E3" w14:textId="77777777">
            <w:pPr>
              <w:widowControl w:val="0"/>
              <w:autoSpaceDE w:val="0"/>
              <w:autoSpaceDN w:val="0"/>
              <w:spacing w:before="0" w:after="0" w:line="240" w:lineRule="auto"/>
              <w:ind w:left="107"/>
              <w:rPr>
                <w:rFonts w:eastAsia="Arial" w:cs="Arial"/>
                <w:spacing w:val="-2"/>
                <w:sz w:val="22"/>
                <w:szCs w:val="22"/>
                <w:lang w:eastAsia="en-US"/>
              </w:rPr>
            </w:pPr>
            <w:r w:rsidRPr="005A4130">
              <w:rPr>
                <w:rFonts w:eastAsia="Arial" w:cs="Arial"/>
                <w:spacing w:val="-2"/>
                <w:sz w:val="22"/>
                <w:szCs w:val="22"/>
                <w:lang w:eastAsia="en-US"/>
              </w:rPr>
              <w:t>(brackish)</w:t>
            </w:r>
          </w:p>
        </w:tc>
        <w:tc>
          <w:tcPr>
            <w:tcW w:w="153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3F2BA4" w14:paraId="75C68FFC" w14:textId="313005DC">
            <w:pPr>
              <w:widowControl w:val="0"/>
              <w:autoSpaceDE w:val="0"/>
              <w:autoSpaceDN w:val="0"/>
              <w:spacing w:before="0" w:after="0" w:line="240" w:lineRule="auto"/>
              <w:ind w:left="9" w:right="1"/>
              <w:jc w:val="center"/>
              <w:rPr>
                <w:rFonts w:eastAsia="Arial" w:cs="Arial"/>
                <w:spacing w:val="-10"/>
                <w:sz w:val="22"/>
                <w:szCs w:val="22"/>
                <w:lang w:eastAsia="en-US"/>
              </w:rPr>
            </w:pPr>
            <w:r>
              <w:rPr>
                <w:rFonts w:eastAsia="Arial" w:cs="Arial"/>
                <w:spacing w:val="-5"/>
                <w:sz w:val="22"/>
                <w:szCs w:val="22"/>
                <w:lang w:eastAsia="en-US"/>
              </w:rPr>
              <w:t>Not available</w:t>
            </w:r>
          </w:p>
        </w:tc>
        <w:tc>
          <w:tcPr>
            <w:tcW w:w="162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3F2BA4" w14:paraId="5D8EA73D" w14:textId="1954D738">
            <w:pPr>
              <w:widowControl w:val="0"/>
              <w:autoSpaceDE w:val="0"/>
              <w:autoSpaceDN w:val="0"/>
              <w:spacing w:before="0" w:after="0" w:line="240" w:lineRule="auto"/>
              <w:ind w:left="8"/>
              <w:jc w:val="center"/>
              <w:rPr>
                <w:rFonts w:eastAsia="Arial" w:cs="Arial"/>
                <w:spacing w:val="-5"/>
                <w:sz w:val="22"/>
                <w:szCs w:val="22"/>
                <w:lang w:eastAsia="en-US"/>
              </w:rPr>
            </w:pPr>
            <w:r>
              <w:rPr>
                <w:rFonts w:eastAsia="Arial" w:cs="Arial"/>
                <w:spacing w:val="-5"/>
                <w:sz w:val="22"/>
                <w:szCs w:val="22"/>
                <w:lang w:eastAsia="en-US"/>
              </w:rPr>
              <w:t>Not available</w:t>
            </w:r>
          </w:p>
        </w:tc>
        <w:tc>
          <w:tcPr>
            <w:tcW w:w="198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3F2BA4" w14:paraId="44B2B031" w14:textId="5EC5D779">
            <w:pPr>
              <w:widowControl w:val="0"/>
              <w:autoSpaceDE w:val="0"/>
              <w:autoSpaceDN w:val="0"/>
              <w:spacing w:before="0" w:after="0" w:line="240" w:lineRule="auto"/>
              <w:ind w:left="9"/>
              <w:jc w:val="center"/>
              <w:rPr>
                <w:rFonts w:eastAsia="Arial" w:cs="Arial"/>
                <w:spacing w:val="-10"/>
                <w:sz w:val="22"/>
                <w:szCs w:val="22"/>
                <w:lang w:eastAsia="en-US"/>
              </w:rPr>
            </w:pPr>
            <w:r>
              <w:rPr>
                <w:rFonts w:eastAsia="Arial" w:cs="Arial"/>
                <w:spacing w:val="-5"/>
                <w:sz w:val="22"/>
                <w:szCs w:val="22"/>
                <w:lang w:eastAsia="en-US"/>
              </w:rPr>
              <w:t>Not available</w:t>
            </w:r>
          </w:p>
        </w:tc>
      </w:tr>
      <w:tr w:rsidRPr="00246C2B" w:rsidR="000A4576" w:rsidTr="009C13EF" w14:paraId="449FE306" w14:textId="77777777">
        <w:tc>
          <w:tcPr>
            <w:tcW w:w="324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5A4130" w14:paraId="1E47F361" w14:textId="77777777">
            <w:pPr>
              <w:widowControl w:val="0"/>
              <w:autoSpaceDE w:val="0"/>
              <w:autoSpaceDN w:val="0"/>
              <w:spacing w:before="0" w:after="0" w:line="240" w:lineRule="auto"/>
              <w:ind w:left="107"/>
              <w:rPr>
                <w:rFonts w:eastAsia="Arial" w:cs="Arial"/>
                <w:spacing w:val="-2"/>
                <w:sz w:val="22"/>
                <w:szCs w:val="22"/>
                <w:lang w:eastAsia="en-US"/>
              </w:rPr>
            </w:pPr>
            <w:r w:rsidRPr="005A4130">
              <w:rPr>
                <w:rFonts w:eastAsia="Arial" w:cs="Arial"/>
                <w:spacing w:val="-2"/>
                <w:sz w:val="22"/>
                <w:szCs w:val="22"/>
                <w:lang w:eastAsia="en-US"/>
              </w:rPr>
              <w:t>Old Salinas River (309OLD)</w:t>
            </w:r>
          </w:p>
          <w:p w:rsidRPr="005A4130" w:rsidR="005A4130" w:rsidP="00246C2B" w:rsidRDefault="005A4130" w14:paraId="49509C11" w14:textId="77777777">
            <w:pPr>
              <w:widowControl w:val="0"/>
              <w:autoSpaceDE w:val="0"/>
              <w:autoSpaceDN w:val="0"/>
              <w:spacing w:before="0" w:after="0" w:line="240" w:lineRule="auto"/>
              <w:ind w:left="107"/>
              <w:rPr>
                <w:rFonts w:eastAsia="Arial" w:cs="Arial"/>
                <w:spacing w:val="-2"/>
                <w:sz w:val="22"/>
                <w:szCs w:val="22"/>
                <w:lang w:eastAsia="en-US"/>
              </w:rPr>
            </w:pPr>
            <w:r w:rsidRPr="005A4130">
              <w:rPr>
                <w:rFonts w:eastAsia="Arial" w:cs="Arial"/>
                <w:spacing w:val="-2"/>
                <w:sz w:val="22"/>
                <w:szCs w:val="22"/>
                <w:lang w:eastAsia="en-US"/>
              </w:rPr>
              <w:t>(brackish)</w:t>
            </w:r>
          </w:p>
        </w:tc>
        <w:tc>
          <w:tcPr>
            <w:tcW w:w="153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3F2BA4" w14:paraId="34800B1F" w14:textId="1200E9A2">
            <w:pPr>
              <w:widowControl w:val="0"/>
              <w:autoSpaceDE w:val="0"/>
              <w:autoSpaceDN w:val="0"/>
              <w:spacing w:before="0" w:after="0" w:line="240" w:lineRule="auto"/>
              <w:ind w:left="9" w:right="1"/>
              <w:jc w:val="center"/>
              <w:rPr>
                <w:rFonts w:eastAsia="Arial" w:cs="Arial"/>
                <w:spacing w:val="-10"/>
                <w:sz w:val="22"/>
                <w:szCs w:val="22"/>
                <w:lang w:eastAsia="en-US"/>
              </w:rPr>
            </w:pPr>
            <w:r>
              <w:rPr>
                <w:rFonts w:eastAsia="Arial" w:cs="Arial"/>
                <w:spacing w:val="-5"/>
                <w:sz w:val="22"/>
                <w:szCs w:val="22"/>
                <w:lang w:eastAsia="en-US"/>
              </w:rPr>
              <w:t>Not available</w:t>
            </w:r>
          </w:p>
        </w:tc>
        <w:tc>
          <w:tcPr>
            <w:tcW w:w="162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3F2BA4" w14:paraId="2F378106" w14:textId="0277D563">
            <w:pPr>
              <w:widowControl w:val="0"/>
              <w:autoSpaceDE w:val="0"/>
              <w:autoSpaceDN w:val="0"/>
              <w:spacing w:before="0" w:after="0" w:line="240" w:lineRule="auto"/>
              <w:ind w:left="8"/>
              <w:jc w:val="center"/>
              <w:rPr>
                <w:rFonts w:eastAsia="Arial" w:cs="Arial"/>
                <w:spacing w:val="-5"/>
                <w:sz w:val="22"/>
                <w:szCs w:val="22"/>
                <w:lang w:eastAsia="en-US"/>
              </w:rPr>
            </w:pPr>
            <w:r>
              <w:rPr>
                <w:rFonts w:eastAsia="Arial" w:cs="Arial"/>
                <w:spacing w:val="-5"/>
                <w:sz w:val="22"/>
                <w:szCs w:val="22"/>
                <w:lang w:eastAsia="en-US"/>
              </w:rPr>
              <w:t>Not available</w:t>
            </w:r>
          </w:p>
        </w:tc>
        <w:tc>
          <w:tcPr>
            <w:tcW w:w="1980" w:type="dxa"/>
            <w:tcBorders>
              <w:top w:val="single" w:color="000000" w:sz="4" w:space="0"/>
              <w:left w:val="single" w:color="000000" w:sz="4" w:space="0"/>
              <w:bottom w:val="single" w:color="000000" w:sz="4" w:space="0"/>
              <w:right w:val="single" w:color="000000" w:sz="4" w:space="0"/>
            </w:tcBorders>
            <w:vAlign w:val="center"/>
          </w:tcPr>
          <w:p w:rsidRPr="005A4130" w:rsidR="005A4130" w:rsidP="00246C2B" w:rsidRDefault="003F2BA4" w14:paraId="7F5D9812" w14:textId="7223D1BE">
            <w:pPr>
              <w:widowControl w:val="0"/>
              <w:autoSpaceDE w:val="0"/>
              <w:autoSpaceDN w:val="0"/>
              <w:spacing w:before="0" w:after="0" w:line="240" w:lineRule="auto"/>
              <w:ind w:left="9"/>
              <w:jc w:val="center"/>
              <w:rPr>
                <w:rFonts w:eastAsia="Arial" w:cs="Arial"/>
                <w:spacing w:val="-10"/>
                <w:sz w:val="22"/>
                <w:szCs w:val="22"/>
                <w:lang w:eastAsia="en-US"/>
              </w:rPr>
            </w:pPr>
            <w:r>
              <w:rPr>
                <w:rFonts w:eastAsia="Arial" w:cs="Arial"/>
                <w:spacing w:val="-5"/>
                <w:sz w:val="22"/>
                <w:szCs w:val="22"/>
                <w:lang w:eastAsia="en-US"/>
              </w:rPr>
              <w:t>Not available</w:t>
            </w:r>
          </w:p>
        </w:tc>
      </w:tr>
    </w:tbl>
    <w:p w:rsidR="00A92F69" w:rsidP="006E4A1A" w:rsidRDefault="0014165E" w14:paraId="315B9384" w14:textId="77777777">
      <w:pPr>
        <w:keepNext/>
        <w:keepLines/>
        <w:ind w:left="1260"/>
        <w:rPr>
          <w:rFonts w:cs="Arial"/>
        </w:rPr>
      </w:pPr>
      <w:r w:rsidRPr="00A53808">
        <w:rPr>
          <w:rFonts w:cs="Arial"/>
          <w:b/>
          <w:bCs/>
        </w:rPr>
        <w:t>Final Deadline for Compliance</w:t>
      </w:r>
      <w:r w:rsidRPr="00A53808">
        <w:rPr>
          <w:rFonts w:cs="Arial"/>
        </w:rPr>
        <w:t>:</w:t>
      </w:r>
      <w:r>
        <w:rPr>
          <w:rFonts w:cs="Arial"/>
        </w:rPr>
        <w:t xml:space="preserve"> </w:t>
      </w:r>
    </w:p>
    <w:p w:rsidR="00A92F69" w:rsidP="006E4A1A" w:rsidRDefault="0057026A" w14:paraId="56B82CA9" w14:textId="08D163F9">
      <w:pPr>
        <w:keepNext/>
        <w:keepLines/>
        <w:ind w:left="1267"/>
      </w:pPr>
      <w:r>
        <w:t>The</w:t>
      </w:r>
      <w:r w:rsidRPr="00B9505F" w:rsidR="00B9505F">
        <w:t xml:space="preserve"> TMDL establishes a </w:t>
      </w:r>
      <w:r w:rsidR="001B6804">
        <w:t xml:space="preserve">20-year </w:t>
      </w:r>
      <w:r w:rsidRPr="00B9505F" w:rsidR="00B9505F">
        <w:t xml:space="preserve">schedule to achieve the final turbidity </w:t>
      </w:r>
      <w:r w:rsidR="001B6804">
        <w:t>wasteload allocations</w:t>
      </w:r>
      <w:r w:rsidRPr="00B9505F" w:rsidR="00B9505F">
        <w:t xml:space="preserve">. The timeline for achieving the TMDL schedule and allocations starts upon the date of Office of Administrative Law approval of these TMDLs </w:t>
      </w:r>
      <w:r w:rsidR="0048728C">
        <w:t xml:space="preserve">on </w:t>
      </w:r>
      <w:r w:rsidRPr="00983D0E" w:rsidR="0048728C">
        <w:t>December 8, 2022</w:t>
      </w:r>
      <w:r w:rsidR="00D11195">
        <w:t xml:space="preserve">. </w:t>
      </w:r>
      <w:r w:rsidR="00FF4B30">
        <w:t>Therefore, t</w:t>
      </w:r>
      <w:r w:rsidRPr="00B9505F" w:rsidR="00B9505F">
        <w:t>he TMDL attainment schedule is as follows.</w:t>
      </w:r>
    </w:p>
    <w:p w:rsidR="00B9505F" w:rsidP="00E8254E" w:rsidRDefault="00901172" w14:paraId="110D4ED1" w14:textId="18043B02">
      <w:pPr>
        <w:pStyle w:val="ListParagraph"/>
        <w:numPr>
          <w:ilvl w:val="0"/>
          <w:numId w:val="74"/>
        </w:numPr>
        <w:tabs>
          <w:tab w:val="left" w:pos="1620"/>
        </w:tabs>
        <w:ind w:left="1620"/>
        <w:contextualSpacing w:val="0"/>
      </w:pPr>
      <w:r>
        <w:t xml:space="preserve">First Interim Milestone: </w:t>
      </w:r>
      <w:r w:rsidR="00A81C58">
        <w:t>This allocation m</w:t>
      </w:r>
      <w:r w:rsidR="00687A0E">
        <w:t xml:space="preserve">ust be achieved by December </w:t>
      </w:r>
      <w:r w:rsidR="00E47101">
        <w:t xml:space="preserve">8, 2029, which is </w:t>
      </w:r>
      <w:r>
        <w:t xml:space="preserve">seven years after </w:t>
      </w:r>
      <w:r w:rsidR="00E47101">
        <w:t xml:space="preserve">approval by the </w:t>
      </w:r>
      <w:r w:rsidRPr="00B9505F" w:rsidR="00E47101">
        <w:t>Office of Administrative Law</w:t>
      </w:r>
      <w:r w:rsidR="00E47101">
        <w:t>.</w:t>
      </w:r>
    </w:p>
    <w:p w:rsidR="00746DF1" w:rsidP="00E8254E" w:rsidRDefault="00746DF1" w14:paraId="3E469E56" w14:textId="7A868DAD">
      <w:pPr>
        <w:pStyle w:val="ListParagraph"/>
        <w:numPr>
          <w:ilvl w:val="0"/>
          <w:numId w:val="74"/>
        </w:numPr>
        <w:tabs>
          <w:tab w:val="left" w:pos="1620"/>
        </w:tabs>
        <w:ind w:left="1620"/>
        <w:contextualSpacing w:val="0"/>
      </w:pPr>
      <w:r>
        <w:t xml:space="preserve"> Second Interim Milestone: </w:t>
      </w:r>
      <w:r w:rsidR="00A81C58">
        <w:t>This allocation m</w:t>
      </w:r>
      <w:r>
        <w:t xml:space="preserve">ust be achieved by December 8, </w:t>
      </w:r>
      <w:r w:rsidR="00A22BF5">
        <w:t xml:space="preserve">2037, which is </w:t>
      </w:r>
      <w:r>
        <w:t xml:space="preserve">fifteen years after </w:t>
      </w:r>
      <w:r w:rsidR="00A22BF5">
        <w:t xml:space="preserve">approval by the </w:t>
      </w:r>
      <w:r w:rsidRPr="00B9505F" w:rsidR="00A22BF5">
        <w:t>Office of Administrative Law</w:t>
      </w:r>
      <w:r w:rsidR="00A22BF5">
        <w:t>.</w:t>
      </w:r>
    </w:p>
    <w:p w:rsidR="00E54445" w:rsidP="00E8254E" w:rsidRDefault="00A81C58" w14:paraId="567E885E" w14:textId="4C45BD43">
      <w:pPr>
        <w:pStyle w:val="ListParagraph"/>
        <w:numPr>
          <w:ilvl w:val="0"/>
          <w:numId w:val="74"/>
        </w:numPr>
        <w:tabs>
          <w:tab w:val="left" w:pos="1620"/>
        </w:tabs>
        <w:ind w:left="1620"/>
        <w:contextualSpacing w:val="0"/>
      </w:pPr>
      <w:r>
        <w:t xml:space="preserve"> Final Attainment Date: This allocation must be achieved</w:t>
      </w:r>
      <w:r w:rsidR="00E83527">
        <w:t xml:space="preserve"> </w:t>
      </w:r>
      <w:r>
        <w:t xml:space="preserve">by </w:t>
      </w:r>
      <w:r w:rsidR="00E54445">
        <w:t xml:space="preserve">December 8, 2042, which is </w:t>
      </w:r>
      <w:r>
        <w:t xml:space="preserve">twenty years after </w:t>
      </w:r>
      <w:r w:rsidR="00E54445">
        <w:t xml:space="preserve">approval by the </w:t>
      </w:r>
      <w:r w:rsidRPr="00B9505F" w:rsidR="00E54445">
        <w:t>Office of Administrative Law</w:t>
      </w:r>
      <w:r w:rsidR="00E54445">
        <w:t>.</w:t>
      </w:r>
    </w:p>
    <w:p w:rsidR="00550640" w:rsidP="0069676D" w:rsidRDefault="00550640" w14:paraId="6FEC42A7" w14:textId="0830656E">
      <w:pPr>
        <w:pStyle w:val="Heading3"/>
        <w:tabs>
          <w:tab w:val="clear" w:pos="720"/>
          <w:tab w:val="left" w:pos="1260"/>
        </w:tabs>
        <w:ind w:left="1260" w:hanging="1260"/>
        <w:rPr>
          <w:b w:val="0"/>
          <w:bCs w:val="0"/>
          <w:iCs/>
          <w:caps/>
        </w:rPr>
      </w:pPr>
      <w:r>
        <w:br w:type="page"/>
      </w:r>
    </w:p>
    <w:p w:rsidR="00A3095D" w:rsidP="001A1BAA" w:rsidRDefault="00836361" w14:paraId="0BEA25E4" w14:textId="74CC491A">
      <w:pPr>
        <w:pStyle w:val="Heading2"/>
      </w:pPr>
      <w:bookmarkStart w:name="_Toc226536094" w:id="87"/>
      <w:r>
        <w:t>A13</w:t>
      </w:r>
      <w:r w:rsidRPr="00FD32A6" w:rsidR="000432A5">
        <w:t>.4</w:t>
      </w:r>
      <w:r w:rsidR="00C23C46">
        <w:tab/>
      </w:r>
      <w:r w:rsidRPr="00FD32A6" w:rsidR="00A3095D">
        <w:t>LOS ANGELES WATER BOARD TMDLs</w:t>
      </w:r>
      <w:bookmarkEnd w:id="87"/>
    </w:p>
    <w:p w:rsidR="005B7A0D" w:rsidP="005B7A0D" w:rsidRDefault="005B7A0D" w14:paraId="0DBC061F" w14:textId="12D07053">
      <w:pPr>
        <w:rPr>
          <w:lang w:eastAsia="en-US"/>
        </w:rPr>
      </w:pPr>
      <w:r>
        <w:rPr>
          <w:lang w:eastAsia="en-US"/>
        </w:rPr>
        <w:t>Information in the following subsections has been summarized from the</w:t>
      </w:r>
      <w:r w:rsidR="00CF39B3">
        <w:rPr>
          <w:lang w:eastAsia="en-US"/>
        </w:rPr>
        <w:t xml:space="preserve"> applicable TMDLs in </w:t>
      </w:r>
      <w:hyperlink w:history="1" r:id="rId40">
        <w:r w:rsidRPr="00A437A2" w:rsidR="001368D2">
          <w:rPr>
            <w:rStyle w:val="Hyperlink"/>
            <w:lang w:eastAsia="en-US"/>
          </w:rPr>
          <w:t>Chapter 7</w:t>
        </w:r>
      </w:hyperlink>
      <w:r w:rsidR="001368D2">
        <w:rPr>
          <w:lang w:eastAsia="en-US"/>
        </w:rPr>
        <w:t xml:space="preserve"> of </w:t>
      </w:r>
      <w:r w:rsidR="00CF39B3">
        <w:rPr>
          <w:lang w:eastAsia="en-US"/>
        </w:rPr>
        <w:t>the</w:t>
      </w:r>
      <w:r>
        <w:rPr>
          <w:lang w:eastAsia="en-US"/>
        </w:rPr>
        <w:t xml:space="preserve"> </w:t>
      </w:r>
      <w:r w:rsidRPr="00A437A2">
        <w:rPr>
          <w:lang w:eastAsia="en-US"/>
        </w:rPr>
        <w:t>Los Angeles Water Board Basin Plan</w:t>
      </w:r>
      <w:r w:rsidR="00415033">
        <w:rPr>
          <w:lang w:eastAsia="en-US"/>
        </w:rPr>
        <w:t xml:space="preserve"> and </w:t>
      </w:r>
      <w:hyperlink w:history="1" r:id="rId41">
        <w:r w:rsidR="00766ACF">
          <w:rPr>
            <w:rStyle w:val="Hyperlink"/>
            <w:lang w:eastAsia="en-US"/>
          </w:rPr>
          <w:t>USEPA</w:t>
        </w:r>
        <w:r w:rsidRPr="00AE68A8" w:rsidR="00AE68A8">
          <w:rPr>
            <w:rStyle w:val="Hyperlink"/>
            <w:lang w:eastAsia="en-US"/>
          </w:rPr>
          <w:t> </w:t>
        </w:r>
        <w:r w:rsidRPr="00AE68A8" w:rsidR="004B07AA">
          <w:rPr>
            <w:rStyle w:val="Hyperlink"/>
            <w:lang w:eastAsia="en-US"/>
          </w:rPr>
          <w:t>established TMDLs</w:t>
        </w:r>
      </w:hyperlink>
      <w:r w:rsidR="009D6C6C">
        <w:rPr>
          <w:lang w:eastAsia="en-US"/>
        </w:rPr>
        <w:t>.</w:t>
      </w:r>
      <w:r w:rsidR="00BA5B37">
        <w:rPr>
          <w:lang w:eastAsia="en-US"/>
        </w:rPr>
        <w:t xml:space="preserve"> </w:t>
      </w:r>
      <w:r w:rsidR="00E75F2F">
        <w:rPr>
          <w:lang w:eastAsia="en-US"/>
        </w:rPr>
        <w:t xml:space="preserve">For the Avalon </w:t>
      </w:r>
      <w:r w:rsidR="008164CF">
        <w:rPr>
          <w:lang w:eastAsia="en-US"/>
        </w:rPr>
        <w:t>B</w:t>
      </w:r>
      <w:r w:rsidR="0023144A">
        <w:rPr>
          <w:lang w:eastAsia="en-US"/>
        </w:rPr>
        <w:t>each</w:t>
      </w:r>
      <w:r w:rsidR="008164CF">
        <w:rPr>
          <w:lang w:eastAsia="en-US"/>
        </w:rPr>
        <w:t xml:space="preserve"> </w:t>
      </w:r>
      <w:r w:rsidR="0023144A">
        <w:rPr>
          <w:lang w:eastAsia="en-US"/>
        </w:rPr>
        <w:t>b</w:t>
      </w:r>
      <w:r w:rsidR="008164CF">
        <w:rPr>
          <w:lang w:eastAsia="en-US"/>
        </w:rPr>
        <w:t xml:space="preserve">acteria TMDL, please </w:t>
      </w:r>
      <w:r w:rsidR="00B340A9">
        <w:rPr>
          <w:lang w:eastAsia="en-US"/>
        </w:rPr>
        <w:t xml:space="preserve">use </w:t>
      </w:r>
      <w:r w:rsidR="008164CF">
        <w:rPr>
          <w:lang w:eastAsia="en-US"/>
        </w:rPr>
        <w:t xml:space="preserve">contact </w:t>
      </w:r>
      <w:hyperlink w:history="1" r:id="rId42">
        <w:r w:rsidRPr="00BA7C5B" w:rsidR="008164CF">
          <w:rPr>
            <w:rStyle w:val="Hyperlink"/>
            <w:lang w:eastAsia="en-US"/>
          </w:rPr>
          <w:t>staff</w:t>
        </w:r>
      </w:hyperlink>
      <w:r w:rsidR="00BA7C5B">
        <w:rPr>
          <w:lang w:eastAsia="en-US"/>
        </w:rPr>
        <w:t>.</w:t>
      </w:r>
      <w:r w:rsidR="0013344B">
        <w:rPr>
          <w:lang w:eastAsia="en-US"/>
        </w:rPr>
        <w:t xml:space="preserve"> </w:t>
      </w:r>
    </w:p>
    <w:p w:rsidRPr="008D0338" w:rsidR="00A3095D" w:rsidP="00527DBC" w:rsidRDefault="00836361" w14:paraId="36315CB0" w14:textId="1EE406FA">
      <w:pPr>
        <w:pStyle w:val="Heading3"/>
        <w:tabs>
          <w:tab w:val="clear" w:pos="720"/>
          <w:tab w:val="left" w:pos="1170"/>
        </w:tabs>
        <w:ind w:left="1170" w:hanging="1170"/>
        <w:rPr>
          <w:i/>
          <w:iCs/>
        </w:rPr>
      </w:pPr>
      <w:r>
        <w:rPr>
          <w:i/>
          <w:iCs/>
        </w:rPr>
        <w:t>A13</w:t>
      </w:r>
      <w:r w:rsidRPr="008D0338" w:rsidR="000432A5">
        <w:rPr>
          <w:i/>
          <w:iCs/>
        </w:rPr>
        <w:t>.4</w:t>
      </w:r>
      <w:r w:rsidRPr="008D0338" w:rsidR="00A3095D">
        <w:rPr>
          <w:i/>
          <w:iCs/>
        </w:rPr>
        <w:t>.1</w:t>
      </w:r>
      <w:r w:rsidRPr="008D0338" w:rsidR="00A3095D">
        <w:rPr>
          <w:i/>
          <w:iCs/>
        </w:rPr>
        <w:tab/>
      </w:r>
      <w:r w:rsidRPr="003D73C1" w:rsidR="003D73C1">
        <w:rPr>
          <w:i/>
          <w:iCs/>
        </w:rPr>
        <w:t>Avalon B</w:t>
      </w:r>
      <w:r w:rsidR="00404649">
        <w:rPr>
          <w:i/>
          <w:iCs/>
        </w:rPr>
        <w:t>ay Bacteria TMDL</w:t>
      </w:r>
    </w:p>
    <w:p w:rsidRPr="00A3095D" w:rsidR="00A3095D" w:rsidP="00A3095D" w:rsidRDefault="00A3095D" w14:paraId="1EBDA3D5" w14:textId="7AA29ADC">
      <w:pPr>
        <w:autoSpaceDE w:val="0"/>
        <w:autoSpaceDN w:val="0"/>
        <w:adjustRightInd w:val="0"/>
        <w:spacing w:after="0" w:line="240" w:lineRule="auto"/>
        <w:ind w:left="1260"/>
        <w:rPr>
          <w:rFonts w:cs="Arial"/>
          <w:lang w:eastAsia="en-US"/>
        </w:rPr>
      </w:pPr>
      <w:r w:rsidRPr="00A3095D">
        <w:rPr>
          <w:rFonts w:cs="Arial"/>
          <w:b/>
          <w:bCs/>
          <w:lang w:eastAsia="en-US"/>
        </w:rPr>
        <w:t>Description</w:t>
      </w:r>
      <w:r w:rsidRPr="00A3095D">
        <w:rPr>
          <w:rFonts w:cs="Arial"/>
          <w:lang w:eastAsia="en-US"/>
        </w:rPr>
        <w:t xml:space="preserve">: </w:t>
      </w:r>
      <w:r w:rsidRPr="00A3095D">
        <w:rPr>
          <w:rFonts w:eastAsia="Calibri" w:cs="Arial"/>
          <w:lang w:eastAsia="en-US"/>
        </w:rPr>
        <w:t xml:space="preserve">Avalon </w:t>
      </w:r>
      <w:r w:rsidR="00E907B7">
        <w:rPr>
          <w:rFonts w:eastAsia="Calibri" w:cs="Arial"/>
          <w:lang w:eastAsia="en-US"/>
        </w:rPr>
        <w:t xml:space="preserve">Beach </w:t>
      </w:r>
      <w:r w:rsidR="00255701">
        <w:rPr>
          <w:rFonts w:eastAsia="Calibri" w:cs="Arial"/>
          <w:lang w:eastAsia="en-US"/>
        </w:rPr>
        <w:t xml:space="preserve">bay </w:t>
      </w:r>
      <w:r w:rsidR="00E907B7">
        <w:rPr>
          <w:rFonts w:eastAsia="Calibri" w:cs="Arial"/>
          <w:lang w:eastAsia="en-US"/>
        </w:rPr>
        <w:t>waters</w:t>
      </w:r>
      <w:r w:rsidRPr="00A3095D">
        <w:rPr>
          <w:rFonts w:eastAsia="Calibri" w:cs="Arial"/>
          <w:lang w:eastAsia="en-US"/>
        </w:rPr>
        <w:t xml:space="preserve"> </w:t>
      </w:r>
      <w:r w:rsidR="00E907B7">
        <w:rPr>
          <w:rFonts w:eastAsia="Calibri" w:cs="Arial"/>
          <w:lang w:eastAsia="en-US"/>
        </w:rPr>
        <w:t>are</w:t>
      </w:r>
      <w:r w:rsidRPr="00A3095D">
        <w:rPr>
          <w:rFonts w:eastAsia="Calibri" w:cs="Arial"/>
          <w:lang w:eastAsia="en-US"/>
        </w:rPr>
        <w:t xml:space="preserve"> impaired due to indicator bacteria. </w:t>
      </w:r>
      <w:r w:rsidRPr="00A3095D">
        <w:rPr>
          <w:rFonts w:cs="Arial"/>
          <w:lang w:eastAsia="en-US"/>
        </w:rPr>
        <w:t xml:space="preserve">Avalon Beach is located on Santa Catalina Island in the City of Avalon. The Avalon Beach </w:t>
      </w:r>
      <w:r w:rsidR="001C5A96">
        <w:rPr>
          <w:rFonts w:cs="Arial"/>
          <w:lang w:eastAsia="en-US"/>
        </w:rPr>
        <w:t>b</w:t>
      </w:r>
      <w:r w:rsidRPr="00A3095D">
        <w:rPr>
          <w:rFonts w:cs="Arial"/>
          <w:lang w:eastAsia="en-US"/>
        </w:rPr>
        <w:t>acteria TMDL was established as a single regulatory action within Cease and Desist Order R4</w:t>
      </w:r>
      <w:r w:rsidRPr="00A3095D">
        <w:rPr>
          <w:rFonts w:cs="Arial"/>
          <w:lang w:eastAsia="en-US"/>
        </w:rPr>
        <w:noBreakHyphen/>
        <w:t>2012-0077 (adopted April 5, 2012) for the City of Avalon. The City of Avalon discharges urban runoff and stormwater to Avalon Beach. The TMDL identifies urban runoff and stormwater discharges as sources of impairment to surface water bodies in the watershed.</w:t>
      </w:r>
    </w:p>
    <w:p w:rsidRPr="00A3095D" w:rsidR="00A3095D" w:rsidP="00A3095D" w:rsidRDefault="00A3095D" w14:paraId="6C42D853" w14:textId="77777777">
      <w:pPr>
        <w:ind w:left="1260"/>
        <w:rPr>
          <w:rFonts w:cs="Arial"/>
          <w:lang w:eastAsia="en-US"/>
        </w:rPr>
      </w:pPr>
      <w:r w:rsidRPr="00A3095D">
        <w:rPr>
          <w:b/>
          <w:szCs w:val="20"/>
          <w:lang w:eastAsia="en-US"/>
        </w:rPr>
        <w:t>Responsible Permittee:</w:t>
      </w:r>
      <w:r w:rsidRPr="00A3095D">
        <w:rPr>
          <w:b/>
          <w:bCs/>
          <w:szCs w:val="20"/>
          <w:lang w:eastAsia="en-US"/>
        </w:rPr>
        <w:t xml:space="preserve"> </w:t>
      </w:r>
      <w:r w:rsidRPr="00A3095D">
        <w:rPr>
          <w:rFonts w:cs="Arial"/>
          <w:lang w:eastAsia="en-US"/>
        </w:rPr>
        <w:t>City of Avalon.</w:t>
      </w:r>
    </w:p>
    <w:p w:rsidRPr="00A3095D" w:rsidR="00A3095D" w:rsidP="00A3095D" w:rsidRDefault="00A3095D" w14:paraId="5B71DFF6" w14:textId="77777777">
      <w:pPr>
        <w:ind w:left="1260"/>
        <w:rPr>
          <w:rFonts w:cs="Arial"/>
          <w:lang w:eastAsia="en-US"/>
        </w:rPr>
      </w:pPr>
      <w:r w:rsidRPr="00A3095D">
        <w:rPr>
          <w:b/>
          <w:szCs w:val="20"/>
          <w:lang w:eastAsia="en-US"/>
        </w:rPr>
        <w:t>Wasteload Allocations:</w:t>
      </w:r>
      <w:r w:rsidRPr="00A3095D">
        <w:rPr>
          <w:b/>
          <w:bCs/>
          <w:szCs w:val="20"/>
          <w:lang w:eastAsia="en-US"/>
        </w:rPr>
        <w:t xml:space="preserve"> </w:t>
      </w:r>
      <w:r w:rsidRPr="00A3095D">
        <w:rPr>
          <w:rFonts w:cs="Arial"/>
          <w:lang w:eastAsia="en-US"/>
        </w:rPr>
        <w:t>The following wasteload allocations are receiving water allocations. If the number of exceedance days is greater than the allowable number of exceedance days, the City of Avalon is out of compliance with the wasteload allocation. When repeat sampling is required because of an exceedance of any one single sample limit, values from all samples collected during that 30-day period shall be used to calculate the geometric mean.</w:t>
      </w:r>
    </w:p>
    <w:p w:rsidRPr="00A3095D" w:rsidR="00A3095D" w:rsidP="00A3095D" w:rsidRDefault="00A3095D" w14:paraId="3AA9CB4A" w14:textId="77777777">
      <w:pPr>
        <w:ind w:left="1260"/>
        <w:rPr>
          <w:rFonts w:eastAsia="Calibri" w:cs="Arial"/>
          <w:u w:val="single"/>
          <w:lang w:eastAsia="en-US"/>
        </w:rPr>
      </w:pPr>
      <w:r w:rsidRPr="00A3095D">
        <w:rPr>
          <w:rFonts w:eastAsia="Calibri" w:cs="Arial"/>
          <w:u w:val="single"/>
          <w:lang w:eastAsia="en-US"/>
        </w:rPr>
        <w:t>Wasteload Allocation as Geometric Mean Limits</w:t>
      </w:r>
    </w:p>
    <w:p w:rsidRPr="00A3095D" w:rsidR="00A3095D" w:rsidP="00A3095D" w:rsidRDefault="00A3095D" w14:paraId="1EE8B771" w14:textId="77777777">
      <w:pPr>
        <w:ind w:left="1260"/>
        <w:rPr>
          <w:rFonts w:eastAsia="Calibri" w:cs="Arial"/>
          <w:lang w:eastAsia="en-US"/>
        </w:rPr>
      </w:pPr>
      <w:r w:rsidRPr="00A3095D">
        <w:rPr>
          <w:rFonts w:eastAsia="Calibri" w:cs="Arial"/>
          <w:lang w:eastAsia="en-US"/>
        </w:rPr>
        <w:t xml:space="preserve">The wasteload allocation is zero allowable exceedances of the geometric mean of the bacterial density for each fecal indicator bacteria, at each compliance monitoring point. </w:t>
      </w:r>
      <w:r w:rsidRPr="00A3095D">
        <w:rPr>
          <w:rFonts w:cs="Arial"/>
          <w:lang w:eastAsia="en-US"/>
        </w:rPr>
        <w:t>Geometric mean values shall be calculated based on a minimum of 5 samples during any 30-day period.</w:t>
      </w:r>
    </w:p>
    <w:p w:rsidRPr="00A3095D" w:rsidR="00A3095D" w:rsidP="00E8254E" w:rsidRDefault="00A3095D" w14:paraId="60D2308E" w14:textId="77777777">
      <w:pPr>
        <w:numPr>
          <w:ilvl w:val="0"/>
          <w:numId w:val="36"/>
        </w:numPr>
        <w:ind w:left="1627"/>
        <w:rPr>
          <w:rFonts w:eastAsia="Calibri" w:cs="Arial"/>
          <w:lang w:eastAsia="en-US"/>
        </w:rPr>
      </w:pPr>
      <w:r w:rsidRPr="00A3095D">
        <w:rPr>
          <w:rFonts w:eastAsia="Calibri" w:cs="Arial"/>
          <w:lang w:eastAsia="en-US"/>
        </w:rPr>
        <w:t>Total coliform concentration shall not exceed 1,000 per 100 milliliters.</w:t>
      </w:r>
    </w:p>
    <w:p w:rsidRPr="00A3095D" w:rsidR="00A3095D" w:rsidP="00E8254E" w:rsidRDefault="00A3095D" w14:paraId="7A9DB4DD" w14:textId="77777777">
      <w:pPr>
        <w:numPr>
          <w:ilvl w:val="0"/>
          <w:numId w:val="36"/>
        </w:numPr>
        <w:ind w:left="1627"/>
        <w:rPr>
          <w:rFonts w:eastAsia="Calibri" w:cs="Arial"/>
          <w:lang w:eastAsia="en-US"/>
        </w:rPr>
      </w:pPr>
      <w:r w:rsidRPr="00A3095D">
        <w:rPr>
          <w:rFonts w:eastAsia="Calibri" w:cs="Arial"/>
          <w:lang w:eastAsia="en-US"/>
        </w:rPr>
        <w:t>Fecal coliform density shall not exceed 200 per 100 milliliters.</w:t>
      </w:r>
    </w:p>
    <w:p w:rsidRPr="00A3095D" w:rsidR="00A3095D" w:rsidP="00E8254E" w:rsidRDefault="00A3095D" w14:paraId="0F30771A" w14:textId="77777777">
      <w:pPr>
        <w:numPr>
          <w:ilvl w:val="0"/>
          <w:numId w:val="36"/>
        </w:numPr>
        <w:ind w:left="1627"/>
        <w:rPr>
          <w:rFonts w:eastAsia="Calibri" w:cs="Arial"/>
          <w:lang w:eastAsia="en-US"/>
        </w:rPr>
      </w:pPr>
      <w:r w:rsidRPr="00243804">
        <w:rPr>
          <w:rFonts w:eastAsia="Calibri" w:cs="Arial"/>
          <w:i/>
          <w:lang w:eastAsia="en-US"/>
        </w:rPr>
        <w:t>Enterococcus</w:t>
      </w:r>
      <w:r w:rsidRPr="00A3095D">
        <w:rPr>
          <w:rFonts w:eastAsia="Calibri" w:cs="Arial"/>
          <w:lang w:eastAsia="en-US"/>
        </w:rPr>
        <w:t xml:space="preserve"> density shall not exceed 35 per 100 milliliters.</w:t>
      </w:r>
    </w:p>
    <w:p w:rsidRPr="00A3095D" w:rsidR="00A3095D" w:rsidP="005A1794" w:rsidRDefault="00A3095D" w14:paraId="5155DAD0" w14:textId="77777777">
      <w:pPr>
        <w:ind w:left="1267"/>
        <w:rPr>
          <w:rFonts w:eastAsia="Calibri" w:cs="Arial"/>
          <w:u w:val="single"/>
          <w:lang w:eastAsia="en-US"/>
        </w:rPr>
      </w:pPr>
      <w:r w:rsidRPr="00A3095D">
        <w:rPr>
          <w:rFonts w:eastAsia="Calibri" w:cs="Arial"/>
          <w:u w:val="single"/>
          <w:lang w:eastAsia="en-US"/>
        </w:rPr>
        <w:t>Wasteload Allocation as Single Sample Limits</w:t>
      </w:r>
    </w:p>
    <w:p w:rsidRPr="00A3095D" w:rsidR="00A3095D" w:rsidP="00A3095D" w:rsidRDefault="00A3095D" w14:paraId="65B84A82" w14:textId="2AA1A41B">
      <w:pPr>
        <w:ind w:left="1260"/>
        <w:rPr>
          <w:rFonts w:eastAsia="Calibri" w:cs="Arial"/>
          <w:lang w:eastAsia="en-US"/>
        </w:rPr>
      </w:pPr>
      <w:r w:rsidRPr="00A3095D">
        <w:rPr>
          <w:rFonts w:eastAsia="Calibri" w:cs="Arial"/>
          <w:lang w:eastAsia="en-US"/>
        </w:rPr>
        <w:t xml:space="preserve">The wasteload allocation for each compliance point based on daily sampling is </w:t>
      </w:r>
      <w:r w:rsidR="005A1794">
        <w:rPr>
          <w:rFonts w:eastAsia="Calibri" w:cs="Arial"/>
          <w:lang w:eastAsia="en-US"/>
        </w:rPr>
        <w:t>zero (</w:t>
      </w:r>
      <w:r w:rsidRPr="00A3095D">
        <w:rPr>
          <w:rFonts w:eastAsia="Calibri" w:cs="Arial"/>
          <w:lang w:eastAsia="en-US"/>
        </w:rPr>
        <w:t>0</w:t>
      </w:r>
      <w:r w:rsidR="005A1794">
        <w:rPr>
          <w:rFonts w:eastAsia="Calibri" w:cs="Arial"/>
          <w:lang w:eastAsia="en-US"/>
        </w:rPr>
        <w:t>)</w:t>
      </w:r>
      <w:r w:rsidR="00B7271E">
        <w:rPr>
          <w:rFonts w:eastAsia="Calibri" w:cs="Arial"/>
          <w:lang w:eastAsia="en-US"/>
        </w:rPr>
        <w:t xml:space="preserve"> </w:t>
      </w:r>
      <w:r w:rsidRPr="00A3095D">
        <w:rPr>
          <w:rFonts w:eastAsia="Calibri" w:cs="Arial"/>
          <w:lang w:eastAsia="en-US"/>
        </w:rPr>
        <w:t xml:space="preserve">allowable exceedance days of the single sample limits during summer dry weather; 9 allowable exceedance days of the single sample numeric targets during winter dry weather; and 17 allowable exceedance days of the single sample numeric targets during wet weather. Allowable exceedance days are scaled according to sampling frequency. </w:t>
      </w:r>
      <w:r w:rsidRPr="00A3095D">
        <w:rPr>
          <w:rFonts w:cs="Arial"/>
          <w:lang w:eastAsia="en-US"/>
        </w:rPr>
        <w:t xml:space="preserve">The allowable exceedance day is defined as the number of days (per year) a </w:t>
      </w:r>
      <w:r w:rsidRPr="00A3095D">
        <w:rPr>
          <w:rFonts w:cs="Arial"/>
          <w:lang w:eastAsia="en-US"/>
        </w:rPr>
        <w:t>monitoring location is allowed to exceed any of the single sample targets.</w:t>
      </w:r>
      <w:r w:rsidRPr="00A3095D">
        <w:rPr>
          <w:rFonts w:eastAsia="Calibri" w:cs="Arial"/>
          <w:lang w:eastAsia="en-US"/>
        </w:rPr>
        <w:t xml:space="preserve"> If weekly sampling is conducted, one allowable exceedance day is provided during winter dry weather, and three allowable exceedance days are provided during wet weather throughout the year.</w:t>
      </w:r>
    </w:p>
    <w:p w:rsidRPr="00A3095D" w:rsidR="00A3095D" w:rsidP="00E8254E" w:rsidRDefault="00A3095D" w14:paraId="6A0F3B1C" w14:textId="77777777">
      <w:pPr>
        <w:numPr>
          <w:ilvl w:val="0"/>
          <w:numId w:val="61"/>
        </w:numPr>
        <w:ind w:left="1620"/>
        <w:rPr>
          <w:rFonts w:eastAsia="Calibri" w:cs="Arial"/>
          <w:lang w:eastAsia="en-US"/>
        </w:rPr>
      </w:pPr>
      <w:r w:rsidRPr="00A3095D">
        <w:rPr>
          <w:rFonts w:eastAsia="Calibri" w:cs="Arial"/>
          <w:lang w:eastAsia="en-US"/>
        </w:rPr>
        <w:t>Total coliform density shall not exceed 10,000 per 100 milliliters.</w:t>
      </w:r>
    </w:p>
    <w:p w:rsidRPr="00A3095D" w:rsidR="00A3095D" w:rsidP="00E8254E" w:rsidRDefault="00A3095D" w14:paraId="655B91DD" w14:textId="77777777">
      <w:pPr>
        <w:numPr>
          <w:ilvl w:val="0"/>
          <w:numId w:val="61"/>
        </w:numPr>
        <w:ind w:left="1620"/>
        <w:rPr>
          <w:rFonts w:eastAsia="Calibri" w:cs="Arial"/>
          <w:lang w:eastAsia="en-US"/>
        </w:rPr>
      </w:pPr>
      <w:r w:rsidRPr="00A3095D">
        <w:rPr>
          <w:rFonts w:eastAsia="Calibri" w:cs="Arial"/>
          <w:lang w:eastAsia="en-US"/>
        </w:rPr>
        <w:t>Fecal coliform density shall not exceed 400 per 100 milliliters.</w:t>
      </w:r>
    </w:p>
    <w:p w:rsidRPr="00A3095D" w:rsidR="00A3095D" w:rsidP="00E8254E" w:rsidRDefault="00A3095D" w14:paraId="04F7AC52" w14:textId="77777777">
      <w:pPr>
        <w:numPr>
          <w:ilvl w:val="0"/>
          <w:numId w:val="61"/>
        </w:numPr>
        <w:ind w:left="1620"/>
        <w:rPr>
          <w:rFonts w:eastAsia="Calibri" w:cs="Arial"/>
          <w:lang w:eastAsia="en-US"/>
        </w:rPr>
      </w:pPr>
      <w:r w:rsidRPr="00243804">
        <w:rPr>
          <w:rFonts w:eastAsia="Calibri" w:cs="Arial"/>
          <w:i/>
          <w:lang w:eastAsia="en-US"/>
        </w:rPr>
        <w:t>Enterococcus</w:t>
      </w:r>
      <w:r w:rsidRPr="00A3095D">
        <w:rPr>
          <w:rFonts w:eastAsia="Calibri" w:cs="Arial"/>
          <w:lang w:eastAsia="en-US"/>
        </w:rPr>
        <w:t xml:space="preserve"> density shall not exceed 104 per 100 milliliters.</w:t>
      </w:r>
    </w:p>
    <w:p w:rsidRPr="00A3095D" w:rsidR="00A3095D" w:rsidP="00E8254E" w:rsidRDefault="00A3095D" w14:paraId="2C9A81E2" w14:textId="77777777">
      <w:pPr>
        <w:numPr>
          <w:ilvl w:val="0"/>
          <w:numId w:val="61"/>
        </w:numPr>
        <w:ind w:left="1620"/>
        <w:rPr>
          <w:rFonts w:eastAsia="Calibri" w:cs="Arial"/>
          <w:lang w:eastAsia="en-US"/>
        </w:rPr>
      </w:pPr>
      <w:r w:rsidRPr="00A3095D">
        <w:rPr>
          <w:rFonts w:eastAsia="Calibri" w:cs="Arial"/>
          <w:lang w:eastAsia="en-US"/>
        </w:rPr>
        <w:t>Total coliform density shall not exceed 1,000 per 100 milliliters, if the ratio of fecal to total coliform exceeds 0.1.</w:t>
      </w:r>
    </w:p>
    <w:p w:rsidR="0097575A" w:rsidP="00A3095D" w:rsidRDefault="00A3095D" w14:paraId="51D5EC15" w14:textId="16CEB181">
      <w:pPr>
        <w:ind w:left="1260"/>
        <w:rPr>
          <w:rFonts w:cs="Arial"/>
          <w:lang w:eastAsia="en-US"/>
        </w:rPr>
      </w:pPr>
      <w:r w:rsidRPr="00A3095D">
        <w:rPr>
          <w:rFonts w:cs="Arial"/>
          <w:lang w:eastAsia="en-US"/>
        </w:rPr>
        <w:t>Compliance is the number of days that any single sample exceeds the limits shown above, based on the time of year</w:t>
      </w:r>
      <w:r w:rsidR="0097575A">
        <w:rPr>
          <w:rFonts w:cs="Arial"/>
          <w:lang w:eastAsia="en-US"/>
        </w:rPr>
        <w:t>:</w:t>
      </w:r>
      <w:r w:rsidRPr="00A3095D">
        <w:rPr>
          <w:rFonts w:cs="Arial"/>
          <w:lang w:eastAsia="en-US"/>
        </w:rPr>
        <w:t xml:space="preserve"> </w:t>
      </w:r>
    </w:p>
    <w:p w:rsidR="00246173" w:rsidP="00E8254E" w:rsidRDefault="0097575A" w14:paraId="7253072B" w14:textId="77777777">
      <w:pPr>
        <w:pStyle w:val="ListParagraph"/>
        <w:numPr>
          <w:ilvl w:val="0"/>
          <w:numId w:val="67"/>
        </w:numPr>
        <w:ind w:left="1620"/>
        <w:rPr>
          <w:rFonts w:cs="Arial"/>
        </w:rPr>
      </w:pPr>
      <w:r w:rsidRPr="00246173">
        <w:rPr>
          <w:rFonts w:cs="Arial"/>
        </w:rPr>
        <w:t>S</w:t>
      </w:r>
      <w:r w:rsidRPr="00246173" w:rsidR="00A3095D">
        <w:rPr>
          <w:rFonts w:cs="Arial"/>
        </w:rPr>
        <w:t xml:space="preserve">ummer dry-weather: April 1 to October 31; </w:t>
      </w:r>
    </w:p>
    <w:p w:rsidR="00246173" w:rsidP="00E8254E" w:rsidRDefault="00246173" w14:paraId="759AA019" w14:textId="77777777">
      <w:pPr>
        <w:pStyle w:val="ListParagraph"/>
        <w:numPr>
          <w:ilvl w:val="0"/>
          <w:numId w:val="67"/>
        </w:numPr>
        <w:ind w:left="1620"/>
        <w:rPr>
          <w:rFonts w:cs="Arial"/>
        </w:rPr>
      </w:pPr>
      <w:r>
        <w:rPr>
          <w:rFonts w:cs="Arial"/>
        </w:rPr>
        <w:t>W</w:t>
      </w:r>
      <w:r w:rsidRPr="00246173" w:rsidR="00A3095D">
        <w:rPr>
          <w:rFonts w:cs="Arial"/>
        </w:rPr>
        <w:t xml:space="preserve">inter dry-weather: November 1 to March 31: and </w:t>
      </w:r>
    </w:p>
    <w:p w:rsidR="00246173" w:rsidP="00E8254E" w:rsidRDefault="00246173" w14:paraId="48B8E02A" w14:textId="5938D6D0">
      <w:pPr>
        <w:pStyle w:val="ListParagraph"/>
        <w:numPr>
          <w:ilvl w:val="0"/>
          <w:numId w:val="67"/>
        </w:numPr>
        <w:ind w:left="1620"/>
        <w:rPr>
          <w:rFonts w:cs="Arial"/>
        </w:rPr>
      </w:pPr>
      <w:r>
        <w:rPr>
          <w:rFonts w:cs="Arial"/>
        </w:rPr>
        <w:t>W</w:t>
      </w:r>
      <w:r w:rsidRPr="00246173" w:rsidR="00A3095D">
        <w:rPr>
          <w:rFonts w:cs="Arial"/>
        </w:rPr>
        <w:t>et</w:t>
      </w:r>
      <w:r w:rsidRPr="00246173" w:rsidR="008C6FDC">
        <w:rPr>
          <w:rFonts w:cs="Arial"/>
        </w:rPr>
        <w:t xml:space="preserve"> </w:t>
      </w:r>
      <w:r w:rsidRPr="00246173" w:rsidR="00A3095D">
        <w:rPr>
          <w:rFonts w:cs="Arial"/>
        </w:rPr>
        <w:t xml:space="preserve">weather: defined as days with 0.1 inch of rain or greater and the three days following the rain event). </w:t>
      </w:r>
    </w:p>
    <w:p w:rsidRPr="00246173" w:rsidR="00A3095D" w:rsidP="00246173" w:rsidRDefault="00A3095D" w14:paraId="3E758881" w14:textId="47FCCFB3">
      <w:pPr>
        <w:ind w:left="1260"/>
        <w:rPr>
          <w:rFonts w:cs="Arial"/>
        </w:rPr>
      </w:pPr>
      <w:r w:rsidRPr="00246173">
        <w:rPr>
          <w:rFonts w:cs="Arial"/>
        </w:rPr>
        <w:t xml:space="preserve">A storm year is defined as the period from November 1 through October 31. </w:t>
      </w:r>
    </w:p>
    <w:p w:rsidRPr="00A3095D" w:rsidR="00A3095D" w:rsidP="00A3095D" w:rsidRDefault="00A3095D" w14:paraId="3E0288B1" w14:textId="77777777">
      <w:pPr>
        <w:ind w:left="1260"/>
        <w:rPr>
          <w:rFonts w:cs="Arial"/>
          <w:lang w:eastAsia="en-US"/>
        </w:rPr>
      </w:pPr>
      <w:r w:rsidRPr="00A3095D">
        <w:rPr>
          <w:rFonts w:cs="Arial"/>
          <w:b/>
          <w:bCs/>
          <w:lang w:eastAsia="en-US"/>
        </w:rPr>
        <w:t xml:space="preserve">Final Compliance Deadline: </w:t>
      </w:r>
      <w:r w:rsidRPr="00A3095D">
        <w:rPr>
          <w:rFonts w:cs="Arial"/>
          <w:lang w:eastAsia="en-US"/>
        </w:rPr>
        <w:t>The City of Avalon is required to achieve the following milestones and targets for wasteload allocations assigned to its municipal stormwater discharges: By April 1, 2016, there shall be no allowable exceedances at any locations during summer dry weather (April 1 to October 31); by November 1, 2016, compliance with the allowable number of winter dry weather exceedance days shall be achieved (November 1 to March 31); by November 1, 2017, compliance with the allowable number of wet-weather exceedance days and geometric mean targets must be achieved.</w:t>
      </w:r>
    </w:p>
    <w:p w:rsidRPr="000D48DD" w:rsidR="00A3095D" w:rsidP="000D48DD" w:rsidRDefault="00836361" w14:paraId="0242C140" w14:textId="378AD470">
      <w:pPr>
        <w:pStyle w:val="Heading3"/>
        <w:tabs>
          <w:tab w:val="clear" w:pos="720"/>
          <w:tab w:val="left" w:pos="1170"/>
        </w:tabs>
        <w:ind w:left="1170" w:hanging="1170"/>
        <w:rPr>
          <w:i/>
          <w:iCs/>
        </w:rPr>
      </w:pPr>
      <w:r>
        <w:rPr>
          <w:i/>
          <w:iCs/>
        </w:rPr>
        <w:t>A13</w:t>
      </w:r>
      <w:r w:rsidRPr="000D48DD" w:rsidR="000432A5">
        <w:rPr>
          <w:i/>
          <w:iCs/>
        </w:rPr>
        <w:t>.4</w:t>
      </w:r>
      <w:r w:rsidRPr="000D48DD" w:rsidR="00A3095D">
        <w:rPr>
          <w:i/>
          <w:iCs/>
        </w:rPr>
        <w:t>.2</w:t>
      </w:r>
      <w:r w:rsidRPr="000D48DD" w:rsidR="00A3095D">
        <w:rPr>
          <w:i/>
          <w:iCs/>
        </w:rPr>
        <w:tab/>
      </w:r>
      <w:r w:rsidRPr="00ED7309" w:rsidR="00ED7309">
        <w:rPr>
          <w:i/>
          <w:iCs/>
        </w:rPr>
        <w:t>Ballona Creek, Ballona Estuary, and Sepulveda Channel Bacteria TMDL</w:t>
      </w:r>
    </w:p>
    <w:p w:rsidRPr="00A3095D" w:rsidR="00A3095D" w:rsidP="00A3095D" w:rsidRDefault="00A3095D" w14:paraId="55FC6AA6" w14:textId="5166AFA9">
      <w:pPr>
        <w:ind w:left="1260"/>
        <w:rPr>
          <w:rFonts w:cs="Arial"/>
          <w:lang w:eastAsia="en-US"/>
        </w:rPr>
      </w:pPr>
      <w:r w:rsidRPr="00A3095D">
        <w:rPr>
          <w:rFonts w:cs="Arial"/>
          <w:b/>
          <w:bCs/>
          <w:lang w:eastAsia="en-US"/>
        </w:rPr>
        <w:t>Description</w:t>
      </w:r>
      <w:r w:rsidRPr="00A3095D">
        <w:rPr>
          <w:rFonts w:cs="Arial"/>
          <w:lang w:eastAsia="en-US"/>
        </w:rPr>
        <w:t xml:space="preserve">: </w:t>
      </w:r>
      <w:r w:rsidR="00766ACF">
        <w:rPr>
          <w:rFonts w:cs="Arial"/>
          <w:lang w:eastAsia="en-US"/>
        </w:rPr>
        <w:t>USEPA</w:t>
      </w:r>
      <w:r w:rsidR="00C56C92">
        <w:rPr>
          <w:rFonts w:cs="Arial"/>
          <w:lang w:eastAsia="en-US"/>
        </w:rPr>
        <w:t xml:space="preserve"> </w:t>
      </w:r>
      <w:r w:rsidRPr="00A3095D">
        <w:rPr>
          <w:rFonts w:cs="Arial"/>
          <w:lang w:eastAsia="en-US"/>
        </w:rPr>
        <w:t xml:space="preserve">approved the revised TMDL on July 2, 2014. The creek, estuary, and tributaries are impaired due to bacteria, which is impacting recreational use. This TMDL addresses the bacteria impairments by establishing wasteload allocations. The major bacteria sources are dry- and wet-weather urban runoff from stormwater conveyance systems. </w:t>
      </w:r>
    </w:p>
    <w:p w:rsidRPr="00A3095D" w:rsidR="00A3095D" w:rsidP="00A3095D" w:rsidRDefault="00A3095D" w14:paraId="4F943733" w14:textId="4408B591">
      <w:pPr>
        <w:ind w:left="1260"/>
        <w:rPr>
          <w:rFonts w:cs="Arial"/>
          <w:lang w:eastAsia="en-US"/>
        </w:rPr>
      </w:pPr>
      <w:r w:rsidRPr="00A3095D">
        <w:rPr>
          <w:b/>
          <w:szCs w:val="20"/>
          <w:lang w:eastAsia="en-US"/>
        </w:rPr>
        <w:t>Responsible Permit</w:t>
      </w:r>
      <w:r w:rsidR="0091593F">
        <w:rPr>
          <w:b/>
          <w:szCs w:val="20"/>
          <w:lang w:eastAsia="en-US"/>
        </w:rPr>
        <w:t>t</w:t>
      </w:r>
      <w:r w:rsidRPr="00A3095D">
        <w:rPr>
          <w:b/>
          <w:szCs w:val="20"/>
          <w:lang w:eastAsia="en-US"/>
        </w:rPr>
        <w:t>ees:</w:t>
      </w:r>
      <w:r w:rsidRPr="00A3095D">
        <w:rPr>
          <w:b/>
          <w:bCs/>
          <w:szCs w:val="20"/>
          <w:lang w:eastAsia="en-US"/>
        </w:rPr>
        <w:t xml:space="preserve"> </w:t>
      </w:r>
      <w:r w:rsidRPr="00A3095D">
        <w:rPr>
          <w:szCs w:val="20"/>
          <w:lang w:eastAsia="en-US"/>
        </w:rPr>
        <w:t>University of California</w:t>
      </w:r>
      <w:r w:rsidR="009F7081">
        <w:rPr>
          <w:szCs w:val="20"/>
          <w:lang w:eastAsia="en-US"/>
        </w:rPr>
        <w:t>,</w:t>
      </w:r>
      <w:r w:rsidRPr="00A3095D">
        <w:rPr>
          <w:szCs w:val="20"/>
          <w:lang w:eastAsia="en-US"/>
        </w:rPr>
        <w:t xml:space="preserve"> Los Angeles</w:t>
      </w:r>
      <w:r w:rsidR="00006383">
        <w:rPr>
          <w:rFonts w:cs="Arial"/>
          <w:lang w:eastAsia="en-US"/>
        </w:rPr>
        <w:t xml:space="preserve">; </w:t>
      </w:r>
      <w:r w:rsidRPr="00CC30B5" w:rsidR="001A79F9">
        <w:rPr>
          <w:rFonts w:cs="Arial"/>
        </w:rPr>
        <w:t>Veteran</w:t>
      </w:r>
      <w:r w:rsidR="001A79F9">
        <w:rPr>
          <w:rFonts w:cs="Arial"/>
        </w:rPr>
        <w:t>s</w:t>
      </w:r>
      <w:r w:rsidRPr="00CC30B5" w:rsidR="001A79F9">
        <w:rPr>
          <w:rFonts w:cs="Arial"/>
        </w:rPr>
        <w:t xml:space="preserve"> Affairs Greater Los Angeles Healthcare System</w:t>
      </w:r>
      <w:r w:rsidR="001A79F9">
        <w:rPr>
          <w:rFonts w:cs="Arial"/>
        </w:rPr>
        <w:t>.</w:t>
      </w:r>
    </w:p>
    <w:p w:rsidRPr="00A3095D" w:rsidR="00A3095D" w:rsidP="004F4D24" w:rsidRDefault="00A3095D" w14:paraId="041688A8" w14:textId="77777777">
      <w:pPr>
        <w:autoSpaceDE w:val="0"/>
        <w:autoSpaceDN w:val="0"/>
        <w:adjustRightInd w:val="0"/>
        <w:ind w:left="1260"/>
        <w:rPr>
          <w:rFonts w:eastAsia="Calibri" w:cs="Arial"/>
          <w:color w:val="000000"/>
          <w:lang w:eastAsia="en-US"/>
        </w:rPr>
      </w:pPr>
      <w:r w:rsidRPr="00A3095D">
        <w:rPr>
          <w:rFonts w:eastAsia="Calibri" w:cs="Arial"/>
          <w:b/>
          <w:color w:val="000000"/>
          <w:lang w:eastAsia="en-US"/>
        </w:rPr>
        <w:t>Wasteload Allocations:</w:t>
      </w:r>
      <w:r w:rsidRPr="00A3095D">
        <w:rPr>
          <w:rFonts w:eastAsia="Calibri" w:cs="Arial"/>
          <w:b/>
          <w:bCs/>
          <w:color w:val="000000"/>
          <w:lang w:eastAsia="en-US"/>
        </w:rPr>
        <w:t xml:space="preserve"> </w:t>
      </w:r>
      <w:r w:rsidRPr="00A3095D">
        <w:rPr>
          <w:rFonts w:eastAsia="Calibri" w:cs="Arial"/>
          <w:color w:val="000000"/>
          <w:lang w:eastAsia="en-US"/>
        </w:rPr>
        <w:t xml:space="preserve">The responsible jurisdictions and responsible agencies, which includes the Permittees, within the watershed are jointly responsible for complying with the wasteload allocation in each reach. </w:t>
      </w:r>
    </w:p>
    <w:p w:rsidRPr="00A3095D" w:rsidR="00A3095D" w:rsidP="004F4D24" w:rsidRDefault="00A3095D" w14:paraId="6F85426F" w14:textId="77777777">
      <w:pPr>
        <w:autoSpaceDE w:val="0"/>
        <w:autoSpaceDN w:val="0"/>
        <w:adjustRightInd w:val="0"/>
        <w:ind w:left="1267"/>
        <w:rPr>
          <w:rFonts w:eastAsia="Calibri" w:cs="Arial"/>
          <w:color w:val="000000"/>
          <w:lang w:eastAsia="en-US"/>
        </w:rPr>
      </w:pPr>
      <w:r w:rsidRPr="00A3095D">
        <w:rPr>
          <w:rFonts w:eastAsia="Calibri" w:cs="Arial"/>
          <w:color w:val="000000"/>
          <w:lang w:eastAsia="en-US"/>
        </w:rPr>
        <w:t xml:space="preserve">The TMDL states that the wasteload allocation are expressed as the allowable number of days a numeric water quality objective may be exceeded. Wasteload allocations are expressed as allowable exceedance days of the water quality objectives. </w:t>
      </w:r>
    </w:p>
    <w:p w:rsidRPr="00A3095D" w:rsidR="00A3095D" w:rsidP="004F4D24" w:rsidRDefault="00A3095D" w14:paraId="66529F5F" w14:textId="77777777">
      <w:pPr>
        <w:autoSpaceDE w:val="0"/>
        <w:autoSpaceDN w:val="0"/>
        <w:adjustRightInd w:val="0"/>
        <w:spacing w:line="240" w:lineRule="auto"/>
        <w:ind w:left="1267"/>
        <w:rPr>
          <w:rFonts w:eastAsia="Calibri" w:cs="Arial"/>
          <w:color w:val="000000"/>
          <w:u w:val="single"/>
          <w:lang w:eastAsia="en-US"/>
        </w:rPr>
      </w:pPr>
      <w:r w:rsidRPr="00A3095D">
        <w:rPr>
          <w:rFonts w:eastAsia="Calibri" w:cs="Arial"/>
          <w:color w:val="000000"/>
          <w:u w:val="single"/>
          <w:lang w:eastAsia="en-US"/>
        </w:rPr>
        <w:t>Wasteload Allocations as Allowable Exceedance Days of the Water Quality Objectives</w:t>
      </w:r>
    </w:p>
    <w:p w:rsidRPr="00A3095D" w:rsidR="00A3095D" w:rsidP="004F4D24" w:rsidRDefault="00A3095D" w14:paraId="0AB8F3E1" w14:textId="77777777">
      <w:pPr>
        <w:autoSpaceDE w:val="0"/>
        <w:autoSpaceDN w:val="0"/>
        <w:adjustRightInd w:val="0"/>
        <w:ind w:left="1267"/>
        <w:rPr>
          <w:rFonts w:eastAsia="Calibri" w:cs="Arial"/>
          <w:color w:val="000000"/>
          <w:lang w:eastAsia="en-US"/>
        </w:rPr>
      </w:pPr>
      <w:r w:rsidRPr="00A3095D">
        <w:rPr>
          <w:rFonts w:eastAsia="Calibri" w:cs="Arial"/>
          <w:color w:val="000000"/>
          <w:lang w:eastAsia="en-US"/>
        </w:rPr>
        <w:t xml:space="preserve">For each monitoring site in Ballona Creek and its tributaries, allowable exceedance days are set on an annual basis and for two time periods. These two periods are: dry-weather days and wet-weather days (defined as days of 0.1-inch of rain or more plus three days following the rain event). </w:t>
      </w:r>
    </w:p>
    <w:p w:rsidRPr="00A3095D" w:rsidR="00A3095D" w:rsidP="004F4D24" w:rsidRDefault="00A3095D" w14:paraId="7470B595" w14:textId="77777777">
      <w:pPr>
        <w:autoSpaceDE w:val="0"/>
        <w:autoSpaceDN w:val="0"/>
        <w:adjustRightInd w:val="0"/>
        <w:ind w:left="1260"/>
        <w:rPr>
          <w:rFonts w:eastAsia="Calibri" w:cs="Arial"/>
          <w:color w:val="000000"/>
          <w:lang w:eastAsia="en-US"/>
        </w:rPr>
      </w:pPr>
      <w:r w:rsidRPr="00A3095D">
        <w:rPr>
          <w:rFonts w:eastAsia="Calibri" w:cs="Arial"/>
          <w:color w:val="000000"/>
          <w:lang w:eastAsia="en-US"/>
        </w:rPr>
        <w:t xml:space="preserve">For each monitoring site in Ballona Estuary, allowable exceedance days are set on an annual basis and for three time periods. These three periods are: summer dry-weather (April 1 to October 31); winter dry-weather (November 1 to March 31); and wet-weather (defined as days of 0.1 inch of rain or more plus three days following the rain event). </w:t>
      </w:r>
    </w:p>
    <w:p w:rsidRPr="00A3095D" w:rsidR="00A3095D" w:rsidP="004F4D24" w:rsidRDefault="00A3095D" w14:paraId="22F313D6" w14:textId="77777777">
      <w:pPr>
        <w:autoSpaceDE w:val="0"/>
        <w:autoSpaceDN w:val="0"/>
        <w:adjustRightInd w:val="0"/>
        <w:spacing w:line="240" w:lineRule="auto"/>
        <w:ind w:left="1267"/>
        <w:rPr>
          <w:rFonts w:eastAsia="Calibri" w:cs="Arial"/>
          <w:color w:val="000000"/>
          <w:lang w:eastAsia="en-US"/>
        </w:rPr>
      </w:pPr>
      <w:r w:rsidRPr="00A3095D">
        <w:rPr>
          <w:rFonts w:eastAsia="Calibri" w:cs="Arial"/>
          <w:color w:val="000000"/>
          <w:u w:val="single"/>
          <w:lang w:eastAsia="en-US"/>
        </w:rPr>
        <w:t>Numeric Water Quality Objectives</w:t>
      </w:r>
      <w:r w:rsidRPr="00A3095D">
        <w:rPr>
          <w:rFonts w:eastAsia="Calibri" w:cs="Arial"/>
          <w:color w:val="000000"/>
          <w:lang w:eastAsia="en-US"/>
        </w:rPr>
        <w:t xml:space="preserve">: The numeric water quality objectives are the water contact recreation and limited water contact recreation objectives, as follows: </w:t>
      </w:r>
    </w:p>
    <w:p w:rsidRPr="00A3095D" w:rsidR="00A3095D" w:rsidP="00A3095D" w:rsidRDefault="00A3095D" w14:paraId="624CB236" w14:textId="77777777">
      <w:pPr>
        <w:ind w:left="1800" w:hanging="360"/>
        <w:rPr>
          <w:rFonts w:cs="Arial"/>
          <w:szCs w:val="20"/>
          <w:lang w:eastAsia="en-US"/>
        </w:rPr>
      </w:pPr>
      <w:r w:rsidRPr="00A3095D">
        <w:rPr>
          <w:rFonts w:cs="Arial"/>
          <w:szCs w:val="20"/>
          <w:u w:val="single"/>
          <w:lang w:eastAsia="en-US"/>
        </w:rPr>
        <w:t>In Marine Waters Designated for Water Contact Recreation</w:t>
      </w:r>
      <w:r w:rsidRPr="00A3095D">
        <w:rPr>
          <w:rFonts w:cs="Arial"/>
          <w:szCs w:val="20"/>
          <w:lang w:eastAsia="en-US"/>
        </w:rPr>
        <w:t xml:space="preserve"> </w:t>
      </w:r>
    </w:p>
    <w:p w:rsidRPr="00A3095D" w:rsidR="00A3095D" w:rsidP="00F738A0" w:rsidRDefault="00A3095D" w14:paraId="335DA7AC" w14:textId="77777777">
      <w:pPr>
        <w:numPr>
          <w:ilvl w:val="0"/>
          <w:numId w:val="21"/>
        </w:numPr>
        <w:ind w:left="1800"/>
        <w:rPr>
          <w:rFonts w:cs="Arial"/>
          <w:lang w:eastAsia="en-US"/>
        </w:rPr>
      </w:pPr>
      <w:r w:rsidRPr="00A3095D">
        <w:rPr>
          <w:rFonts w:cs="Arial"/>
          <w:lang w:eastAsia="en-US"/>
        </w:rPr>
        <w:t xml:space="preserve">Geometric Mean Limits </w:t>
      </w:r>
    </w:p>
    <w:p w:rsidRPr="00A3095D" w:rsidR="00A3095D" w:rsidP="00F738A0" w:rsidRDefault="00A3095D" w14:paraId="2AF63419" w14:textId="77777777">
      <w:pPr>
        <w:numPr>
          <w:ilvl w:val="1"/>
          <w:numId w:val="22"/>
        </w:numPr>
        <w:ind w:left="2160"/>
        <w:rPr>
          <w:rFonts w:cs="Arial"/>
          <w:lang w:eastAsia="en-US"/>
        </w:rPr>
      </w:pPr>
      <w:r w:rsidRPr="00A3095D">
        <w:rPr>
          <w:rFonts w:cs="Arial"/>
          <w:lang w:eastAsia="en-US"/>
        </w:rPr>
        <w:t xml:space="preserve">Total coliform density shall not exceed 1,000/100 ml. </w:t>
      </w:r>
    </w:p>
    <w:p w:rsidRPr="00A3095D" w:rsidR="00A3095D" w:rsidP="00F738A0" w:rsidRDefault="00A3095D" w14:paraId="423968EA" w14:textId="77777777">
      <w:pPr>
        <w:numPr>
          <w:ilvl w:val="1"/>
          <w:numId w:val="22"/>
        </w:numPr>
        <w:ind w:left="2160"/>
        <w:rPr>
          <w:rFonts w:cs="Arial"/>
          <w:lang w:eastAsia="en-US"/>
        </w:rPr>
      </w:pPr>
      <w:r w:rsidRPr="00A3095D">
        <w:rPr>
          <w:rFonts w:cs="Arial"/>
          <w:lang w:eastAsia="en-US"/>
        </w:rPr>
        <w:t xml:space="preserve">Fecal coliform density shall not exceed 200/100 ml. </w:t>
      </w:r>
    </w:p>
    <w:p w:rsidRPr="00A3095D" w:rsidR="00A3095D" w:rsidP="00F738A0" w:rsidRDefault="00A3095D" w14:paraId="2F7ABDF0" w14:textId="77777777">
      <w:pPr>
        <w:numPr>
          <w:ilvl w:val="1"/>
          <w:numId w:val="22"/>
        </w:numPr>
        <w:ind w:left="2160"/>
        <w:rPr>
          <w:rFonts w:cs="Arial"/>
          <w:lang w:eastAsia="en-US"/>
        </w:rPr>
      </w:pPr>
      <w:r w:rsidRPr="00243804">
        <w:rPr>
          <w:rFonts w:cs="Arial"/>
          <w:i/>
          <w:lang w:eastAsia="en-US"/>
        </w:rPr>
        <w:t>Enterococcus</w:t>
      </w:r>
      <w:r w:rsidRPr="00A3095D">
        <w:rPr>
          <w:rFonts w:cs="Arial"/>
          <w:lang w:eastAsia="en-US"/>
        </w:rPr>
        <w:t xml:space="preserve"> density shall not exceed 35/100 ml. </w:t>
      </w:r>
    </w:p>
    <w:p w:rsidRPr="00A3095D" w:rsidR="00A3095D" w:rsidP="00F738A0" w:rsidRDefault="00A3095D" w14:paraId="12D56D5E" w14:textId="77777777">
      <w:pPr>
        <w:numPr>
          <w:ilvl w:val="0"/>
          <w:numId w:val="21"/>
        </w:numPr>
        <w:ind w:left="1800"/>
        <w:rPr>
          <w:rFonts w:cs="Arial"/>
          <w:lang w:eastAsia="en-US"/>
        </w:rPr>
      </w:pPr>
      <w:r w:rsidRPr="00A3095D">
        <w:rPr>
          <w:rFonts w:cs="Arial"/>
          <w:lang w:eastAsia="en-US"/>
        </w:rPr>
        <w:t xml:space="preserve">Single Sample Limits </w:t>
      </w:r>
    </w:p>
    <w:p w:rsidRPr="00A3095D" w:rsidR="00A3095D" w:rsidP="00F738A0" w:rsidRDefault="00A3095D" w14:paraId="20D16613" w14:textId="77777777">
      <w:pPr>
        <w:numPr>
          <w:ilvl w:val="1"/>
          <w:numId w:val="22"/>
        </w:numPr>
        <w:ind w:left="2160"/>
        <w:rPr>
          <w:rFonts w:cs="Arial"/>
          <w:lang w:eastAsia="en-US"/>
        </w:rPr>
      </w:pPr>
      <w:r w:rsidRPr="00A3095D">
        <w:rPr>
          <w:rFonts w:cs="Arial"/>
          <w:lang w:eastAsia="en-US"/>
        </w:rPr>
        <w:t xml:space="preserve">Total coliform density shall not exceed 10,000/100 ml. </w:t>
      </w:r>
    </w:p>
    <w:p w:rsidRPr="00A3095D" w:rsidR="00A3095D" w:rsidP="00F738A0" w:rsidRDefault="00A3095D" w14:paraId="1C459FDA" w14:textId="77777777">
      <w:pPr>
        <w:numPr>
          <w:ilvl w:val="1"/>
          <w:numId w:val="22"/>
        </w:numPr>
        <w:ind w:left="2160"/>
        <w:rPr>
          <w:rFonts w:cs="Arial"/>
          <w:lang w:eastAsia="en-US"/>
        </w:rPr>
      </w:pPr>
      <w:r w:rsidRPr="00A3095D">
        <w:rPr>
          <w:rFonts w:cs="Arial"/>
          <w:lang w:eastAsia="en-US"/>
        </w:rPr>
        <w:t xml:space="preserve">Fecal coliform density shall not exceed 400/100 ml. </w:t>
      </w:r>
    </w:p>
    <w:p w:rsidRPr="00A3095D" w:rsidR="00A3095D" w:rsidP="00F738A0" w:rsidRDefault="00A3095D" w14:paraId="36122378" w14:textId="77777777">
      <w:pPr>
        <w:numPr>
          <w:ilvl w:val="1"/>
          <w:numId w:val="22"/>
        </w:numPr>
        <w:ind w:left="2160"/>
        <w:rPr>
          <w:rFonts w:cs="Arial"/>
          <w:lang w:eastAsia="en-US"/>
        </w:rPr>
      </w:pPr>
      <w:r w:rsidRPr="00C64C1E">
        <w:rPr>
          <w:rFonts w:cs="Arial"/>
          <w:i/>
          <w:lang w:eastAsia="en-US"/>
        </w:rPr>
        <w:t>Enterococcus</w:t>
      </w:r>
      <w:r w:rsidRPr="00A3095D">
        <w:rPr>
          <w:rFonts w:cs="Arial"/>
          <w:lang w:eastAsia="en-US"/>
        </w:rPr>
        <w:t xml:space="preserve"> density shall not exceed 104/100 ml. </w:t>
      </w:r>
    </w:p>
    <w:p w:rsidRPr="00A3095D" w:rsidR="00A3095D" w:rsidP="00F738A0" w:rsidRDefault="00A3095D" w14:paraId="70E7920D" w14:textId="77777777">
      <w:pPr>
        <w:numPr>
          <w:ilvl w:val="1"/>
          <w:numId w:val="22"/>
        </w:numPr>
        <w:ind w:left="2160"/>
        <w:rPr>
          <w:rFonts w:cs="Arial"/>
          <w:lang w:eastAsia="en-US"/>
        </w:rPr>
      </w:pPr>
      <w:r w:rsidRPr="00A3095D">
        <w:rPr>
          <w:rFonts w:cs="Arial"/>
          <w:lang w:eastAsia="en-US"/>
        </w:rPr>
        <w:t xml:space="preserve">Total coliform density shall not exceed 1,000/100 ml, if the ratio of fecal-to-total coliform exceeds 0.1. </w:t>
      </w:r>
    </w:p>
    <w:p w:rsidRPr="00F738A0" w:rsidR="00A3095D" w:rsidP="00A3095D" w:rsidRDefault="00A3095D" w14:paraId="7EDAE64B" w14:textId="77777777">
      <w:pPr>
        <w:ind w:left="1800" w:hanging="360"/>
        <w:rPr>
          <w:rFonts w:cs="Arial"/>
          <w:szCs w:val="20"/>
          <w:u w:val="single"/>
          <w:lang w:eastAsia="en-US"/>
        </w:rPr>
      </w:pPr>
      <w:r w:rsidRPr="00A3095D">
        <w:rPr>
          <w:rFonts w:cs="Arial"/>
          <w:szCs w:val="20"/>
          <w:u w:val="single"/>
          <w:lang w:eastAsia="en-US"/>
        </w:rPr>
        <w:t>In Fresh Waters Designated for Water Contact Recreation</w:t>
      </w:r>
    </w:p>
    <w:p w:rsidRPr="00A1427E" w:rsidR="00A3095D" w:rsidP="006A0DB7" w:rsidRDefault="00A3095D" w14:paraId="5B4510EB" w14:textId="2B9631AE">
      <w:pPr>
        <w:numPr>
          <w:ilvl w:val="1"/>
          <w:numId w:val="22"/>
        </w:numPr>
        <w:ind w:left="2160"/>
        <w:rPr>
          <w:rFonts w:cs="Arial"/>
          <w:lang w:eastAsia="en-US"/>
        </w:rPr>
      </w:pPr>
      <w:r w:rsidRPr="00A1427E">
        <w:rPr>
          <w:rFonts w:cs="Arial"/>
          <w:lang w:eastAsia="en-US"/>
        </w:rPr>
        <w:t>Geometric Mean Limits</w:t>
      </w:r>
      <w:r w:rsidRPr="00A1427E" w:rsidR="00A1427E">
        <w:rPr>
          <w:rFonts w:cs="Arial"/>
          <w:lang w:eastAsia="en-US"/>
        </w:rPr>
        <w:t xml:space="preserve">: </w:t>
      </w:r>
      <w:r w:rsidRPr="00524981">
        <w:rPr>
          <w:rFonts w:cs="Arial"/>
          <w:i/>
          <w:iCs/>
          <w:lang w:eastAsia="en-US"/>
        </w:rPr>
        <w:t>E</w:t>
      </w:r>
      <w:r w:rsidRPr="00EE609F">
        <w:rPr>
          <w:rFonts w:cs="Arial"/>
          <w:i/>
          <w:lang w:eastAsia="en-US"/>
        </w:rPr>
        <w:t>. coli</w:t>
      </w:r>
      <w:r w:rsidRPr="00A1427E">
        <w:rPr>
          <w:rFonts w:cs="Arial"/>
          <w:lang w:eastAsia="en-US"/>
        </w:rPr>
        <w:t xml:space="preserve"> density shall not exceed 126/100 ml. </w:t>
      </w:r>
    </w:p>
    <w:p w:rsidRPr="00A1427E" w:rsidR="00A3095D" w:rsidP="006A0DB7" w:rsidRDefault="00A3095D" w14:paraId="38D4CFD8" w14:textId="7C53A1BE">
      <w:pPr>
        <w:numPr>
          <w:ilvl w:val="1"/>
          <w:numId w:val="22"/>
        </w:numPr>
        <w:ind w:left="2160"/>
        <w:rPr>
          <w:rFonts w:cs="Arial"/>
          <w:lang w:eastAsia="en-US"/>
        </w:rPr>
      </w:pPr>
      <w:r w:rsidRPr="00A1427E">
        <w:rPr>
          <w:rFonts w:cs="Arial"/>
          <w:lang w:eastAsia="en-US"/>
        </w:rPr>
        <w:t>Single Sample Limits</w:t>
      </w:r>
      <w:r w:rsidRPr="00A1427E" w:rsidR="00A1427E">
        <w:rPr>
          <w:rFonts w:cs="Arial"/>
          <w:lang w:eastAsia="en-US"/>
        </w:rPr>
        <w:t xml:space="preserve">: </w:t>
      </w:r>
      <w:r w:rsidRPr="00A1427E">
        <w:rPr>
          <w:rFonts w:cs="Arial"/>
          <w:i/>
          <w:lang w:eastAsia="en-US"/>
        </w:rPr>
        <w:t>E</w:t>
      </w:r>
      <w:r w:rsidRPr="00EE609F">
        <w:rPr>
          <w:rFonts w:cs="Arial"/>
          <w:i/>
          <w:lang w:eastAsia="en-US"/>
        </w:rPr>
        <w:t>. coli</w:t>
      </w:r>
      <w:r w:rsidRPr="00A1427E">
        <w:rPr>
          <w:rFonts w:cs="Arial"/>
          <w:lang w:eastAsia="en-US"/>
        </w:rPr>
        <w:t xml:space="preserve"> density shall not exceed 235/100 ml</w:t>
      </w:r>
    </w:p>
    <w:p w:rsidRPr="00A3095D" w:rsidR="00A3095D" w:rsidP="00F738A0" w:rsidRDefault="00A3095D" w14:paraId="5736623E" w14:textId="77777777">
      <w:pPr>
        <w:ind w:left="1800" w:hanging="360"/>
        <w:rPr>
          <w:rFonts w:cs="Arial"/>
          <w:szCs w:val="20"/>
          <w:u w:val="single"/>
          <w:lang w:eastAsia="en-US"/>
        </w:rPr>
      </w:pPr>
      <w:r w:rsidRPr="00A3095D">
        <w:rPr>
          <w:rFonts w:cs="Arial"/>
          <w:szCs w:val="20"/>
          <w:u w:val="single"/>
          <w:lang w:eastAsia="en-US"/>
        </w:rPr>
        <w:t>In Fresh Waters Designated for Limited Water Contact Recreation</w:t>
      </w:r>
    </w:p>
    <w:p w:rsidRPr="002F1DF4" w:rsidR="00A3095D" w:rsidP="006A0DB7" w:rsidRDefault="00A3095D" w14:paraId="78711421" w14:textId="20748725">
      <w:pPr>
        <w:numPr>
          <w:ilvl w:val="1"/>
          <w:numId w:val="22"/>
        </w:numPr>
        <w:ind w:left="2160"/>
        <w:rPr>
          <w:rFonts w:cs="Arial"/>
          <w:lang w:eastAsia="en-US"/>
        </w:rPr>
      </w:pPr>
      <w:r w:rsidRPr="002F1DF4">
        <w:rPr>
          <w:rFonts w:cs="Arial"/>
          <w:lang w:eastAsia="en-US"/>
        </w:rPr>
        <w:t>Geometric Mean Limits</w:t>
      </w:r>
      <w:r w:rsidRPr="002F1DF4" w:rsidR="002F1DF4">
        <w:rPr>
          <w:rFonts w:cs="Arial"/>
          <w:lang w:eastAsia="en-US"/>
        </w:rPr>
        <w:t>:</w:t>
      </w:r>
      <w:r w:rsidR="00E56CF2">
        <w:rPr>
          <w:rFonts w:cs="Arial"/>
          <w:lang w:eastAsia="en-US"/>
        </w:rPr>
        <w:t xml:space="preserve"> </w:t>
      </w:r>
      <w:r w:rsidRPr="00977A12">
        <w:rPr>
          <w:rFonts w:cs="Arial"/>
          <w:i/>
          <w:iCs/>
          <w:lang w:eastAsia="en-US"/>
        </w:rPr>
        <w:t>E. coli</w:t>
      </w:r>
      <w:r w:rsidRPr="002F1DF4">
        <w:rPr>
          <w:rFonts w:cs="Arial"/>
          <w:lang w:eastAsia="en-US"/>
        </w:rPr>
        <w:t xml:space="preserve"> density shall not exceed 126/100 ml. </w:t>
      </w:r>
    </w:p>
    <w:p w:rsidRPr="00A1427E" w:rsidR="00A3095D" w:rsidP="006A0DB7" w:rsidRDefault="00A3095D" w14:paraId="1048E7A0" w14:textId="022819F0">
      <w:pPr>
        <w:numPr>
          <w:ilvl w:val="1"/>
          <w:numId w:val="22"/>
        </w:numPr>
        <w:ind w:left="2160"/>
        <w:rPr>
          <w:rFonts w:cs="Arial"/>
          <w:lang w:eastAsia="en-US"/>
        </w:rPr>
      </w:pPr>
      <w:r w:rsidRPr="00A1427E">
        <w:rPr>
          <w:rFonts w:cs="Arial"/>
          <w:lang w:eastAsia="en-US"/>
        </w:rPr>
        <w:t>Single Sample Limits</w:t>
      </w:r>
      <w:r w:rsidRPr="00A1427E" w:rsidR="00A1427E">
        <w:rPr>
          <w:rFonts w:cs="Arial"/>
          <w:lang w:eastAsia="en-US"/>
        </w:rPr>
        <w:t xml:space="preserve">: </w:t>
      </w:r>
      <w:r w:rsidRPr="00977A12">
        <w:rPr>
          <w:rFonts w:cs="Arial"/>
          <w:i/>
          <w:iCs/>
          <w:lang w:eastAsia="en-US"/>
        </w:rPr>
        <w:t>E. coli</w:t>
      </w:r>
      <w:r w:rsidRPr="00A1427E">
        <w:rPr>
          <w:rFonts w:cs="Arial"/>
          <w:lang w:eastAsia="en-US"/>
        </w:rPr>
        <w:t xml:space="preserve"> density shall not exceed 576/100 ml. </w:t>
      </w:r>
    </w:p>
    <w:p w:rsidRPr="00A3095D" w:rsidR="00A3095D" w:rsidP="00F738A0" w:rsidRDefault="00A3095D" w14:paraId="57EA9155" w14:textId="77777777">
      <w:pPr>
        <w:ind w:left="1800" w:hanging="360"/>
        <w:rPr>
          <w:rFonts w:cs="Arial"/>
          <w:szCs w:val="20"/>
          <w:lang w:eastAsia="en-US"/>
        </w:rPr>
      </w:pPr>
      <w:r w:rsidRPr="00A3095D">
        <w:rPr>
          <w:rFonts w:cs="Arial"/>
          <w:szCs w:val="20"/>
          <w:u w:val="single"/>
          <w:lang w:eastAsia="en-US"/>
        </w:rPr>
        <w:t>In Fresh Waters Designated for Non-Contact Water Recreation</w:t>
      </w:r>
      <w:r w:rsidRPr="00A3095D">
        <w:rPr>
          <w:rFonts w:cs="Arial"/>
          <w:szCs w:val="20"/>
          <w:lang w:eastAsia="en-US"/>
        </w:rPr>
        <w:t xml:space="preserve"> </w:t>
      </w:r>
    </w:p>
    <w:p w:rsidRPr="002F1DF4" w:rsidR="00A3095D" w:rsidP="006A0DB7" w:rsidRDefault="00A3095D" w14:paraId="23E7F065" w14:textId="2161CAFF">
      <w:pPr>
        <w:numPr>
          <w:ilvl w:val="1"/>
          <w:numId w:val="22"/>
        </w:numPr>
        <w:ind w:left="2160"/>
        <w:rPr>
          <w:rFonts w:cs="Arial"/>
          <w:lang w:eastAsia="en-US"/>
        </w:rPr>
      </w:pPr>
      <w:r w:rsidRPr="002F1DF4">
        <w:rPr>
          <w:rFonts w:cs="Arial"/>
          <w:lang w:eastAsia="en-US"/>
        </w:rPr>
        <w:t>Geometric Mean Limits</w:t>
      </w:r>
      <w:r w:rsidRPr="002F1DF4" w:rsidR="002F1DF4">
        <w:rPr>
          <w:rFonts w:cs="Arial"/>
          <w:lang w:eastAsia="en-US"/>
        </w:rPr>
        <w:t xml:space="preserve">: </w:t>
      </w:r>
      <w:r w:rsidRPr="002F1DF4">
        <w:rPr>
          <w:rFonts w:cs="Arial"/>
          <w:lang w:eastAsia="en-US"/>
        </w:rPr>
        <w:t xml:space="preserve">Fecal coliform density shall not exceed 2000/100 ml. </w:t>
      </w:r>
    </w:p>
    <w:p w:rsidRPr="002F1DF4" w:rsidR="00A3095D" w:rsidP="006A0DB7" w:rsidRDefault="00A3095D" w14:paraId="178F3FA2" w14:textId="4AAF5F8A">
      <w:pPr>
        <w:numPr>
          <w:ilvl w:val="1"/>
          <w:numId w:val="22"/>
        </w:numPr>
        <w:ind w:left="2160"/>
        <w:rPr>
          <w:rFonts w:eastAsia="Calibri" w:cs="Arial"/>
          <w:b/>
          <w:i/>
          <w:lang w:eastAsia="en-US"/>
        </w:rPr>
      </w:pPr>
      <w:r w:rsidRPr="002F1DF4">
        <w:rPr>
          <w:rFonts w:cs="Arial"/>
          <w:lang w:eastAsia="en-US"/>
        </w:rPr>
        <w:t>Single Sample Limits</w:t>
      </w:r>
      <w:r w:rsidRPr="002F1DF4" w:rsidR="002F1DF4">
        <w:rPr>
          <w:rFonts w:cs="Arial"/>
          <w:lang w:eastAsia="en-US"/>
        </w:rPr>
        <w:t xml:space="preserve">: </w:t>
      </w:r>
      <w:r w:rsidRPr="002F1DF4">
        <w:rPr>
          <w:rFonts w:cs="Arial"/>
          <w:lang w:eastAsia="en-US"/>
        </w:rPr>
        <w:t>Fecal coliform density shall not exceed 4000/100 ml.</w:t>
      </w:r>
    </w:p>
    <w:p w:rsidRPr="00A3095D" w:rsidR="00A3095D" w:rsidP="00A3095D" w:rsidRDefault="00A3095D" w14:paraId="6D88F9A6" w14:textId="77777777">
      <w:pPr>
        <w:ind w:left="1267"/>
        <w:rPr>
          <w:rFonts w:cs="Arial"/>
          <w:lang w:eastAsia="en-US"/>
        </w:rPr>
      </w:pPr>
      <w:r w:rsidRPr="00A3095D">
        <w:rPr>
          <w:rFonts w:cs="Arial"/>
          <w:b/>
          <w:bCs/>
          <w:lang w:eastAsia="en-US"/>
        </w:rPr>
        <w:t xml:space="preserve">Final Compliance Deadline: </w:t>
      </w:r>
      <w:r w:rsidRPr="00A3095D">
        <w:rPr>
          <w:rFonts w:cs="Arial"/>
          <w:lang w:eastAsia="en-US"/>
        </w:rPr>
        <w:t>The final compliance deadline for the allowable exceedance days during wet and geometric mean targets for all seasonal periods was July 15, 2021.</w:t>
      </w:r>
    </w:p>
    <w:p w:rsidRPr="000D48DD" w:rsidR="00A3095D" w:rsidP="000D48DD" w:rsidRDefault="00836361" w14:paraId="74314A86" w14:textId="14B88451">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.3</w:t>
      </w:r>
      <w:r w:rsidRPr="000D48DD" w:rsidR="00A3095D">
        <w:rPr>
          <w:i/>
          <w:iCs/>
        </w:rPr>
        <w:tab/>
      </w:r>
      <w:r w:rsidRPr="000D48DD" w:rsidR="00A3095D">
        <w:rPr>
          <w:i/>
          <w:iCs/>
        </w:rPr>
        <w:t>Los Angeles Harbor Bacteria TMDL ‒ Inner Cabrillo Beach and Main Ship Channel</w:t>
      </w:r>
    </w:p>
    <w:p w:rsidRPr="00A3095D" w:rsidR="00A3095D" w:rsidP="00A3095D" w:rsidRDefault="00A3095D" w14:paraId="2204F8E8" w14:textId="7B2068D5">
      <w:pPr>
        <w:ind w:left="1260"/>
        <w:rPr>
          <w:rFonts w:cs="Arial"/>
          <w:lang w:eastAsia="en-US"/>
        </w:rPr>
      </w:pPr>
      <w:r w:rsidRPr="00A3095D">
        <w:rPr>
          <w:rFonts w:cs="Arial"/>
          <w:b/>
          <w:bCs/>
          <w:lang w:eastAsia="en-US"/>
        </w:rPr>
        <w:t xml:space="preserve">Description: </w:t>
      </w:r>
      <w:r w:rsidRPr="00A3095D">
        <w:rPr>
          <w:rFonts w:cs="Arial"/>
          <w:lang w:eastAsia="en-US"/>
        </w:rPr>
        <w:t xml:space="preserve">The </w:t>
      </w:r>
      <w:r w:rsidR="00766ACF">
        <w:rPr>
          <w:rFonts w:cs="Arial"/>
          <w:lang w:eastAsia="en-US"/>
        </w:rPr>
        <w:t>USEPA</w:t>
      </w:r>
      <w:r w:rsidR="00C56C92">
        <w:rPr>
          <w:rFonts w:cs="Arial"/>
          <w:lang w:eastAsia="en-US"/>
        </w:rPr>
        <w:t xml:space="preserve"> </w:t>
      </w:r>
      <w:r w:rsidRPr="00A3095D">
        <w:rPr>
          <w:rFonts w:cs="Arial"/>
          <w:lang w:eastAsia="en-US"/>
        </w:rPr>
        <w:t xml:space="preserve">approved the Los Angeles Harbor Bacteria TMDL </w:t>
      </w:r>
      <w:r w:rsidR="001C37B9">
        <w:rPr>
          <w:rFonts w:cs="Arial"/>
          <w:lang w:eastAsia="en-US"/>
        </w:rPr>
        <w:t>–</w:t>
      </w:r>
      <w:r w:rsidRPr="00A3095D">
        <w:rPr>
          <w:rFonts w:cs="Arial"/>
          <w:lang w:eastAsia="en-US"/>
        </w:rPr>
        <w:t xml:space="preserve"> </w:t>
      </w:r>
      <w:r w:rsidR="001C37B9">
        <w:rPr>
          <w:rFonts w:cs="Arial"/>
          <w:lang w:eastAsia="en-US"/>
        </w:rPr>
        <w:t xml:space="preserve">Inner </w:t>
      </w:r>
      <w:r w:rsidRPr="00A3095D">
        <w:rPr>
          <w:rFonts w:cs="Arial"/>
          <w:lang w:eastAsia="en-US"/>
        </w:rPr>
        <w:t>Cabrillo Beach and Main Shop Channel TMDL on March 1, 200</w:t>
      </w:r>
      <w:r w:rsidR="00EC0CF7">
        <w:rPr>
          <w:rFonts w:cs="Arial"/>
          <w:lang w:eastAsia="en-US"/>
        </w:rPr>
        <w:t>5</w:t>
      </w:r>
      <w:r w:rsidRPr="00A3095D">
        <w:rPr>
          <w:rFonts w:cs="Arial"/>
          <w:lang w:eastAsia="en-US"/>
        </w:rPr>
        <w:t xml:space="preserve">, and the revision on July 2, 2014. Elevated bacterial indicator densities are causing impairment of the water contact recreation beneficial use of Inner Cabrillo Beach and the potential uses of the Main Ship Channel in the Los Angeles Harbor. Swimming in marine waters with elevated bacterial indicator densities has long been associated with adverse health effects. Dry-weather urban runoff and </w:t>
      </w:r>
      <w:r w:rsidR="00CD7F3F">
        <w:rPr>
          <w:rFonts w:cs="Arial"/>
          <w:lang w:eastAsia="en-US"/>
        </w:rPr>
        <w:t>stormwater</w:t>
      </w:r>
      <w:r w:rsidRPr="00A3095D">
        <w:rPr>
          <w:rFonts w:cs="Arial"/>
          <w:lang w:eastAsia="en-US"/>
        </w:rPr>
        <w:t xml:space="preserve"> conveyed by storm drains are major sources of elevated bacterial indicator densities to Inner Cabrillo Beach and the Main Ship Channel during dry and wet weather.</w:t>
      </w:r>
    </w:p>
    <w:p w:rsidRPr="00A3095D" w:rsidR="00A3095D" w:rsidP="00A3095D" w:rsidRDefault="00A3095D" w14:paraId="33CDAA6F" w14:textId="7AF1C310">
      <w:pPr>
        <w:ind w:left="1260"/>
        <w:rPr>
          <w:rFonts w:cs="Arial"/>
          <w:lang w:eastAsia="en-US"/>
        </w:rPr>
      </w:pPr>
      <w:r w:rsidRPr="00A3095D">
        <w:rPr>
          <w:b/>
          <w:szCs w:val="20"/>
          <w:lang w:eastAsia="en-US"/>
        </w:rPr>
        <w:t>Responsible Permi</w:t>
      </w:r>
      <w:r w:rsidR="0091593F">
        <w:rPr>
          <w:b/>
          <w:szCs w:val="20"/>
          <w:lang w:eastAsia="en-US"/>
        </w:rPr>
        <w:t>t</w:t>
      </w:r>
      <w:r w:rsidRPr="00A3095D">
        <w:rPr>
          <w:b/>
          <w:szCs w:val="20"/>
          <w:lang w:eastAsia="en-US"/>
        </w:rPr>
        <w:t>tees:</w:t>
      </w:r>
      <w:r w:rsidRPr="00A3095D">
        <w:rPr>
          <w:b/>
          <w:bCs/>
          <w:szCs w:val="20"/>
          <w:lang w:eastAsia="en-US"/>
        </w:rPr>
        <w:t xml:space="preserve"> </w:t>
      </w:r>
      <w:r w:rsidRPr="00A3095D">
        <w:rPr>
          <w:szCs w:val="20"/>
          <w:lang w:eastAsia="en-US"/>
        </w:rPr>
        <w:t>Responsible</w:t>
      </w:r>
      <w:r w:rsidR="000E1B01">
        <w:rPr>
          <w:szCs w:val="20"/>
          <w:lang w:eastAsia="en-US"/>
        </w:rPr>
        <w:t xml:space="preserve"> Permittees </w:t>
      </w:r>
      <w:r w:rsidRPr="00A3095D">
        <w:rPr>
          <w:szCs w:val="20"/>
          <w:lang w:eastAsia="en-US"/>
        </w:rPr>
        <w:t>are t</w:t>
      </w:r>
      <w:r w:rsidRPr="00A3095D">
        <w:rPr>
          <w:rFonts w:cs="Arial"/>
          <w:lang w:eastAsia="en-US"/>
        </w:rPr>
        <w:t>he Federal Correctional Institution</w:t>
      </w:r>
      <w:r w:rsidR="001A79F9">
        <w:rPr>
          <w:rFonts w:cs="Arial"/>
          <w:lang w:eastAsia="en-US"/>
        </w:rPr>
        <w:t>,</w:t>
      </w:r>
      <w:r w:rsidRPr="00A3095D">
        <w:rPr>
          <w:rFonts w:cs="Arial"/>
          <w:lang w:eastAsia="en-US"/>
        </w:rPr>
        <w:t xml:space="preserve"> Terminal Island</w:t>
      </w:r>
      <w:r w:rsidR="001A79F9">
        <w:rPr>
          <w:rFonts w:cs="Arial"/>
          <w:lang w:eastAsia="en-US"/>
        </w:rPr>
        <w:t>;</w:t>
      </w:r>
      <w:r w:rsidRPr="00A3095D">
        <w:rPr>
          <w:rFonts w:cs="Arial"/>
          <w:lang w:eastAsia="en-US"/>
        </w:rPr>
        <w:t xml:space="preserve"> and California State University</w:t>
      </w:r>
      <w:r w:rsidR="001A79F9">
        <w:rPr>
          <w:rFonts w:cs="Arial"/>
          <w:lang w:eastAsia="en-US"/>
        </w:rPr>
        <w:t>,</w:t>
      </w:r>
      <w:r w:rsidRPr="00A3095D">
        <w:rPr>
          <w:rFonts w:cs="Arial"/>
          <w:lang w:eastAsia="en-US"/>
        </w:rPr>
        <w:t xml:space="preserve"> Dominguez Hills.</w:t>
      </w:r>
    </w:p>
    <w:p w:rsidRPr="00A3095D" w:rsidR="00A3095D" w:rsidP="00A3095D" w:rsidRDefault="00A3095D" w14:paraId="7410291B" w14:textId="7513113F">
      <w:pPr>
        <w:ind w:left="1260"/>
        <w:rPr>
          <w:rFonts w:cs="Arial"/>
          <w:lang w:eastAsia="en-US"/>
        </w:rPr>
      </w:pPr>
      <w:r w:rsidRPr="00A3095D">
        <w:rPr>
          <w:b/>
          <w:szCs w:val="20"/>
          <w:lang w:eastAsia="en-US"/>
        </w:rPr>
        <w:t>Wasteload Allocations:</w:t>
      </w:r>
      <w:r w:rsidRPr="00A3095D">
        <w:rPr>
          <w:b/>
          <w:bCs/>
          <w:szCs w:val="20"/>
          <w:lang w:eastAsia="en-US"/>
        </w:rPr>
        <w:t xml:space="preserve"> </w:t>
      </w:r>
      <w:r w:rsidR="00F90EEA">
        <w:rPr>
          <w:rFonts w:cs="Arial"/>
          <w:lang w:eastAsia="en-US"/>
        </w:rPr>
        <w:t>Wasteload</w:t>
      </w:r>
      <w:r w:rsidRPr="00A3095D">
        <w:rPr>
          <w:rFonts w:cs="Arial"/>
          <w:lang w:eastAsia="en-US"/>
        </w:rPr>
        <w:t xml:space="preserve"> allocations assigned to municipal storm sewer system discharges are expressed as allowable exceedance days because the bacterial density and frequency of single sample exceedances are the most relevant to public health protection.</w:t>
      </w:r>
    </w:p>
    <w:p w:rsidRPr="00A3095D" w:rsidR="00A3095D" w:rsidP="00A3095D" w:rsidRDefault="00A3095D" w14:paraId="2B05E746" w14:textId="77777777">
      <w:pPr>
        <w:ind w:left="1260"/>
        <w:rPr>
          <w:rFonts w:cs="Arial"/>
          <w:lang w:eastAsia="en-US"/>
        </w:rPr>
      </w:pPr>
      <w:r w:rsidRPr="00A3095D">
        <w:rPr>
          <w:rFonts w:cs="Arial"/>
          <w:lang w:eastAsia="en-US"/>
        </w:rPr>
        <w:t>The allowable number of exceedance days for a monitoring site for each time period is based on the lesser of two criteria (1) exceedance days in the designated reference system and (2) exceedance days based on historical bacteriological data at the monitoring site. This ensures that bacteriological water quality is at least as good as that of a largely undeveloped system and that there is no degradation of existing water quality.</w:t>
      </w:r>
    </w:p>
    <w:p w:rsidRPr="00A3095D" w:rsidR="00A3095D" w:rsidP="00A3095D" w:rsidRDefault="00A3095D" w14:paraId="1C8622A7" w14:textId="77777777">
      <w:pPr>
        <w:ind w:left="1260"/>
        <w:rPr>
          <w:rFonts w:cs="Arial"/>
          <w:u w:val="single"/>
          <w:lang w:eastAsia="en-US"/>
        </w:rPr>
      </w:pPr>
      <w:r w:rsidRPr="00A3095D">
        <w:rPr>
          <w:rFonts w:cs="Arial"/>
          <w:u w:val="single"/>
          <w:lang w:eastAsia="en-US"/>
        </w:rPr>
        <w:t>Allowable Exceedance Days and Time Periods</w:t>
      </w:r>
    </w:p>
    <w:p w:rsidRPr="00A3095D" w:rsidR="00A3095D" w:rsidP="00A3095D" w:rsidRDefault="00A3095D" w14:paraId="60EC1950" w14:textId="77777777">
      <w:pPr>
        <w:ind w:left="1260"/>
        <w:rPr>
          <w:rFonts w:cs="Arial"/>
          <w:lang w:eastAsia="en-US"/>
        </w:rPr>
      </w:pPr>
      <w:r w:rsidRPr="00A3095D">
        <w:rPr>
          <w:rFonts w:cs="Arial"/>
          <w:lang w:eastAsia="en-US"/>
        </w:rPr>
        <w:t xml:space="preserve">The allowable number of exceedance days for a monitoring site for each time period is based on the lesser of two criteria (1) exceedance days in the designated reference system and (2) exceedance days based on historical </w:t>
      </w:r>
      <w:r w:rsidRPr="00A3095D">
        <w:rPr>
          <w:rFonts w:cs="Arial"/>
          <w:lang w:eastAsia="en-US"/>
        </w:rPr>
        <w:t xml:space="preserve">bacteriological data at the monitoring site. This ensures that bacteriological water quality is at least as good as that of a largely undeveloped system and that there is no degradation of existing water quality. For each monitoring site, allowable exceedance days are set on an annual basis as well as for three time periods. </w:t>
      </w:r>
    </w:p>
    <w:p w:rsidR="00EB6C84" w:rsidP="00A3095D" w:rsidRDefault="00A3095D" w14:paraId="202E28E7" w14:textId="77777777">
      <w:pPr>
        <w:ind w:left="1260"/>
        <w:rPr>
          <w:rFonts w:cs="Arial"/>
          <w:lang w:eastAsia="en-US"/>
        </w:rPr>
      </w:pPr>
      <w:r w:rsidRPr="00A3095D">
        <w:rPr>
          <w:rFonts w:cs="Arial"/>
          <w:lang w:eastAsia="en-US"/>
        </w:rPr>
        <w:t xml:space="preserve">These three time periods are: </w:t>
      </w:r>
    </w:p>
    <w:p w:rsidR="00EB6C84" w:rsidP="00E8254E" w:rsidRDefault="00A3095D" w14:paraId="0A0468BE" w14:textId="77777777">
      <w:pPr>
        <w:pStyle w:val="ListParagraph"/>
        <w:numPr>
          <w:ilvl w:val="0"/>
          <w:numId w:val="87"/>
        </w:numPr>
        <w:rPr>
          <w:szCs w:val="20"/>
        </w:rPr>
      </w:pPr>
      <w:r w:rsidRPr="00EB6C84">
        <w:rPr>
          <w:rFonts w:cs="Arial"/>
        </w:rPr>
        <w:t>s</w:t>
      </w:r>
      <w:r w:rsidRPr="00EB6C84">
        <w:rPr>
          <w:szCs w:val="20"/>
        </w:rPr>
        <w:t xml:space="preserve">ummer dry weather (April 1 to October 31); </w:t>
      </w:r>
    </w:p>
    <w:p w:rsidR="00EB6C84" w:rsidP="00E8254E" w:rsidRDefault="00A3095D" w14:paraId="139BE26B" w14:textId="77777777">
      <w:pPr>
        <w:pStyle w:val="ListParagraph"/>
        <w:numPr>
          <w:ilvl w:val="0"/>
          <w:numId w:val="87"/>
        </w:numPr>
        <w:rPr>
          <w:szCs w:val="20"/>
        </w:rPr>
      </w:pPr>
      <w:r w:rsidRPr="00EB6C84">
        <w:rPr>
          <w:szCs w:val="20"/>
        </w:rPr>
        <w:t xml:space="preserve">winter dry weather (November 1 to March 31); and </w:t>
      </w:r>
    </w:p>
    <w:p w:rsidRPr="00EB6C84" w:rsidR="00A3095D" w:rsidP="00E8254E" w:rsidRDefault="00A3095D" w14:paraId="5C93F830" w14:textId="4E364903">
      <w:pPr>
        <w:pStyle w:val="ListParagraph"/>
        <w:numPr>
          <w:ilvl w:val="0"/>
          <w:numId w:val="87"/>
        </w:numPr>
        <w:rPr>
          <w:szCs w:val="20"/>
        </w:rPr>
      </w:pPr>
      <w:r w:rsidRPr="00EB6C84">
        <w:rPr>
          <w:szCs w:val="20"/>
        </w:rPr>
        <w:t xml:space="preserve">wet weather (defined as days of 0.1 inch of rain or more plus three days following the rain event). </w:t>
      </w:r>
    </w:p>
    <w:p w:rsidRPr="00A3095D" w:rsidR="00A3095D" w:rsidP="003912EA" w:rsidRDefault="00A3095D" w14:paraId="33A53962" w14:textId="77777777">
      <w:pPr>
        <w:autoSpaceDE w:val="0"/>
        <w:autoSpaceDN w:val="0"/>
        <w:adjustRightInd w:val="0"/>
        <w:ind w:left="1267"/>
        <w:rPr>
          <w:rFonts w:eastAsia="Calibri" w:cs="Arial"/>
          <w:color w:val="000000"/>
          <w:u w:val="single"/>
          <w:lang w:eastAsia="en-US"/>
        </w:rPr>
      </w:pPr>
      <w:r w:rsidRPr="00A3095D">
        <w:rPr>
          <w:rFonts w:eastAsia="Calibri" w:cs="Arial"/>
          <w:color w:val="000000"/>
          <w:u w:val="single"/>
          <w:lang w:eastAsia="en-US"/>
        </w:rPr>
        <w:t>Wasteload Allocations</w:t>
      </w:r>
    </w:p>
    <w:p w:rsidRPr="00A3095D" w:rsidR="00A3095D" w:rsidP="003912EA" w:rsidRDefault="00A3095D" w14:paraId="64972650" w14:textId="46352D74">
      <w:pPr>
        <w:autoSpaceDE w:val="0"/>
        <w:autoSpaceDN w:val="0"/>
        <w:adjustRightInd w:val="0"/>
        <w:ind w:left="1260"/>
        <w:rPr>
          <w:rFonts w:eastAsia="Calibri" w:cs="Arial"/>
          <w:color w:val="000000"/>
          <w:lang w:eastAsia="en-US"/>
        </w:rPr>
      </w:pPr>
      <w:r w:rsidRPr="00A3095D">
        <w:rPr>
          <w:rFonts w:eastAsia="Calibri" w:cs="Arial"/>
          <w:color w:val="000000"/>
          <w:lang w:eastAsia="en-US"/>
        </w:rPr>
        <w:t xml:space="preserve">Discharges from </w:t>
      </w:r>
      <w:r w:rsidR="005060FF">
        <w:rPr>
          <w:rFonts w:eastAsia="Calibri" w:cs="Arial"/>
          <w:color w:val="000000"/>
          <w:lang w:eastAsia="en-US"/>
        </w:rPr>
        <w:t>Small MS4</w:t>
      </w:r>
      <w:r w:rsidRPr="00A3095D">
        <w:rPr>
          <w:rFonts w:eastAsia="Calibri" w:cs="Arial"/>
          <w:color w:val="000000"/>
          <w:lang w:eastAsia="en-US"/>
        </w:rPr>
        <w:t xml:space="preserve"> permit</w:t>
      </w:r>
      <w:r w:rsidR="0091593F">
        <w:rPr>
          <w:rFonts w:eastAsia="Calibri" w:cs="Arial"/>
          <w:color w:val="000000"/>
          <w:lang w:eastAsia="en-US"/>
        </w:rPr>
        <w:t>t</w:t>
      </w:r>
      <w:r w:rsidRPr="00A3095D">
        <w:rPr>
          <w:rFonts w:eastAsia="Calibri" w:cs="Arial"/>
          <w:color w:val="000000"/>
          <w:lang w:eastAsia="en-US"/>
        </w:rPr>
        <w:t>ees are not expected to be a significant source of bacteria. Wasteload allocations for these discharges for all time periods are the bacteriological objectives contained in the Numeric Targets section of the TMDL (Los Angeles Water Board Basin Plan, Table 7-11.1). The numeric targets are based on four bacterial indicators and include both geometric mean limits and single sample limits. For the Main Ship Channel, the numeric targets apply at existing or new monitoring sites with samples collected at the surface. These targets apply during both dry and wet weather, since there is water contact recreation throughout the year, including during wet weather. The Los Angeles Water Board Basin Plan water quality objectives that serve as the numeric targets for this TMDL are:</w:t>
      </w:r>
    </w:p>
    <w:p w:rsidRPr="00A3095D" w:rsidR="00A3095D" w:rsidP="00E8254E" w:rsidRDefault="00A3095D" w14:paraId="15A5B05E" w14:textId="77777777">
      <w:pPr>
        <w:numPr>
          <w:ilvl w:val="0"/>
          <w:numId w:val="40"/>
        </w:numPr>
        <w:tabs>
          <w:tab w:val="left" w:pos="1620"/>
        </w:tabs>
        <w:ind w:left="1620"/>
        <w:rPr>
          <w:rFonts w:eastAsia="Calibri" w:cs="Arial"/>
          <w:lang w:eastAsia="en-US"/>
        </w:rPr>
      </w:pPr>
      <w:r w:rsidRPr="00A3095D">
        <w:rPr>
          <w:rFonts w:eastAsia="Calibri" w:cs="Arial"/>
          <w:lang w:eastAsia="en-US"/>
        </w:rPr>
        <w:t>Rolling 30 day Geometric Mean Limits</w:t>
      </w:r>
    </w:p>
    <w:p w:rsidRPr="00A3095D" w:rsidR="00A3095D" w:rsidP="000D40DA" w:rsidRDefault="00A3095D" w14:paraId="106BCFCE" w14:textId="77777777">
      <w:pPr>
        <w:tabs>
          <w:tab w:val="left" w:pos="1620"/>
        </w:tabs>
        <w:autoSpaceDE w:val="0"/>
        <w:autoSpaceDN w:val="0"/>
        <w:adjustRightInd w:val="0"/>
        <w:ind w:left="1620"/>
        <w:rPr>
          <w:rFonts w:eastAsia="Calibri" w:cs="Arial"/>
          <w:color w:val="000000"/>
          <w:lang w:eastAsia="en-US"/>
        </w:rPr>
      </w:pPr>
      <w:r w:rsidRPr="00A3095D">
        <w:rPr>
          <w:rFonts w:eastAsia="Calibri" w:cs="Arial"/>
          <w:color w:val="000000"/>
          <w:lang w:eastAsia="en-US"/>
        </w:rPr>
        <w:t>The wasteload allocation for the geometric mean during any time period or monitoring site in Main Ship Channel or the Inner Harbor is zero (0) allowable exceedances. The geometric mean targets may not be exceeded at any time. The geometric means shall be calculated weekly as a rolling geometric mean using 5 or more samples, for six week periods starting all calculation weeks on Sunday.</w:t>
      </w:r>
    </w:p>
    <w:p w:rsidRPr="00A3095D" w:rsidR="00A3095D" w:rsidP="00E8254E" w:rsidRDefault="00A3095D" w14:paraId="130FDA85" w14:textId="4005A3F5">
      <w:pPr>
        <w:numPr>
          <w:ilvl w:val="0"/>
          <w:numId w:val="41"/>
        </w:numPr>
        <w:tabs>
          <w:tab w:val="left" w:pos="1890"/>
        </w:tabs>
        <w:ind w:left="2340" w:hanging="720"/>
        <w:rPr>
          <w:rFonts w:eastAsia="Calibri" w:cs="Arial"/>
          <w:lang w:eastAsia="en-US"/>
        </w:rPr>
      </w:pPr>
      <w:r w:rsidRPr="00A3095D">
        <w:rPr>
          <w:rFonts w:eastAsia="Calibri" w:cs="Arial"/>
          <w:lang w:eastAsia="en-US"/>
        </w:rPr>
        <w:t>Total coliform density shall not exceed 1,000/100 m</w:t>
      </w:r>
      <w:r w:rsidR="00B95DE7">
        <w:rPr>
          <w:rFonts w:eastAsia="Calibri" w:cs="Arial"/>
          <w:lang w:eastAsia="en-US"/>
        </w:rPr>
        <w:t>i</w:t>
      </w:r>
      <w:r w:rsidR="00542B11">
        <w:rPr>
          <w:rFonts w:eastAsia="Calibri" w:cs="Arial"/>
          <w:lang w:eastAsia="en-US"/>
        </w:rPr>
        <w:t>l</w:t>
      </w:r>
      <w:r w:rsidRPr="00A3095D">
        <w:rPr>
          <w:rFonts w:eastAsia="Calibri" w:cs="Arial"/>
          <w:lang w:eastAsia="en-US"/>
        </w:rPr>
        <w:t>l</w:t>
      </w:r>
      <w:r w:rsidR="00542B11">
        <w:rPr>
          <w:rFonts w:eastAsia="Calibri" w:cs="Arial"/>
          <w:lang w:eastAsia="en-US"/>
        </w:rPr>
        <w:t>iliter</w:t>
      </w:r>
    </w:p>
    <w:p w:rsidRPr="00A3095D" w:rsidR="00A3095D" w:rsidP="00E8254E" w:rsidRDefault="00A3095D" w14:paraId="623EDB22" w14:textId="4F677D8A">
      <w:pPr>
        <w:numPr>
          <w:ilvl w:val="0"/>
          <w:numId w:val="41"/>
        </w:numPr>
        <w:tabs>
          <w:tab w:val="left" w:pos="1890"/>
        </w:tabs>
        <w:ind w:left="2340" w:hanging="720"/>
        <w:rPr>
          <w:rFonts w:eastAsia="Calibri" w:cs="Arial"/>
          <w:lang w:eastAsia="en-US"/>
        </w:rPr>
      </w:pPr>
      <w:r w:rsidRPr="00A3095D">
        <w:rPr>
          <w:rFonts w:eastAsia="Calibri" w:cs="Arial"/>
          <w:lang w:eastAsia="en-US"/>
        </w:rPr>
        <w:t xml:space="preserve">Fecal coliform density shall not exceed 200/100 </w:t>
      </w:r>
      <w:r w:rsidRPr="00A3095D" w:rsidR="00542B11">
        <w:rPr>
          <w:rFonts w:eastAsia="Calibri" w:cs="Arial"/>
          <w:lang w:eastAsia="en-US"/>
        </w:rPr>
        <w:t>m</w:t>
      </w:r>
      <w:r w:rsidR="00542B11">
        <w:rPr>
          <w:rFonts w:eastAsia="Calibri" w:cs="Arial"/>
          <w:lang w:eastAsia="en-US"/>
        </w:rPr>
        <w:t>il</w:t>
      </w:r>
      <w:r w:rsidRPr="00A3095D" w:rsidR="00542B11">
        <w:rPr>
          <w:rFonts w:eastAsia="Calibri" w:cs="Arial"/>
          <w:lang w:eastAsia="en-US"/>
        </w:rPr>
        <w:t>l</w:t>
      </w:r>
      <w:r w:rsidR="00542B11">
        <w:rPr>
          <w:rFonts w:eastAsia="Calibri" w:cs="Arial"/>
          <w:lang w:eastAsia="en-US"/>
        </w:rPr>
        <w:t>iliter</w:t>
      </w:r>
    </w:p>
    <w:p w:rsidRPr="00A3095D" w:rsidR="00A3095D" w:rsidP="00E8254E" w:rsidRDefault="00A3095D" w14:paraId="206997BF" w14:textId="08C9762C">
      <w:pPr>
        <w:numPr>
          <w:ilvl w:val="0"/>
          <w:numId w:val="41"/>
        </w:numPr>
        <w:tabs>
          <w:tab w:val="left" w:pos="1890"/>
        </w:tabs>
        <w:ind w:left="2340" w:hanging="720"/>
        <w:rPr>
          <w:rFonts w:eastAsia="Calibri" w:cs="Arial"/>
          <w:lang w:eastAsia="en-US"/>
        </w:rPr>
      </w:pPr>
      <w:r w:rsidRPr="00977A12">
        <w:rPr>
          <w:rFonts w:eastAsia="Calibri" w:cs="Arial"/>
          <w:i/>
          <w:iCs/>
          <w:lang w:eastAsia="en-US"/>
        </w:rPr>
        <w:t>Enterococcus</w:t>
      </w:r>
      <w:r w:rsidRPr="00A3095D">
        <w:rPr>
          <w:rFonts w:eastAsia="Calibri" w:cs="Arial"/>
          <w:lang w:eastAsia="en-US"/>
        </w:rPr>
        <w:t xml:space="preserve"> density shall not exceed 35/100 </w:t>
      </w:r>
      <w:r w:rsidRPr="00A3095D" w:rsidR="00542B11">
        <w:rPr>
          <w:rFonts w:eastAsia="Calibri" w:cs="Arial"/>
          <w:lang w:eastAsia="en-US"/>
        </w:rPr>
        <w:t>m</w:t>
      </w:r>
      <w:r w:rsidR="00542B11">
        <w:rPr>
          <w:rFonts w:eastAsia="Calibri" w:cs="Arial"/>
          <w:lang w:eastAsia="en-US"/>
        </w:rPr>
        <w:t>il</w:t>
      </w:r>
      <w:r w:rsidRPr="00A3095D" w:rsidR="00542B11">
        <w:rPr>
          <w:rFonts w:eastAsia="Calibri" w:cs="Arial"/>
          <w:lang w:eastAsia="en-US"/>
        </w:rPr>
        <w:t>l</w:t>
      </w:r>
      <w:r w:rsidR="00542B11">
        <w:rPr>
          <w:rFonts w:eastAsia="Calibri" w:cs="Arial"/>
          <w:lang w:eastAsia="en-US"/>
        </w:rPr>
        <w:t>iliter</w:t>
      </w:r>
      <w:r w:rsidRPr="00A3095D">
        <w:rPr>
          <w:rFonts w:eastAsia="Calibri" w:cs="Arial"/>
          <w:lang w:eastAsia="en-US"/>
        </w:rPr>
        <w:t>.</w:t>
      </w:r>
    </w:p>
    <w:p w:rsidRPr="00A3095D" w:rsidR="00A3095D" w:rsidP="00E8254E" w:rsidRDefault="00A3095D" w14:paraId="0DEF3F8D" w14:textId="77777777">
      <w:pPr>
        <w:numPr>
          <w:ilvl w:val="0"/>
          <w:numId w:val="40"/>
        </w:numPr>
        <w:ind w:left="1620" w:hanging="270"/>
        <w:rPr>
          <w:rFonts w:eastAsia="Calibri" w:cs="Arial"/>
          <w:lang w:eastAsia="en-US"/>
        </w:rPr>
      </w:pPr>
      <w:r w:rsidRPr="00A3095D">
        <w:rPr>
          <w:rFonts w:eastAsia="Calibri" w:cs="Arial"/>
          <w:lang w:eastAsia="en-US"/>
        </w:rPr>
        <w:t>Single Sample Limits</w:t>
      </w:r>
    </w:p>
    <w:p w:rsidRPr="00A3095D" w:rsidR="00A3095D" w:rsidP="000D40DA" w:rsidRDefault="00A3095D" w14:paraId="2E65AA70" w14:textId="77777777">
      <w:pPr>
        <w:ind w:left="1620"/>
        <w:rPr>
          <w:rFonts w:eastAsia="Calibri" w:cs="Arial"/>
          <w:lang w:eastAsia="en-US"/>
        </w:rPr>
      </w:pPr>
      <w:r w:rsidRPr="00A3095D">
        <w:rPr>
          <w:rFonts w:eastAsia="Calibri" w:cs="Arial"/>
          <w:lang w:eastAsia="en-US"/>
        </w:rPr>
        <w:t xml:space="preserve">The wasteload allocations for summer, dry weather, single sample bacterial densities in the Main Ship Channel and the Inner Harbor are zero (0) days of allowable exceedances. The wasteload allocations for storm drains in the Inner Harbor for summer, dry weather, single sample bacterial densities are also zero (0) days of allowable exceedances. For </w:t>
      </w:r>
      <w:r w:rsidRPr="00A3095D">
        <w:rPr>
          <w:rFonts w:eastAsia="Calibri" w:cs="Arial"/>
          <w:lang w:eastAsia="en-US"/>
        </w:rPr>
        <w:t xml:space="preserve">the single sample targets, each existing monitoring site is assigned an allowable number of exceedance days for three time periods (1) summer dry weather (April 1 to October 31), (2) winter dry weather (November 1 to March 31), and (3) wet weather (defined as days with 0.1 inch of rain or greater and the three days following the rain event). </w:t>
      </w:r>
    </w:p>
    <w:p w:rsidRPr="00A3095D" w:rsidR="00A3095D" w:rsidP="00E8254E" w:rsidRDefault="00A3095D" w14:paraId="0D485698" w14:textId="32F08561">
      <w:pPr>
        <w:numPr>
          <w:ilvl w:val="0"/>
          <w:numId w:val="42"/>
        </w:numPr>
        <w:tabs>
          <w:tab w:val="left" w:pos="1980"/>
        </w:tabs>
        <w:rPr>
          <w:rFonts w:eastAsia="Calibri" w:cs="Arial"/>
          <w:lang w:eastAsia="en-US"/>
        </w:rPr>
      </w:pPr>
      <w:r w:rsidRPr="00A3095D">
        <w:rPr>
          <w:rFonts w:eastAsia="Calibri" w:cs="Arial"/>
          <w:lang w:eastAsia="en-US"/>
        </w:rPr>
        <w:t xml:space="preserve">Total coliform density shall not exceed 10,000/100 </w:t>
      </w:r>
      <w:r w:rsidRPr="00A3095D" w:rsidR="00EA3F12">
        <w:rPr>
          <w:rFonts w:eastAsia="Calibri" w:cs="Arial"/>
          <w:lang w:eastAsia="en-US"/>
        </w:rPr>
        <w:t>m</w:t>
      </w:r>
      <w:r w:rsidR="00EA3F12">
        <w:rPr>
          <w:rFonts w:eastAsia="Calibri" w:cs="Arial"/>
          <w:lang w:eastAsia="en-US"/>
        </w:rPr>
        <w:t>il</w:t>
      </w:r>
      <w:r w:rsidRPr="00A3095D" w:rsidR="00EA3F12">
        <w:rPr>
          <w:rFonts w:eastAsia="Calibri" w:cs="Arial"/>
          <w:lang w:eastAsia="en-US"/>
        </w:rPr>
        <w:t>l</w:t>
      </w:r>
      <w:r w:rsidR="00EA3F12">
        <w:rPr>
          <w:rFonts w:eastAsia="Calibri" w:cs="Arial"/>
          <w:lang w:eastAsia="en-US"/>
        </w:rPr>
        <w:t>iliter</w:t>
      </w:r>
    </w:p>
    <w:p w:rsidRPr="00A3095D" w:rsidR="00A3095D" w:rsidP="00E8254E" w:rsidRDefault="00A3095D" w14:paraId="2B2EB8C5" w14:textId="29D0970D">
      <w:pPr>
        <w:numPr>
          <w:ilvl w:val="0"/>
          <w:numId w:val="42"/>
        </w:numPr>
        <w:tabs>
          <w:tab w:val="left" w:pos="1980"/>
        </w:tabs>
        <w:rPr>
          <w:rFonts w:eastAsia="Calibri" w:cs="Arial"/>
          <w:lang w:eastAsia="en-US"/>
        </w:rPr>
      </w:pPr>
      <w:r w:rsidRPr="00A3095D">
        <w:rPr>
          <w:rFonts w:eastAsia="Calibri" w:cs="Arial"/>
          <w:lang w:eastAsia="en-US"/>
        </w:rPr>
        <w:t xml:space="preserve">Fecal coliform density shall not exceed 400/100 </w:t>
      </w:r>
      <w:r w:rsidRPr="00A3095D" w:rsidR="00EA3F12">
        <w:rPr>
          <w:rFonts w:eastAsia="Calibri" w:cs="Arial"/>
          <w:lang w:eastAsia="en-US"/>
        </w:rPr>
        <w:t>m</w:t>
      </w:r>
      <w:r w:rsidR="00EA3F12">
        <w:rPr>
          <w:rFonts w:eastAsia="Calibri" w:cs="Arial"/>
          <w:lang w:eastAsia="en-US"/>
        </w:rPr>
        <w:t>il</w:t>
      </w:r>
      <w:r w:rsidRPr="00A3095D" w:rsidR="00EA3F12">
        <w:rPr>
          <w:rFonts w:eastAsia="Calibri" w:cs="Arial"/>
          <w:lang w:eastAsia="en-US"/>
        </w:rPr>
        <w:t>l</w:t>
      </w:r>
      <w:r w:rsidR="00EA3F12">
        <w:rPr>
          <w:rFonts w:eastAsia="Calibri" w:cs="Arial"/>
          <w:lang w:eastAsia="en-US"/>
        </w:rPr>
        <w:t>iliter</w:t>
      </w:r>
    </w:p>
    <w:p w:rsidRPr="00A3095D" w:rsidR="00A3095D" w:rsidP="00E8254E" w:rsidRDefault="00A3095D" w14:paraId="3A733635" w14:textId="5F94956E">
      <w:pPr>
        <w:numPr>
          <w:ilvl w:val="0"/>
          <w:numId w:val="42"/>
        </w:numPr>
        <w:tabs>
          <w:tab w:val="left" w:pos="1980"/>
        </w:tabs>
        <w:rPr>
          <w:rFonts w:eastAsia="Calibri" w:cs="Arial"/>
          <w:lang w:eastAsia="en-US"/>
        </w:rPr>
      </w:pPr>
      <w:r w:rsidRPr="00977A12">
        <w:rPr>
          <w:rFonts w:eastAsia="Calibri" w:cs="Arial"/>
          <w:i/>
          <w:iCs/>
          <w:lang w:eastAsia="en-US"/>
        </w:rPr>
        <w:t>Enterococcus</w:t>
      </w:r>
      <w:r w:rsidRPr="00A3095D">
        <w:rPr>
          <w:rFonts w:eastAsia="Calibri" w:cs="Arial"/>
          <w:lang w:eastAsia="en-US"/>
        </w:rPr>
        <w:t xml:space="preserve"> density shall not exceed 104/100 </w:t>
      </w:r>
      <w:r w:rsidRPr="00A3095D" w:rsidR="00EA3F12">
        <w:rPr>
          <w:rFonts w:eastAsia="Calibri" w:cs="Arial"/>
          <w:lang w:eastAsia="en-US"/>
        </w:rPr>
        <w:t>m</w:t>
      </w:r>
      <w:r w:rsidR="00EA3F12">
        <w:rPr>
          <w:rFonts w:eastAsia="Calibri" w:cs="Arial"/>
          <w:lang w:eastAsia="en-US"/>
        </w:rPr>
        <w:t>il</w:t>
      </w:r>
      <w:r w:rsidRPr="00A3095D" w:rsidR="00EA3F12">
        <w:rPr>
          <w:rFonts w:eastAsia="Calibri" w:cs="Arial"/>
          <w:lang w:eastAsia="en-US"/>
        </w:rPr>
        <w:t>l</w:t>
      </w:r>
      <w:r w:rsidR="00EA3F12">
        <w:rPr>
          <w:rFonts w:eastAsia="Calibri" w:cs="Arial"/>
          <w:lang w:eastAsia="en-US"/>
        </w:rPr>
        <w:t>iliter</w:t>
      </w:r>
    </w:p>
    <w:p w:rsidRPr="00A3095D" w:rsidR="00A3095D" w:rsidP="00E8254E" w:rsidRDefault="00A3095D" w14:paraId="70F36485" w14:textId="1A2C05D6">
      <w:pPr>
        <w:numPr>
          <w:ilvl w:val="0"/>
          <w:numId w:val="42"/>
        </w:numPr>
        <w:tabs>
          <w:tab w:val="left" w:pos="1980"/>
        </w:tabs>
        <w:rPr>
          <w:rFonts w:eastAsia="Calibri" w:cs="Arial"/>
          <w:lang w:eastAsia="en-US"/>
        </w:rPr>
      </w:pPr>
      <w:r w:rsidRPr="00A3095D">
        <w:rPr>
          <w:rFonts w:eastAsia="Calibri" w:cs="Arial"/>
          <w:lang w:eastAsia="en-US"/>
        </w:rPr>
        <w:t xml:space="preserve">Total coliform density shall not exceed 1,000/100 </w:t>
      </w:r>
      <w:r w:rsidRPr="00A3095D" w:rsidR="00EA3F12">
        <w:rPr>
          <w:rFonts w:eastAsia="Calibri" w:cs="Arial"/>
          <w:lang w:eastAsia="en-US"/>
        </w:rPr>
        <w:t>m</w:t>
      </w:r>
      <w:r w:rsidR="00EA3F12">
        <w:rPr>
          <w:rFonts w:eastAsia="Calibri" w:cs="Arial"/>
          <w:lang w:eastAsia="en-US"/>
        </w:rPr>
        <w:t>il</w:t>
      </w:r>
      <w:r w:rsidRPr="00A3095D" w:rsidR="00EA3F12">
        <w:rPr>
          <w:rFonts w:eastAsia="Calibri" w:cs="Arial"/>
          <w:lang w:eastAsia="en-US"/>
        </w:rPr>
        <w:t>l</w:t>
      </w:r>
      <w:r w:rsidR="00EA3F12">
        <w:rPr>
          <w:rFonts w:eastAsia="Calibri" w:cs="Arial"/>
          <w:lang w:eastAsia="en-US"/>
        </w:rPr>
        <w:t>iliter</w:t>
      </w:r>
      <w:r w:rsidRPr="00A3095D">
        <w:rPr>
          <w:rFonts w:eastAsia="Calibri" w:cs="Arial"/>
          <w:lang w:eastAsia="en-US"/>
        </w:rPr>
        <w:t>, if the ratio of fecal to total coliform exceeds 0.1.</w:t>
      </w:r>
    </w:p>
    <w:p w:rsidRPr="00A3095D" w:rsidR="00A3095D" w:rsidP="00A3095D" w:rsidRDefault="00A3095D" w14:paraId="44643748" w14:textId="6A49C064">
      <w:pPr>
        <w:spacing w:before="240"/>
        <w:ind w:left="1267"/>
        <w:rPr>
          <w:rFonts w:cs="Arial"/>
          <w:lang w:eastAsia="en-US"/>
        </w:rPr>
      </w:pPr>
      <w:r w:rsidRPr="00A3095D">
        <w:rPr>
          <w:rFonts w:cs="Arial"/>
          <w:b/>
          <w:bCs/>
          <w:lang w:eastAsia="en-US"/>
        </w:rPr>
        <w:t>Final Compliance Deadline:</w:t>
      </w:r>
      <w:r w:rsidRPr="00A3095D">
        <w:rPr>
          <w:rFonts w:cs="Arial"/>
          <w:lang w:eastAsia="en-US"/>
        </w:rPr>
        <w:t xml:space="preserve"> The final compliance deadline was March 10, 2010, which requires there shall be no exceedances in excess of the single sample limits at any location during summer dry weather (April 1 to October 31) or winter dry weather (November 1 to March 31) and the geometric mean targets shall be achieved. If the deadline has not been met, the Permittee may request a time schedule order from the Los Angeles Water Board Executive Officer, which </w:t>
      </w:r>
      <w:r w:rsidR="005C1C22">
        <w:rPr>
          <w:rFonts w:cs="Arial"/>
          <w:lang w:eastAsia="en-US"/>
        </w:rPr>
        <w:t xml:space="preserve">may establish an implementation schedule </w:t>
      </w:r>
      <w:r w:rsidRPr="00A3095D">
        <w:rPr>
          <w:rFonts w:cs="Arial"/>
          <w:lang w:eastAsia="en-US"/>
        </w:rPr>
        <w:t>for the Permittee to comply with the TMDL requirements, and will supersede the deadlines referenced in this Order.</w:t>
      </w:r>
    </w:p>
    <w:p w:rsidRPr="000D48DD" w:rsidR="00A3095D" w:rsidP="000D48DD" w:rsidRDefault="00836361" w14:paraId="53A98D76" w14:textId="36F77685">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.4</w:t>
      </w:r>
      <w:r w:rsidRPr="000D48DD" w:rsidR="00A3095D">
        <w:rPr>
          <w:i/>
          <w:iCs/>
        </w:rPr>
        <w:tab/>
      </w:r>
      <w:r w:rsidRPr="000D48DD" w:rsidR="00A3095D">
        <w:rPr>
          <w:i/>
          <w:iCs/>
        </w:rPr>
        <w:t>Los Angeles River Bacteria TMDL</w:t>
      </w:r>
    </w:p>
    <w:p w:rsidRPr="00A3095D" w:rsidR="00A3095D" w:rsidP="003D172A" w:rsidRDefault="00A3095D" w14:paraId="2AA4CC93" w14:textId="011D9F66">
      <w:pPr>
        <w:ind w:left="1260"/>
        <w:rPr>
          <w:rFonts w:cs="Arial"/>
          <w:lang w:eastAsia="en-US"/>
        </w:rPr>
      </w:pPr>
      <w:r w:rsidRPr="00A3095D">
        <w:rPr>
          <w:rFonts w:cs="Arial"/>
          <w:b/>
          <w:bCs/>
          <w:lang w:eastAsia="en-US"/>
        </w:rPr>
        <w:t>Description</w:t>
      </w:r>
      <w:r w:rsidRPr="00A3095D">
        <w:rPr>
          <w:rFonts w:cs="Arial"/>
          <w:lang w:eastAsia="en-US"/>
        </w:rPr>
        <w:t xml:space="preserve">: </w:t>
      </w:r>
      <w:r w:rsidR="00766ACF">
        <w:rPr>
          <w:rFonts w:cs="Arial"/>
          <w:lang w:eastAsia="en-US"/>
        </w:rPr>
        <w:t>USEPA</w:t>
      </w:r>
      <w:r w:rsidR="00C56C92">
        <w:rPr>
          <w:rFonts w:cs="Arial"/>
          <w:lang w:eastAsia="en-US"/>
        </w:rPr>
        <w:t xml:space="preserve"> </w:t>
      </w:r>
      <w:r w:rsidRPr="00A3095D">
        <w:rPr>
          <w:rFonts w:cs="Arial"/>
          <w:lang w:eastAsia="en-US"/>
        </w:rPr>
        <w:t>approved the Los Angeles River Bacteria TMDL on March 23, 2012. Elevated bacteria indicator densities are causing impairment of the water contact recreation beneficial use within the Los Angeles River Watershed. Recreating in waters with elevated bacteria indicator densities has been associated with adverse health effects. Stormwater discharges from the large municipalities are the principal source of bacteria. The Small MS4 stormwater permit</w:t>
      </w:r>
      <w:r w:rsidR="0091593F">
        <w:rPr>
          <w:rFonts w:cs="Arial"/>
          <w:lang w:eastAsia="en-US"/>
        </w:rPr>
        <w:t>t</w:t>
      </w:r>
      <w:r w:rsidRPr="00A3095D">
        <w:rPr>
          <w:rFonts w:cs="Arial"/>
          <w:lang w:eastAsia="en-US"/>
        </w:rPr>
        <w:t>ees are not a significant source of bacteria to the river.</w:t>
      </w:r>
    </w:p>
    <w:p w:rsidRPr="00A3095D" w:rsidR="00A3095D" w:rsidP="003D172A" w:rsidRDefault="00A3095D" w14:paraId="0F48DBAD" w14:textId="5E11D23E">
      <w:pPr>
        <w:ind w:left="1260"/>
        <w:rPr>
          <w:rFonts w:cs="Arial"/>
          <w:lang w:eastAsia="en-US"/>
        </w:rPr>
      </w:pPr>
      <w:r w:rsidRPr="00A3095D">
        <w:rPr>
          <w:b/>
          <w:szCs w:val="20"/>
          <w:lang w:eastAsia="en-US"/>
        </w:rPr>
        <w:t>Responsible Permit</w:t>
      </w:r>
      <w:r w:rsidR="0091593F">
        <w:rPr>
          <w:b/>
          <w:szCs w:val="20"/>
          <w:lang w:eastAsia="en-US"/>
        </w:rPr>
        <w:t>t</w:t>
      </w:r>
      <w:r w:rsidRPr="00A3095D">
        <w:rPr>
          <w:b/>
          <w:szCs w:val="20"/>
          <w:lang w:eastAsia="en-US"/>
        </w:rPr>
        <w:t>ees:</w:t>
      </w:r>
      <w:r w:rsidRPr="00A3095D">
        <w:rPr>
          <w:b/>
          <w:bCs/>
          <w:szCs w:val="20"/>
          <w:lang w:eastAsia="en-US"/>
        </w:rPr>
        <w:t xml:space="preserve"> </w:t>
      </w:r>
      <w:r w:rsidRPr="00A3095D">
        <w:rPr>
          <w:szCs w:val="20"/>
          <w:lang w:eastAsia="en-US"/>
        </w:rPr>
        <w:t>California State University</w:t>
      </w:r>
      <w:r w:rsidR="000C538F">
        <w:rPr>
          <w:szCs w:val="20"/>
          <w:lang w:eastAsia="en-US"/>
        </w:rPr>
        <w:t>,</w:t>
      </w:r>
      <w:r w:rsidRPr="00A3095D">
        <w:rPr>
          <w:szCs w:val="20"/>
          <w:lang w:eastAsia="en-US"/>
        </w:rPr>
        <w:t xml:space="preserve"> Los Angeles</w:t>
      </w:r>
      <w:r w:rsidR="000C538F">
        <w:rPr>
          <w:szCs w:val="20"/>
          <w:lang w:eastAsia="en-US"/>
        </w:rPr>
        <w:t>;</w:t>
      </w:r>
      <w:r w:rsidRPr="00A3095D">
        <w:rPr>
          <w:szCs w:val="20"/>
          <w:lang w:eastAsia="en-US"/>
        </w:rPr>
        <w:t xml:space="preserve"> and California State University</w:t>
      </w:r>
      <w:r w:rsidR="000C538F">
        <w:rPr>
          <w:szCs w:val="20"/>
          <w:lang w:eastAsia="en-US"/>
        </w:rPr>
        <w:t>,</w:t>
      </w:r>
      <w:r w:rsidRPr="00A3095D">
        <w:rPr>
          <w:szCs w:val="20"/>
          <w:lang w:eastAsia="en-US"/>
        </w:rPr>
        <w:t xml:space="preserve"> Northridge.</w:t>
      </w:r>
    </w:p>
    <w:p w:rsidRPr="00A3095D" w:rsidR="00A3095D" w:rsidP="003D172A" w:rsidRDefault="00A3095D" w14:paraId="79203F21" w14:textId="77777777">
      <w:pPr>
        <w:ind w:left="1260"/>
        <w:rPr>
          <w:szCs w:val="20"/>
          <w:lang w:eastAsia="en-US"/>
        </w:rPr>
      </w:pPr>
      <w:r w:rsidRPr="00A3095D">
        <w:rPr>
          <w:b/>
          <w:szCs w:val="20"/>
          <w:lang w:eastAsia="en-US"/>
        </w:rPr>
        <w:t>Wasteload Allocations Expressed as Allowable Exceedance Days:</w:t>
      </w:r>
      <w:r w:rsidRPr="00A3095D">
        <w:rPr>
          <w:b/>
          <w:bCs/>
          <w:szCs w:val="20"/>
          <w:lang w:eastAsia="en-US"/>
        </w:rPr>
        <w:t xml:space="preserve"> </w:t>
      </w:r>
      <w:r w:rsidRPr="00A3095D">
        <w:rPr>
          <w:szCs w:val="20"/>
          <w:lang w:eastAsia="en-US"/>
        </w:rPr>
        <w:t xml:space="preserve">Wasteload allocations are expressed as allowable exceedance days of the numeric targets. Permittees in the Los Angeles River Watershed are assigned wasteload allocations of zero (0) days of allowable exceedances of the single sample target for both dry and wet weather and no exceedances of the geometric mean target. Compliance with an effluent limit based on the water quality objective can be used to demonstrate compliance with the wasteload allocation. </w:t>
      </w:r>
    </w:p>
    <w:p w:rsidRPr="00A3095D" w:rsidR="00A3095D" w:rsidP="003D172A" w:rsidRDefault="00A3095D" w14:paraId="6522D989" w14:textId="77777777">
      <w:pPr>
        <w:ind w:left="1260"/>
        <w:rPr>
          <w:rFonts w:cs="Arial"/>
          <w:lang w:eastAsia="en-US"/>
        </w:rPr>
      </w:pPr>
      <w:r w:rsidRPr="00A3095D">
        <w:rPr>
          <w:rFonts w:cs="Arial"/>
          <w:lang w:eastAsia="en-US"/>
        </w:rPr>
        <w:t>The following are the numeric targets. Geometric mean values shall be calculated based on a minimum of 5 samples during any 30 day period. When repeat sampling is required because of an exceedance of any one single sample limit, values from all samples collected during that 30-day period shall be used to calculate the geometric mean.</w:t>
      </w:r>
    </w:p>
    <w:p w:rsidRPr="00203E6E" w:rsidR="00A3095D" w:rsidP="00E8254E" w:rsidRDefault="00A3095D" w14:paraId="7618FADF" w14:textId="783642D9">
      <w:pPr>
        <w:numPr>
          <w:ilvl w:val="0"/>
          <w:numId w:val="63"/>
        </w:numPr>
        <w:ind w:left="1800"/>
        <w:rPr>
          <w:rFonts w:eastAsia="Calibri" w:cs="Arial"/>
          <w:lang w:eastAsia="en-US"/>
        </w:rPr>
      </w:pPr>
      <w:r w:rsidRPr="00203E6E">
        <w:rPr>
          <w:rFonts w:eastAsia="Calibri" w:cs="Arial"/>
          <w:lang w:eastAsia="en-US"/>
        </w:rPr>
        <w:t>Geometric Mean Limits</w:t>
      </w:r>
      <w:r w:rsidRPr="00203E6E" w:rsidR="00203E6E">
        <w:rPr>
          <w:rFonts w:eastAsia="Calibri" w:cs="Arial"/>
          <w:lang w:eastAsia="en-US"/>
        </w:rPr>
        <w:t xml:space="preserve">: </w:t>
      </w:r>
      <w:r w:rsidRPr="00203E6E">
        <w:rPr>
          <w:rFonts w:eastAsia="Calibri" w:cs="Arial"/>
          <w:i/>
          <w:lang w:eastAsia="en-US"/>
        </w:rPr>
        <w:t xml:space="preserve">E. coli </w:t>
      </w:r>
      <w:r w:rsidRPr="00203E6E">
        <w:rPr>
          <w:rFonts w:eastAsia="Calibri" w:cs="Arial"/>
          <w:lang w:eastAsia="en-US"/>
        </w:rPr>
        <w:t>density shall not exceed 126/100 ml.</w:t>
      </w:r>
    </w:p>
    <w:p w:rsidRPr="00203E6E" w:rsidR="00A3095D" w:rsidP="00E8254E" w:rsidRDefault="00A3095D" w14:paraId="0FE82E62" w14:textId="58556307">
      <w:pPr>
        <w:numPr>
          <w:ilvl w:val="0"/>
          <w:numId w:val="63"/>
        </w:numPr>
        <w:ind w:left="1800"/>
        <w:rPr>
          <w:rFonts w:eastAsia="Calibri" w:cs="Arial"/>
          <w:i/>
          <w:lang w:eastAsia="en-US"/>
        </w:rPr>
      </w:pPr>
      <w:r w:rsidRPr="00203E6E">
        <w:rPr>
          <w:rFonts w:eastAsia="Calibri" w:cs="Arial"/>
          <w:lang w:eastAsia="en-US"/>
        </w:rPr>
        <w:t>Single Sample Limits</w:t>
      </w:r>
      <w:r w:rsidRPr="00203E6E" w:rsidR="00203E6E">
        <w:rPr>
          <w:rFonts w:eastAsia="Calibri" w:cs="Arial"/>
          <w:lang w:eastAsia="en-US"/>
        </w:rPr>
        <w:t xml:space="preserve">: </w:t>
      </w:r>
      <w:r w:rsidRPr="00203E6E">
        <w:rPr>
          <w:rFonts w:eastAsia="Calibri" w:cs="Arial"/>
          <w:i/>
          <w:lang w:eastAsia="en-US"/>
        </w:rPr>
        <w:t xml:space="preserve">E. coli </w:t>
      </w:r>
      <w:r w:rsidRPr="00203E6E">
        <w:rPr>
          <w:rFonts w:eastAsia="Calibri" w:cs="Arial"/>
          <w:iCs/>
          <w:lang w:eastAsia="en-US"/>
        </w:rPr>
        <w:t>density shall not exceed 235/100 ml.</w:t>
      </w:r>
    </w:p>
    <w:p w:rsidRPr="00A3095D" w:rsidR="00A3095D" w:rsidP="003D172A" w:rsidRDefault="00A3095D" w14:paraId="59482F2E" w14:textId="3EA9C9A0">
      <w:pPr>
        <w:ind w:left="1260"/>
        <w:rPr>
          <w:szCs w:val="20"/>
          <w:lang w:eastAsia="en-US"/>
        </w:rPr>
      </w:pPr>
      <w:r w:rsidRPr="00A3095D">
        <w:rPr>
          <w:rFonts w:cs="Arial"/>
          <w:b/>
          <w:bCs/>
          <w:lang w:eastAsia="en-US"/>
        </w:rPr>
        <w:t>Final Compliance Deadline:</w:t>
      </w:r>
      <w:r w:rsidRPr="00A3095D">
        <w:rPr>
          <w:szCs w:val="20"/>
          <w:lang w:eastAsia="en-US"/>
        </w:rPr>
        <w:t xml:space="preserve"> The final compliance deadline is 11.5 years after effective date (</w:t>
      </w:r>
      <w:r w:rsidRPr="00A3095D">
        <w:rPr>
          <w:rFonts w:cs="Arial"/>
          <w:lang w:eastAsia="en-US"/>
        </w:rPr>
        <w:t xml:space="preserve">March 23, 2012) </w:t>
      </w:r>
      <w:r w:rsidRPr="00A3095D">
        <w:rPr>
          <w:szCs w:val="20"/>
          <w:lang w:eastAsia="en-US"/>
        </w:rPr>
        <w:t xml:space="preserve">of the TMDL, which is September 19, 2023. If the deadline has not been met, the Permittee may request a time schedule order from the Los Angeles Water Board Executive Officer, which </w:t>
      </w:r>
      <w:r w:rsidR="005C1C22">
        <w:rPr>
          <w:szCs w:val="20"/>
          <w:lang w:eastAsia="en-US"/>
        </w:rPr>
        <w:t xml:space="preserve">may establish an implementation schedule </w:t>
      </w:r>
      <w:r w:rsidRPr="00A3095D">
        <w:rPr>
          <w:szCs w:val="20"/>
          <w:lang w:eastAsia="en-US"/>
        </w:rPr>
        <w:t>for the Permittee to comply with the TMDL requirements, and will supersede the deadlines referenced in this Order.</w:t>
      </w:r>
    </w:p>
    <w:p w:rsidRPr="000D48DD" w:rsidR="00A3095D" w:rsidP="000D48DD" w:rsidRDefault="00836361" w14:paraId="4146DFC9" w14:textId="32013E97">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.5</w:t>
      </w:r>
      <w:r w:rsidRPr="000D48DD" w:rsidR="00A3095D">
        <w:rPr>
          <w:i/>
          <w:iCs/>
        </w:rPr>
        <w:tab/>
      </w:r>
      <w:bookmarkStart w:name="_Hlk152920397" w:id="88"/>
      <w:r w:rsidRPr="000D48DD" w:rsidR="00A3095D">
        <w:rPr>
          <w:i/>
          <w:iCs/>
        </w:rPr>
        <w:t>San Gabriel River, Estuary and Tributaries Indicator Bacteria TMDL</w:t>
      </w:r>
      <w:bookmarkEnd w:id="88"/>
    </w:p>
    <w:p w:rsidRPr="00A3095D" w:rsidR="00A3095D" w:rsidP="00A3095D" w:rsidRDefault="00A3095D" w14:paraId="57040752" w14:textId="574EE8BE">
      <w:pPr>
        <w:ind w:left="1260"/>
        <w:rPr>
          <w:rFonts w:cs="Arial"/>
          <w:lang w:eastAsia="en-US"/>
        </w:rPr>
      </w:pPr>
      <w:r w:rsidRPr="00A3095D">
        <w:rPr>
          <w:rFonts w:cs="Arial"/>
          <w:b/>
          <w:bCs/>
          <w:lang w:eastAsia="en-US"/>
        </w:rPr>
        <w:t>Description:</w:t>
      </w:r>
      <w:r w:rsidRPr="00A3095D">
        <w:rPr>
          <w:rFonts w:cs="Arial"/>
          <w:lang w:eastAsia="en-US"/>
        </w:rPr>
        <w:t xml:space="preserve"> </w:t>
      </w:r>
      <w:r w:rsidRPr="00A3095D">
        <w:rPr>
          <w:sz w:val="22"/>
          <w:szCs w:val="22"/>
          <w:lang w:eastAsia="en-US"/>
        </w:rPr>
        <w:t xml:space="preserve">The </w:t>
      </w:r>
      <w:r w:rsidR="00766ACF">
        <w:rPr>
          <w:sz w:val="22"/>
          <w:szCs w:val="22"/>
          <w:lang w:eastAsia="en-US"/>
        </w:rPr>
        <w:t>USEPA</w:t>
      </w:r>
      <w:r w:rsidR="00C56C92">
        <w:rPr>
          <w:sz w:val="22"/>
          <w:szCs w:val="22"/>
          <w:lang w:eastAsia="en-US"/>
        </w:rPr>
        <w:t xml:space="preserve"> </w:t>
      </w:r>
      <w:r w:rsidRPr="00A3095D">
        <w:rPr>
          <w:sz w:val="22"/>
          <w:szCs w:val="22"/>
          <w:lang w:eastAsia="en-US"/>
        </w:rPr>
        <w:t xml:space="preserve">approved the San Gabriel River, Estuary and Tributaries Indicator Bacteria TMDL on June 14, 2016. </w:t>
      </w:r>
      <w:r w:rsidRPr="00A3095D">
        <w:rPr>
          <w:rFonts w:cs="Arial"/>
          <w:lang w:eastAsia="en-US"/>
        </w:rPr>
        <w:t xml:space="preserve">Elevated bacterial indicator densities are causing impairment of the water contact recreation and non-contact recreation beneficial uses in several reaches of the San Gabriel River, San Gabriel River Estuary, and its tributaries. Recreating in waters with elevated bacterial indicator densities has long been associated with adverse human health effects. Contributors of bacteria loading to the San Gabriel River, San Gabriel River Estuary, and its tributaries are dry- and wet-weather discharges from municipal separate storm sewer systems. </w:t>
      </w:r>
    </w:p>
    <w:p w:rsidRPr="00A3095D" w:rsidR="00A3095D" w:rsidP="00A3095D" w:rsidRDefault="00A3095D" w14:paraId="5099C4CE" w14:textId="7B8C53C0">
      <w:pPr>
        <w:ind w:left="1260"/>
        <w:rPr>
          <w:rFonts w:cs="Arial"/>
          <w:lang w:eastAsia="en-US"/>
        </w:rPr>
      </w:pPr>
      <w:r w:rsidRPr="00A3095D">
        <w:rPr>
          <w:b/>
          <w:szCs w:val="20"/>
          <w:lang w:eastAsia="en-US"/>
        </w:rPr>
        <w:t>Responsible Permit</w:t>
      </w:r>
      <w:r w:rsidR="0091593F">
        <w:rPr>
          <w:b/>
          <w:szCs w:val="20"/>
          <w:lang w:eastAsia="en-US"/>
        </w:rPr>
        <w:t>t</w:t>
      </w:r>
      <w:r w:rsidRPr="00A3095D">
        <w:rPr>
          <w:b/>
          <w:szCs w:val="20"/>
          <w:lang w:eastAsia="en-US"/>
        </w:rPr>
        <w:t>ees:</w:t>
      </w:r>
      <w:r w:rsidRPr="00A3095D">
        <w:rPr>
          <w:szCs w:val="20"/>
          <w:lang w:eastAsia="en-US"/>
        </w:rPr>
        <w:t xml:space="preserve"> California State Polytechnic University, Pomona</w:t>
      </w:r>
      <w:r w:rsidRPr="00A3095D">
        <w:rPr>
          <w:rFonts w:cs="Arial"/>
          <w:lang w:eastAsia="en-US"/>
        </w:rPr>
        <w:t>.</w:t>
      </w:r>
    </w:p>
    <w:p w:rsidRPr="00A3095D" w:rsidR="00A3095D" w:rsidP="00A3095D" w:rsidRDefault="00A3095D" w14:paraId="362001E1" w14:textId="114779C3">
      <w:pPr>
        <w:ind w:left="1260"/>
        <w:rPr>
          <w:szCs w:val="20"/>
          <w:lang w:eastAsia="en-US"/>
        </w:rPr>
      </w:pPr>
      <w:r w:rsidRPr="00A3095D">
        <w:rPr>
          <w:b/>
          <w:szCs w:val="20"/>
          <w:lang w:eastAsia="en-US"/>
        </w:rPr>
        <w:t>Wasteload Allocations as Exceedance Days:</w:t>
      </w:r>
      <w:r w:rsidRPr="00A3095D">
        <w:rPr>
          <w:b/>
          <w:bCs/>
          <w:szCs w:val="20"/>
          <w:lang w:eastAsia="en-US"/>
        </w:rPr>
        <w:t xml:space="preserve"> </w:t>
      </w:r>
      <w:r w:rsidRPr="00D56DEC" w:rsidR="00D56DEC">
        <w:rPr>
          <w:szCs w:val="20"/>
          <w:lang w:eastAsia="en-US"/>
        </w:rPr>
        <w:t>are expressed as the number of daily or weekly sample days that may exceed the single sample limits as identified under “Numeric Target”</w:t>
      </w:r>
      <w:r w:rsidR="00936D95">
        <w:rPr>
          <w:szCs w:val="20"/>
          <w:lang w:eastAsia="en-US"/>
        </w:rPr>
        <w:t xml:space="preserve"> in the TMDL.</w:t>
      </w:r>
      <w:r w:rsidRPr="00A3095D">
        <w:rPr>
          <w:szCs w:val="20"/>
          <w:lang w:eastAsia="en-US"/>
        </w:rPr>
        <w:t xml:space="preserve"> No exceedances are allowed for the geometric mean limits. Allowable days of exceedance for the single sample limits differ depending on season, dry weather or wet weather, and locations. </w:t>
      </w:r>
    </w:p>
    <w:p w:rsidRPr="00A3095D" w:rsidR="00A3095D" w:rsidP="00E8254E" w:rsidRDefault="00A3095D" w14:paraId="04F4F5ED" w14:textId="77777777">
      <w:pPr>
        <w:numPr>
          <w:ilvl w:val="0"/>
          <w:numId w:val="43"/>
        </w:numPr>
        <w:tabs>
          <w:tab w:val="left" w:pos="1620"/>
        </w:tabs>
        <w:ind w:left="1620"/>
        <w:rPr>
          <w:rFonts w:cs="Arial"/>
          <w:lang w:eastAsia="en-US"/>
        </w:rPr>
      </w:pPr>
      <w:r w:rsidRPr="00A3095D">
        <w:rPr>
          <w:rFonts w:cs="Arial"/>
          <w:lang w:eastAsia="en-US"/>
        </w:rPr>
        <w:t>For the San Gabriel River and its tributaries, allowable exceedance days are set on an annual basis (April 1 to March 31) for two conditions: dry-weather and wet-weather (defined as days of 0.1 inch of rain or more plus three days following the rain event).</w:t>
      </w:r>
    </w:p>
    <w:p w:rsidRPr="00A3095D" w:rsidR="00A3095D" w:rsidP="00E8254E" w:rsidRDefault="00A3095D" w14:paraId="448B28C3" w14:textId="77777777">
      <w:pPr>
        <w:numPr>
          <w:ilvl w:val="0"/>
          <w:numId w:val="44"/>
        </w:numPr>
        <w:rPr>
          <w:rFonts w:eastAsia="Calibri" w:cs="Arial"/>
          <w:lang w:eastAsia="en-US"/>
        </w:rPr>
      </w:pPr>
      <w:r w:rsidRPr="00A3095D">
        <w:rPr>
          <w:rFonts w:eastAsia="Calibri" w:cs="Arial"/>
          <w:lang w:eastAsia="en-US"/>
        </w:rPr>
        <w:t>Summer Dry Weather: 5 allowable exceedance days (based on daily sampling), or 1 allowable exceedance day (based on weekly sampling)</w:t>
      </w:r>
    </w:p>
    <w:p w:rsidRPr="00A3095D" w:rsidR="00A3095D" w:rsidP="00E8254E" w:rsidRDefault="00A3095D" w14:paraId="29A7AC5D" w14:textId="77777777">
      <w:pPr>
        <w:numPr>
          <w:ilvl w:val="0"/>
          <w:numId w:val="44"/>
        </w:numPr>
        <w:rPr>
          <w:rFonts w:eastAsia="Calibri" w:cs="Arial"/>
          <w:lang w:eastAsia="en-US"/>
        </w:rPr>
      </w:pPr>
      <w:r w:rsidRPr="00A3095D">
        <w:rPr>
          <w:rFonts w:eastAsia="Calibri" w:cs="Arial"/>
          <w:lang w:eastAsia="en-US"/>
        </w:rPr>
        <w:t xml:space="preserve">Waters not subject to the High Flow Suspension. </w:t>
      </w:r>
    </w:p>
    <w:p w:rsidRPr="00A3095D" w:rsidR="00A3095D" w:rsidP="00516DBF" w:rsidRDefault="00A3095D" w14:paraId="208C385D" w14:textId="77777777">
      <w:pPr>
        <w:ind w:left="3510" w:hanging="1530"/>
        <w:rPr>
          <w:rFonts w:eastAsia="Calibri" w:cs="Arial"/>
          <w:lang w:eastAsia="en-US"/>
        </w:rPr>
      </w:pPr>
      <w:r w:rsidRPr="00A3095D">
        <w:rPr>
          <w:rFonts w:eastAsia="Calibri" w:cs="Arial"/>
          <w:lang w:eastAsia="en-US"/>
        </w:rPr>
        <w:t>Wet weather: 17 allowable exceedance days (based on daily sampling), or 3 allowable exceedance days (based on weekly sampling)</w:t>
      </w:r>
    </w:p>
    <w:p w:rsidRPr="00A3095D" w:rsidR="00A3095D" w:rsidP="00E8254E" w:rsidRDefault="00A3095D" w14:paraId="3E5B13B0" w14:textId="77777777">
      <w:pPr>
        <w:numPr>
          <w:ilvl w:val="0"/>
          <w:numId w:val="44"/>
        </w:numPr>
        <w:rPr>
          <w:rFonts w:eastAsia="Calibri" w:cs="Arial"/>
          <w:lang w:eastAsia="en-US"/>
        </w:rPr>
      </w:pPr>
      <w:r w:rsidRPr="00A3095D">
        <w:rPr>
          <w:rFonts w:eastAsia="Calibri" w:cs="Arial"/>
          <w:lang w:eastAsia="en-US"/>
        </w:rPr>
        <w:t xml:space="preserve">Waters subject to the High Flow Suspension. </w:t>
      </w:r>
    </w:p>
    <w:p w:rsidRPr="00A3095D" w:rsidR="00A3095D" w:rsidP="00516DBF" w:rsidRDefault="00A3095D" w14:paraId="470F20DA" w14:textId="77777777">
      <w:pPr>
        <w:ind w:left="3510" w:hanging="1530"/>
        <w:rPr>
          <w:rFonts w:eastAsia="Calibri" w:cs="Arial"/>
          <w:lang w:eastAsia="en-US"/>
        </w:rPr>
      </w:pPr>
      <w:r w:rsidRPr="00A3095D">
        <w:rPr>
          <w:rFonts w:eastAsia="Calibri" w:cs="Arial"/>
          <w:lang w:eastAsia="en-US"/>
        </w:rPr>
        <w:t>Wet weather: 11 allowable exceedance days (daily sampling), or 2 allowable exceedance days (weekly sampling)</w:t>
      </w:r>
    </w:p>
    <w:p w:rsidRPr="00A3095D" w:rsidR="00A3095D" w:rsidP="00E8254E" w:rsidRDefault="00A3095D" w14:paraId="2A6C23D6" w14:textId="77777777">
      <w:pPr>
        <w:numPr>
          <w:ilvl w:val="0"/>
          <w:numId w:val="43"/>
        </w:numPr>
        <w:tabs>
          <w:tab w:val="left" w:pos="1620"/>
        </w:tabs>
        <w:ind w:left="1620"/>
        <w:rPr>
          <w:rFonts w:cs="Arial"/>
          <w:lang w:eastAsia="en-US"/>
        </w:rPr>
      </w:pPr>
      <w:r w:rsidRPr="00A3095D">
        <w:rPr>
          <w:rFonts w:cs="Arial"/>
          <w:lang w:eastAsia="en-US"/>
        </w:rPr>
        <w:t>Geometric Mean Limits, Fresh Water</w:t>
      </w:r>
    </w:p>
    <w:p w:rsidRPr="00A3095D" w:rsidR="00A3095D" w:rsidP="00516DBF" w:rsidRDefault="00A3095D" w14:paraId="11A79E04" w14:textId="77777777">
      <w:pPr>
        <w:ind w:left="1620"/>
        <w:rPr>
          <w:rFonts w:eastAsia="Calibri" w:cs="Arial"/>
          <w:lang w:eastAsia="en-US"/>
        </w:rPr>
      </w:pPr>
      <w:r w:rsidRPr="00A3095D">
        <w:rPr>
          <w:rFonts w:cs="Arial"/>
          <w:lang w:eastAsia="en-US"/>
        </w:rPr>
        <w:t>Geometric mean values shall be calculated weekly as a rolling geometric mean using a minimum of 5 samples for six week periods and starting all calculation weeks on Sunday. Geometric mean limits may not be exceeded at any time.</w:t>
      </w:r>
    </w:p>
    <w:p w:rsidRPr="00A3095D" w:rsidR="00A3095D" w:rsidP="000174AD" w:rsidRDefault="00A3095D" w14:paraId="6665A7B0" w14:textId="7FD16FA5">
      <w:pPr>
        <w:ind w:left="1980"/>
        <w:rPr>
          <w:rFonts w:eastAsia="Calibri" w:cs="Arial"/>
          <w:lang w:eastAsia="en-US"/>
        </w:rPr>
      </w:pPr>
      <w:r w:rsidRPr="00A3095D">
        <w:rPr>
          <w:rFonts w:eastAsia="Calibri" w:cs="Arial"/>
          <w:i/>
          <w:lang w:eastAsia="en-US"/>
        </w:rPr>
        <w:t xml:space="preserve">E. coli </w:t>
      </w:r>
      <w:r w:rsidRPr="00A3095D">
        <w:rPr>
          <w:rFonts w:eastAsia="Calibri" w:cs="Arial"/>
          <w:lang w:eastAsia="en-US"/>
        </w:rPr>
        <w:t xml:space="preserve">density shall not exceed 126/100 </w:t>
      </w:r>
      <w:r w:rsidRPr="00A3095D" w:rsidR="004248B0">
        <w:rPr>
          <w:rFonts w:eastAsia="Calibri" w:cs="Arial"/>
          <w:lang w:eastAsia="en-US"/>
        </w:rPr>
        <w:t>m</w:t>
      </w:r>
      <w:r w:rsidR="004248B0">
        <w:rPr>
          <w:rFonts w:eastAsia="Calibri" w:cs="Arial"/>
          <w:lang w:eastAsia="en-US"/>
        </w:rPr>
        <w:t>il</w:t>
      </w:r>
      <w:r w:rsidRPr="00A3095D" w:rsidR="004248B0">
        <w:rPr>
          <w:rFonts w:eastAsia="Calibri" w:cs="Arial"/>
          <w:lang w:eastAsia="en-US"/>
        </w:rPr>
        <w:t>l</w:t>
      </w:r>
      <w:r w:rsidR="004248B0">
        <w:rPr>
          <w:rFonts w:eastAsia="Calibri" w:cs="Arial"/>
          <w:lang w:eastAsia="en-US"/>
        </w:rPr>
        <w:t>iliter</w:t>
      </w:r>
    </w:p>
    <w:p w:rsidRPr="00A3095D" w:rsidR="00A3095D" w:rsidP="00E8254E" w:rsidRDefault="00A3095D" w14:paraId="64DEF988" w14:textId="77777777">
      <w:pPr>
        <w:numPr>
          <w:ilvl w:val="0"/>
          <w:numId w:val="43"/>
        </w:numPr>
        <w:tabs>
          <w:tab w:val="left" w:pos="1620"/>
        </w:tabs>
        <w:ind w:left="1620"/>
        <w:rPr>
          <w:rFonts w:cs="Arial"/>
          <w:lang w:eastAsia="en-US"/>
        </w:rPr>
      </w:pPr>
      <w:r w:rsidRPr="00A3095D">
        <w:rPr>
          <w:rFonts w:cs="Arial"/>
          <w:lang w:eastAsia="en-US"/>
        </w:rPr>
        <w:t>Single Sample Limits, Fresh Water</w:t>
      </w:r>
    </w:p>
    <w:p w:rsidRPr="00516DBF" w:rsidR="00A3095D" w:rsidP="00635991" w:rsidRDefault="00A3095D" w14:paraId="5917B424" w14:textId="4719235D">
      <w:pPr>
        <w:ind w:left="1980"/>
        <w:rPr>
          <w:rFonts w:eastAsia="Calibri" w:cs="Arial"/>
          <w:i/>
          <w:lang w:eastAsia="en-US"/>
        </w:rPr>
      </w:pPr>
      <w:r w:rsidRPr="00A3095D">
        <w:rPr>
          <w:rFonts w:eastAsia="Calibri" w:cs="Arial"/>
          <w:i/>
          <w:lang w:eastAsia="en-US"/>
        </w:rPr>
        <w:t xml:space="preserve">E. coli </w:t>
      </w:r>
      <w:r w:rsidRPr="00516DBF">
        <w:rPr>
          <w:rFonts w:eastAsia="Calibri" w:cs="Arial"/>
          <w:i/>
          <w:lang w:eastAsia="en-US"/>
        </w:rPr>
        <w:t xml:space="preserve">density shall not exceed 235/100 </w:t>
      </w:r>
      <w:r w:rsidRPr="00A3095D" w:rsidR="004248B0">
        <w:rPr>
          <w:rFonts w:eastAsia="Calibri" w:cs="Arial"/>
          <w:lang w:eastAsia="en-US"/>
        </w:rPr>
        <w:t>m</w:t>
      </w:r>
      <w:r w:rsidR="004248B0">
        <w:rPr>
          <w:rFonts w:eastAsia="Calibri" w:cs="Arial"/>
          <w:lang w:eastAsia="en-US"/>
        </w:rPr>
        <w:t>il</w:t>
      </w:r>
      <w:r w:rsidRPr="00A3095D" w:rsidR="004248B0">
        <w:rPr>
          <w:rFonts w:eastAsia="Calibri" w:cs="Arial"/>
          <w:lang w:eastAsia="en-US"/>
        </w:rPr>
        <w:t>l</w:t>
      </w:r>
      <w:r w:rsidR="004248B0">
        <w:rPr>
          <w:rFonts w:eastAsia="Calibri" w:cs="Arial"/>
          <w:lang w:eastAsia="en-US"/>
        </w:rPr>
        <w:t>iliter</w:t>
      </w:r>
    </w:p>
    <w:p w:rsidRPr="00A3095D" w:rsidR="00A3095D" w:rsidP="00A3095D" w:rsidRDefault="00A3095D" w14:paraId="7D66ABD5" w14:textId="77777777">
      <w:pPr>
        <w:ind w:left="1260"/>
        <w:rPr>
          <w:rFonts w:cs="Arial"/>
          <w:lang w:eastAsia="en-US"/>
        </w:rPr>
      </w:pPr>
      <w:r w:rsidRPr="00A3095D">
        <w:rPr>
          <w:rFonts w:cs="Arial"/>
          <w:b/>
          <w:bCs/>
          <w:lang w:eastAsia="en-US"/>
        </w:rPr>
        <w:t xml:space="preserve">Final Compliance Deadline: </w:t>
      </w:r>
      <w:r w:rsidRPr="00A3095D">
        <w:rPr>
          <w:rFonts w:cs="Arial"/>
          <w:lang w:eastAsia="en-US"/>
        </w:rPr>
        <w:t>The TMDL specifies that the final wasteload allocations are to be achieved for single sample objectives and during dry weather by June 14, 2026, while the final wasteload allocations during wet weather are to be achieved by June 14, 2036.</w:t>
      </w:r>
    </w:p>
    <w:p w:rsidRPr="000D48DD" w:rsidR="00A3095D" w:rsidP="000D48DD" w:rsidRDefault="00836361" w14:paraId="66DAF3A7" w14:textId="6772CEF8">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.6</w:t>
      </w:r>
      <w:r w:rsidRPr="000D48DD" w:rsidR="00A3095D">
        <w:rPr>
          <w:i/>
          <w:iCs/>
        </w:rPr>
        <w:tab/>
      </w:r>
      <w:r w:rsidRPr="000D48DD" w:rsidR="00A3095D">
        <w:rPr>
          <w:i/>
          <w:iCs/>
        </w:rPr>
        <w:t>Ballona Creek Metals TMDL</w:t>
      </w:r>
    </w:p>
    <w:p w:rsidRPr="00A3095D" w:rsidR="00A3095D" w:rsidP="00A3095D" w:rsidRDefault="00A3095D" w14:paraId="78C22F72" w14:textId="70043FD0">
      <w:pPr>
        <w:ind w:left="1260"/>
        <w:rPr>
          <w:rFonts w:cs="Arial"/>
          <w:lang w:eastAsia="en-US"/>
        </w:rPr>
      </w:pPr>
      <w:r w:rsidRPr="00A3095D">
        <w:rPr>
          <w:rFonts w:cs="Arial"/>
          <w:b/>
          <w:bCs/>
          <w:lang w:eastAsia="en-US"/>
        </w:rPr>
        <w:t>Description</w:t>
      </w:r>
      <w:r w:rsidRPr="00A3095D">
        <w:rPr>
          <w:rFonts w:cs="Arial"/>
          <w:lang w:eastAsia="en-US"/>
        </w:rPr>
        <w:t xml:space="preserve">: </w:t>
      </w:r>
      <w:r w:rsidR="00766ACF">
        <w:rPr>
          <w:rFonts w:cs="Arial"/>
          <w:lang w:eastAsia="en-US"/>
        </w:rPr>
        <w:t>USEPA</w:t>
      </w:r>
      <w:r w:rsidR="00C56C92">
        <w:rPr>
          <w:rFonts w:cs="Arial"/>
          <w:lang w:eastAsia="en-US"/>
        </w:rPr>
        <w:t xml:space="preserve"> </w:t>
      </w:r>
      <w:r w:rsidRPr="00A3095D">
        <w:rPr>
          <w:rFonts w:cs="Arial"/>
          <w:lang w:eastAsia="en-US"/>
        </w:rPr>
        <w:t>approved the Ballona Creek Metals TMDL on October 29, 2008. Ballona Creek is impaired dissolved copper, dissolved lead, total selenium, and dissolved zinc. Water contact recreation, non-contact water recreation, warm freshwater habitat, and wildlife habitat beneficial uses are impaired. Dry weather and wet weather discharges from storm systems are a source of these pollutants</w:t>
      </w:r>
    </w:p>
    <w:p w:rsidRPr="00A3095D" w:rsidR="00A3095D" w:rsidP="00A3095D" w:rsidRDefault="00A3095D" w14:paraId="4CA32A30" w14:textId="562E30DA">
      <w:pPr>
        <w:ind w:left="1260"/>
        <w:rPr>
          <w:rFonts w:cs="Arial"/>
          <w:lang w:eastAsia="en-US"/>
        </w:rPr>
      </w:pPr>
      <w:r w:rsidRPr="00A3095D">
        <w:rPr>
          <w:b/>
          <w:szCs w:val="20"/>
          <w:lang w:eastAsia="en-US"/>
        </w:rPr>
        <w:t>Responsible Permit</w:t>
      </w:r>
      <w:r w:rsidR="0091593F">
        <w:rPr>
          <w:b/>
          <w:szCs w:val="20"/>
          <w:lang w:eastAsia="en-US"/>
        </w:rPr>
        <w:t>t</w:t>
      </w:r>
      <w:r w:rsidRPr="00A3095D">
        <w:rPr>
          <w:b/>
          <w:szCs w:val="20"/>
          <w:lang w:eastAsia="en-US"/>
        </w:rPr>
        <w:t>ees:</w:t>
      </w:r>
      <w:r w:rsidRPr="00A3095D">
        <w:rPr>
          <w:b/>
          <w:bCs/>
          <w:szCs w:val="20"/>
          <w:lang w:eastAsia="en-US"/>
        </w:rPr>
        <w:t xml:space="preserve"> </w:t>
      </w:r>
      <w:r w:rsidRPr="00A3095D">
        <w:rPr>
          <w:szCs w:val="20"/>
          <w:lang w:eastAsia="en-US"/>
        </w:rPr>
        <w:t>University of California</w:t>
      </w:r>
      <w:r w:rsidR="000C538F">
        <w:rPr>
          <w:szCs w:val="20"/>
          <w:lang w:eastAsia="en-US"/>
        </w:rPr>
        <w:t>,</w:t>
      </w:r>
      <w:r w:rsidRPr="00A3095D">
        <w:rPr>
          <w:szCs w:val="20"/>
          <w:lang w:eastAsia="en-US"/>
        </w:rPr>
        <w:t xml:space="preserve"> Los Angeles</w:t>
      </w:r>
      <w:r w:rsidR="000C538F">
        <w:rPr>
          <w:szCs w:val="20"/>
          <w:lang w:eastAsia="en-US"/>
        </w:rPr>
        <w:t xml:space="preserve">; and </w:t>
      </w:r>
      <w:r w:rsidRPr="00CC30B5" w:rsidR="000C538F">
        <w:rPr>
          <w:rFonts w:cs="Arial"/>
        </w:rPr>
        <w:t>Veteran</w:t>
      </w:r>
      <w:r w:rsidR="000C538F">
        <w:rPr>
          <w:rFonts w:cs="Arial"/>
        </w:rPr>
        <w:t>s</w:t>
      </w:r>
      <w:r w:rsidRPr="00CC30B5" w:rsidR="000C538F">
        <w:rPr>
          <w:rFonts w:cs="Arial"/>
        </w:rPr>
        <w:t xml:space="preserve"> Affairs Greater Los Angeles Healthcare System</w:t>
      </w:r>
      <w:r w:rsidR="000C538F">
        <w:rPr>
          <w:rFonts w:cs="Arial"/>
        </w:rPr>
        <w:t>.</w:t>
      </w:r>
    </w:p>
    <w:p w:rsidRPr="00A3095D" w:rsidR="00A3095D" w:rsidP="00A3095D" w:rsidRDefault="00A3095D" w14:paraId="2A96645B" w14:textId="77777777">
      <w:pPr>
        <w:ind w:left="1260"/>
        <w:rPr>
          <w:szCs w:val="20"/>
          <w:lang w:eastAsia="en-US"/>
        </w:rPr>
      </w:pPr>
      <w:r w:rsidRPr="00A3095D">
        <w:rPr>
          <w:b/>
          <w:szCs w:val="20"/>
          <w:lang w:eastAsia="en-US"/>
        </w:rPr>
        <w:t>Wasteload Allocations:</w:t>
      </w:r>
      <w:r w:rsidRPr="00A3095D">
        <w:rPr>
          <w:szCs w:val="20"/>
          <w:lang w:eastAsia="en-US"/>
        </w:rPr>
        <w:t xml:space="preserve"> The TMDL provides wasteload allocations for dry and wet weather. </w:t>
      </w:r>
    </w:p>
    <w:p w:rsidRPr="00A3095D" w:rsidR="00A3095D" w:rsidP="00E8254E" w:rsidRDefault="00A3095D" w14:paraId="6694C6A1" w14:textId="569FE45E">
      <w:pPr>
        <w:numPr>
          <w:ilvl w:val="0"/>
          <w:numId w:val="45"/>
        </w:numPr>
        <w:ind w:left="1620"/>
        <w:rPr>
          <w:szCs w:val="20"/>
          <w:lang w:eastAsia="en-US"/>
        </w:rPr>
      </w:pPr>
      <w:r w:rsidRPr="00A3095D">
        <w:rPr>
          <w:szCs w:val="20"/>
          <w:lang w:eastAsia="en-US"/>
        </w:rPr>
        <w:t xml:space="preserve">Concentration-based dry-weather wasteload allocations are assigned to the minor NPDES permits, which includes the </w:t>
      </w:r>
      <w:r w:rsidR="005060FF">
        <w:rPr>
          <w:szCs w:val="20"/>
          <w:lang w:eastAsia="en-US"/>
        </w:rPr>
        <w:t>Small MS4</w:t>
      </w:r>
      <w:r w:rsidRPr="00A3095D">
        <w:rPr>
          <w:szCs w:val="20"/>
          <w:lang w:eastAsia="en-US"/>
        </w:rPr>
        <w:t xml:space="preserve"> Permittees, and general non-</w:t>
      </w:r>
      <w:r w:rsidR="00CD7F3F">
        <w:rPr>
          <w:szCs w:val="20"/>
          <w:lang w:eastAsia="en-US"/>
        </w:rPr>
        <w:t>stormwater</w:t>
      </w:r>
      <w:r w:rsidRPr="00A3095D">
        <w:rPr>
          <w:szCs w:val="20"/>
          <w:lang w:eastAsia="en-US"/>
        </w:rPr>
        <w:t xml:space="preserve"> NPDES permits that discharge to Ballona Creek or its tributaries</w:t>
      </w:r>
    </w:p>
    <w:p w:rsidRPr="00A3095D" w:rsidR="00A3095D" w:rsidP="008B7313" w:rsidRDefault="00A3095D" w14:paraId="74950AF1" w14:textId="70890465">
      <w:pPr>
        <w:keepNext/>
        <w:keepLines/>
        <w:widowControl w:val="0"/>
        <w:spacing w:before="0" w:after="0" w:line="240" w:lineRule="auto"/>
        <w:ind w:left="1987"/>
        <w:rPr>
          <w:b/>
          <w:lang w:eastAsia="en-US"/>
        </w:rPr>
      </w:pPr>
      <w:r w:rsidRPr="00A3095D">
        <w:rPr>
          <w:b/>
          <w:lang w:eastAsia="en-US"/>
        </w:rPr>
        <w:t>Dry-weather</w:t>
      </w:r>
      <w:r w:rsidRPr="00A3095D">
        <w:rPr>
          <w:b/>
          <w:spacing w:val="-9"/>
          <w:lang w:eastAsia="en-US"/>
        </w:rPr>
        <w:t xml:space="preserve"> Wasteload Allocations for Minor NPDES Permits (</w:t>
      </w:r>
      <w:r w:rsidRPr="00A3095D">
        <w:rPr>
          <w:b/>
          <w:lang w:eastAsia="en-US"/>
        </w:rPr>
        <w:t>total</w:t>
      </w:r>
      <w:r w:rsidRPr="00A3095D">
        <w:rPr>
          <w:b/>
          <w:spacing w:val="-8"/>
          <w:lang w:eastAsia="en-US"/>
        </w:rPr>
        <w:t xml:space="preserve"> </w:t>
      </w:r>
      <w:r w:rsidRPr="00A3095D">
        <w:rPr>
          <w:b/>
          <w:lang w:eastAsia="en-US"/>
        </w:rPr>
        <w:t>recoverable</w:t>
      </w:r>
      <w:r w:rsidRPr="00A3095D">
        <w:rPr>
          <w:b/>
          <w:spacing w:val="-8"/>
          <w:lang w:eastAsia="en-US"/>
        </w:rPr>
        <w:t xml:space="preserve"> </w:t>
      </w:r>
      <w:r w:rsidRPr="00A3095D">
        <w:rPr>
          <w:b/>
          <w:spacing w:val="-2"/>
          <w:lang w:eastAsia="en-US"/>
        </w:rPr>
        <w:t>metals)</w:t>
      </w:r>
    </w:p>
    <w:p w:rsidRPr="00A3095D" w:rsidR="00A3095D" w:rsidP="008B7313" w:rsidRDefault="00A3095D" w14:paraId="14D1B471" w14:textId="77777777">
      <w:pPr>
        <w:keepNext/>
        <w:keepLines/>
        <w:widowControl w:val="0"/>
        <w:tabs>
          <w:tab w:val="left" w:pos="1979"/>
          <w:tab w:val="left" w:pos="3419"/>
          <w:tab w:val="left" w:pos="5040"/>
          <w:tab w:val="left" w:pos="6750"/>
        </w:tabs>
        <w:ind w:left="1979"/>
        <w:rPr>
          <w:lang w:eastAsia="en-US"/>
        </w:rPr>
      </w:pPr>
      <w:r w:rsidRPr="00A3095D">
        <w:rPr>
          <w:u w:val="single"/>
          <w:lang w:eastAsia="en-US"/>
        </w:rPr>
        <w:t>Copper</w:t>
      </w:r>
      <w:r w:rsidRPr="00A3095D">
        <w:rPr>
          <w:spacing w:val="-1"/>
          <w:u w:val="single"/>
          <w:lang w:eastAsia="en-US"/>
        </w:rPr>
        <w:t xml:space="preserve"> </w:t>
      </w:r>
      <w:r w:rsidRPr="00A3095D">
        <w:rPr>
          <w:spacing w:val="-2"/>
          <w:u w:val="single"/>
          <w:lang w:eastAsia="en-US"/>
        </w:rPr>
        <w:t>(µg/L)</w:t>
      </w:r>
      <w:r w:rsidRPr="00A3095D">
        <w:rPr>
          <w:u w:val="single"/>
          <w:lang w:eastAsia="en-US"/>
        </w:rPr>
        <w:tab/>
      </w:r>
      <w:r w:rsidRPr="00A3095D">
        <w:rPr>
          <w:u w:val="single"/>
          <w:lang w:eastAsia="en-US"/>
        </w:rPr>
        <w:t>Lead</w:t>
      </w:r>
      <w:r w:rsidRPr="00A3095D">
        <w:rPr>
          <w:spacing w:val="-7"/>
          <w:u w:val="single"/>
          <w:lang w:eastAsia="en-US"/>
        </w:rPr>
        <w:t xml:space="preserve"> </w:t>
      </w:r>
      <w:r w:rsidRPr="00A3095D">
        <w:rPr>
          <w:spacing w:val="-2"/>
          <w:u w:val="single"/>
          <w:lang w:eastAsia="en-US"/>
        </w:rPr>
        <w:t>(µg/L)</w:t>
      </w:r>
      <w:r w:rsidRPr="00A3095D">
        <w:rPr>
          <w:u w:val="single"/>
          <w:lang w:eastAsia="en-US"/>
        </w:rPr>
        <w:tab/>
      </w:r>
      <w:r w:rsidRPr="00A3095D">
        <w:rPr>
          <w:u w:val="single"/>
          <w:lang w:eastAsia="en-US"/>
        </w:rPr>
        <w:t>Zinc</w:t>
      </w:r>
      <w:r w:rsidRPr="00A3095D">
        <w:rPr>
          <w:spacing w:val="-7"/>
          <w:u w:val="single"/>
          <w:lang w:eastAsia="en-US"/>
        </w:rPr>
        <w:t xml:space="preserve"> </w:t>
      </w:r>
      <w:r w:rsidRPr="00A3095D">
        <w:rPr>
          <w:spacing w:val="-2"/>
          <w:u w:val="single"/>
          <w:lang w:eastAsia="en-US"/>
        </w:rPr>
        <w:t>(µg/L)</w:t>
      </w:r>
      <w:r w:rsidRPr="00A3095D">
        <w:rPr>
          <w:u w:val="single"/>
          <w:lang w:eastAsia="en-US"/>
        </w:rPr>
        <w:tab/>
      </w:r>
    </w:p>
    <w:p w:rsidRPr="00A3095D" w:rsidR="00A3095D" w:rsidP="008B7313" w:rsidRDefault="00A3095D" w14:paraId="4C041450" w14:textId="77777777">
      <w:pPr>
        <w:keepNext/>
        <w:keepLines/>
        <w:tabs>
          <w:tab w:val="left" w:pos="5040"/>
          <w:tab w:val="left" w:pos="6840"/>
        </w:tabs>
        <w:ind w:left="1979"/>
        <w:rPr>
          <w:rFonts w:eastAsia="Calibri" w:cs="Arial"/>
          <w:lang w:eastAsia="en-US"/>
        </w:rPr>
      </w:pPr>
      <w:r w:rsidRPr="00A3095D">
        <w:rPr>
          <w:spacing w:val="-2"/>
          <w:lang w:eastAsia="en-US"/>
        </w:rPr>
        <w:t>35.56</w:t>
      </w:r>
      <w:r w:rsidRPr="00A3095D">
        <w:rPr>
          <w:lang w:eastAsia="en-US"/>
        </w:rPr>
        <w:tab/>
      </w:r>
      <w:r w:rsidRPr="00A3095D">
        <w:rPr>
          <w:spacing w:val="-4"/>
          <w:lang w:eastAsia="en-US"/>
        </w:rPr>
        <w:t>19.65</w:t>
      </w:r>
      <w:r w:rsidRPr="00A3095D">
        <w:rPr>
          <w:lang w:eastAsia="en-US"/>
        </w:rPr>
        <w:tab/>
      </w:r>
      <w:r w:rsidRPr="00A3095D">
        <w:rPr>
          <w:spacing w:val="-2"/>
          <w:lang w:eastAsia="en-US"/>
        </w:rPr>
        <w:t>446.55</w:t>
      </w:r>
    </w:p>
    <w:p w:rsidRPr="00A3095D" w:rsidR="00A3095D" w:rsidP="00E8254E" w:rsidRDefault="00A3095D" w14:paraId="538C22EB" w14:textId="1F6D45E9">
      <w:pPr>
        <w:numPr>
          <w:ilvl w:val="0"/>
          <w:numId w:val="45"/>
        </w:numPr>
        <w:ind w:left="1620"/>
        <w:rPr>
          <w:szCs w:val="20"/>
          <w:lang w:eastAsia="en-US"/>
        </w:rPr>
      </w:pPr>
      <w:r w:rsidRPr="00A3095D">
        <w:rPr>
          <w:szCs w:val="20"/>
          <w:lang w:eastAsia="en-US"/>
        </w:rPr>
        <w:t xml:space="preserve">Concentration-based wet-weather wasteload allocations are assigned to the minor NPDES permits, which includes the </w:t>
      </w:r>
      <w:r w:rsidR="005060FF">
        <w:rPr>
          <w:szCs w:val="20"/>
          <w:lang w:eastAsia="en-US"/>
        </w:rPr>
        <w:t>Small MS4</w:t>
      </w:r>
      <w:r w:rsidRPr="00A3095D">
        <w:rPr>
          <w:szCs w:val="20"/>
          <w:lang w:eastAsia="en-US"/>
        </w:rPr>
        <w:t xml:space="preserve"> Permittees, and general non-</w:t>
      </w:r>
      <w:r w:rsidR="00CD7F3F">
        <w:rPr>
          <w:szCs w:val="20"/>
          <w:lang w:eastAsia="en-US"/>
        </w:rPr>
        <w:t>stormwater</w:t>
      </w:r>
      <w:r w:rsidRPr="00A3095D">
        <w:rPr>
          <w:szCs w:val="20"/>
          <w:lang w:eastAsia="en-US"/>
        </w:rPr>
        <w:t xml:space="preserve"> NPDES permits that discharge to Ballona Creek or its tributaries. </w:t>
      </w:r>
    </w:p>
    <w:p w:rsidR="00A3095D" w:rsidP="005F5E46" w:rsidRDefault="00A3095D" w14:paraId="422473C1" w14:textId="77777777">
      <w:pPr>
        <w:widowControl w:val="0"/>
        <w:spacing w:after="0" w:line="240" w:lineRule="auto"/>
        <w:ind w:left="1987"/>
        <w:rPr>
          <w:b/>
          <w:spacing w:val="-2"/>
          <w:lang w:eastAsia="en-US"/>
        </w:rPr>
      </w:pPr>
      <w:r w:rsidRPr="00A3095D">
        <w:rPr>
          <w:b/>
          <w:lang w:eastAsia="en-US"/>
        </w:rPr>
        <w:t>Wet-Weather</w:t>
      </w:r>
      <w:r w:rsidRPr="00A3095D">
        <w:rPr>
          <w:b/>
          <w:spacing w:val="-9"/>
          <w:lang w:eastAsia="en-US"/>
        </w:rPr>
        <w:t xml:space="preserve"> Wasteload Allocations for Minor NPDES Permits </w:t>
      </w:r>
      <w:r w:rsidRPr="00A3095D">
        <w:rPr>
          <w:b/>
          <w:spacing w:val="-9"/>
          <w:lang w:eastAsia="en-US"/>
        </w:rPr>
        <w:br/>
      </w:r>
      <w:r w:rsidRPr="00A3095D">
        <w:rPr>
          <w:b/>
          <w:spacing w:val="-9"/>
          <w:lang w:eastAsia="en-US"/>
        </w:rPr>
        <w:t>(</w:t>
      </w:r>
      <w:r w:rsidRPr="00A3095D">
        <w:rPr>
          <w:b/>
          <w:lang w:eastAsia="en-US"/>
        </w:rPr>
        <w:t>total</w:t>
      </w:r>
      <w:r w:rsidRPr="00A3095D">
        <w:rPr>
          <w:b/>
          <w:spacing w:val="-8"/>
          <w:lang w:eastAsia="en-US"/>
        </w:rPr>
        <w:t xml:space="preserve"> </w:t>
      </w:r>
      <w:r w:rsidRPr="00A3095D">
        <w:rPr>
          <w:b/>
          <w:lang w:eastAsia="en-US"/>
        </w:rPr>
        <w:t>recoverable</w:t>
      </w:r>
      <w:r w:rsidRPr="00A3095D">
        <w:rPr>
          <w:b/>
          <w:spacing w:val="-8"/>
          <w:lang w:eastAsia="en-US"/>
        </w:rPr>
        <w:t xml:space="preserve"> </w:t>
      </w:r>
      <w:r w:rsidRPr="00A3095D">
        <w:rPr>
          <w:b/>
          <w:spacing w:val="-2"/>
          <w:lang w:eastAsia="en-US"/>
        </w:rPr>
        <w:t>metals)</w:t>
      </w:r>
    </w:p>
    <w:p w:rsidRPr="00A3095D" w:rsidR="00A3095D" w:rsidP="005F5E46" w:rsidRDefault="00A3095D" w14:paraId="0B79798D" w14:textId="77777777">
      <w:pPr>
        <w:widowControl w:val="0"/>
        <w:tabs>
          <w:tab w:val="left" w:pos="1979"/>
          <w:tab w:val="left" w:pos="5040"/>
          <w:tab w:val="left" w:pos="6750"/>
        </w:tabs>
        <w:ind w:left="2160"/>
        <w:rPr>
          <w:lang w:eastAsia="en-US"/>
        </w:rPr>
      </w:pPr>
      <w:r w:rsidRPr="00A3095D">
        <w:rPr>
          <w:u w:val="single"/>
          <w:lang w:eastAsia="en-US"/>
        </w:rPr>
        <w:t>Copper</w:t>
      </w:r>
      <w:r w:rsidRPr="00A3095D">
        <w:rPr>
          <w:spacing w:val="-1"/>
          <w:u w:val="single"/>
          <w:lang w:eastAsia="en-US"/>
        </w:rPr>
        <w:t xml:space="preserve"> </w:t>
      </w:r>
      <w:r w:rsidRPr="00A3095D">
        <w:rPr>
          <w:spacing w:val="-2"/>
          <w:u w:val="single"/>
          <w:lang w:eastAsia="en-US"/>
        </w:rPr>
        <w:t>(µg/L)</w:t>
      </w:r>
      <w:r w:rsidRPr="00A3095D">
        <w:rPr>
          <w:u w:val="single"/>
          <w:lang w:eastAsia="en-US"/>
        </w:rPr>
        <w:tab/>
      </w:r>
      <w:r w:rsidRPr="00A3095D">
        <w:rPr>
          <w:u w:val="single"/>
          <w:lang w:eastAsia="en-US"/>
        </w:rPr>
        <w:t>Lead</w:t>
      </w:r>
      <w:r w:rsidRPr="00A3095D">
        <w:rPr>
          <w:spacing w:val="-7"/>
          <w:u w:val="single"/>
          <w:lang w:eastAsia="en-US"/>
        </w:rPr>
        <w:t xml:space="preserve"> </w:t>
      </w:r>
      <w:r w:rsidRPr="00A3095D">
        <w:rPr>
          <w:spacing w:val="-2"/>
          <w:u w:val="single"/>
          <w:lang w:eastAsia="en-US"/>
        </w:rPr>
        <w:t>(µg/L)</w:t>
      </w:r>
      <w:r w:rsidRPr="00A3095D">
        <w:rPr>
          <w:u w:val="single"/>
          <w:lang w:eastAsia="en-US"/>
        </w:rPr>
        <w:tab/>
      </w:r>
      <w:r w:rsidRPr="00A3095D">
        <w:rPr>
          <w:u w:val="single"/>
          <w:lang w:eastAsia="en-US"/>
        </w:rPr>
        <w:t>Zinc</w:t>
      </w:r>
      <w:r w:rsidRPr="00A3095D">
        <w:rPr>
          <w:spacing w:val="-7"/>
          <w:u w:val="single"/>
          <w:lang w:eastAsia="en-US"/>
        </w:rPr>
        <w:t xml:space="preserve"> </w:t>
      </w:r>
      <w:r w:rsidRPr="00A3095D">
        <w:rPr>
          <w:spacing w:val="-2"/>
          <w:u w:val="single"/>
          <w:lang w:eastAsia="en-US"/>
        </w:rPr>
        <w:t>(µg/L)</w:t>
      </w:r>
      <w:r w:rsidRPr="00A3095D">
        <w:rPr>
          <w:u w:val="single"/>
          <w:lang w:eastAsia="en-US"/>
        </w:rPr>
        <w:tab/>
      </w:r>
    </w:p>
    <w:p w:rsidRPr="00A3095D" w:rsidR="00A3095D" w:rsidP="005F5E46" w:rsidRDefault="00A3095D" w14:paraId="4E38BFCF" w14:textId="77777777">
      <w:pPr>
        <w:tabs>
          <w:tab w:val="left" w:pos="5040"/>
          <w:tab w:val="left" w:pos="6840"/>
        </w:tabs>
        <w:ind w:left="900" w:firstLine="1260"/>
        <w:rPr>
          <w:rFonts w:eastAsia="Calibri" w:cs="Arial"/>
          <w:lang w:eastAsia="en-US"/>
        </w:rPr>
      </w:pPr>
      <w:r w:rsidRPr="00A3095D">
        <w:rPr>
          <w:lang w:eastAsia="en-US"/>
        </w:rPr>
        <w:t>13.7</w:t>
      </w:r>
      <w:r w:rsidRPr="00A3095D">
        <w:rPr>
          <w:lang w:eastAsia="en-US"/>
        </w:rPr>
        <w:tab/>
      </w:r>
      <w:r w:rsidRPr="00A3095D">
        <w:rPr>
          <w:spacing w:val="-4"/>
          <w:lang w:eastAsia="en-US"/>
        </w:rPr>
        <w:t>76.75</w:t>
      </w:r>
      <w:r w:rsidRPr="00A3095D">
        <w:rPr>
          <w:lang w:eastAsia="en-US"/>
        </w:rPr>
        <w:tab/>
      </w:r>
      <w:r w:rsidRPr="00A3095D">
        <w:rPr>
          <w:spacing w:val="-2"/>
          <w:lang w:eastAsia="en-US"/>
        </w:rPr>
        <w:t>104.77</w:t>
      </w:r>
    </w:p>
    <w:p w:rsidRPr="00A3095D" w:rsidR="00A3095D" w:rsidP="00A3095D" w:rsidRDefault="00A3095D" w14:paraId="72233AC4" w14:textId="18C177E4">
      <w:pPr>
        <w:spacing w:before="240"/>
        <w:ind w:left="1267"/>
        <w:rPr>
          <w:rFonts w:cs="Arial"/>
          <w:lang w:eastAsia="en-US"/>
        </w:rPr>
      </w:pPr>
      <w:r w:rsidRPr="00A3095D">
        <w:rPr>
          <w:rFonts w:cs="Arial"/>
          <w:b/>
          <w:bCs/>
          <w:lang w:eastAsia="en-US"/>
        </w:rPr>
        <w:t xml:space="preserve">Final Compliance Deadline: </w:t>
      </w:r>
      <w:r w:rsidRPr="00A3095D">
        <w:rPr>
          <w:rFonts w:cs="Arial"/>
          <w:lang w:eastAsia="en-US"/>
        </w:rPr>
        <w:t>The TMDL specifies that the final wasteload allocations during dry weather are to be achieved by January 11, 2016. The final wasteload allocations during wet weather shall be achieved by January</w:t>
      </w:r>
      <w:r w:rsidR="00635991">
        <w:rPr>
          <w:rFonts w:cs="Arial"/>
          <w:lang w:eastAsia="en-US"/>
        </w:rPr>
        <w:t> </w:t>
      </w:r>
      <w:r w:rsidRPr="00A3095D">
        <w:rPr>
          <w:rFonts w:cs="Arial"/>
          <w:lang w:eastAsia="en-US"/>
        </w:rPr>
        <w:t xml:space="preserve">11, 2021. The final wasteload allocations during dry weather and wet weather are therefore effective immediately. </w:t>
      </w:r>
      <w:bookmarkStart w:name="_Hlk152920044" w:id="89"/>
      <w:r w:rsidRPr="00A3095D">
        <w:rPr>
          <w:rFonts w:cs="Arial"/>
          <w:lang w:eastAsia="en-US"/>
        </w:rPr>
        <w:t xml:space="preserve">If the deadline has not been met, the Permittee may request a time schedule order from the Los Angeles Water Board Executive Officer, which </w:t>
      </w:r>
      <w:r w:rsidR="005C1C22">
        <w:rPr>
          <w:rFonts w:cs="Arial"/>
          <w:lang w:eastAsia="en-US"/>
        </w:rPr>
        <w:t xml:space="preserve">may establish an implementation schedule </w:t>
      </w:r>
      <w:r w:rsidRPr="00A3095D">
        <w:rPr>
          <w:rFonts w:cs="Arial"/>
          <w:lang w:eastAsia="en-US"/>
        </w:rPr>
        <w:t>for the Permittee to comply with the TMDL requirements, and will supersede the deadlines referenced in this Order.</w:t>
      </w:r>
      <w:bookmarkEnd w:id="89"/>
    </w:p>
    <w:p w:rsidRPr="000D48DD" w:rsidR="00A3095D" w:rsidP="000D48DD" w:rsidRDefault="00836361" w14:paraId="4C9277D9" w14:textId="43B01EAD">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.7</w:t>
      </w:r>
      <w:r w:rsidRPr="000D48DD" w:rsidR="00A3095D">
        <w:rPr>
          <w:i/>
          <w:iCs/>
        </w:rPr>
        <w:tab/>
      </w:r>
      <w:r w:rsidRPr="000D48DD" w:rsidR="00A3095D">
        <w:rPr>
          <w:i/>
          <w:iCs/>
        </w:rPr>
        <w:t>Los Angeles River and Tributaries Metals TMDL</w:t>
      </w:r>
    </w:p>
    <w:p w:rsidRPr="00A3095D" w:rsidR="00A3095D" w:rsidP="00A3095D" w:rsidRDefault="00A3095D" w14:paraId="2A0CA968" w14:textId="7495D7A1">
      <w:pPr>
        <w:ind w:left="1260"/>
        <w:rPr>
          <w:rFonts w:cs="Arial"/>
          <w:lang w:eastAsia="en-US"/>
        </w:rPr>
      </w:pPr>
      <w:r w:rsidRPr="00A3095D">
        <w:rPr>
          <w:rFonts w:cs="Arial"/>
          <w:b/>
          <w:bCs/>
          <w:lang w:eastAsia="en-US"/>
        </w:rPr>
        <w:t>Description:</w:t>
      </w:r>
      <w:r w:rsidRPr="00A3095D">
        <w:rPr>
          <w:rFonts w:cs="Arial"/>
          <w:lang w:eastAsia="en-US"/>
        </w:rPr>
        <w:t xml:space="preserve"> </w:t>
      </w:r>
      <w:r w:rsidRPr="00A3095D">
        <w:rPr>
          <w:sz w:val="22"/>
          <w:szCs w:val="22"/>
          <w:lang w:eastAsia="en-US"/>
        </w:rPr>
        <w:t xml:space="preserve">The </w:t>
      </w:r>
      <w:r w:rsidR="00766ACF">
        <w:rPr>
          <w:sz w:val="22"/>
          <w:szCs w:val="22"/>
          <w:lang w:eastAsia="en-US"/>
        </w:rPr>
        <w:t>USEPA</w:t>
      </w:r>
      <w:r w:rsidR="00C56C92">
        <w:rPr>
          <w:sz w:val="22"/>
          <w:szCs w:val="22"/>
          <w:lang w:eastAsia="en-US"/>
        </w:rPr>
        <w:t xml:space="preserve"> </w:t>
      </w:r>
      <w:r w:rsidRPr="00A3095D">
        <w:rPr>
          <w:sz w:val="22"/>
          <w:szCs w:val="22"/>
          <w:lang w:eastAsia="en-US"/>
        </w:rPr>
        <w:t>approved the TMDL on December 22, 2005</w:t>
      </w:r>
      <w:r w:rsidR="008C6FDC">
        <w:rPr>
          <w:sz w:val="22"/>
          <w:szCs w:val="22"/>
          <w:lang w:eastAsia="en-US"/>
        </w:rPr>
        <w:t>,</w:t>
      </w:r>
      <w:r w:rsidRPr="00A3095D">
        <w:rPr>
          <w:sz w:val="22"/>
          <w:szCs w:val="22"/>
          <w:lang w:eastAsia="en-US"/>
        </w:rPr>
        <w:t xml:space="preserve"> and the revision on December 12, 2016. </w:t>
      </w:r>
      <w:r w:rsidRPr="00A3095D">
        <w:rPr>
          <w:lang w:eastAsia="en-US"/>
        </w:rPr>
        <w:t xml:space="preserve">Segments of the Los Angeles River and its tributaries are impaired for copper, cadmium, lead, zinc, aluminum, and selenium. The beneficial uses impaired by metals are those associated with aquatic life and water supply, including wildlife habitat, rare, threatened or endangered species, warm freshwater habitat, wetlands, and groundwater recharge. Stormwater discharge has been identified as a source of these pollutants. </w:t>
      </w:r>
    </w:p>
    <w:p w:rsidRPr="00A3095D" w:rsidR="00A3095D" w:rsidP="00A3095D" w:rsidRDefault="00A3095D" w14:paraId="42CBD1FF" w14:textId="6CAEC00C">
      <w:pPr>
        <w:ind w:left="1260"/>
        <w:rPr>
          <w:rFonts w:cs="Arial"/>
          <w:lang w:eastAsia="en-US"/>
        </w:rPr>
      </w:pPr>
      <w:r w:rsidRPr="00A3095D">
        <w:rPr>
          <w:b/>
          <w:szCs w:val="20"/>
          <w:lang w:eastAsia="en-US"/>
        </w:rPr>
        <w:t>Responsible Permit</w:t>
      </w:r>
      <w:r w:rsidR="0091593F">
        <w:rPr>
          <w:b/>
          <w:szCs w:val="20"/>
          <w:lang w:eastAsia="en-US"/>
        </w:rPr>
        <w:t>t</w:t>
      </w:r>
      <w:r w:rsidRPr="00A3095D">
        <w:rPr>
          <w:b/>
          <w:szCs w:val="20"/>
          <w:lang w:eastAsia="en-US"/>
        </w:rPr>
        <w:t>ees:</w:t>
      </w:r>
      <w:r w:rsidRPr="00A3095D">
        <w:rPr>
          <w:b/>
          <w:bCs/>
          <w:szCs w:val="20"/>
          <w:lang w:eastAsia="en-US"/>
        </w:rPr>
        <w:t xml:space="preserve"> </w:t>
      </w:r>
      <w:r w:rsidRPr="00A3095D">
        <w:rPr>
          <w:rFonts w:cs="Arial"/>
          <w:lang w:eastAsia="en-US"/>
        </w:rPr>
        <w:t>California State University</w:t>
      </w:r>
      <w:r w:rsidR="000C538F">
        <w:rPr>
          <w:rFonts w:cs="Arial"/>
          <w:lang w:eastAsia="en-US"/>
        </w:rPr>
        <w:t>,</w:t>
      </w:r>
      <w:r w:rsidRPr="00A3095D">
        <w:rPr>
          <w:rFonts w:cs="Arial"/>
          <w:lang w:eastAsia="en-US"/>
        </w:rPr>
        <w:t xml:space="preserve"> Los Angeles</w:t>
      </w:r>
      <w:r w:rsidR="000C538F">
        <w:rPr>
          <w:rFonts w:cs="Arial"/>
          <w:lang w:eastAsia="en-US"/>
        </w:rPr>
        <w:t>;</w:t>
      </w:r>
      <w:r w:rsidRPr="00A3095D">
        <w:rPr>
          <w:rFonts w:cs="Arial"/>
          <w:lang w:eastAsia="en-US"/>
        </w:rPr>
        <w:t xml:space="preserve"> and California State University</w:t>
      </w:r>
      <w:r w:rsidR="000C538F">
        <w:rPr>
          <w:rFonts w:cs="Arial"/>
          <w:lang w:eastAsia="en-US"/>
        </w:rPr>
        <w:t>,</w:t>
      </w:r>
      <w:r w:rsidRPr="00A3095D">
        <w:rPr>
          <w:rFonts w:cs="Arial"/>
          <w:lang w:eastAsia="en-US"/>
        </w:rPr>
        <w:t xml:space="preserve"> Northridge.</w:t>
      </w:r>
    </w:p>
    <w:p w:rsidRPr="00A3095D" w:rsidR="00A3095D" w:rsidP="00A3095D" w:rsidRDefault="00A3095D" w14:paraId="20440DF6" w14:textId="77777777">
      <w:pPr>
        <w:ind w:left="1260"/>
        <w:rPr>
          <w:rFonts w:cs="Arial"/>
          <w:lang w:eastAsia="en-US"/>
        </w:rPr>
      </w:pPr>
      <w:r w:rsidRPr="00A3095D">
        <w:rPr>
          <w:b/>
          <w:szCs w:val="20"/>
          <w:lang w:eastAsia="en-US"/>
        </w:rPr>
        <w:t>Wasteload Allocations:</w:t>
      </w:r>
      <w:r w:rsidRPr="00A3095D">
        <w:rPr>
          <w:b/>
          <w:bCs/>
          <w:szCs w:val="20"/>
          <w:lang w:eastAsia="en-US"/>
        </w:rPr>
        <w:t xml:space="preserve"> </w:t>
      </w:r>
      <w:r w:rsidRPr="00A3095D">
        <w:rPr>
          <w:szCs w:val="20"/>
          <w:lang w:eastAsia="en-US"/>
        </w:rPr>
        <w:t xml:space="preserve">Concentration-based dry-weather wasteload allocations apply to discharges to the reaches and tributaries in the following table. </w:t>
      </w:r>
    </w:p>
    <w:p w:rsidRPr="00A3095D" w:rsidR="00A3095D" w:rsidP="00C269ED" w:rsidRDefault="00C269ED" w14:paraId="6DD8668A" w14:textId="6C1BD512">
      <w:pPr>
        <w:pStyle w:val="TableHead"/>
        <w:keepNext/>
        <w:keepLines/>
        <w:ind w:left="1170"/>
        <w:rPr>
          <w:lang w:eastAsia="en-US"/>
        </w:rPr>
      </w:pPr>
      <w:r w:rsidRPr="00C269ED">
        <w:t>Los Angeles River and Tributaries Metals TMDL</w:t>
      </w:r>
      <w:r w:rsidR="000E5CAE">
        <w:rPr>
          <w:lang w:eastAsia="en-US"/>
        </w:rPr>
        <w:t>:</w:t>
      </w:r>
      <w:r>
        <w:rPr>
          <w:lang w:eastAsia="en-US"/>
        </w:rPr>
        <w:t xml:space="preserve"> </w:t>
      </w:r>
      <w:r w:rsidRPr="00A3095D" w:rsidR="00A3095D">
        <w:rPr>
          <w:lang w:eastAsia="en-US"/>
        </w:rPr>
        <w:t>Dry-Weather Wasteload Allocations (total recoverable metals in µg/L)</w:t>
      </w:r>
    </w:p>
    <w:tbl>
      <w:tblPr>
        <w:tblStyle w:val="TableGrid36"/>
        <w:tblW w:w="8056" w:type="dxa"/>
        <w:tblInd w:w="1165" w:type="dxa"/>
        <w:tblLayout w:type="fixed"/>
        <w:tblLook w:val="0620" w:firstRow="1" w:lastRow="0" w:firstColumn="0" w:lastColumn="0" w:noHBand="1" w:noVBand="1"/>
        <w:tblCaption w:val="Los Angeles River and Tributaries Dry-Weather WLAs (Total recoverable metals) Table"/>
      </w:tblPr>
      <w:tblGrid>
        <w:gridCol w:w="2970"/>
        <w:gridCol w:w="1350"/>
        <w:gridCol w:w="1530"/>
        <w:gridCol w:w="1170"/>
        <w:gridCol w:w="1036"/>
      </w:tblGrid>
      <w:tr w:rsidRPr="00221DA7" w:rsidR="00A3095D" w:rsidTr="00BD3F1B" w14:paraId="49D610DD" w14:textId="77777777">
        <w:trPr>
          <w:cantSplit/>
          <w:trHeight w:val="393"/>
          <w:tblHeader/>
        </w:trPr>
        <w:tc>
          <w:tcPr>
            <w:tcW w:w="2970" w:type="dxa"/>
            <w:shd w:val="clear" w:color="auto" w:fill="C5E0B3"/>
            <w:vAlign w:val="center"/>
          </w:tcPr>
          <w:p w:rsidRPr="00221DA7" w:rsidR="00A3095D" w:rsidP="00C269ED" w:rsidRDefault="00A3095D" w14:paraId="21E2A39C" w14:textId="77777777">
            <w:pPr>
              <w:keepNext/>
              <w:keepLines/>
              <w:spacing w:before="0" w:line="240" w:lineRule="auto"/>
              <w:rPr>
                <w:rFonts w:ascii="Arial" w:hAnsi="Arial"/>
                <w:b/>
                <w:bCs/>
                <w:spacing w:val="-1"/>
                <w:sz w:val="22"/>
                <w:szCs w:val="22"/>
                <w:lang w:eastAsia="en-US"/>
              </w:rPr>
            </w:pPr>
            <w:r w:rsidRPr="00221DA7">
              <w:rPr>
                <w:rFonts w:ascii="Arial" w:hAnsi="Arial"/>
                <w:b/>
                <w:bCs/>
                <w:spacing w:val="-1"/>
                <w:sz w:val="22"/>
                <w:szCs w:val="22"/>
                <w:lang w:eastAsia="en-US"/>
              </w:rPr>
              <w:t>Waterbody</w:t>
            </w:r>
          </w:p>
        </w:tc>
        <w:tc>
          <w:tcPr>
            <w:tcW w:w="1350" w:type="dxa"/>
            <w:shd w:val="clear" w:color="auto" w:fill="C5E0B3"/>
            <w:vAlign w:val="center"/>
          </w:tcPr>
          <w:p w:rsidRPr="00221DA7" w:rsidR="00A3095D" w:rsidP="00C269ED" w:rsidRDefault="00A3095D" w14:paraId="0EAB6BAB" w14:textId="77777777">
            <w:pPr>
              <w:keepNext/>
              <w:keepLines/>
              <w:spacing w:before="0" w:line="240" w:lineRule="auto"/>
              <w:jc w:val="center"/>
              <w:rPr>
                <w:rFonts w:ascii="Arial" w:hAnsi="Arial"/>
                <w:b/>
                <w:bCs/>
                <w:spacing w:val="-1"/>
                <w:sz w:val="22"/>
                <w:szCs w:val="22"/>
                <w:lang w:eastAsia="en-US"/>
              </w:rPr>
            </w:pPr>
            <w:r w:rsidRPr="00221DA7">
              <w:rPr>
                <w:rFonts w:ascii="Arial" w:hAnsi="Arial"/>
                <w:b/>
                <w:bCs/>
                <w:spacing w:val="-1"/>
                <w:sz w:val="22"/>
                <w:szCs w:val="22"/>
                <w:lang w:eastAsia="en-US"/>
              </w:rPr>
              <w:t>Copper</w:t>
            </w:r>
          </w:p>
        </w:tc>
        <w:tc>
          <w:tcPr>
            <w:tcW w:w="1530" w:type="dxa"/>
            <w:shd w:val="clear" w:color="auto" w:fill="C5E0B3"/>
            <w:vAlign w:val="center"/>
          </w:tcPr>
          <w:p w:rsidRPr="00221DA7" w:rsidR="00A3095D" w:rsidP="00C269ED" w:rsidRDefault="00A3095D" w14:paraId="614E4A59" w14:textId="77777777">
            <w:pPr>
              <w:keepNext/>
              <w:keepLines/>
              <w:spacing w:before="0" w:line="240" w:lineRule="auto"/>
              <w:jc w:val="center"/>
              <w:rPr>
                <w:rFonts w:ascii="Arial" w:hAnsi="Arial"/>
                <w:b/>
                <w:bCs/>
                <w:spacing w:val="-1"/>
                <w:sz w:val="22"/>
                <w:szCs w:val="22"/>
                <w:lang w:eastAsia="en-US"/>
              </w:rPr>
            </w:pPr>
            <w:r w:rsidRPr="00221DA7">
              <w:rPr>
                <w:rFonts w:ascii="Arial" w:hAnsi="Arial"/>
                <w:b/>
                <w:bCs/>
                <w:spacing w:val="-1"/>
                <w:sz w:val="22"/>
                <w:szCs w:val="22"/>
                <w:lang w:eastAsia="en-US"/>
              </w:rPr>
              <w:t>Lead</w:t>
            </w:r>
          </w:p>
        </w:tc>
        <w:tc>
          <w:tcPr>
            <w:tcW w:w="1170" w:type="dxa"/>
            <w:shd w:val="clear" w:color="auto" w:fill="C5E0B3"/>
            <w:vAlign w:val="center"/>
          </w:tcPr>
          <w:p w:rsidRPr="00221DA7" w:rsidR="00A3095D" w:rsidP="00C269ED" w:rsidRDefault="00A3095D" w14:paraId="13872043" w14:textId="77777777">
            <w:pPr>
              <w:keepNext/>
              <w:keepLines/>
              <w:spacing w:before="0" w:line="240" w:lineRule="auto"/>
              <w:jc w:val="center"/>
              <w:rPr>
                <w:rFonts w:ascii="Arial" w:hAnsi="Arial"/>
                <w:b/>
                <w:bCs/>
                <w:spacing w:val="-1"/>
                <w:sz w:val="22"/>
                <w:szCs w:val="22"/>
                <w:lang w:eastAsia="en-US"/>
              </w:rPr>
            </w:pPr>
            <w:r w:rsidRPr="00221DA7">
              <w:rPr>
                <w:rFonts w:ascii="Arial" w:hAnsi="Arial"/>
                <w:b/>
                <w:bCs/>
                <w:spacing w:val="-1"/>
                <w:sz w:val="22"/>
                <w:szCs w:val="22"/>
                <w:lang w:eastAsia="en-US"/>
              </w:rPr>
              <w:t>Zinc</w:t>
            </w:r>
          </w:p>
        </w:tc>
        <w:tc>
          <w:tcPr>
            <w:tcW w:w="1036" w:type="dxa"/>
            <w:shd w:val="clear" w:color="auto" w:fill="C5E0B3"/>
            <w:vAlign w:val="center"/>
          </w:tcPr>
          <w:p w:rsidRPr="00221DA7" w:rsidR="00A3095D" w:rsidP="00C269ED" w:rsidRDefault="00A3095D" w14:paraId="41ED5B58" w14:textId="77777777">
            <w:pPr>
              <w:keepNext/>
              <w:keepLines/>
              <w:spacing w:before="0" w:line="240" w:lineRule="auto"/>
              <w:jc w:val="center"/>
              <w:rPr>
                <w:rFonts w:ascii="Arial" w:hAnsi="Arial"/>
                <w:b/>
                <w:bCs/>
                <w:spacing w:val="-1"/>
                <w:sz w:val="22"/>
                <w:szCs w:val="22"/>
                <w:lang w:eastAsia="en-US"/>
              </w:rPr>
            </w:pPr>
            <w:r w:rsidRPr="00221DA7">
              <w:rPr>
                <w:rFonts w:ascii="Arial" w:hAnsi="Arial"/>
                <w:b/>
                <w:bCs/>
                <w:spacing w:val="-1"/>
                <w:sz w:val="22"/>
                <w:szCs w:val="22"/>
                <w:lang w:eastAsia="en-US"/>
              </w:rPr>
              <w:t xml:space="preserve">Selenium </w:t>
            </w:r>
          </w:p>
        </w:tc>
      </w:tr>
      <w:tr w:rsidRPr="00221DA7" w:rsidR="00A3095D" w:rsidTr="00BD3F1B" w14:paraId="36D71417" w14:textId="77777777">
        <w:trPr>
          <w:cantSplit/>
          <w:trHeight w:val="381"/>
        </w:trPr>
        <w:tc>
          <w:tcPr>
            <w:tcW w:w="2970" w:type="dxa"/>
            <w:vAlign w:val="center"/>
          </w:tcPr>
          <w:p w:rsidRPr="00221DA7" w:rsidR="00A3095D" w:rsidP="00C269ED" w:rsidRDefault="00A3095D" w14:paraId="3451DC95" w14:textId="77777777">
            <w:pPr>
              <w:keepNext/>
              <w:keepLines/>
              <w:spacing w:before="0" w:line="240" w:lineRule="auto"/>
              <w:rPr>
                <w:rFonts w:ascii="Arial" w:hAnsi="Arial"/>
                <w:spacing w:val="-1"/>
                <w:sz w:val="22"/>
                <w:szCs w:val="22"/>
                <w:lang w:eastAsia="en-US"/>
              </w:rPr>
            </w:pPr>
            <w:r w:rsidRPr="00221DA7">
              <w:rPr>
                <w:rFonts w:ascii="Arial" w:hAnsi="Arial"/>
                <w:spacing w:val="-1"/>
                <w:sz w:val="22"/>
                <w:szCs w:val="22"/>
                <w:lang w:eastAsia="en-US"/>
              </w:rPr>
              <w:t>Reach 5,6 and Bell Creek</w:t>
            </w:r>
          </w:p>
        </w:tc>
        <w:tc>
          <w:tcPr>
            <w:tcW w:w="1350" w:type="dxa"/>
            <w:vAlign w:val="center"/>
          </w:tcPr>
          <w:p w:rsidRPr="00221DA7" w:rsidR="00A3095D" w:rsidP="00C269ED" w:rsidRDefault="00A3095D" w14:paraId="438801FE" w14:textId="77777777">
            <w:pPr>
              <w:keepNext/>
              <w:keepLines/>
              <w:spacing w:before="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sz w:val="22"/>
                <w:szCs w:val="22"/>
                <w:vertAlign w:val="superscript"/>
                <w:lang w:eastAsia="en-US"/>
              </w:rPr>
              <w:t>1</w:t>
            </w:r>
            <w:r w:rsidRPr="00221DA7">
              <w:rPr>
                <w:rFonts w:ascii="Arial" w:hAnsi="Arial"/>
                <w:spacing w:val="-1"/>
                <w:sz w:val="22"/>
                <w:szCs w:val="22"/>
                <w:lang w:eastAsia="en-US"/>
              </w:rPr>
              <w:t xml:space="preserve"> *30</w:t>
            </w:r>
          </w:p>
        </w:tc>
        <w:tc>
          <w:tcPr>
            <w:tcW w:w="1530" w:type="dxa"/>
            <w:vAlign w:val="center"/>
          </w:tcPr>
          <w:p w:rsidRPr="00221DA7" w:rsidR="00A3095D" w:rsidP="00C269ED" w:rsidRDefault="00A3095D" w14:paraId="53C13A26" w14:textId="77777777">
            <w:pPr>
              <w:keepNext/>
              <w:keepLines/>
              <w:spacing w:before="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sz w:val="22"/>
                <w:szCs w:val="22"/>
                <w:vertAlign w:val="superscript"/>
                <w:lang w:eastAsia="en-US"/>
              </w:rPr>
              <w:t>1</w:t>
            </w:r>
            <w:r w:rsidRPr="00221DA7">
              <w:rPr>
                <w:rFonts w:ascii="Arial" w:hAnsi="Arial"/>
                <w:spacing w:val="-1"/>
                <w:sz w:val="22"/>
                <w:szCs w:val="22"/>
                <w:lang w:eastAsia="en-US"/>
              </w:rPr>
              <w:t xml:space="preserve"> *170</w:t>
            </w:r>
          </w:p>
        </w:tc>
        <w:tc>
          <w:tcPr>
            <w:tcW w:w="1170" w:type="dxa"/>
            <w:vAlign w:val="center"/>
          </w:tcPr>
          <w:p w:rsidRPr="00221DA7" w:rsidR="00A3095D" w:rsidP="00C269ED" w:rsidRDefault="00A3095D" w14:paraId="36E0AB95" w14:textId="77777777">
            <w:pPr>
              <w:keepNext/>
              <w:keepLines/>
              <w:spacing w:before="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vAlign w:val="center"/>
          </w:tcPr>
          <w:p w:rsidRPr="00221DA7" w:rsidR="00A3095D" w:rsidP="00C269ED" w:rsidRDefault="00A3095D" w14:paraId="64233C8F" w14:textId="77777777">
            <w:pPr>
              <w:keepNext/>
              <w:keepLines/>
              <w:spacing w:before="0" w:line="240" w:lineRule="auto"/>
              <w:jc w:val="center"/>
              <w:rPr>
                <w:rFonts w:ascii="Arial" w:hAnsi="Arial"/>
                <w:color w:val="D9D9D9"/>
                <w:spacing w:val="-1"/>
                <w:sz w:val="22"/>
                <w:szCs w:val="22"/>
                <w:lang w:eastAsia="en-US"/>
              </w:rPr>
            </w:pPr>
            <w:r w:rsidRPr="00221DA7">
              <w:rPr>
                <w:rFonts w:ascii="Arial" w:hAnsi="Arial"/>
                <w:spacing w:val="-1"/>
                <w:sz w:val="22"/>
                <w:szCs w:val="22"/>
                <w:lang w:eastAsia="en-US"/>
              </w:rPr>
              <w:t>5</w:t>
            </w:r>
          </w:p>
        </w:tc>
      </w:tr>
      <w:tr w:rsidRPr="00221DA7" w:rsidR="00A3095D" w:rsidTr="00BD3F1B" w14:paraId="767967CA" w14:textId="77777777">
        <w:trPr>
          <w:cantSplit/>
          <w:trHeight w:val="670"/>
        </w:trPr>
        <w:tc>
          <w:tcPr>
            <w:tcW w:w="2970" w:type="dxa"/>
            <w:vAlign w:val="center"/>
          </w:tcPr>
          <w:p w:rsidRPr="00221DA7" w:rsidR="00A3095D" w:rsidP="006C6C02" w:rsidRDefault="00A3095D" w14:paraId="742A7D89"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Reach 4</w:t>
            </w:r>
          </w:p>
        </w:tc>
        <w:tc>
          <w:tcPr>
            <w:tcW w:w="1350" w:type="dxa"/>
            <w:vAlign w:val="center"/>
          </w:tcPr>
          <w:p w:rsidRPr="00221DA7" w:rsidR="00A3095D" w:rsidP="006C6C02" w:rsidRDefault="00A3095D" w14:paraId="1D1EE00A" w14:textId="77777777">
            <w:pPr>
              <w:autoSpaceDE w:val="0"/>
              <w:autoSpaceDN w:val="0"/>
              <w:adjustRightInd w:val="0"/>
              <w:spacing w:before="0" w:after="40" w:line="240" w:lineRule="auto"/>
              <w:rPr>
                <w:rFonts w:ascii="Arial" w:hAnsi="Arial"/>
                <w:sz w:val="22"/>
                <w:szCs w:val="22"/>
                <w:lang w:eastAsia="en-US"/>
              </w:rPr>
            </w:pPr>
            <w:r w:rsidRPr="00221DA7">
              <w:rPr>
                <w:rFonts w:ascii="Arial" w:hAnsi="Arial"/>
                <w:sz w:val="22"/>
                <w:szCs w:val="22"/>
                <w:lang w:eastAsia="en-US"/>
              </w:rPr>
              <w:t>WER</w:t>
            </w:r>
            <w:r w:rsidRPr="00221DA7">
              <w:rPr>
                <w:rFonts w:ascii="Arial" w:hAnsi="Arial"/>
                <w:sz w:val="22"/>
                <w:szCs w:val="22"/>
                <w:vertAlign w:val="superscript"/>
                <w:lang w:eastAsia="en-US"/>
              </w:rPr>
              <w:t>2</w:t>
            </w:r>
            <w:r w:rsidRPr="00221DA7">
              <w:rPr>
                <w:rFonts w:ascii="Arial" w:hAnsi="Arial"/>
                <w:sz w:val="22"/>
                <w:szCs w:val="22"/>
                <w:lang w:eastAsia="en-US"/>
              </w:rPr>
              <w:t xml:space="preserve"> *103</w:t>
            </w:r>
          </w:p>
        </w:tc>
        <w:tc>
          <w:tcPr>
            <w:tcW w:w="1530" w:type="dxa"/>
            <w:vAlign w:val="center"/>
          </w:tcPr>
          <w:p w:rsidRPr="00221DA7" w:rsidR="00A3095D" w:rsidP="006C6C02" w:rsidRDefault="00A3095D" w14:paraId="4485AF6E"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sz w:val="22"/>
                <w:szCs w:val="22"/>
                <w:vertAlign w:val="superscript"/>
                <w:lang w:eastAsia="en-US"/>
              </w:rPr>
              <w:t>1</w:t>
            </w:r>
            <w:r w:rsidRPr="00221DA7">
              <w:rPr>
                <w:rFonts w:ascii="Arial" w:hAnsi="Arial"/>
                <w:spacing w:val="-1"/>
                <w:sz w:val="22"/>
                <w:szCs w:val="22"/>
                <w:lang w:eastAsia="en-US"/>
              </w:rPr>
              <w:t>*83</w:t>
            </w:r>
          </w:p>
        </w:tc>
        <w:tc>
          <w:tcPr>
            <w:tcW w:w="1170" w:type="dxa"/>
          </w:tcPr>
          <w:p w:rsidRPr="00221DA7" w:rsidR="00A3095D" w:rsidP="006C6C02" w:rsidRDefault="00A3095D" w14:paraId="57A7F9F5"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622D1487"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4F108C92" w14:textId="77777777">
        <w:trPr>
          <w:cantSplit/>
          <w:trHeight w:val="393"/>
        </w:trPr>
        <w:tc>
          <w:tcPr>
            <w:tcW w:w="2970" w:type="dxa"/>
            <w:vAlign w:val="center"/>
          </w:tcPr>
          <w:p w:rsidRPr="00221DA7" w:rsidR="00A3095D" w:rsidP="006C6C02" w:rsidRDefault="00A3095D" w14:paraId="2A8FAE0A"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Tujunga Wash</w:t>
            </w:r>
          </w:p>
        </w:tc>
        <w:tc>
          <w:tcPr>
            <w:tcW w:w="1350" w:type="dxa"/>
            <w:vAlign w:val="center"/>
          </w:tcPr>
          <w:p w:rsidRPr="00221DA7" w:rsidR="00A3095D" w:rsidP="006C6C02" w:rsidRDefault="00A3095D" w14:paraId="651480A2" w14:textId="77777777">
            <w:pPr>
              <w:spacing w:before="0" w:after="40" w:line="240" w:lineRule="auto"/>
              <w:rPr>
                <w:rFonts w:ascii="Arial" w:hAnsi="Arial"/>
                <w:spacing w:val="-1"/>
                <w:sz w:val="22"/>
                <w:szCs w:val="22"/>
                <w:vertAlign w:val="superscript"/>
                <w:lang w:eastAsia="en-US"/>
              </w:rPr>
            </w:pPr>
            <w:r w:rsidRPr="00221DA7">
              <w:rPr>
                <w:rFonts w:ascii="Arial" w:hAnsi="Arial"/>
                <w:spacing w:val="-1"/>
                <w:sz w:val="22"/>
                <w:szCs w:val="22"/>
                <w:lang w:eastAsia="en-US"/>
              </w:rPr>
              <w:t>WER</w:t>
            </w:r>
            <w:r w:rsidRPr="00221DA7">
              <w:rPr>
                <w:rFonts w:ascii="Arial" w:hAnsi="Arial"/>
                <w:spacing w:val="-1"/>
                <w:sz w:val="22"/>
                <w:szCs w:val="22"/>
                <w:vertAlign w:val="superscript"/>
                <w:lang w:eastAsia="en-US"/>
              </w:rPr>
              <w:t>3</w:t>
            </w:r>
            <w:r w:rsidRPr="00221DA7">
              <w:rPr>
                <w:rFonts w:ascii="Arial" w:hAnsi="Arial"/>
                <w:spacing w:val="-1"/>
                <w:sz w:val="22"/>
                <w:szCs w:val="22"/>
                <w:lang w:eastAsia="en-US"/>
              </w:rPr>
              <w:t xml:space="preserve"> *20</w:t>
            </w:r>
          </w:p>
        </w:tc>
        <w:tc>
          <w:tcPr>
            <w:tcW w:w="1530" w:type="dxa"/>
            <w:vAlign w:val="center"/>
          </w:tcPr>
          <w:p w:rsidRPr="00221DA7" w:rsidR="00A3095D" w:rsidP="006C6C02" w:rsidRDefault="00A3095D" w14:paraId="5E97C03C"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sz w:val="22"/>
                <w:szCs w:val="22"/>
                <w:vertAlign w:val="superscript"/>
                <w:lang w:eastAsia="en-US"/>
              </w:rPr>
              <w:t>1</w:t>
            </w:r>
            <w:r w:rsidRPr="00221DA7">
              <w:rPr>
                <w:rFonts w:ascii="Arial" w:hAnsi="Arial"/>
                <w:spacing w:val="-1"/>
                <w:sz w:val="22"/>
                <w:szCs w:val="22"/>
                <w:lang w:eastAsia="en-US"/>
              </w:rPr>
              <w:t>*83</w:t>
            </w:r>
          </w:p>
        </w:tc>
        <w:tc>
          <w:tcPr>
            <w:tcW w:w="1170" w:type="dxa"/>
          </w:tcPr>
          <w:p w:rsidRPr="00221DA7" w:rsidR="00A3095D" w:rsidP="006C6C02" w:rsidRDefault="00A3095D" w14:paraId="7EB6A186" w14:textId="77777777">
            <w:pPr>
              <w:spacing w:before="0" w:after="40" w:line="240" w:lineRule="auto"/>
              <w:jc w:val="center"/>
              <w:rPr>
                <w:rFonts w:ascii="Arial" w:hAnsi="Arial"/>
                <w:color w:val="D9D9D9"/>
                <w:spacing w:val="-1"/>
                <w:sz w:val="22"/>
                <w:szCs w:val="22"/>
                <w:vertAlign w:val="superscript"/>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3F5F88D1" w14:textId="77777777">
            <w:pPr>
              <w:spacing w:before="0" w:after="40" w:line="240" w:lineRule="auto"/>
              <w:jc w:val="center"/>
              <w:rPr>
                <w:rFonts w:ascii="Arial" w:hAnsi="Arial"/>
                <w:color w:val="D9D9D9"/>
                <w:spacing w:val="-1"/>
                <w:sz w:val="22"/>
                <w:szCs w:val="22"/>
                <w:vertAlign w:val="superscript"/>
                <w:lang w:eastAsia="en-US"/>
              </w:rPr>
            </w:pPr>
            <w:r w:rsidRPr="00221DA7">
              <w:rPr>
                <w:rFonts w:ascii="Arial" w:hAnsi="Arial"/>
                <w:color w:val="D9D9D9"/>
                <w:spacing w:val="-1"/>
                <w:sz w:val="22"/>
                <w:szCs w:val="22"/>
                <w:lang w:eastAsia="en-US"/>
              </w:rPr>
              <w:t>Blank cell</w:t>
            </w:r>
          </w:p>
        </w:tc>
      </w:tr>
      <w:tr w:rsidRPr="00221DA7" w:rsidR="00A3095D" w:rsidTr="00BD3F1B" w14:paraId="298CA78F" w14:textId="77777777">
        <w:trPr>
          <w:cantSplit/>
          <w:trHeight w:val="659"/>
        </w:trPr>
        <w:tc>
          <w:tcPr>
            <w:tcW w:w="2970" w:type="dxa"/>
            <w:vAlign w:val="center"/>
          </w:tcPr>
          <w:p w:rsidRPr="00221DA7" w:rsidR="00A3095D" w:rsidP="006C6C02" w:rsidRDefault="00A3095D" w14:paraId="48EDA44A"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Reach 3 above LA-Glendale WRP</w:t>
            </w:r>
          </w:p>
        </w:tc>
        <w:tc>
          <w:tcPr>
            <w:tcW w:w="1350" w:type="dxa"/>
            <w:vAlign w:val="center"/>
          </w:tcPr>
          <w:p w:rsidRPr="00221DA7" w:rsidR="00A3095D" w:rsidP="006C6C02" w:rsidRDefault="00A3095D" w14:paraId="5FC49042"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2</w:t>
            </w:r>
            <w:r w:rsidRPr="00221DA7">
              <w:rPr>
                <w:rFonts w:ascii="Arial" w:hAnsi="Arial"/>
                <w:spacing w:val="18"/>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23</w:t>
            </w:r>
          </w:p>
        </w:tc>
        <w:tc>
          <w:tcPr>
            <w:tcW w:w="1530" w:type="dxa"/>
            <w:vAlign w:val="center"/>
          </w:tcPr>
          <w:p w:rsidRPr="00221DA7" w:rsidR="00A3095D" w:rsidP="006C6C02" w:rsidRDefault="00A3095D" w14:paraId="12DF2AF7"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9"/>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102</w:t>
            </w:r>
          </w:p>
        </w:tc>
        <w:tc>
          <w:tcPr>
            <w:tcW w:w="1170" w:type="dxa"/>
          </w:tcPr>
          <w:p w:rsidRPr="00221DA7" w:rsidR="00A3095D" w:rsidP="006C6C02" w:rsidRDefault="00A3095D" w14:paraId="16800A4B"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49179A70"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4FF7C088" w14:textId="77777777">
        <w:trPr>
          <w:cantSplit/>
          <w:trHeight w:val="450"/>
        </w:trPr>
        <w:tc>
          <w:tcPr>
            <w:tcW w:w="2970" w:type="dxa"/>
            <w:vAlign w:val="center"/>
          </w:tcPr>
          <w:p w:rsidRPr="00221DA7" w:rsidR="00A3095D" w:rsidP="006C6C02" w:rsidRDefault="00A3095D" w14:paraId="1404EFDE"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Verdugo Wash</w:t>
            </w:r>
          </w:p>
        </w:tc>
        <w:tc>
          <w:tcPr>
            <w:tcW w:w="1350" w:type="dxa"/>
            <w:vAlign w:val="center"/>
          </w:tcPr>
          <w:p w:rsidRPr="00221DA7" w:rsidR="00A3095D" w:rsidP="006C6C02" w:rsidRDefault="00A3095D" w14:paraId="1C72E61A"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4</w:t>
            </w:r>
            <w:r w:rsidRPr="00221DA7">
              <w:rPr>
                <w:rFonts w:ascii="Arial" w:hAnsi="Arial"/>
                <w:spacing w:val="18"/>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23</w:t>
            </w:r>
          </w:p>
        </w:tc>
        <w:tc>
          <w:tcPr>
            <w:tcW w:w="1530" w:type="dxa"/>
            <w:vAlign w:val="center"/>
          </w:tcPr>
          <w:p w:rsidRPr="00221DA7" w:rsidR="00A3095D" w:rsidP="006C6C02" w:rsidRDefault="00A3095D" w14:paraId="7EF22DBC"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8"/>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102</w:t>
            </w:r>
          </w:p>
        </w:tc>
        <w:tc>
          <w:tcPr>
            <w:tcW w:w="1170" w:type="dxa"/>
          </w:tcPr>
          <w:p w:rsidRPr="00221DA7" w:rsidR="00A3095D" w:rsidP="006C6C02" w:rsidRDefault="00A3095D" w14:paraId="2BD191A4"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21CCFC4C"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6B657280" w14:textId="77777777">
        <w:trPr>
          <w:cantSplit/>
          <w:trHeight w:val="659"/>
        </w:trPr>
        <w:tc>
          <w:tcPr>
            <w:tcW w:w="2970" w:type="dxa"/>
            <w:vAlign w:val="center"/>
          </w:tcPr>
          <w:p w:rsidRPr="00221DA7" w:rsidR="00A3095D" w:rsidP="006C6C02" w:rsidRDefault="00A3095D" w14:paraId="6EA201D6"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Reach 3 below LA-Glendale WRP</w:t>
            </w:r>
          </w:p>
        </w:tc>
        <w:tc>
          <w:tcPr>
            <w:tcW w:w="1350" w:type="dxa"/>
            <w:vAlign w:val="center"/>
          </w:tcPr>
          <w:p w:rsidRPr="00221DA7" w:rsidR="00A3095D" w:rsidP="006C6C02" w:rsidRDefault="00A3095D" w14:paraId="582D662D"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2</w:t>
            </w:r>
            <w:r w:rsidRPr="00221DA7">
              <w:rPr>
                <w:rFonts w:ascii="Arial" w:hAnsi="Arial"/>
                <w:spacing w:val="18"/>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26</w:t>
            </w:r>
          </w:p>
        </w:tc>
        <w:tc>
          <w:tcPr>
            <w:tcW w:w="1530" w:type="dxa"/>
            <w:vAlign w:val="center"/>
          </w:tcPr>
          <w:p w:rsidRPr="00221DA7" w:rsidR="00A3095D" w:rsidP="006C6C02" w:rsidRDefault="00A3095D" w14:paraId="60B5BADD"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9"/>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2"/>
                <w:sz w:val="22"/>
                <w:szCs w:val="22"/>
                <w:lang w:eastAsia="en-US"/>
              </w:rPr>
              <w:t>126</w:t>
            </w:r>
          </w:p>
        </w:tc>
        <w:tc>
          <w:tcPr>
            <w:tcW w:w="1170" w:type="dxa"/>
          </w:tcPr>
          <w:p w:rsidRPr="00221DA7" w:rsidR="00A3095D" w:rsidP="006C6C02" w:rsidRDefault="00A3095D" w14:paraId="36CEAD6B"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31DFA263"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45B5F86C" w14:textId="77777777">
        <w:trPr>
          <w:cantSplit/>
          <w:trHeight w:val="659"/>
        </w:trPr>
        <w:tc>
          <w:tcPr>
            <w:tcW w:w="2970" w:type="dxa"/>
            <w:vAlign w:val="center"/>
          </w:tcPr>
          <w:p w:rsidRPr="00221DA7" w:rsidR="00A3095D" w:rsidP="006C6C02" w:rsidRDefault="00A3095D" w14:paraId="2DE67DBB"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Burbank Western Channel (above WRP)</w:t>
            </w:r>
          </w:p>
        </w:tc>
        <w:tc>
          <w:tcPr>
            <w:tcW w:w="1350" w:type="dxa"/>
            <w:vAlign w:val="center"/>
          </w:tcPr>
          <w:p w:rsidRPr="00221DA7" w:rsidR="00A3095D" w:rsidP="006C6C02" w:rsidRDefault="00A3095D" w14:paraId="7E7231B1"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5</w:t>
            </w:r>
            <w:r w:rsidRPr="00221DA7">
              <w:rPr>
                <w:rFonts w:ascii="Arial" w:hAnsi="Arial"/>
                <w:spacing w:val="15"/>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26</w:t>
            </w:r>
          </w:p>
        </w:tc>
        <w:tc>
          <w:tcPr>
            <w:tcW w:w="1530" w:type="dxa"/>
            <w:vAlign w:val="center"/>
          </w:tcPr>
          <w:p w:rsidRPr="00221DA7" w:rsidR="00A3095D" w:rsidP="006C6C02" w:rsidRDefault="00A3095D" w14:paraId="7DE94D6E"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9"/>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126</w:t>
            </w:r>
          </w:p>
        </w:tc>
        <w:tc>
          <w:tcPr>
            <w:tcW w:w="1170" w:type="dxa"/>
          </w:tcPr>
          <w:p w:rsidRPr="00221DA7" w:rsidR="00A3095D" w:rsidP="006C6C02" w:rsidRDefault="00A3095D" w14:paraId="7A4C7828"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62AA98D4"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448A8908" w14:textId="77777777">
        <w:trPr>
          <w:cantSplit/>
          <w:trHeight w:val="659"/>
        </w:trPr>
        <w:tc>
          <w:tcPr>
            <w:tcW w:w="2970" w:type="dxa"/>
            <w:vAlign w:val="center"/>
          </w:tcPr>
          <w:p w:rsidRPr="00221DA7" w:rsidR="00A3095D" w:rsidP="006C6C02" w:rsidRDefault="00A3095D" w14:paraId="7108274A"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Burbank Western Channel (below WRP)</w:t>
            </w:r>
          </w:p>
        </w:tc>
        <w:tc>
          <w:tcPr>
            <w:tcW w:w="1350" w:type="dxa"/>
            <w:vAlign w:val="center"/>
          </w:tcPr>
          <w:p w:rsidRPr="00221DA7" w:rsidR="00A3095D" w:rsidP="006C6C02" w:rsidRDefault="00A3095D" w14:paraId="60D83CD7"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5</w:t>
            </w:r>
            <w:r w:rsidRPr="00221DA7">
              <w:rPr>
                <w:rFonts w:ascii="Arial" w:hAnsi="Arial"/>
                <w:spacing w:val="15"/>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19</w:t>
            </w:r>
          </w:p>
        </w:tc>
        <w:tc>
          <w:tcPr>
            <w:tcW w:w="1530" w:type="dxa"/>
            <w:vAlign w:val="center"/>
          </w:tcPr>
          <w:p w:rsidRPr="00221DA7" w:rsidR="00A3095D" w:rsidP="006C6C02" w:rsidRDefault="00A3095D" w14:paraId="62A2E0CA"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9"/>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751</w:t>
            </w:r>
          </w:p>
        </w:tc>
        <w:tc>
          <w:tcPr>
            <w:tcW w:w="1170" w:type="dxa"/>
          </w:tcPr>
          <w:p w:rsidRPr="00221DA7" w:rsidR="00A3095D" w:rsidP="006C6C02" w:rsidRDefault="00A3095D" w14:paraId="1D9699AD"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359231BA"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3EF2BDE8" w14:textId="77777777">
        <w:trPr>
          <w:cantSplit/>
          <w:trHeight w:val="450"/>
        </w:trPr>
        <w:tc>
          <w:tcPr>
            <w:tcW w:w="2970" w:type="dxa"/>
            <w:vAlign w:val="center"/>
          </w:tcPr>
          <w:p w:rsidRPr="00221DA7" w:rsidR="00A3095D" w:rsidP="006C6C02" w:rsidRDefault="00A3095D" w14:paraId="11B7D74B"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Reach 2</w:t>
            </w:r>
          </w:p>
        </w:tc>
        <w:tc>
          <w:tcPr>
            <w:tcW w:w="1350" w:type="dxa"/>
            <w:vAlign w:val="center"/>
          </w:tcPr>
          <w:p w:rsidRPr="00221DA7" w:rsidR="00A3095D" w:rsidP="006C6C02" w:rsidRDefault="00A3095D" w14:paraId="54CB147D"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2</w:t>
            </w:r>
            <w:r w:rsidRPr="00221DA7">
              <w:rPr>
                <w:rFonts w:ascii="Arial" w:hAnsi="Arial"/>
                <w:spacing w:val="17"/>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22</w:t>
            </w:r>
          </w:p>
        </w:tc>
        <w:tc>
          <w:tcPr>
            <w:tcW w:w="1530" w:type="dxa"/>
            <w:vAlign w:val="center"/>
          </w:tcPr>
          <w:p w:rsidRPr="00221DA7" w:rsidR="00A3095D" w:rsidP="006C6C02" w:rsidRDefault="00A3095D" w14:paraId="0DDDDAC0"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8"/>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94</w:t>
            </w:r>
          </w:p>
        </w:tc>
        <w:tc>
          <w:tcPr>
            <w:tcW w:w="1170" w:type="dxa"/>
          </w:tcPr>
          <w:p w:rsidRPr="00221DA7" w:rsidR="00A3095D" w:rsidP="006C6C02" w:rsidRDefault="00A3095D" w14:paraId="131DBB57"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76A8A5EF"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1E9270B8" w14:textId="77777777">
        <w:trPr>
          <w:cantSplit/>
          <w:trHeight w:val="439"/>
        </w:trPr>
        <w:tc>
          <w:tcPr>
            <w:tcW w:w="2970" w:type="dxa"/>
            <w:vAlign w:val="center"/>
          </w:tcPr>
          <w:p w:rsidRPr="00221DA7" w:rsidR="00A3095D" w:rsidP="006C6C02" w:rsidRDefault="00A3095D" w14:paraId="016C3F55"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Arroyo Seco</w:t>
            </w:r>
          </w:p>
        </w:tc>
        <w:tc>
          <w:tcPr>
            <w:tcW w:w="1350" w:type="dxa"/>
            <w:vAlign w:val="center"/>
          </w:tcPr>
          <w:p w:rsidRPr="00221DA7" w:rsidR="00A3095D" w:rsidP="006C6C02" w:rsidRDefault="00A3095D" w14:paraId="30C64F62"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6</w:t>
            </w:r>
            <w:r w:rsidRPr="00221DA7">
              <w:rPr>
                <w:rFonts w:ascii="Arial" w:hAnsi="Arial"/>
                <w:spacing w:val="18"/>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22</w:t>
            </w:r>
          </w:p>
        </w:tc>
        <w:tc>
          <w:tcPr>
            <w:tcW w:w="1530" w:type="dxa"/>
            <w:vAlign w:val="center"/>
          </w:tcPr>
          <w:p w:rsidRPr="00221DA7" w:rsidR="00A3095D" w:rsidP="006C6C02" w:rsidRDefault="00A3095D" w14:paraId="42E04296"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94</w:t>
            </w:r>
          </w:p>
        </w:tc>
        <w:tc>
          <w:tcPr>
            <w:tcW w:w="1170" w:type="dxa"/>
          </w:tcPr>
          <w:p w:rsidRPr="00221DA7" w:rsidR="00A3095D" w:rsidP="006C6C02" w:rsidRDefault="00A3095D" w14:paraId="30674D9F"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061995BF"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45F9B28B" w14:textId="77777777">
        <w:trPr>
          <w:cantSplit/>
          <w:trHeight w:val="450"/>
        </w:trPr>
        <w:tc>
          <w:tcPr>
            <w:tcW w:w="2970" w:type="dxa"/>
            <w:vAlign w:val="center"/>
          </w:tcPr>
          <w:p w:rsidRPr="00221DA7" w:rsidR="00A3095D" w:rsidP="006C6C02" w:rsidRDefault="00A3095D" w14:paraId="72FAFC63"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Reach 1</w:t>
            </w:r>
          </w:p>
        </w:tc>
        <w:tc>
          <w:tcPr>
            <w:tcW w:w="1350" w:type="dxa"/>
            <w:vAlign w:val="center"/>
          </w:tcPr>
          <w:p w:rsidRPr="00221DA7" w:rsidR="00A3095D" w:rsidP="006C6C02" w:rsidRDefault="00A3095D" w14:paraId="21B14EFD"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2</w:t>
            </w:r>
            <w:r w:rsidRPr="00221DA7">
              <w:rPr>
                <w:rFonts w:ascii="Arial" w:hAnsi="Arial"/>
                <w:spacing w:val="17"/>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23</w:t>
            </w:r>
          </w:p>
        </w:tc>
        <w:tc>
          <w:tcPr>
            <w:tcW w:w="1530" w:type="dxa"/>
            <w:vAlign w:val="center"/>
          </w:tcPr>
          <w:p w:rsidRPr="00221DA7" w:rsidR="00A3095D" w:rsidP="006C6C02" w:rsidRDefault="00A3095D" w14:paraId="2A2FFE7A"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8"/>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102</w:t>
            </w:r>
          </w:p>
        </w:tc>
        <w:tc>
          <w:tcPr>
            <w:tcW w:w="1170" w:type="dxa"/>
          </w:tcPr>
          <w:p w:rsidRPr="00221DA7" w:rsidR="00A3095D" w:rsidP="006C6C02" w:rsidRDefault="00A3095D" w14:paraId="0E425B80"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22BCF46D"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059E2A61" w14:textId="77777777">
        <w:trPr>
          <w:cantSplit/>
          <w:trHeight w:val="450"/>
        </w:trPr>
        <w:tc>
          <w:tcPr>
            <w:tcW w:w="2970" w:type="dxa"/>
            <w:vAlign w:val="center"/>
          </w:tcPr>
          <w:p w:rsidRPr="00221DA7" w:rsidR="00A3095D" w:rsidP="006C6C02" w:rsidRDefault="00A3095D" w14:paraId="17435A23"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Compton Creek</w:t>
            </w:r>
          </w:p>
        </w:tc>
        <w:tc>
          <w:tcPr>
            <w:tcW w:w="1350" w:type="dxa"/>
            <w:vAlign w:val="center"/>
          </w:tcPr>
          <w:p w:rsidRPr="00221DA7" w:rsidR="00A3095D" w:rsidP="006C6C02" w:rsidRDefault="00A3095D" w14:paraId="0DE5A9D0"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7</w:t>
            </w:r>
            <w:r w:rsidRPr="00221DA7">
              <w:rPr>
                <w:rFonts w:ascii="Arial" w:hAnsi="Arial"/>
                <w:spacing w:val="18"/>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19</w:t>
            </w:r>
          </w:p>
        </w:tc>
        <w:tc>
          <w:tcPr>
            <w:tcW w:w="1530" w:type="dxa"/>
            <w:vAlign w:val="center"/>
          </w:tcPr>
          <w:p w:rsidRPr="00221DA7" w:rsidR="00A3095D" w:rsidP="006C6C02" w:rsidRDefault="00A3095D" w14:paraId="3EB053C6"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9"/>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73</w:t>
            </w:r>
          </w:p>
        </w:tc>
        <w:tc>
          <w:tcPr>
            <w:tcW w:w="1170" w:type="dxa"/>
          </w:tcPr>
          <w:p w:rsidRPr="00221DA7" w:rsidR="00A3095D" w:rsidP="006C6C02" w:rsidRDefault="00A3095D" w14:paraId="0D8AAA26"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c>
          <w:tcPr>
            <w:tcW w:w="1036" w:type="dxa"/>
          </w:tcPr>
          <w:p w:rsidRPr="00221DA7" w:rsidR="00A3095D" w:rsidP="006C6C02" w:rsidRDefault="00A3095D" w14:paraId="1BAE37C4" w14:textId="77777777">
            <w:pPr>
              <w:spacing w:before="0" w:after="40" w:line="240" w:lineRule="auto"/>
              <w:jc w:val="center"/>
              <w:rPr>
                <w:rFonts w:ascii="Arial" w:hAnsi="Arial"/>
                <w:color w:val="D9D9D9"/>
                <w:spacing w:val="-1"/>
                <w:sz w:val="22"/>
                <w:szCs w:val="22"/>
                <w:lang w:eastAsia="en-US"/>
              </w:rPr>
            </w:pPr>
            <w:r w:rsidRPr="00221DA7">
              <w:rPr>
                <w:rFonts w:ascii="Arial" w:hAnsi="Arial"/>
                <w:color w:val="D9D9D9"/>
                <w:spacing w:val="-1"/>
                <w:sz w:val="22"/>
                <w:szCs w:val="22"/>
                <w:lang w:eastAsia="en-US"/>
              </w:rPr>
              <w:t>Blank cell</w:t>
            </w:r>
          </w:p>
        </w:tc>
      </w:tr>
      <w:tr w:rsidRPr="00221DA7" w:rsidR="00A3095D" w:rsidTr="00BD3F1B" w14:paraId="0AD13966" w14:textId="77777777">
        <w:trPr>
          <w:cantSplit/>
          <w:trHeight w:val="450"/>
        </w:trPr>
        <w:tc>
          <w:tcPr>
            <w:tcW w:w="2970" w:type="dxa"/>
            <w:vAlign w:val="center"/>
          </w:tcPr>
          <w:p w:rsidRPr="00221DA7" w:rsidR="00A3095D" w:rsidP="006C6C02" w:rsidRDefault="00A3095D" w14:paraId="1FCC8C5A"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Rio Hondo Reach 1</w:t>
            </w:r>
          </w:p>
        </w:tc>
        <w:tc>
          <w:tcPr>
            <w:tcW w:w="1350" w:type="dxa"/>
            <w:vAlign w:val="center"/>
          </w:tcPr>
          <w:p w:rsidRPr="00221DA7" w:rsidR="00A3095D" w:rsidP="006C6C02" w:rsidRDefault="00A3095D" w14:paraId="05312C9E"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8</w:t>
            </w:r>
            <w:r w:rsidRPr="00221DA7">
              <w:rPr>
                <w:rFonts w:ascii="Arial" w:hAnsi="Arial"/>
                <w:spacing w:val="17"/>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13</w:t>
            </w:r>
          </w:p>
        </w:tc>
        <w:tc>
          <w:tcPr>
            <w:tcW w:w="1530" w:type="dxa"/>
            <w:vAlign w:val="center"/>
          </w:tcPr>
          <w:p w:rsidRPr="00221DA7" w:rsidR="00A3095D" w:rsidP="006C6C02" w:rsidRDefault="00A3095D" w14:paraId="4A896DA8" w14:textId="77777777">
            <w:pPr>
              <w:spacing w:before="0" w:after="40" w:line="240" w:lineRule="auto"/>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7"/>
                <w:position w:val="6"/>
                <w:sz w:val="22"/>
                <w:szCs w:val="22"/>
                <w:lang w:eastAsia="en-US"/>
              </w:rPr>
              <w:t xml:space="preserve"> </w:t>
            </w:r>
            <w:r w:rsidRPr="00221DA7">
              <w:rPr>
                <w:rFonts w:ascii="Arial" w:hAnsi="Arial"/>
                <w:spacing w:val="-1"/>
                <w:sz w:val="22"/>
                <w:szCs w:val="22"/>
                <w:lang w:eastAsia="en-US"/>
              </w:rPr>
              <w:t>* 37</w:t>
            </w:r>
          </w:p>
        </w:tc>
        <w:tc>
          <w:tcPr>
            <w:tcW w:w="1170" w:type="dxa"/>
            <w:vAlign w:val="center"/>
          </w:tcPr>
          <w:p w:rsidRPr="00221DA7" w:rsidR="00A3095D" w:rsidP="006C6C02" w:rsidRDefault="00A3095D" w14:paraId="1540B215" w14:textId="77777777">
            <w:pPr>
              <w:spacing w:before="0" w:after="40" w:line="240" w:lineRule="auto"/>
              <w:jc w:val="center"/>
              <w:rPr>
                <w:rFonts w:ascii="Arial" w:hAnsi="Arial"/>
                <w:spacing w:val="-1"/>
                <w:sz w:val="22"/>
                <w:szCs w:val="22"/>
                <w:lang w:eastAsia="en-US"/>
              </w:rPr>
            </w:pPr>
            <w:r w:rsidRPr="00221DA7">
              <w:rPr>
                <w:rFonts w:ascii="Arial" w:hAnsi="Arial"/>
                <w:spacing w:val="-1"/>
                <w:sz w:val="22"/>
                <w:szCs w:val="22"/>
                <w:lang w:eastAsia="en-US"/>
              </w:rPr>
              <w:t>WER</w:t>
            </w:r>
            <w:r w:rsidRPr="00221DA7">
              <w:rPr>
                <w:rFonts w:ascii="Arial" w:hAnsi="Arial"/>
                <w:spacing w:val="-1"/>
                <w:position w:val="6"/>
                <w:sz w:val="22"/>
                <w:szCs w:val="22"/>
                <w:lang w:eastAsia="en-US"/>
              </w:rPr>
              <w:t>1</w:t>
            </w:r>
            <w:r w:rsidRPr="00221DA7">
              <w:rPr>
                <w:rFonts w:ascii="Arial" w:hAnsi="Arial"/>
                <w:spacing w:val="17"/>
                <w:position w:val="6"/>
                <w:sz w:val="22"/>
                <w:szCs w:val="22"/>
                <w:lang w:eastAsia="en-US"/>
              </w:rPr>
              <w:t xml:space="preserve"> </w:t>
            </w:r>
            <w:r w:rsidRPr="00221DA7">
              <w:rPr>
                <w:rFonts w:ascii="Arial" w:hAnsi="Arial"/>
                <w:spacing w:val="-1"/>
                <w:sz w:val="22"/>
                <w:szCs w:val="22"/>
                <w:lang w:eastAsia="en-US"/>
              </w:rPr>
              <w:t xml:space="preserve">* </w:t>
            </w:r>
            <w:r w:rsidRPr="00221DA7">
              <w:rPr>
                <w:rFonts w:ascii="Arial" w:hAnsi="Arial"/>
                <w:spacing w:val="-5"/>
                <w:sz w:val="22"/>
                <w:szCs w:val="22"/>
                <w:lang w:eastAsia="en-US"/>
              </w:rPr>
              <w:t>131</w:t>
            </w:r>
          </w:p>
        </w:tc>
        <w:tc>
          <w:tcPr>
            <w:tcW w:w="1036" w:type="dxa"/>
          </w:tcPr>
          <w:p w:rsidRPr="00221DA7" w:rsidR="00A3095D" w:rsidP="006C6C02" w:rsidRDefault="00A3095D" w14:paraId="6DFC8041" w14:textId="77777777">
            <w:pPr>
              <w:spacing w:before="0" w:after="40" w:line="240" w:lineRule="auto"/>
              <w:jc w:val="center"/>
              <w:rPr>
                <w:rFonts w:ascii="Arial" w:hAnsi="Arial"/>
                <w:spacing w:val="-1"/>
                <w:sz w:val="22"/>
                <w:szCs w:val="22"/>
                <w:lang w:eastAsia="en-US"/>
              </w:rPr>
            </w:pPr>
            <w:r w:rsidRPr="00221DA7">
              <w:rPr>
                <w:rFonts w:ascii="Arial" w:hAnsi="Arial"/>
                <w:color w:val="D9D9D9"/>
                <w:spacing w:val="-1"/>
                <w:sz w:val="22"/>
                <w:szCs w:val="22"/>
                <w:lang w:eastAsia="en-US"/>
              </w:rPr>
              <w:t>Blank cell</w:t>
            </w:r>
          </w:p>
        </w:tc>
      </w:tr>
    </w:tbl>
    <w:p w:rsidRPr="007D355F" w:rsidR="00A3095D" w:rsidP="00BB1DCE" w:rsidRDefault="00A3095D" w14:paraId="1793B43B" w14:textId="77777777">
      <w:pPr>
        <w:tabs>
          <w:tab w:val="left" w:pos="1710"/>
        </w:tabs>
        <w:spacing w:before="0" w:after="0" w:line="240" w:lineRule="auto"/>
        <w:ind w:left="1710" w:hanging="540"/>
        <w:rPr>
          <w:sz w:val="22"/>
          <w:szCs w:val="22"/>
          <w:u w:val="single"/>
          <w:lang w:eastAsia="en-US"/>
        </w:rPr>
      </w:pPr>
      <w:r w:rsidRPr="007D355F">
        <w:rPr>
          <w:sz w:val="22"/>
          <w:szCs w:val="22"/>
          <w:u w:val="single"/>
          <w:lang w:eastAsia="en-US"/>
        </w:rPr>
        <w:t>Table Notes</w:t>
      </w:r>
    </w:p>
    <w:p w:rsidRPr="007D355F" w:rsidR="00A3095D" w:rsidP="00BB1DCE" w:rsidRDefault="00A3095D" w14:paraId="1875FB6D" w14:textId="77777777">
      <w:pPr>
        <w:widowControl w:val="0"/>
        <w:tabs>
          <w:tab w:val="left" w:pos="1710"/>
        </w:tabs>
        <w:spacing w:before="0" w:after="0" w:line="240" w:lineRule="auto"/>
        <w:ind w:left="1710" w:hanging="540"/>
        <w:rPr>
          <w:sz w:val="22"/>
          <w:szCs w:val="22"/>
          <w:lang w:eastAsia="en-US"/>
        </w:rPr>
      </w:pPr>
      <w:r w:rsidRPr="00221DA7">
        <w:rPr>
          <w:position w:val="6"/>
          <w:sz w:val="22"/>
          <w:szCs w:val="22"/>
          <w:vertAlign w:val="superscript"/>
          <w:lang w:eastAsia="en-US"/>
        </w:rPr>
        <w:t>1</w:t>
      </w:r>
      <w:r w:rsidRPr="007D355F">
        <w:rPr>
          <w:spacing w:val="-8"/>
          <w:position w:val="6"/>
          <w:sz w:val="22"/>
          <w:szCs w:val="22"/>
          <w:lang w:eastAsia="en-US"/>
        </w:rPr>
        <w:t xml:space="preserve"> </w:t>
      </w:r>
      <w:r w:rsidRPr="007D355F">
        <w:rPr>
          <w:sz w:val="22"/>
          <w:szCs w:val="22"/>
          <w:lang w:eastAsia="en-US"/>
        </w:rPr>
        <w:t>WER(s)</w:t>
      </w:r>
      <w:r w:rsidRPr="007D355F">
        <w:rPr>
          <w:spacing w:val="-5"/>
          <w:sz w:val="22"/>
          <w:szCs w:val="22"/>
          <w:lang w:eastAsia="en-US"/>
        </w:rPr>
        <w:t xml:space="preserve"> </w:t>
      </w:r>
      <w:r w:rsidRPr="007D355F">
        <w:rPr>
          <w:sz w:val="22"/>
          <w:szCs w:val="22"/>
          <w:lang w:eastAsia="en-US"/>
        </w:rPr>
        <w:t>have</w:t>
      </w:r>
      <w:r w:rsidRPr="007D355F">
        <w:rPr>
          <w:spacing w:val="-3"/>
          <w:sz w:val="22"/>
          <w:szCs w:val="22"/>
          <w:lang w:eastAsia="en-US"/>
        </w:rPr>
        <w:t xml:space="preserve"> </w:t>
      </w:r>
      <w:r w:rsidRPr="007D355F">
        <w:rPr>
          <w:sz w:val="22"/>
          <w:szCs w:val="22"/>
          <w:lang w:eastAsia="en-US"/>
        </w:rPr>
        <w:t>a</w:t>
      </w:r>
      <w:r w:rsidRPr="007D355F">
        <w:rPr>
          <w:spacing w:val="-4"/>
          <w:sz w:val="22"/>
          <w:szCs w:val="22"/>
          <w:lang w:eastAsia="en-US"/>
        </w:rPr>
        <w:t xml:space="preserve"> </w:t>
      </w:r>
      <w:r w:rsidRPr="007D355F">
        <w:rPr>
          <w:sz w:val="22"/>
          <w:szCs w:val="22"/>
          <w:lang w:eastAsia="en-US"/>
        </w:rPr>
        <w:t>default</w:t>
      </w:r>
      <w:r w:rsidRPr="007D355F">
        <w:rPr>
          <w:spacing w:val="-5"/>
          <w:sz w:val="22"/>
          <w:szCs w:val="22"/>
          <w:lang w:eastAsia="en-US"/>
        </w:rPr>
        <w:t xml:space="preserve"> </w:t>
      </w:r>
      <w:r w:rsidRPr="007D355F">
        <w:rPr>
          <w:sz w:val="22"/>
          <w:szCs w:val="22"/>
          <w:lang w:eastAsia="en-US"/>
        </w:rPr>
        <w:t>value</w:t>
      </w:r>
      <w:r w:rsidRPr="007D355F">
        <w:rPr>
          <w:spacing w:val="-6"/>
          <w:sz w:val="22"/>
          <w:szCs w:val="22"/>
          <w:lang w:eastAsia="en-US"/>
        </w:rPr>
        <w:t xml:space="preserve"> </w:t>
      </w:r>
      <w:r w:rsidRPr="007D355F">
        <w:rPr>
          <w:sz w:val="22"/>
          <w:szCs w:val="22"/>
          <w:lang w:eastAsia="en-US"/>
        </w:rPr>
        <w:t>of</w:t>
      </w:r>
      <w:r w:rsidRPr="007D355F">
        <w:rPr>
          <w:spacing w:val="-5"/>
          <w:sz w:val="22"/>
          <w:szCs w:val="22"/>
          <w:lang w:eastAsia="en-US"/>
        </w:rPr>
        <w:t xml:space="preserve"> </w:t>
      </w:r>
      <w:r w:rsidRPr="007D355F">
        <w:rPr>
          <w:sz w:val="22"/>
          <w:szCs w:val="22"/>
          <w:lang w:eastAsia="en-US"/>
        </w:rPr>
        <w:t>1.0</w:t>
      </w:r>
      <w:r w:rsidRPr="007D355F">
        <w:rPr>
          <w:spacing w:val="-6"/>
          <w:sz w:val="22"/>
          <w:szCs w:val="22"/>
          <w:lang w:eastAsia="en-US"/>
        </w:rPr>
        <w:t xml:space="preserve"> </w:t>
      </w:r>
      <w:r w:rsidRPr="007D355F">
        <w:rPr>
          <w:sz w:val="22"/>
          <w:szCs w:val="22"/>
          <w:lang w:eastAsia="en-US"/>
        </w:rPr>
        <w:t>unless</w:t>
      </w:r>
      <w:r w:rsidRPr="007D355F">
        <w:rPr>
          <w:spacing w:val="-3"/>
          <w:sz w:val="22"/>
          <w:szCs w:val="22"/>
          <w:lang w:eastAsia="en-US"/>
        </w:rPr>
        <w:t xml:space="preserve"> </w:t>
      </w:r>
      <w:r w:rsidRPr="007D355F">
        <w:rPr>
          <w:sz w:val="22"/>
          <w:szCs w:val="22"/>
          <w:lang w:eastAsia="en-US"/>
        </w:rPr>
        <w:t>site-specific</w:t>
      </w:r>
      <w:r w:rsidRPr="007D355F">
        <w:rPr>
          <w:spacing w:val="-8"/>
          <w:sz w:val="22"/>
          <w:szCs w:val="22"/>
          <w:lang w:eastAsia="en-US"/>
        </w:rPr>
        <w:t xml:space="preserve"> </w:t>
      </w:r>
      <w:r w:rsidRPr="007D355F">
        <w:rPr>
          <w:sz w:val="22"/>
          <w:szCs w:val="22"/>
          <w:lang w:eastAsia="en-US"/>
        </w:rPr>
        <w:t>WER(s)</w:t>
      </w:r>
      <w:r w:rsidRPr="007D355F">
        <w:rPr>
          <w:spacing w:val="-5"/>
          <w:sz w:val="22"/>
          <w:szCs w:val="22"/>
          <w:lang w:eastAsia="en-US"/>
        </w:rPr>
        <w:t xml:space="preserve"> </w:t>
      </w:r>
      <w:r w:rsidRPr="007D355F">
        <w:rPr>
          <w:sz w:val="22"/>
          <w:szCs w:val="22"/>
          <w:lang w:eastAsia="en-US"/>
        </w:rPr>
        <w:t>are</w:t>
      </w:r>
      <w:r w:rsidRPr="007D355F">
        <w:rPr>
          <w:spacing w:val="-6"/>
          <w:sz w:val="22"/>
          <w:szCs w:val="22"/>
          <w:lang w:eastAsia="en-US"/>
        </w:rPr>
        <w:t xml:space="preserve"> </w:t>
      </w:r>
      <w:r w:rsidRPr="007D355F">
        <w:rPr>
          <w:spacing w:val="-2"/>
          <w:sz w:val="22"/>
          <w:szCs w:val="22"/>
          <w:lang w:eastAsia="en-US"/>
        </w:rPr>
        <w:t>approved.</w:t>
      </w:r>
    </w:p>
    <w:p w:rsidRPr="007D355F" w:rsidR="00A3095D" w:rsidP="00BB1DCE" w:rsidRDefault="00A3095D" w14:paraId="013B3CB9" w14:textId="77777777">
      <w:pPr>
        <w:widowControl w:val="0"/>
        <w:tabs>
          <w:tab w:val="left" w:pos="1710"/>
        </w:tabs>
        <w:spacing w:before="0" w:after="0" w:line="240" w:lineRule="auto"/>
        <w:ind w:left="1710" w:hanging="540"/>
        <w:rPr>
          <w:sz w:val="22"/>
          <w:szCs w:val="22"/>
          <w:lang w:eastAsia="en-US"/>
        </w:rPr>
      </w:pPr>
      <w:r w:rsidRPr="00221DA7">
        <w:rPr>
          <w:position w:val="6"/>
          <w:sz w:val="22"/>
          <w:szCs w:val="22"/>
          <w:vertAlign w:val="superscript"/>
          <w:lang w:eastAsia="en-US"/>
        </w:rPr>
        <w:t>2</w:t>
      </w:r>
      <w:r w:rsidRPr="007D355F">
        <w:rPr>
          <w:spacing w:val="15"/>
          <w:position w:val="6"/>
          <w:sz w:val="22"/>
          <w:szCs w:val="22"/>
          <w:lang w:eastAsia="en-US"/>
        </w:rPr>
        <w:t xml:space="preserve"> </w:t>
      </w:r>
      <w:r w:rsidRPr="007D355F">
        <w:rPr>
          <w:sz w:val="22"/>
          <w:szCs w:val="22"/>
          <w:lang w:eastAsia="en-US"/>
        </w:rPr>
        <w:t>The</w:t>
      </w:r>
      <w:r w:rsidRPr="007D355F">
        <w:rPr>
          <w:spacing w:val="-5"/>
          <w:sz w:val="22"/>
          <w:szCs w:val="22"/>
          <w:lang w:eastAsia="en-US"/>
        </w:rPr>
        <w:t xml:space="preserve"> </w:t>
      </w:r>
      <w:r w:rsidRPr="007D355F">
        <w:rPr>
          <w:sz w:val="22"/>
          <w:szCs w:val="22"/>
          <w:lang w:eastAsia="en-US"/>
        </w:rPr>
        <w:t>WER</w:t>
      </w:r>
      <w:r w:rsidRPr="007D355F">
        <w:rPr>
          <w:spacing w:val="-5"/>
          <w:sz w:val="22"/>
          <w:szCs w:val="22"/>
          <w:lang w:eastAsia="en-US"/>
        </w:rPr>
        <w:t xml:space="preserve"> </w:t>
      </w:r>
      <w:r w:rsidRPr="007D355F">
        <w:rPr>
          <w:sz w:val="22"/>
          <w:szCs w:val="22"/>
          <w:lang w:eastAsia="en-US"/>
        </w:rPr>
        <w:t>for</w:t>
      </w:r>
      <w:r w:rsidRPr="007D355F">
        <w:rPr>
          <w:spacing w:val="-1"/>
          <w:sz w:val="22"/>
          <w:szCs w:val="22"/>
          <w:lang w:eastAsia="en-US"/>
        </w:rPr>
        <w:t xml:space="preserve"> </w:t>
      </w:r>
      <w:r w:rsidRPr="007D355F">
        <w:rPr>
          <w:sz w:val="22"/>
          <w:szCs w:val="22"/>
          <w:lang w:eastAsia="en-US"/>
        </w:rPr>
        <w:t>this</w:t>
      </w:r>
      <w:r w:rsidRPr="007D355F">
        <w:rPr>
          <w:spacing w:val="-2"/>
          <w:sz w:val="22"/>
          <w:szCs w:val="22"/>
          <w:lang w:eastAsia="en-US"/>
        </w:rPr>
        <w:t xml:space="preserve"> </w:t>
      </w:r>
      <w:r w:rsidRPr="007D355F">
        <w:rPr>
          <w:sz w:val="22"/>
          <w:szCs w:val="22"/>
          <w:lang w:eastAsia="en-US"/>
        </w:rPr>
        <w:t>constituent</w:t>
      </w:r>
      <w:r w:rsidRPr="007D355F">
        <w:rPr>
          <w:spacing w:val="-4"/>
          <w:sz w:val="22"/>
          <w:szCs w:val="22"/>
          <w:lang w:eastAsia="en-US"/>
        </w:rPr>
        <w:t xml:space="preserve"> </w:t>
      </w:r>
      <w:r w:rsidRPr="007D355F">
        <w:rPr>
          <w:sz w:val="22"/>
          <w:szCs w:val="22"/>
          <w:lang w:eastAsia="en-US"/>
        </w:rPr>
        <w:t>in this</w:t>
      </w:r>
      <w:r w:rsidRPr="007D355F">
        <w:rPr>
          <w:spacing w:val="-1"/>
          <w:sz w:val="22"/>
          <w:szCs w:val="22"/>
          <w:lang w:eastAsia="en-US"/>
        </w:rPr>
        <w:t xml:space="preserve"> </w:t>
      </w:r>
      <w:r w:rsidRPr="007D355F">
        <w:rPr>
          <w:sz w:val="22"/>
          <w:szCs w:val="22"/>
          <w:lang w:eastAsia="en-US"/>
        </w:rPr>
        <w:t xml:space="preserve">reach is </w:t>
      </w:r>
      <w:r w:rsidRPr="007D355F">
        <w:rPr>
          <w:spacing w:val="-2"/>
          <w:sz w:val="22"/>
          <w:szCs w:val="22"/>
          <w:lang w:eastAsia="en-US"/>
        </w:rPr>
        <w:t>3.97.</w:t>
      </w:r>
    </w:p>
    <w:p w:rsidRPr="007D355F" w:rsidR="00A3095D" w:rsidP="00BB1DCE" w:rsidRDefault="00A3095D" w14:paraId="58953A8E" w14:textId="77777777">
      <w:pPr>
        <w:widowControl w:val="0"/>
        <w:tabs>
          <w:tab w:val="left" w:pos="1710"/>
        </w:tabs>
        <w:spacing w:before="0" w:after="0" w:line="240" w:lineRule="auto"/>
        <w:ind w:left="1710" w:hanging="540"/>
        <w:rPr>
          <w:sz w:val="22"/>
          <w:szCs w:val="22"/>
          <w:lang w:eastAsia="en-US"/>
        </w:rPr>
      </w:pPr>
      <w:r w:rsidRPr="00221DA7">
        <w:rPr>
          <w:position w:val="6"/>
          <w:sz w:val="22"/>
          <w:szCs w:val="22"/>
          <w:vertAlign w:val="superscript"/>
          <w:lang w:eastAsia="en-US"/>
        </w:rPr>
        <w:t>3</w:t>
      </w:r>
      <w:r w:rsidRPr="007D355F">
        <w:rPr>
          <w:spacing w:val="15"/>
          <w:position w:val="6"/>
          <w:sz w:val="22"/>
          <w:szCs w:val="22"/>
          <w:lang w:eastAsia="en-US"/>
        </w:rPr>
        <w:t xml:space="preserve"> </w:t>
      </w:r>
      <w:r w:rsidRPr="007D355F">
        <w:rPr>
          <w:sz w:val="22"/>
          <w:szCs w:val="22"/>
          <w:lang w:eastAsia="en-US"/>
        </w:rPr>
        <w:t>The</w:t>
      </w:r>
      <w:r w:rsidRPr="007D355F">
        <w:rPr>
          <w:spacing w:val="-5"/>
          <w:sz w:val="22"/>
          <w:szCs w:val="22"/>
          <w:lang w:eastAsia="en-US"/>
        </w:rPr>
        <w:t xml:space="preserve"> </w:t>
      </w:r>
      <w:r w:rsidRPr="007D355F">
        <w:rPr>
          <w:sz w:val="22"/>
          <w:szCs w:val="22"/>
          <w:lang w:eastAsia="en-US"/>
        </w:rPr>
        <w:t>WER</w:t>
      </w:r>
      <w:r w:rsidRPr="007D355F">
        <w:rPr>
          <w:spacing w:val="-5"/>
          <w:sz w:val="22"/>
          <w:szCs w:val="22"/>
          <w:lang w:eastAsia="en-US"/>
        </w:rPr>
        <w:t xml:space="preserve"> </w:t>
      </w:r>
      <w:r w:rsidRPr="007D355F">
        <w:rPr>
          <w:sz w:val="22"/>
          <w:szCs w:val="22"/>
          <w:lang w:eastAsia="en-US"/>
        </w:rPr>
        <w:t>for</w:t>
      </w:r>
      <w:r w:rsidRPr="007D355F">
        <w:rPr>
          <w:spacing w:val="-1"/>
          <w:sz w:val="22"/>
          <w:szCs w:val="22"/>
          <w:lang w:eastAsia="en-US"/>
        </w:rPr>
        <w:t xml:space="preserve"> </w:t>
      </w:r>
      <w:r w:rsidRPr="007D355F">
        <w:rPr>
          <w:sz w:val="22"/>
          <w:szCs w:val="22"/>
          <w:lang w:eastAsia="en-US"/>
        </w:rPr>
        <w:t>this</w:t>
      </w:r>
      <w:r w:rsidRPr="007D355F">
        <w:rPr>
          <w:spacing w:val="-2"/>
          <w:sz w:val="22"/>
          <w:szCs w:val="22"/>
          <w:lang w:eastAsia="en-US"/>
        </w:rPr>
        <w:t xml:space="preserve"> </w:t>
      </w:r>
      <w:r w:rsidRPr="007D355F">
        <w:rPr>
          <w:sz w:val="22"/>
          <w:szCs w:val="22"/>
          <w:lang w:eastAsia="en-US"/>
        </w:rPr>
        <w:t>constituent</w:t>
      </w:r>
      <w:r w:rsidRPr="007D355F">
        <w:rPr>
          <w:spacing w:val="-4"/>
          <w:sz w:val="22"/>
          <w:szCs w:val="22"/>
          <w:lang w:eastAsia="en-US"/>
        </w:rPr>
        <w:t xml:space="preserve"> </w:t>
      </w:r>
      <w:r w:rsidRPr="007D355F">
        <w:rPr>
          <w:sz w:val="22"/>
          <w:szCs w:val="22"/>
          <w:lang w:eastAsia="en-US"/>
        </w:rPr>
        <w:t>in this</w:t>
      </w:r>
      <w:r w:rsidRPr="007D355F">
        <w:rPr>
          <w:spacing w:val="-1"/>
          <w:sz w:val="22"/>
          <w:szCs w:val="22"/>
          <w:lang w:eastAsia="en-US"/>
        </w:rPr>
        <w:t xml:space="preserve"> </w:t>
      </w:r>
      <w:r w:rsidRPr="007D355F">
        <w:rPr>
          <w:sz w:val="22"/>
          <w:szCs w:val="22"/>
          <w:lang w:eastAsia="en-US"/>
        </w:rPr>
        <w:t xml:space="preserve">reach is </w:t>
      </w:r>
      <w:r w:rsidRPr="007D355F">
        <w:rPr>
          <w:spacing w:val="-2"/>
          <w:sz w:val="22"/>
          <w:szCs w:val="22"/>
          <w:lang w:eastAsia="en-US"/>
        </w:rPr>
        <w:t>8.28.</w:t>
      </w:r>
    </w:p>
    <w:p w:rsidRPr="007D355F" w:rsidR="00A3095D" w:rsidP="00BB1DCE" w:rsidRDefault="00A3095D" w14:paraId="6FF44003" w14:textId="77777777">
      <w:pPr>
        <w:widowControl w:val="0"/>
        <w:tabs>
          <w:tab w:val="left" w:pos="1710"/>
        </w:tabs>
        <w:spacing w:before="0" w:after="0" w:line="240" w:lineRule="auto"/>
        <w:ind w:left="1710" w:hanging="540"/>
        <w:rPr>
          <w:sz w:val="22"/>
          <w:szCs w:val="22"/>
          <w:lang w:eastAsia="en-US"/>
        </w:rPr>
      </w:pPr>
      <w:r w:rsidRPr="00221DA7">
        <w:rPr>
          <w:position w:val="6"/>
          <w:sz w:val="22"/>
          <w:szCs w:val="22"/>
          <w:vertAlign w:val="superscript"/>
          <w:lang w:eastAsia="en-US"/>
        </w:rPr>
        <w:t>4</w:t>
      </w:r>
      <w:r w:rsidRPr="007D355F">
        <w:rPr>
          <w:spacing w:val="15"/>
          <w:position w:val="6"/>
          <w:sz w:val="22"/>
          <w:szCs w:val="22"/>
          <w:lang w:eastAsia="en-US"/>
        </w:rPr>
        <w:t xml:space="preserve"> </w:t>
      </w:r>
      <w:r w:rsidRPr="007D355F">
        <w:rPr>
          <w:sz w:val="22"/>
          <w:szCs w:val="22"/>
          <w:lang w:eastAsia="en-US"/>
        </w:rPr>
        <w:t>The</w:t>
      </w:r>
      <w:r w:rsidRPr="007D355F">
        <w:rPr>
          <w:spacing w:val="-5"/>
          <w:sz w:val="22"/>
          <w:szCs w:val="22"/>
          <w:lang w:eastAsia="en-US"/>
        </w:rPr>
        <w:t xml:space="preserve"> </w:t>
      </w:r>
      <w:r w:rsidRPr="007D355F">
        <w:rPr>
          <w:sz w:val="22"/>
          <w:szCs w:val="22"/>
          <w:lang w:eastAsia="en-US"/>
        </w:rPr>
        <w:t>WER</w:t>
      </w:r>
      <w:r w:rsidRPr="007D355F">
        <w:rPr>
          <w:spacing w:val="-5"/>
          <w:sz w:val="22"/>
          <w:szCs w:val="22"/>
          <w:lang w:eastAsia="en-US"/>
        </w:rPr>
        <w:t xml:space="preserve"> </w:t>
      </w:r>
      <w:r w:rsidRPr="007D355F">
        <w:rPr>
          <w:sz w:val="22"/>
          <w:szCs w:val="22"/>
          <w:lang w:eastAsia="en-US"/>
        </w:rPr>
        <w:t>for</w:t>
      </w:r>
      <w:r w:rsidRPr="007D355F">
        <w:rPr>
          <w:spacing w:val="-1"/>
          <w:sz w:val="22"/>
          <w:szCs w:val="22"/>
          <w:lang w:eastAsia="en-US"/>
        </w:rPr>
        <w:t xml:space="preserve"> </w:t>
      </w:r>
      <w:r w:rsidRPr="007D355F">
        <w:rPr>
          <w:sz w:val="22"/>
          <w:szCs w:val="22"/>
          <w:lang w:eastAsia="en-US"/>
        </w:rPr>
        <w:t>this</w:t>
      </w:r>
      <w:r w:rsidRPr="007D355F">
        <w:rPr>
          <w:spacing w:val="-2"/>
          <w:sz w:val="22"/>
          <w:szCs w:val="22"/>
          <w:lang w:eastAsia="en-US"/>
        </w:rPr>
        <w:t xml:space="preserve"> </w:t>
      </w:r>
      <w:r w:rsidRPr="007D355F">
        <w:rPr>
          <w:sz w:val="22"/>
          <w:szCs w:val="22"/>
          <w:lang w:eastAsia="en-US"/>
        </w:rPr>
        <w:t>constituent</w:t>
      </w:r>
      <w:r w:rsidRPr="007D355F">
        <w:rPr>
          <w:spacing w:val="-4"/>
          <w:sz w:val="22"/>
          <w:szCs w:val="22"/>
          <w:lang w:eastAsia="en-US"/>
        </w:rPr>
        <w:t xml:space="preserve"> </w:t>
      </w:r>
      <w:r w:rsidRPr="007D355F">
        <w:rPr>
          <w:sz w:val="22"/>
          <w:szCs w:val="22"/>
          <w:lang w:eastAsia="en-US"/>
        </w:rPr>
        <w:t>in this</w:t>
      </w:r>
      <w:r w:rsidRPr="007D355F">
        <w:rPr>
          <w:spacing w:val="-1"/>
          <w:sz w:val="22"/>
          <w:szCs w:val="22"/>
          <w:lang w:eastAsia="en-US"/>
        </w:rPr>
        <w:t xml:space="preserve"> </w:t>
      </w:r>
      <w:r w:rsidRPr="007D355F">
        <w:rPr>
          <w:sz w:val="22"/>
          <w:szCs w:val="22"/>
          <w:lang w:eastAsia="en-US"/>
        </w:rPr>
        <w:t xml:space="preserve">reach is </w:t>
      </w:r>
      <w:r w:rsidRPr="007D355F">
        <w:rPr>
          <w:spacing w:val="-2"/>
          <w:sz w:val="22"/>
          <w:szCs w:val="22"/>
          <w:lang w:eastAsia="en-US"/>
        </w:rPr>
        <w:t>2.18.</w:t>
      </w:r>
    </w:p>
    <w:p w:rsidRPr="007D355F" w:rsidR="00A3095D" w:rsidP="00BB1DCE" w:rsidRDefault="00A3095D" w14:paraId="0848A403" w14:textId="77777777">
      <w:pPr>
        <w:widowControl w:val="0"/>
        <w:tabs>
          <w:tab w:val="left" w:pos="1710"/>
        </w:tabs>
        <w:spacing w:before="0" w:after="0" w:line="240" w:lineRule="auto"/>
        <w:ind w:left="1710" w:hanging="540"/>
        <w:rPr>
          <w:sz w:val="22"/>
          <w:szCs w:val="22"/>
          <w:lang w:eastAsia="en-US"/>
        </w:rPr>
      </w:pPr>
      <w:r w:rsidRPr="00221DA7">
        <w:rPr>
          <w:position w:val="6"/>
          <w:sz w:val="22"/>
          <w:szCs w:val="22"/>
          <w:vertAlign w:val="superscript"/>
          <w:lang w:eastAsia="en-US"/>
        </w:rPr>
        <w:t>5</w:t>
      </w:r>
      <w:r w:rsidRPr="007D355F">
        <w:rPr>
          <w:spacing w:val="15"/>
          <w:position w:val="6"/>
          <w:sz w:val="22"/>
          <w:szCs w:val="22"/>
          <w:lang w:eastAsia="en-US"/>
        </w:rPr>
        <w:t xml:space="preserve"> </w:t>
      </w:r>
      <w:r w:rsidRPr="007D355F">
        <w:rPr>
          <w:sz w:val="22"/>
          <w:szCs w:val="22"/>
          <w:lang w:eastAsia="en-US"/>
        </w:rPr>
        <w:t>The</w:t>
      </w:r>
      <w:r w:rsidRPr="007D355F">
        <w:rPr>
          <w:spacing w:val="-5"/>
          <w:sz w:val="22"/>
          <w:szCs w:val="22"/>
          <w:lang w:eastAsia="en-US"/>
        </w:rPr>
        <w:t xml:space="preserve"> </w:t>
      </w:r>
      <w:r w:rsidRPr="007D355F">
        <w:rPr>
          <w:sz w:val="22"/>
          <w:szCs w:val="22"/>
          <w:lang w:eastAsia="en-US"/>
        </w:rPr>
        <w:t>WER</w:t>
      </w:r>
      <w:r w:rsidRPr="007D355F">
        <w:rPr>
          <w:spacing w:val="-5"/>
          <w:sz w:val="22"/>
          <w:szCs w:val="22"/>
          <w:lang w:eastAsia="en-US"/>
        </w:rPr>
        <w:t xml:space="preserve"> </w:t>
      </w:r>
      <w:r w:rsidRPr="007D355F">
        <w:rPr>
          <w:sz w:val="22"/>
          <w:szCs w:val="22"/>
          <w:lang w:eastAsia="en-US"/>
        </w:rPr>
        <w:t>for</w:t>
      </w:r>
      <w:r w:rsidRPr="007D355F">
        <w:rPr>
          <w:spacing w:val="-1"/>
          <w:sz w:val="22"/>
          <w:szCs w:val="22"/>
          <w:lang w:eastAsia="en-US"/>
        </w:rPr>
        <w:t xml:space="preserve"> </w:t>
      </w:r>
      <w:r w:rsidRPr="007D355F">
        <w:rPr>
          <w:sz w:val="22"/>
          <w:szCs w:val="22"/>
          <w:lang w:eastAsia="en-US"/>
        </w:rPr>
        <w:t>this</w:t>
      </w:r>
      <w:r w:rsidRPr="007D355F">
        <w:rPr>
          <w:spacing w:val="-2"/>
          <w:sz w:val="22"/>
          <w:szCs w:val="22"/>
          <w:lang w:eastAsia="en-US"/>
        </w:rPr>
        <w:t xml:space="preserve"> </w:t>
      </w:r>
      <w:r w:rsidRPr="007D355F">
        <w:rPr>
          <w:sz w:val="22"/>
          <w:szCs w:val="22"/>
          <w:lang w:eastAsia="en-US"/>
        </w:rPr>
        <w:t>constituent</w:t>
      </w:r>
      <w:r w:rsidRPr="007D355F">
        <w:rPr>
          <w:spacing w:val="-4"/>
          <w:sz w:val="22"/>
          <w:szCs w:val="22"/>
          <w:lang w:eastAsia="en-US"/>
        </w:rPr>
        <w:t xml:space="preserve"> </w:t>
      </w:r>
      <w:r w:rsidRPr="007D355F">
        <w:rPr>
          <w:sz w:val="22"/>
          <w:szCs w:val="22"/>
          <w:lang w:eastAsia="en-US"/>
        </w:rPr>
        <w:t>in this</w:t>
      </w:r>
      <w:r w:rsidRPr="007D355F">
        <w:rPr>
          <w:spacing w:val="-1"/>
          <w:sz w:val="22"/>
          <w:szCs w:val="22"/>
          <w:lang w:eastAsia="en-US"/>
        </w:rPr>
        <w:t xml:space="preserve"> </w:t>
      </w:r>
      <w:r w:rsidRPr="007D355F">
        <w:rPr>
          <w:sz w:val="22"/>
          <w:szCs w:val="22"/>
          <w:lang w:eastAsia="en-US"/>
        </w:rPr>
        <w:t xml:space="preserve">reach is </w:t>
      </w:r>
      <w:r w:rsidRPr="007D355F">
        <w:rPr>
          <w:spacing w:val="-2"/>
          <w:sz w:val="22"/>
          <w:szCs w:val="22"/>
          <w:lang w:eastAsia="en-US"/>
        </w:rPr>
        <w:t>4.75.</w:t>
      </w:r>
    </w:p>
    <w:p w:rsidRPr="007D355F" w:rsidR="00A3095D" w:rsidP="00BB1DCE" w:rsidRDefault="00A3095D" w14:paraId="65C8B060" w14:textId="77777777">
      <w:pPr>
        <w:widowControl w:val="0"/>
        <w:tabs>
          <w:tab w:val="left" w:pos="1710"/>
        </w:tabs>
        <w:spacing w:before="0" w:after="0" w:line="240" w:lineRule="auto"/>
        <w:ind w:left="1710" w:hanging="540"/>
        <w:rPr>
          <w:sz w:val="22"/>
          <w:szCs w:val="22"/>
          <w:lang w:eastAsia="en-US"/>
        </w:rPr>
      </w:pPr>
      <w:r w:rsidRPr="00221DA7">
        <w:rPr>
          <w:position w:val="6"/>
          <w:sz w:val="22"/>
          <w:szCs w:val="22"/>
          <w:vertAlign w:val="superscript"/>
          <w:lang w:eastAsia="en-US"/>
        </w:rPr>
        <w:t xml:space="preserve">6 </w:t>
      </w:r>
      <w:r w:rsidRPr="007D355F">
        <w:rPr>
          <w:sz w:val="22"/>
          <w:szCs w:val="22"/>
          <w:lang w:eastAsia="en-US"/>
        </w:rPr>
        <w:t>The</w:t>
      </w:r>
      <w:r w:rsidRPr="007D355F">
        <w:rPr>
          <w:spacing w:val="-5"/>
          <w:sz w:val="22"/>
          <w:szCs w:val="22"/>
          <w:lang w:eastAsia="en-US"/>
        </w:rPr>
        <w:t xml:space="preserve"> </w:t>
      </w:r>
      <w:r w:rsidRPr="007D355F">
        <w:rPr>
          <w:sz w:val="22"/>
          <w:szCs w:val="22"/>
          <w:lang w:eastAsia="en-US"/>
        </w:rPr>
        <w:t>WER</w:t>
      </w:r>
      <w:r w:rsidRPr="007D355F">
        <w:rPr>
          <w:spacing w:val="-4"/>
          <w:sz w:val="22"/>
          <w:szCs w:val="22"/>
          <w:lang w:eastAsia="en-US"/>
        </w:rPr>
        <w:t xml:space="preserve"> </w:t>
      </w:r>
      <w:r w:rsidRPr="007D355F">
        <w:rPr>
          <w:sz w:val="22"/>
          <w:szCs w:val="22"/>
          <w:lang w:eastAsia="en-US"/>
        </w:rPr>
        <w:t>for</w:t>
      </w:r>
      <w:r w:rsidRPr="007D355F">
        <w:rPr>
          <w:spacing w:val="-2"/>
          <w:sz w:val="22"/>
          <w:szCs w:val="22"/>
          <w:lang w:eastAsia="en-US"/>
        </w:rPr>
        <w:t xml:space="preserve"> </w:t>
      </w:r>
      <w:r w:rsidRPr="007D355F">
        <w:rPr>
          <w:sz w:val="22"/>
          <w:szCs w:val="22"/>
          <w:lang w:eastAsia="en-US"/>
        </w:rPr>
        <w:t>this</w:t>
      </w:r>
      <w:r w:rsidRPr="007D355F">
        <w:rPr>
          <w:spacing w:val="-2"/>
          <w:sz w:val="22"/>
          <w:szCs w:val="22"/>
          <w:lang w:eastAsia="en-US"/>
        </w:rPr>
        <w:t xml:space="preserve"> </w:t>
      </w:r>
      <w:r w:rsidRPr="007D355F">
        <w:rPr>
          <w:sz w:val="22"/>
          <w:szCs w:val="22"/>
          <w:lang w:eastAsia="en-US"/>
        </w:rPr>
        <w:t>constituent</w:t>
      </w:r>
      <w:r w:rsidRPr="007D355F">
        <w:rPr>
          <w:spacing w:val="-3"/>
          <w:sz w:val="22"/>
          <w:szCs w:val="22"/>
          <w:lang w:eastAsia="en-US"/>
        </w:rPr>
        <w:t xml:space="preserve"> </w:t>
      </w:r>
      <w:r w:rsidRPr="007D355F">
        <w:rPr>
          <w:sz w:val="22"/>
          <w:szCs w:val="22"/>
          <w:lang w:eastAsia="en-US"/>
        </w:rPr>
        <w:t>in Reaches</w:t>
      </w:r>
      <w:r w:rsidRPr="007D355F">
        <w:rPr>
          <w:spacing w:val="-1"/>
          <w:sz w:val="22"/>
          <w:szCs w:val="22"/>
          <w:lang w:eastAsia="en-US"/>
        </w:rPr>
        <w:t xml:space="preserve"> </w:t>
      </w:r>
      <w:r w:rsidRPr="007D355F">
        <w:rPr>
          <w:sz w:val="22"/>
          <w:szCs w:val="22"/>
          <w:lang w:eastAsia="en-US"/>
        </w:rPr>
        <w:t>1</w:t>
      </w:r>
      <w:r w:rsidRPr="007D355F">
        <w:rPr>
          <w:spacing w:val="-3"/>
          <w:sz w:val="22"/>
          <w:szCs w:val="22"/>
          <w:lang w:eastAsia="en-US"/>
        </w:rPr>
        <w:t xml:space="preserve"> </w:t>
      </w:r>
      <w:r w:rsidRPr="007D355F">
        <w:rPr>
          <w:sz w:val="22"/>
          <w:szCs w:val="22"/>
          <w:lang w:eastAsia="en-US"/>
        </w:rPr>
        <w:t>and</w:t>
      </w:r>
      <w:r w:rsidRPr="007D355F">
        <w:rPr>
          <w:spacing w:val="-3"/>
          <w:sz w:val="22"/>
          <w:szCs w:val="22"/>
          <w:lang w:eastAsia="en-US"/>
        </w:rPr>
        <w:t xml:space="preserve"> </w:t>
      </w:r>
      <w:r w:rsidRPr="007D355F">
        <w:rPr>
          <w:sz w:val="22"/>
          <w:szCs w:val="22"/>
          <w:lang w:eastAsia="en-US"/>
        </w:rPr>
        <w:t>2</w:t>
      </w:r>
      <w:r w:rsidRPr="007D355F">
        <w:rPr>
          <w:spacing w:val="-1"/>
          <w:sz w:val="22"/>
          <w:szCs w:val="22"/>
          <w:lang w:eastAsia="en-US"/>
        </w:rPr>
        <w:t xml:space="preserve"> </w:t>
      </w:r>
      <w:r w:rsidRPr="007D355F">
        <w:rPr>
          <w:sz w:val="22"/>
          <w:szCs w:val="22"/>
          <w:lang w:eastAsia="en-US"/>
        </w:rPr>
        <w:t>of</w:t>
      </w:r>
      <w:r w:rsidRPr="007D355F">
        <w:rPr>
          <w:spacing w:val="-3"/>
          <w:sz w:val="22"/>
          <w:szCs w:val="22"/>
          <w:lang w:eastAsia="en-US"/>
        </w:rPr>
        <w:t xml:space="preserve"> </w:t>
      </w:r>
      <w:r w:rsidRPr="007D355F">
        <w:rPr>
          <w:sz w:val="22"/>
          <w:szCs w:val="22"/>
          <w:lang w:eastAsia="en-US"/>
        </w:rPr>
        <w:t>this reach is</w:t>
      </w:r>
      <w:r w:rsidRPr="007D355F">
        <w:rPr>
          <w:spacing w:val="-1"/>
          <w:sz w:val="22"/>
          <w:szCs w:val="22"/>
          <w:lang w:eastAsia="en-US"/>
        </w:rPr>
        <w:t xml:space="preserve"> </w:t>
      </w:r>
      <w:r w:rsidRPr="007D355F">
        <w:rPr>
          <w:spacing w:val="-2"/>
          <w:sz w:val="22"/>
          <w:szCs w:val="22"/>
          <w:lang w:eastAsia="en-US"/>
        </w:rPr>
        <w:t>1.32.</w:t>
      </w:r>
    </w:p>
    <w:p w:rsidRPr="007D355F" w:rsidR="00A3095D" w:rsidP="00BB1DCE" w:rsidRDefault="00A3095D" w14:paraId="5F232FEF" w14:textId="77777777">
      <w:pPr>
        <w:widowControl w:val="0"/>
        <w:tabs>
          <w:tab w:val="left" w:pos="1710"/>
        </w:tabs>
        <w:spacing w:before="0" w:after="0" w:line="240" w:lineRule="auto"/>
        <w:ind w:left="1710" w:hanging="540"/>
        <w:rPr>
          <w:sz w:val="22"/>
          <w:szCs w:val="22"/>
          <w:lang w:eastAsia="en-US"/>
        </w:rPr>
      </w:pPr>
      <w:r w:rsidRPr="00221DA7">
        <w:rPr>
          <w:position w:val="6"/>
          <w:sz w:val="22"/>
          <w:szCs w:val="22"/>
          <w:vertAlign w:val="superscript"/>
          <w:lang w:eastAsia="en-US"/>
        </w:rPr>
        <w:t xml:space="preserve">7 </w:t>
      </w:r>
      <w:r w:rsidRPr="007D355F">
        <w:rPr>
          <w:sz w:val="22"/>
          <w:szCs w:val="22"/>
          <w:lang w:eastAsia="en-US"/>
        </w:rPr>
        <w:t>The</w:t>
      </w:r>
      <w:r w:rsidRPr="007D355F">
        <w:rPr>
          <w:spacing w:val="-5"/>
          <w:sz w:val="22"/>
          <w:szCs w:val="22"/>
          <w:lang w:eastAsia="en-US"/>
        </w:rPr>
        <w:t xml:space="preserve"> </w:t>
      </w:r>
      <w:r w:rsidRPr="007D355F">
        <w:rPr>
          <w:sz w:val="22"/>
          <w:szCs w:val="22"/>
          <w:lang w:eastAsia="en-US"/>
        </w:rPr>
        <w:t>WER</w:t>
      </w:r>
      <w:r w:rsidRPr="007D355F">
        <w:rPr>
          <w:spacing w:val="-5"/>
          <w:sz w:val="22"/>
          <w:szCs w:val="22"/>
          <w:lang w:eastAsia="en-US"/>
        </w:rPr>
        <w:t xml:space="preserve"> </w:t>
      </w:r>
      <w:r w:rsidRPr="007D355F">
        <w:rPr>
          <w:sz w:val="22"/>
          <w:szCs w:val="22"/>
          <w:lang w:eastAsia="en-US"/>
        </w:rPr>
        <w:t>for</w:t>
      </w:r>
      <w:r w:rsidRPr="007D355F">
        <w:rPr>
          <w:spacing w:val="-1"/>
          <w:sz w:val="22"/>
          <w:szCs w:val="22"/>
          <w:lang w:eastAsia="en-US"/>
        </w:rPr>
        <w:t xml:space="preserve"> </w:t>
      </w:r>
      <w:r w:rsidRPr="007D355F">
        <w:rPr>
          <w:sz w:val="22"/>
          <w:szCs w:val="22"/>
          <w:lang w:eastAsia="en-US"/>
        </w:rPr>
        <w:t>this</w:t>
      </w:r>
      <w:r w:rsidRPr="007D355F">
        <w:rPr>
          <w:spacing w:val="-2"/>
          <w:sz w:val="22"/>
          <w:szCs w:val="22"/>
          <w:lang w:eastAsia="en-US"/>
        </w:rPr>
        <w:t xml:space="preserve"> </w:t>
      </w:r>
      <w:r w:rsidRPr="007D355F">
        <w:rPr>
          <w:sz w:val="22"/>
          <w:szCs w:val="22"/>
          <w:lang w:eastAsia="en-US"/>
        </w:rPr>
        <w:t>constituent</w:t>
      </w:r>
      <w:r w:rsidRPr="007D355F">
        <w:rPr>
          <w:spacing w:val="-4"/>
          <w:sz w:val="22"/>
          <w:szCs w:val="22"/>
          <w:lang w:eastAsia="en-US"/>
        </w:rPr>
        <w:t xml:space="preserve"> </w:t>
      </w:r>
      <w:r w:rsidRPr="007D355F">
        <w:rPr>
          <w:sz w:val="22"/>
          <w:szCs w:val="22"/>
          <w:lang w:eastAsia="en-US"/>
        </w:rPr>
        <w:t>in this</w:t>
      </w:r>
      <w:r w:rsidRPr="007D355F">
        <w:rPr>
          <w:spacing w:val="-1"/>
          <w:sz w:val="22"/>
          <w:szCs w:val="22"/>
          <w:lang w:eastAsia="en-US"/>
        </w:rPr>
        <w:t xml:space="preserve"> </w:t>
      </w:r>
      <w:r w:rsidRPr="007D355F">
        <w:rPr>
          <w:sz w:val="22"/>
          <w:szCs w:val="22"/>
          <w:lang w:eastAsia="en-US"/>
        </w:rPr>
        <w:t xml:space="preserve">reach is </w:t>
      </w:r>
      <w:r w:rsidRPr="007D355F">
        <w:rPr>
          <w:spacing w:val="-2"/>
          <w:sz w:val="22"/>
          <w:szCs w:val="22"/>
          <w:lang w:eastAsia="en-US"/>
        </w:rPr>
        <w:t>3.36.</w:t>
      </w:r>
    </w:p>
    <w:p w:rsidRPr="001C0B62" w:rsidR="00A3095D" w:rsidP="00BB1DCE" w:rsidRDefault="00A3095D" w14:paraId="63F2D497" w14:textId="77777777">
      <w:pPr>
        <w:tabs>
          <w:tab w:val="left" w:pos="1710"/>
        </w:tabs>
        <w:spacing w:before="0" w:after="0" w:line="240" w:lineRule="auto"/>
        <w:ind w:left="1710" w:hanging="540"/>
        <w:rPr>
          <w:rFonts w:cs="Arial"/>
          <w:sz w:val="20"/>
          <w:szCs w:val="20"/>
          <w:lang w:eastAsia="en-US"/>
        </w:rPr>
      </w:pPr>
      <w:r w:rsidRPr="00221DA7">
        <w:rPr>
          <w:position w:val="6"/>
          <w:sz w:val="22"/>
          <w:szCs w:val="22"/>
          <w:vertAlign w:val="superscript"/>
          <w:lang w:eastAsia="en-US"/>
        </w:rPr>
        <w:t>8</w:t>
      </w:r>
      <w:r w:rsidRPr="007D355F">
        <w:rPr>
          <w:spacing w:val="15"/>
          <w:position w:val="6"/>
          <w:sz w:val="22"/>
          <w:szCs w:val="22"/>
          <w:lang w:eastAsia="en-US"/>
        </w:rPr>
        <w:t xml:space="preserve"> </w:t>
      </w:r>
      <w:r w:rsidRPr="007D355F">
        <w:rPr>
          <w:sz w:val="22"/>
          <w:szCs w:val="22"/>
          <w:lang w:eastAsia="en-US"/>
        </w:rPr>
        <w:t>The</w:t>
      </w:r>
      <w:r w:rsidRPr="007D355F">
        <w:rPr>
          <w:spacing w:val="-5"/>
          <w:sz w:val="22"/>
          <w:szCs w:val="22"/>
          <w:lang w:eastAsia="en-US"/>
        </w:rPr>
        <w:t xml:space="preserve"> </w:t>
      </w:r>
      <w:r w:rsidRPr="007D355F">
        <w:rPr>
          <w:sz w:val="22"/>
          <w:szCs w:val="22"/>
          <w:lang w:eastAsia="en-US"/>
        </w:rPr>
        <w:t>WER</w:t>
      </w:r>
      <w:r w:rsidRPr="007D355F">
        <w:rPr>
          <w:spacing w:val="-5"/>
          <w:sz w:val="22"/>
          <w:szCs w:val="22"/>
          <w:lang w:eastAsia="en-US"/>
        </w:rPr>
        <w:t xml:space="preserve"> </w:t>
      </w:r>
      <w:r w:rsidRPr="007D355F">
        <w:rPr>
          <w:sz w:val="22"/>
          <w:szCs w:val="22"/>
          <w:lang w:eastAsia="en-US"/>
        </w:rPr>
        <w:t>for</w:t>
      </w:r>
      <w:r w:rsidRPr="007D355F">
        <w:rPr>
          <w:spacing w:val="-1"/>
          <w:sz w:val="22"/>
          <w:szCs w:val="22"/>
          <w:lang w:eastAsia="en-US"/>
        </w:rPr>
        <w:t xml:space="preserve"> </w:t>
      </w:r>
      <w:r w:rsidRPr="007D355F">
        <w:rPr>
          <w:sz w:val="22"/>
          <w:szCs w:val="22"/>
          <w:lang w:eastAsia="en-US"/>
        </w:rPr>
        <w:t>this</w:t>
      </w:r>
      <w:r w:rsidRPr="007D355F">
        <w:rPr>
          <w:spacing w:val="-2"/>
          <w:sz w:val="22"/>
          <w:szCs w:val="22"/>
          <w:lang w:eastAsia="en-US"/>
        </w:rPr>
        <w:t xml:space="preserve"> </w:t>
      </w:r>
      <w:r w:rsidRPr="007D355F">
        <w:rPr>
          <w:sz w:val="22"/>
          <w:szCs w:val="22"/>
          <w:lang w:eastAsia="en-US"/>
        </w:rPr>
        <w:t>constituent</w:t>
      </w:r>
      <w:r w:rsidRPr="007D355F">
        <w:rPr>
          <w:spacing w:val="-4"/>
          <w:sz w:val="22"/>
          <w:szCs w:val="22"/>
          <w:lang w:eastAsia="en-US"/>
        </w:rPr>
        <w:t xml:space="preserve"> </w:t>
      </w:r>
      <w:r w:rsidRPr="007D355F">
        <w:rPr>
          <w:sz w:val="22"/>
          <w:szCs w:val="22"/>
          <w:lang w:eastAsia="en-US"/>
        </w:rPr>
        <w:t>in this</w:t>
      </w:r>
      <w:r w:rsidRPr="007D355F">
        <w:rPr>
          <w:spacing w:val="-1"/>
          <w:sz w:val="22"/>
          <w:szCs w:val="22"/>
          <w:lang w:eastAsia="en-US"/>
        </w:rPr>
        <w:t xml:space="preserve"> </w:t>
      </w:r>
      <w:r w:rsidRPr="007D355F">
        <w:rPr>
          <w:sz w:val="22"/>
          <w:szCs w:val="22"/>
          <w:lang w:eastAsia="en-US"/>
        </w:rPr>
        <w:t xml:space="preserve">reach is </w:t>
      </w:r>
      <w:r w:rsidRPr="007D355F">
        <w:rPr>
          <w:spacing w:val="-2"/>
          <w:sz w:val="22"/>
          <w:szCs w:val="22"/>
          <w:lang w:eastAsia="en-US"/>
        </w:rPr>
        <w:t>9.69.</w:t>
      </w:r>
    </w:p>
    <w:p w:rsidRPr="00A3095D" w:rsidR="00A3095D" w:rsidP="00221DA7" w:rsidRDefault="00BD3F1B" w14:paraId="75D28CDA" w14:textId="32B225A9">
      <w:pPr>
        <w:pStyle w:val="TableHeader"/>
        <w:keepNext/>
        <w:keepLines/>
        <w:ind w:left="1260"/>
      </w:pPr>
      <w:r w:rsidRPr="00C269ED">
        <w:t>Los Angeles River and Tributaries Metals TMDL</w:t>
      </w:r>
      <w:r>
        <w:t xml:space="preserve">: </w:t>
      </w:r>
      <w:r w:rsidRPr="00A3095D" w:rsidR="00A3095D">
        <w:t>Wet-Weather Wasteload Allocations (total recoverable metals, µg/L)</w:t>
      </w:r>
    </w:p>
    <w:tbl>
      <w:tblPr>
        <w:tblW w:w="7883" w:type="dxa"/>
        <w:tblInd w:w="125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000" w:firstRow="0" w:lastRow="0" w:firstColumn="0" w:lastColumn="0" w:noHBand="0" w:noVBand="0"/>
      </w:tblPr>
      <w:tblGrid>
        <w:gridCol w:w="3060"/>
        <w:gridCol w:w="1620"/>
        <w:gridCol w:w="1620"/>
        <w:gridCol w:w="1583"/>
      </w:tblGrid>
      <w:tr w:rsidRPr="00A3095D" w:rsidR="00CD1EB7" w:rsidTr="00221DA7" w14:paraId="43BEBC31" w14:textId="77777777">
        <w:trPr>
          <w:trHeight w:val="165"/>
        </w:trPr>
        <w:tc>
          <w:tcPr>
            <w:tcW w:w="3060" w:type="dxa"/>
            <w:shd w:val="clear" w:color="auto" w:fill="C5E0B3"/>
          </w:tcPr>
          <w:p w:rsidRPr="00A3095D" w:rsidR="00CD1EB7" w:rsidP="009741E1" w:rsidRDefault="00CD1EB7" w14:paraId="29728BE5" w14:textId="77777777">
            <w:pPr>
              <w:keepNext/>
              <w:keepLines/>
              <w:autoSpaceDE w:val="0"/>
              <w:autoSpaceDN w:val="0"/>
              <w:adjustRightInd w:val="0"/>
              <w:spacing w:before="60" w:after="60" w:line="240" w:lineRule="auto"/>
              <w:ind w:firstLine="148"/>
              <w:rPr>
                <w:rFonts w:eastAsia="Calibri" w:cs="Arial"/>
                <w:color w:val="000000"/>
                <w:sz w:val="22"/>
                <w:szCs w:val="22"/>
                <w:lang w:eastAsia="en-US"/>
                <w14:ligatures w14:val="standardContextual"/>
              </w:rPr>
            </w:pPr>
            <w:r w:rsidRPr="00A3095D">
              <w:rPr>
                <w:rFonts w:eastAsia="Calibri" w:cs="Arial"/>
                <w:b/>
                <w:bCs/>
                <w:color w:val="000000"/>
                <w:sz w:val="22"/>
                <w:szCs w:val="22"/>
                <w:lang w:eastAsia="en-US"/>
                <w14:ligatures w14:val="standardContextual"/>
              </w:rPr>
              <w:t>Cadmium</w:t>
            </w:r>
          </w:p>
        </w:tc>
        <w:tc>
          <w:tcPr>
            <w:tcW w:w="1620" w:type="dxa"/>
            <w:shd w:val="clear" w:color="auto" w:fill="C5E0B3"/>
          </w:tcPr>
          <w:p w:rsidRPr="00A3095D" w:rsidR="00CD1EB7" w:rsidP="009741E1" w:rsidRDefault="00CD1EB7" w14:paraId="2A6D9E0B" w14:textId="77777777">
            <w:pPr>
              <w:keepNext/>
              <w:keepLines/>
              <w:autoSpaceDE w:val="0"/>
              <w:autoSpaceDN w:val="0"/>
              <w:adjustRightInd w:val="0"/>
              <w:spacing w:before="60" w:after="60" w:line="240" w:lineRule="auto"/>
              <w:ind w:firstLine="148"/>
              <w:rPr>
                <w:rFonts w:eastAsia="Calibri" w:cs="Arial"/>
                <w:b/>
                <w:bCs/>
                <w:color w:val="000000"/>
                <w:sz w:val="22"/>
                <w:szCs w:val="22"/>
                <w:lang w:eastAsia="en-US"/>
                <w14:ligatures w14:val="standardContextual"/>
              </w:rPr>
            </w:pPr>
            <w:r w:rsidRPr="00A3095D">
              <w:rPr>
                <w:rFonts w:eastAsia="Calibri" w:cs="Arial"/>
                <w:b/>
                <w:bCs/>
                <w:color w:val="000000"/>
                <w:sz w:val="22"/>
                <w:szCs w:val="22"/>
                <w:lang w:eastAsia="en-US"/>
                <w14:ligatures w14:val="standardContextual"/>
              </w:rPr>
              <w:t>Copper</w:t>
            </w:r>
          </w:p>
        </w:tc>
        <w:tc>
          <w:tcPr>
            <w:tcW w:w="1620" w:type="dxa"/>
            <w:shd w:val="clear" w:color="auto" w:fill="C5E0B3"/>
          </w:tcPr>
          <w:p w:rsidRPr="00A3095D" w:rsidR="00CD1EB7" w:rsidP="009741E1" w:rsidRDefault="00CD1EB7" w14:paraId="4A54DB45" w14:textId="77777777">
            <w:pPr>
              <w:keepNext/>
              <w:keepLines/>
              <w:autoSpaceDE w:val="0"/>
              <w:autoSpaceDN w:val="0"/>
              <w:adjustRightInd w:val="0"/>
              <w:spacing w:before="60" w:after="60" w:line="240" w:lineRule="auto"/>
              <w:ind w:firstLine="139"/>
              <w:rPr>
                <w:rFonts w:eastAsia="Calibri" w:cs="Arial"/>
                <w:color w:val="000000"/>
                <w:sz w:val="22"/>
                <w:szCs w:val="22"/>
                <w:lang w:eastAsia="en-US"/>
                <w14:ligatures w14:val="standardContextual"/>
              </w:rPr>
            </w:pPr>
            <w:r w:rsidRPr="00A3095D">
              <w:rPr>
                <w:rFonts w:eastAsia="Calibri" w:cs="Arial"/>
                <w:b/>
                <w:bCs/>
                <w:color w:val="000000"/>
                <w:sz w:val="22"/>
                <w:szCs w:val="22"/>
                <w:lang w:eastAsia="en-US"/>
                <w14:ligatures w14:val="standardContextual"/>
              </w:rPr>
              <w:t>Lead</w:t>
            </w:r>
          </w:p>
        </w:tc>
        <w:tc>
          <w:tcPr>
            <w:tcW w:w="1583" w:type="dxa"/>
            <w:shd w:val="clear" w:color="auto" w:fill="C5E0B3"/>
          </w:tcPr>
          <w:p w:rsidRPr="00A3095D" w:rsidR="00CD1EB7" w:rsidP="009741E1" w:rsidRDefault="00CD1EB7" w14:paraId="346CC6A6" w14:textId="77777777">
            <w:pPr>
              <w:keepNext/>
              <w:keepLines/>
              <w:autoSpaceDE w:val="0"/>
              <w:autoSpaceDN w:val="0"/>
              <w:adjustRightInd w:val="0"/>
              <w:spacing w:before="60" w:after="60" w:line="240" w:lineRule="auto"/>
              <w:ind w:firstLine="128"/>
              <w:rPr>
                <w:rFonts w:eastAsia="Calibri" w:cs="Arial"/>
                <w:color w:val="000000"/>
                <w:sz w:val="22"/>
                <w:szCs w:val="22"/>
                <w:lang w:eastAsia="en-US"/>
                <w14:ligatures w14:val="standardContextual"/>
              </w:rPr>
            </w:pPr>
            <w:r w:rsidRPr="00A3095D">
              <w:rPr>
                <w:rFonts w:eastAsia="Calibri" w:cs="Arial"/>
                <w:b/>
                <w:bCs/>
                <w:color w:val="000000"/>
                <w:sz w:val="22"/>
                <w:szCs w:val="22"/>
                <w:lang w:eastAsia="en-US"/>
                <w14:ligatures w14:val="standardContextual"/>
              </w:rPr>
              <w:t>Zinc</w:t>
            </w:r>
          </w:p>
        </w:tc>
      </w:tr>
      <w:tr w:rsidRPr="00A3095D" w:rsidR="00CD1EB7" w:rsidTr="00221DA7" w14:paraId="08ABFF4A" w14:textId="77777777">
        <w:trPr>
          <w:trHeight w:val="157"/>
        </w:trPr>
        <w:tc>
          <w:tcPr>
            <w:tcW w:w="3060" w:type="dxa"/>
          </w:tcPr>
          <w:p w:rsidRPr="00A3095D" w:rsidR="00CD1EB7" w:rsidP="009741E1" w:rsidRDefault="00CD1EB7" w14:paraId="07466D62" w14:textId="77777777">
            <w:pPr>
              <w:keepNext/>
              <w:keepLines/>
              <w:autoSpaceDE w:val="0"/>
              <w:autoSpaceDN w:val="0"/>
              <w:adjustRightInd w:val="0"/>
              <w:spacing w:before="60" w:after="60" w:line="240" w:lineRule="auto"/>
              <w:ind w:firstLine="148"/>
              <w:rPr>
                <w:rFonts w:eastAsia="Calibri" w:cs="Arial"/>
                <w:color w:val="000000"/>
                <w:sz w:val="22"/>
                <w:szCs w:val="22"/>
                <w:lang w:eastAsia="en-US"/>
                <w14:ligatures w14:val="standardContextual"/>
              </w:rPr>
            </w:pPr>
            <w:r w:rsidRPr="00A3095D">
              <w:rPr>
                <w:rFonts w:eastAsia="Calibri" w:cs="Arial"/>
                <w:color w:val="000000"/>
                <w:sz w:val="22"/>
                <w:szCs w:val="22"/>
                <w:lang w:eastAsia="en-US"/>
                <w14:ligatures w14:val="standardContextual"/>
              </w:rPr>
              <w:t>WER</w:t>
            </w:r>
            <w:r w:rsidRPr="00A3095D">
              <w:rPr>
                <w:rFonts w:eastAsia="Calibri" w:cs="Arial"/>
                <w:color w:val="000000"/>
                <w:sz w:val="22"/>
                <w:szCs w:val="22"/>
                <w:vertAlign w:val="superscript"/>
                <w:lang w:eastAsia="en-US"/>
                <w14:ligatures w14:val="standardContextual"/>
              </w:rPr>
              <w:t>1</w:t>
            </w:r>
            <w:r w:rsidRPr="00A3095D">
              <w:rPr>
                <w:rFonts w:eastAsia="Calibri" w:cs="Arial"/>
                <w:color w:val="000000"/>
                <w:sz w:val="22"/>
                <w:szCs w:val="22"/>
                <w:lang w:eastAsia="en-US"/>
                <w14:ligatures w14:val="standardContextual"/>
              </w:rPr>
              <w:t xml:space="preserve"> * 3.1 </w:t>
            </w:r>
          </w:p>
        </w:tc>
        <w:tc>
          <w:tcPr>
            <w:tcW w:w="1620" w:type="dxa"/>
          </w:tcPr>
          <w:p w:rsidRPr="00A3095D" w:rsidR="00CD1EB7" w:rsidP="009741E1" w:rsidRDefault="00CD1EB7" w14:paraId="33DF0A51" w14:textId="77777777">
            <w:pPr>
              <w:keepNext/>
              <w:keepLines/>
              <w:autoSpaceDE w:val="0"/>
              <w:autoSpaceDN w:val="0"/>
              <w:adjustRightInd w:val="0"/>
              <w:spacing w:before="60" w:after="60" w:line="240" w:lineRule="auto"/>
              <w:ind w:firstLine="148"/>
              <w:rPr>
                <w:rFonts w:eastAsia="Calibri" w:cs="Arial"/>
                <w:color w:val="000000"/>
                <w:sz w:val="22"/>
                <w:szCs w:val="22"/>
                <w:lang w:eastAsia="en-US"/>
                <w14:ligatures w14:val="standardContextual"/>
              </w:rPr>
            </w:pPr>
            <w:r w:rsidRPr="00A3095D">
              <w:rPr>
                <w:rFonts w:eastAsia="Calibri" w:cs="Arial"/>
                <w:color w:val="000000"/>
                <w:sz w:val="22"/>
                <w:szCs w:val="22"/>
                <w:lang w:eastAsia="en-US"/>
                <w14:ligatures w14:val="standardContextual"/>
              </w:rPr>
              <w:t>WER</w:t>
            </w:r>
            <w:r w:rsidRPr="00A3095D">
              <w:rPr>
                <w:rFonts w:eastAsia="Calibri" w:cs="Arial"/>
                <w:color w:val="000000"/>
                <w:sz w:val="22"/>
                <w:szCs w:val="22"/>
                <w:vertAlign w:val="superscript"/>
                <w:lang w:eastAsia="en-US"/>
                <w14:ligatures w14:val="standardContextual"/>
              </w:rPr>
              <w:t>2</w:t>
            </w:r>
            <w:r w:rsidRPr="00A3095D">
              <w:rPr>
                <w:rFonts w:eastAsia="Calibri" w:cs="Arial"/>
                <w:color w:val="000000"/>
                <w:sz w:val="22"/>
                <w:szCs w:val="22"/>
                <w:lang w:eastAsia="en-US"/>
                <w14:ligatures w14:val="standardContextual"/>
              </w:rPr>
              <w:t xml:space="preserve"> * 17 </w:t>
            </w:r>
          </w:p>
        </w:tc>
        <w:tc>
          <w:tcPr>
            <w:tcW w:w="1620" w:type="dxa"/>
          </w:tcPr>
          <w:p w:rsidRPr="00A3095D" w:rsidR="00CD1EB7" w:rsidP="009741E1" w:rsidRDefault="00CD1EB7" w14:paraId="0E9B845E" w14:textId="77777777">
            <w:pPr>
              <w:keepNext/>
              <w:keepLines/>
              <w:autoSpaceDE w:val="0"/>
              <w:autoSpaceDN w:val="0"/>
              <w:adjustRightInd w:val="0"/>
              <w:spacing w:before="60" w:after="60" w:line="240" w:lineRule="auto"/>
              <w:ind w:firstLine="148"/>
              <w:rPr>
                <w:rFonts w:eastAsia="Calibri" w:cs="Arial"/>
                <w:color w:val="000000"/>
                <w:sz w:val="22"/>
                <w:szCs w:val="22"/>
                <w:lang w:eastAsia="en-US"/>
                <w14:ligatures w14:val="standardContextual"/>
              </w:rPr>
            </w:pPr>
            <w:r w:rsidRPr="00A3095D">
              <w:rPr>
                <w:rFonts w:eastAsia="Calibri" w:cs="Arial"/>
                <w:color w:val="000000"/>
                <w:sz w:val="22"/>
                <w:szCs w:val="22"/>
                <w:lang w:eastAsia="en-US"/>
                <w14:ligatures w14:val="standardContextual"/>
              </w:rPr>
              <w:t>WER</w:t>
            </w:r>
            <w:r w:rsidRPr="00A3095D">
              <w:rPr>
                <w:rFonts w:eastAsia="Calibri" w:cs="Arial"/>
                <w:color w:val="000000"/>
                <w:sz w:val="22"/>
                <w:szCs w:val="22"/>
                <w:vertAlign w:val="superscript"/>
                <w:lang w:eastAsia="en-US"/>
                <w14:ligatures w14:val="standardContextual"/>
              </w:rPr>
              <w:t>1</w:t>
            </w:r>
            <w:r w:rsidRPr="00A3095D">
              <w:rPr>
                <w:rFonts w:eastAsia="Calibri" w:cs="Arial"/>
                <w:color w:val="000000"/>
                <w:sz w:val="22"/>
                <w:szCs w:val="22"/>
                <w:lang w:eastAsia="en-US"/>
                <w14:ligatures w14:val="standardContextual"/>
              </w:rPr>
              <w:t xml:space="preserve"> * 94 </w:t>
            </w:r>
          </w:p>
        </w:tc>
        <w:tc>
          <w:tcPr>
            <w:tcW w:w="1583" w:type="dxa"/>
          </w:tcPr>
          <w:p w:rsidRPr="00A3095D" w:rsidR="00CD1EB7" w:rsidP="009741E1" w:rsidRDefault="00CD1EB7" w14:paraId="7F31D3CD" w14:textId="77777777">
            <w:pPr>
              <w:keepNext/>
              <w:keepLines/>
              <w:autoSpaceDE w:val="0"/>
              <w:autoSpaceDN w:val="0"/>
              <w:adjustRightInd w:val="0"/>
              <w:spacing w:before="60" w:after="60" w:line="240" w:lineRule="auto"/>
              <w:ind w:firstLine="148"/>
              <w:rPr>
                <w:rFonts w:eastAsia="Calibri" w:cs="Arial"/>
                <w:color w:val="000000"/>
                <w:sz w:val="22"/>
                <w:szCs w:val="22"/>
                <w:lang w:eastAsia="en-US"/>
                <w14:ligatures w14:val="standardContextual"/>
              </w:rPr>
            </w:pPr>
            <w:r w:rsidRPr="00A3095D">
              <w:rPr>
                <w:rFonts w:eastAsia="Calibri" w:cs="Arial"/>
                <w:color w:val="000000"/>
                <w:sz w:val="22"/>
                <w:szCs w:val="22"/>
                <w:lang w:eastAsia="en-US"/>
                <w14:ligatures w14:val="standardContextual"/>
              </w:rPr>
              <w:t>WER</w:t>
            </w:r>
            <w:r w:rsidRPr="00A3095D">
              <w:rPr>
                <w:rFonts w:eastAsia="Calibri" w:cs="Arial"/>
                <w:color w:val="000000"/>
                <w:sz w:val="22"/>
                <w:szCs w:val="22"/>
                <w:vertAlign w:val="superscript"/>
                <w:lang w:eastAsia="en-US"/>
                <w14:ligatures w14:val="standardContextual"/>
              </w:rPr>
              <w:t>1</w:t>
            </w:r>
            <w:r w:rsidRPr="00A3095D">
              <w:rPr>
                <w:rFonts w:eastAsia="Calibri" w:cs="Arial"/>
                <w:color w:val="000000"/>
                <w:sz w:val="22"/>
                <w:szCs w:val="22"/>
                <w:lang w:eastAsia="en-US"/>
                <w14:ligatures w14:val="standardContextual"/>
              </w:rPr>
              <w:t xml:space="preserve"> * 159 </w:t>
            </w:r>
          </w:p>
        </w:tc>
      </w:tr>
    </w:tbl>
    <w:p w:rsidRPr="00DB5C96" w:rsidR="00A3095D" w:rsidP="00BB1DCE" w:rsidRDefault="00A3095D" w14:paraId="496D6B7C" w14:textId="77777777">
      <w:pPr>
        <w:spacing w:before="0" w:after="0" w:line="240" w:lineRule="auto"/>
        <w:ind w:left="1627" w:hanging="367"/>
        <w:rPr>
          <w:sz w:val="22"/>
          <w:szCs w:val="22"/>
          <w:u w:val="single"/>
          <w:lang w:eastAsia="en-US"/>
        </w:rPr>
      </w:pPr>
      <w:r w:rsidRPr="00DB5C96">
        <w:rPr>
          <w:sz w:val="22"/>
          <w:szCs w:val="22"/>
          <w:u w:val="single"/>
          <w:lang w:eastAsia="en-US"/>
        </w:rPr>
        <w:t>Table Notes</w:t>
      </w:r>
    </w:p>
    <w:p w:rsidRPr="00DB5C96" w:rsidR="00A3095D" w:rsidP="00BB1DCE" w:rsidRDefault="00A3095D" w14:paraId="05C15755" w14:textId="47A6A490">
      <w:pPr>
        <w:autoSpaceDE w:val="0"/>
        <w:autoSpaceDN w:val="0"/>
        <w:adjustRightInd w:val="0"/>
        <w:spacing w:before="0" w:after="0" w:line="240" w:lineRule="auto"/>
        <w:ind w:left="1714" w:hanging="367"/>
        <w:rPr>
          <w:rFonts w:eastAsia="Calibri" w:cs="Arial"/>
          <w:color w:val="000000"/>
          <w:sz w:val="22"/>
          <w:szCs w:val="22"/>
          <w:lang w:eastAsia="en-US"/>
        </w:rPr>
      </w:pPr>
      <w:r w:rsidRPr="00221DA7">
        <w:rPr>
          <w:position w:val="6"/>
          <w:sz w:val="22"/>
          <w:szCs w:val="22"/>
          <w:vertAlign w:val="superscript"/>
          <w:lang w:eastAsia="en-US"/>
        </w:rPr>
        <w:t>1</w:t>
      </w:r>
      <w:r w:rsidRPr="00221DA7" w:rsidR="00B7271E">
        <w:rPr>
          <w:position w:val="6"/>
          <w:sz w:val="22"/>
          <w:szCs w:val="22"/>
          <w:vertAlign w:val="superscript"/>
          <w:lang w:eastAsia="en-US"/>
        </w:rPr>
        <w:t xml:space="preserve"> </w:t>
      </w:r>
      <w:r w:rsidRPr="00DB5C96">
        <w:rPr>
          <w:rFonts w:eastAsia="Calibri" w:cs="Arial"/>
          <w:color w:val="000000"/>
          <w:sz w:val="22"/>
          <w:szCs w:val="22"/>
          <w:lang w:eastAsia="en-US"/>
        </w:rPr>
        <w:t>WER(s) have a default value of 1.0 unless site-specific WER(s) are approved.</w:t>
      </w:r>
    </w:p>
    <w:p w:rsidRPr="00DB5C96" w:rsidR="00A3095D" w:rsidP="00BB1DCE" w:rsidRDefault="00A3095D" w14:paraId="653FFED7" w14:textId="38323F93">
      <w:pPr>
        <w:autoSpaceDE w:val="0"/>
        <w:autoSpaceDN w:val="0"/>
        <w:adjustRightInd w:val="0"/>
        <w:spacing w:before="0" w:line="240" w:lineRule="auto"/>
        <w:ind w:left="1714" w:hanging="367"/>
        <w:rPr>
          <w:rFonts w:eastAsia="Calibri" w:cs="Arial"/>
          <w:sz w:val="22"/>
          <w:szCs w:val="22"/>
          <w:lang w:eastAsia="en-US"/>
        </w:rPr>
      </w:pPr>
      <w:r w:rsidRPr="00221DA7">
        <w:rPr>
          <w:position w:val="6"/>
          <w:sz w:val="22"/>
          <w:szCs w:val="22"/>
          <w:vertAlign w:val="superscript"/>
          <w:lang w:eastAsia="en-US"/>
        </w:rPr>
        <w:t>2</w:t>
      </w:r>
      <w:r w:rsidRPr="00221DA7" w:rsidR="00B7271E">
        <w:rPr>
          <w:position w:val="6"/>
          <w:sz w:val="22"/>
          <w:szCs w:val="22"/>
          <w:vertAlign w:val="superscript"/>
          <w:lang w:eastAsia="en-US"/>
        </w:rPr>
        <w:t xml:space="preserve"> </w:t>
      </w:r>
      <w:r w:rsidRPr="00DB5C96">
        <w:rPr>
          <w:rFonts w:eastAsia="Calibri" w:cs="Arial"/>
          <w:color w:val="000000"/>
          <w:sz w:val="22"/>
          <w:szCs w:val="22"/>
          <w:lang w:eastAsia="en-US"/>
        </w:rPr>
        <w:t xml:space="preserve">The WER for this constituent is 3.97. </w:t>
      </w:r>
    </w:p>
    <w:p w:rsidRPr="00A3095D" w:rsidR="00A3095D" w:rsidP="00065575" w:rsidRDefault="00A3095D" w14:paraId="63206953" w14:textId="77777777">
      <w:pPr>
        <w:ind w:left="1267"/>
        <w:rPr>
          <w:rFonts w:cs="Arial"/>
          <w:b/>
          <w:bCs/>
          <w:lang w:eastAsia="en-US"/>
        </w:rPr>
      </w:pPr>
      <w:r w:rsidRPr="00A3095D">
        <w:rPr>
          <w:rFonts w:cs="Arial"/>
          <w:b/>
          <w:bCs/>
          <w:lang w:eastAsia="en-US"/>
        </w:rPr>
        <w:t xml:space="preserve">Final Compliance Deadline: </w:t>
      </w:r>
      <w:r w:rsidRPr="00A3095D">
        <w:rPr>
          <w:rFonts w:cs="Arial"/>
          <w:lang w:eastAsia="en-US"/>
        </w:rPr>
        <w:t>The TMDL specifies that the final dry weather wasteload allocations shall be achieved by January 11, 2024, and the final wet weather wasteload allocations shall be achieved by January 11, 2028.</w:t>
      </w:r>
    </w:p>
    <w:p w:rsidRPr="000D48DD" w:rsidR="00A3095D" w:rsidP="000D48DD" w:rsidRDefault="00836361" w14:paraId="6D759294" w14:textId="29236741">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.8</w:t>
      </w:r>
      <w:r w:rsidRPr="000D48DD" w:rsidR="00A3095D">
        <w:rPr>
          <w:i/>
          <w:iCs/>
        </w:rPr>
        <w:tab/>
      </w:r>
      <w:r w:rsidRPr="00D2502C" w:rsidR="00D2502C">
        <w:rPr>
          <w:i/>
          <w:iCs/>
        </w:rPr>
        <w:t>Los Cerritos Channel Metals TMD</w:t>
      </w:r>
      <w:r w:rsidR="00D73549">
        <w:rPr>
          <w:i/>
          <w:iCs/>
        </w:rPr>
        <w:t>L</w:t>
      </w:r>
    </w:p>
    <w:p w:rsidRPr="00A3095D" w:rsidR="00A3095D" w:rsidP="00A3095D" w:rsidRDefault="00A3095D" w14:paraId="52853A84" w14:textId="40ECF68D">
      <w:pPr>
        <w:ind w:left="1260"/>
        <w:rPr>
          <w:rFonts w:cs="Arial"/>
          <w:lang w:eastAsia="en-US"/>
        </w:rPr>
      </w:pPr>
      <w:r w:rsidRPr="00A3095D">
        <w:rPr>
          <w:rFonts w:cs="Arial"/>
          <w:b/>
          <w:bCs/>
          <w:lang w:eastAsia="en-US"/>
        </w:rPr>
        <w:t>Description:</w:t>
      </w:r>
      <w:r w:rsidRPr="00A3095D">
        <w:rPr>
          <w:rFonts w:cs="Arial"/>
          <w:lang w:eastAsia="en-US"/>
        </w:rPr>
        <w:t xml:space="preserve"> </w:t>
      </w:r>
      <w:r w:rsidRPr="00A3095D">
        <w:rPr>
          <w:sz w:val="22"/>
          <w:szCs w:val="22"/>
          <w:lang w:eastAsia="en-US"/>
        </w:rPr>
        <w:t xml:space="preserve">The </w:t>
      </w:r>
      <w:r w:rsidR="00766ACF">
        <w:rPr>
          <w:sz w:val="22"/>
          <w:szCs w:val="22"/>
          <w:lang w:eastAsia="en-US"/>
        </w:rPr>
        <w:t>USEPA</w:t>
      </w:r>
      <w:r w:rsidR="00C56C92">
        <w:rPr>
          <w:sz w:val="22"/>
          <w:szCs w:val="22"/>
          <w:lang w:eastAsia="en-US"/>
        </w:rPr>
        <w:t xml:space="preserve"> </w:t>
      </w:r>
      <w:r w:rsidRPr="00A3095D">
        <w:rPr>
          <w:sz w:val="22"/>
          <w:szCs w:val="22"/>
          <w:lang w:eastAsia="en-US"/>
        </w:rPr>
        <w:t xml:space="preserve">established the TMDL on March 17, 2010 and approved the Implementation Plan on May 11, 2017. </w:t>
      </w:r>
      <w:r w:rsidRPr="00A3095D">
        <w:rPr>
          <w:rFonts w:cs="Arial"/>
          <w:lang w:eastAsia="en-US"/>
        </w:rPr>
        <w:t xml:space="preserve">Los Cerritos Channel is </w:t>
      </w:r>
      <w:r w:rsidRPr="00A3095D">
        <w:rPr>
          <w:sz w:val="22"/>
          <w:szCs w:val="22"/>
          <w:lang w:eastAsia="en-US"/>
        </w:rPr>
        <w:t xml:space="preserve">impaired waterbody for copper, zinc, and lead. Stormwater discharge is a source of pollutants. </w:t>
      </w:r>
    </w:p>
    <w:p w:rsidRPr="00A3095D" w:rsidR="00A3095D" w:rsidP="00A3095D" w:rsidRDefault="00A3095D" w14:paraId="5C22B271" w14:textId="4514FC3A">
      <w:pPr>
        <w:ind w:left="1260"/>
        <w:rPr>
          <w:rFonts w:cs="Arial"/>
          <w:lang w:eastAsia="en-US"/>
        </w:rPr>
      </w:pPr>
      <w:r w:rsidRPr="00A3095D">
        <w:rPr>
          <w:b/>
          <w:szCs w:val="20"/>
          <w:lang w:eastAsia="en-US"/>
        </w:rPr>
        <w:t>Responsible Permit</w:t>
      </w:r>
      <w:r w:rsidR="0091593F">
        <w:rPr>
          <w:b/>
          <w:szCs w:val="20"/>
          <w:lang w:eastAsia="en-US"/>
        </w:rPr>
        <w:t>t</w:t>
      </w:r>
      <w:r w:rsidRPr="00A3095D">
        <w:rPr>
          <w:b/>
          <w:szCs w:val="20"/>
          <w:lang w:eastAsia="en-US"/>
        </w:rPr>
        <w:t>ees:</w:t>
      </w:r>
      <w:r w:rsidRPr="00A3095D">
        <w:rPr>
          <w:b/>
          <w:bCs/>
          <w:szCs w:val="20"/>
          <w:lang w:eastAsia="en-US"/>
        </w:rPr>
        <w:t xml:space="preserve"> </w:t>
      </w:r>
      <w:r w:rsidRPr="00A3095D">
        <w:rPr>
          <w:rFonts w:cs="Arial"/>
          <w:lang w:eastAsia="en-US"/>
        </w:rPr>
        <w:t>California State University</w:t>
      </w:r>
      <w:r w:rsidR="000C538F">
        <w:rPr>
          <w:rFonts w:cs="Arial"/>
          <w:lang w:eastAsia="en-US"/>
        </w:rPr>
        <w:t>,</w:t>
      </w:r>
      <w:r w:rsidRPr="00A3095D">
        <w:rPr>
          <w:rFonts w:cs="Arial"/>
          <w:lang w:eastAsia="en-US"/>
        </w:rPr>
        <w:t xml:space="preserve"> Long Beach</w:t>
      </w:r>
      <w:r w:rsidR="000C538F">
        <w:rPr>
          <w:rFonts w:cs="Arial"/>
          <w:lang w:eastAsia="en-US"/>
        </w:rPr>
        <w:t>;</w:t>
      </w:r>
      <w:r w:rsidRPr="00A3095D">
        <w:rPr>
          <w:rFonts w:cs="Arial"/>
          <w:lang w:eastAsia="en-US"/>
        </w:rPr>
        <w:t xml:space="preserve"> and Long Beach Veterans Affairs Medical Center.</w:t>
      </w:r>
    </w:p>
    <w:p w:rsidRPr="00A3095D" w:rsidR="00A3095D" w:rsidP="00A3095D" w:rsidRDefault="00A3095D" w14:paraId="3A2486BF" w14:textId="77777777">
      <w:pPr>
        <w:ind w:left="1260"/>
        <w:rPr>
          <w:rFonts w:eastAsia="Calibri" w:cs="Arial"/>
          <w:lang w:eastAsia="en-US"/>
        </w:rPr>
      </w:pPr>
      <w:r w:rsidRPr="00A3095D">
        <w:rPr>
          <w:b/>
          <w:szCs w:val="20"/>
          <w:lang w:eastAsia="en-US"/>
        </w:rPr>
        <w:t>Wasteload Allocations:</w:t>
      </w:r>
      <w:r w:rsidRPr="00A3095D">
        <w:rPr>
          <w:b/>
          <w:bCs/>
          <w:szCs w:val="20"/>
          <w:lang w:eastAsia="en-US"/>
        </w:rPr>
        <w:t xml:space="preserve"> </w:t>
      </w:r>
      <w:r w:rsidRPr="00A3095D">
        <w:rPr>
          <w:szCs w:val="20"/>
          <w:lang w:eastAsia="en-US"/>
        </w:rPr>
        <w:t xml:space="preserve">Wasteload allocations are expressed as shared </w:t>
      </w:r>
      <w:r w:rsidRPr="00A3095D">
        <w:rPr>
          <w:rFonts w:eastAsia="Calibri" w:cs="Arial"/>
          <w:lang w:eastAsia="en-US"/>
        </w:rPr>
        <w:t>dry-weather and wet weather allocations.</w:t>
      </w:r>
    </w:p>
    <w:p w:rsidRPr="00A3095D" w:rsidR="00A3095D" w:rsidP="00E8254E" w:rsidRDefault="00A3095D" w14:paraId="2652243B" w14:textId="77777777">
      <w:pPr>
        <w:numPr>
          <w:ilvl w:val="0"/>
          <w:numId w:val="46"/>
        </w:numPr>
        <w:ind w:left="1620"/>
        <w:contextualSpacing/>
        <w:rPr>
          <w:rFonts w:eastAsia="Calibri" w:cs="Arial"/>
          <w:lang w:eastAsia="en-US"/>
        </w:rPr>
      </w:pPr>
      <w:r w:rsidRPr="00A3095D">
        <w:rPr>
          <w:rFonts w:eastAsia="Calibri" w:cs="Arial"/>
          <w:lang w:eastAsia="en-US"/>
        </w:rPr>
        <w:t>Dry Weather Wasteload Allocations</w:t>
      </w:r>
    </w:p>
    <w:p w:rsidRPr="00A3095D" w:rsidR="00A3095D" w:rsidP="0094348B" w:rsidRDefault="00A3095D" w14:paraId="3844B2EA" w14:textId="77777777">
      <w:pPr>
        <w:ind w:left="1620"/>
        <w:rPr>
          <w:rFonts w:eastAsia="Calibri" w:cs="Arial"/>
          <w:lang w:eastAsia="en-US"/>
        </w:rPr>
      </w:pPr>
      <w:r w:rsidRPr="00A3095D">
        <w:rPr>
          <w:rFonts w:eastAsia="Calibri" w:cs="Arial"/>
          <w:lang w:eastAsia="en-US"/>
        </w:rPr>
        <w:t>Dry weather wasteload allocations are expressed as a shared allocation for the municipal NPDES stormwater permittees.</w:t>
      </w:r>
    </w:p>
    <w:p w:rsidRPr="003B758F" w:rsidR="00A3095D" w:rsidP="00A3095D" w:rsidRDefault="00A3095D" w14:paraId="3E909FC9" w14:textId="77777777">
      <w:pPr>
        <w:spacing w:after="0"/>
        <w:ind w:left="1987"/>
        <w:rPr>
          <w:rFonts w:eastAsia="Calibri"/>
          <w:b/>
          <w:bCs/>
          <w:szCs w:val="20"/>
          <w:lang w:eastAsia="en-US"/>
        </w:rPr>
      </w:pPr>
      <w:r w:rsidRPr="003B758F">
        <w:rPr>
          <w:rFonts w:eastAsia="Calibri"/>
          <w:b/>
          <w:bCs/>
          <w:szCs w:val="20"/>
          <w:lang w:eastAsia="en-US"/>
        </w:rPr>
        <w:t>Dry weather Wasteload Allocations, Shared (total recoverable metals, grams/day)</w:t>
      </w:r>
    </w:p>
    <w:p w:rsidRPr="00A3095D" w:rsidR="00A3095D" w:rsidP="00A3095D" w:rsidRDefault="00A3095D" w14:paraId="4D4EC79F" w14:textId="77777777">
      <w:pPr>
        <w:spacing w:before="60"/>
        <w:ind w:left="2160"/>
        <w:rPr>
          <w:rFonts w:eastAsia="Calibri" w:cs="Arial"/>
          <w:lang w:eastAsia="en-US"/>
        </w:rPr>
      </w:pPr>
      <w:r w:rsidRPr="00A3095D">
        <w:rPr>
          <w:rFonts w:eastAsia="Calibri" w:cs="Arial"/>
          <w:lang w:eastAsia="en-US"/>
        </w:rPr>
        <w:t>Copper 67.2</w:t>
      </w:r>
    </w:p>
    <w:p w:rsidRPr="00A3095D" w:rsidR="00A3095D" w:rsidP="00E8254E" w:rsidRDefault="00A3095D" w14:paraId="624D044A" w14:textId="77777777">
      <w:pPr>
        <w:numPr>
          <w:ilvl w:val="0"/>
          <w:numId w:val="46"/>
        </w:numPr>
        <w:ind w:left="1620"/>
        <w:contextualSpacing/>
        <w:rPr>
          <w:rFonts w:eastAsia="Calibri" w:cs="Arial"/>
          <w:lang w:eastAsia="en-US"/>
        </w:rPr>
      </w:pPr>
      <w:r w:rsidRPr="00A3095D">
        <w:rPr>
          <w:rFonts w:eastAsia="Calibri" w:cs="Arial"/>
          <w:lang w:eastAsia="en-US"/>
        </w:rPr>
        <w:t>Wet Weather Wasteload Allocations</w:t>
      </w:r>
    </w:p>
    <w:p w:rsidRPr="00A3095D" w:rsidR="00A3095D" w:rsidP="0094348B" w:rsidRDefault="00A3095D" w14:paraId="3FAA6971" w14:textId="77777777">
      <w:pPr>
        <w:ind w:left="1620"/>
        <w:rPr>
          <w:rFonts w:eastAsia="Calibri" w:cs="Arial"/>
          <w:lang w:eastAsia="en-US"/>
        </w:rPr>
      </w:pPr>
      <w:r w:rsidRPr="00A3095D">
        <w:rPr>
          <w:rFonts w:eastAsia="Calibri" w:cs="Arial"/>
          <w:lang w:eastAsia="en-US"/>
        </w:rPr>
        <w:t>Wet weather wasteload allocations are expressed as a shared allocation for the municipal NPDES stormwater permittees.</w:t>
      </w:r>
    </w:p>
    <w:p w:rsidRPr="005F5E46" w:rsidR="00A3095D" w:rsidP="005F5E46" w:rsidRDefault="00A3095D" w14:paraId="079BF6BC" w14:textId="77777777">
      <w:pPr>
        <w:widowControl w:val="0"/>
        <w:spacing w:after="0" w:line="240" w:lineRule="auto"/>
        <w:ind w:left="1987"/>
        <w:rPr>
          <w:b/>
          <w:lang w:eastAsia="en-US"/>
        </w:rPr>
      </w:pPr>
      <w:r w:rsidRPr="005F5E46">
        <w:rPr>
          <w:b/>
          <w:lang w:eastAsia="en-US"/>
        </w:rPr>
        <w:t>Wet Weather Wasteload Allocations, Shared (total recoverable metals, grams/day)</w:t>
      </w:r>
    </w:p>
    <w:p w:rsidRPr="00A3095D" w:rsidR="00A3095D" w:rsidP="00A3095D" w:rsidRDefault="00A3095D" w14:paraId="0555463E" w14:textId="77777777">
      <w:pPr>
        <w:tabs>
          <w:tab w:val="left" w:pos="4500"/>
          <w:tab w:val="left" w:pos="6660"/>
        </w:tabs>
        <w:spacing w:before="60"/>
        <w:ind w:left="1627" w:firstLine="547"/>
        <w:rPr>
          <w:rFonts w:eastAsia="Calibri" w:cs="Arial"/>
          <w:lang w:eastAsia="en-US"/>
        </w:rPr>
      </w:pPr>
      <w:r w:rsidRPr="00A3095D">
        <w:rPr>
          <w:szCs w:val="20"/>
          <w:lang w:eastAsia="en-US"/>
        </w:rPr>
        <w:t xml:space="preserve">Copper: 461.4 </w:t>
      </w:r>
      <w:r w:rsidRPr="00A3095D">
        <w:rPr>
          <w:szCs w:val="20"/>
          <w:lang w:eastAsia="en-US"/>
        </w:rPr>
        <w:tab/>
      </w:r>
      <w:r w:rsidRPr="00A3095D">
        <w:rPr>
          <w:szCs w:val="20"/>
          <w:lang w:eastAsia="en-US"/>
        </w:rPr>
        <w:t xml:space="preserve">Lead: 2,631.5 </w:t>
      </w:r>
      <w:r w:rsidRPr="00A3095D">
        <w:rPr>
          <w:szCs w:val="20"/>
          <w:lang w:eastAsia="en-US"/>
        </w:rPr>
        <w:tab/>
      </w:r>
      <w:r w:rsidRPr="00A3095D">
        <w:rPr>
          <w:szCs w:val="20"/>
          <w:lang w:eastAsia="en-US"/>
        </w:rPr>
        <w:t>Zinc: 4,510.7</w:t>
      </w:r>
    </w:p>
    <w:p w:rsidRPr="00A3095D" w:rsidR="00A3095D" w:rsidP="00A3095D" w:rsidRDefault="00A3095D" w14:paraId="337477FD" w14:textId="31F062D8">
      <w:pPr>
        <w:ind w:left="1260"/>
        <w:rPr>
          <w:rFonts w:cs="Arial"/>
          <w:lang w:eastAsia="en-US"/>
        </w:rPr>
      </w:pPr>
      <w:r w:rsidRPr="00A3095D">
        <w:rPr>
          <w:rFonts w:cs="Arial"/>
          <w:b/>
          <w:bCs/>
          <w:lang w:eastAsia="en-US"/>
        </w:rPr>
        <w:t xml:space="preserve">Final Compliance Deadline: </w:t>
      </w:r>
      <w:r w:rsidRPr="00A3095D">
        <w:rPr>
          <w:rFonts w:cs="Arial"/>
          <w:lang w:eastAsia="en-US"/>
        </w:rPr>
        <w:t xml:space="preserve">The TMDL specifies that the final wasteload allocations during dry weather shall be achieved by September 30, 2023. The final wasteload allocations during wet weather shall be achieved by September 30, 2026. If a deadline has not been met, the Permittee may request a time schedule order from the Los Angeles Water Board Executive Officer, which </w:t>
      </w:r>
      <w:r w:rsidR="005C1C22">
        <w:rPr>
          <w:rFonts w:cs="Arial"/>
          <w:lang w:eastAsia="en-US"/>
        </w:rPr>
        <w:t xml:space="preserve">may establish an implementation schedule </w:t>
      </w:r>
      <w:r w:rsidRPr="00A3095D">
        <w:rPr>
          <w:rFonts w:cs="Arial"/>
          <w:lang w:eastAsia="en-US"/>
        </w:rPr>
        <w:t xml:space="preserve">for the Permittee </w:t>
      </w:r>
      <w:r w:rsidRPr="00A3095D">
        <w:rPr>
          <w:rFonts w:cs="Arial"/>
          <w:lang w:eastAsia="en-US"/>
        </w:rPr>
        <w:t>to comply with the TMDL requirements, and will supersede the deadlines referenced in this Order.</w:t>
      </w:r>
    </w:p>
    <w:p w:rsidRPr="000D48DD" w:rsidR="00A3095D" w:rsidP="000D48DD" w:rsidRDefault="00836361" w14:paraId="162BF8FC" w14:textId="61E448B0">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.9</w:t>
      </w:r>
      <w:r w:rsidRPr="000D48DD" w:rsidR="00A3095D">
        <w:rPr>
          <w:i/>
          <w:iCs/>
        </w:rPr>
        <w:tab/>
      </w:r>
      <w:r w:rsidRPr="000D48DD" w:rsidR="00A3095D">
        <w:rPr>
          <w:i/>
          <w:iCs/>
        </w:rPr>
        <w:t>Calleguas Creek Watershed Metals and Selenium TMDL</w:t>
      </w:r>
    </w:p>
    <w:p w:rsidRPr="00A3095D" w:rsidR="00A3095D" w:rsidP="00A3095D" w:rsidRDefault="00A3095D" w14:paraId="2FFB8762" w14:textId="3277AA4A">
      <w:pPr>
        <w:ind w:left="1260"/>
        <w:rPr>
          <w:rFonts w:cs="Arial"/>
          <w:lang w:eastAsia="en-US"/>
        </w:rPr>
      </w:pPr>
      <w:r w:rsidRPr="00A3095D">
        <w:rPr>
          <w:rFonts w:cs="Arial"/>
          <w:b/>
          <w:bCs/>
          <w:lang w:eastAsia="en-US"/>
        </w:rPr>
        <w:t>Description:</w:t>
      </w:r>
      <w:r w:rsidRPr="00A3095D">
        <w:rPr>
          <w:rFonts w:cs="Arial"/>
          <w:lang w:eastAsia="en-US"/>
        </w:rPr>
        <w:t xml:space="preserve"> </w:t>
      </w:r>
      <w:r w:rsidR="00766ACF">
        <w:rPr>
          <w:rFonts w:cs="Arial"/>
          <w:lang w:eastAsia="en-US"/>
        </w:rPr>
        <w:t>USEPA</w:t>
      </w:r>
      <w:r w:rsidR="00C56C92">
        <w:rPr>
          <w:rFonts w:cs="Arial"/>
          <w:lang w:eastAsia="en-US"/>
        </w:rPr>
        <w:t xml:space="preserve"> </w:t>
      </w:r>
      <w:r w:rsidRPr="00A3095D">
        <w:rPr>
          <w:rFonts w:cs="Arial"/>
          <w:lang w:eastAsia="en-US"/>
        </w:rPr>
        <w:t xml:space="preserve">approved the </w:t>
      </w:r>
      <w:r w:rsidRPr="00A3095D">
        <w:rPr>
          <w:rFonts w:cs="Arial"/>
          <w:szCs w:val="20"/>
          <w:lang w:eastAsia="en-US"/>
        </w:rPr>
        <w:t>Calleguas Creek Watershed Metals and Selenium TMDL</w:t>
      </w:r>
      <w:r w:rsidRPr="00A3095D">
        <w:rPr>
          <w:rFonts w:cs="Arial"/>
          <w:lang w:eastAsia="en-US"/>
        </w:rPr>
        <w:t xml:space="preserve"> on March 26, 2007 and the revision on June 9, 2017. Three of fourteen reaches in the Calleguas Creek Watershed (including Revolon Slough, Lower Calleguas Creek – Reach 2, and Mugu Lagoon) are impaired due to elevated levels of metals and selenium in water. Sources of metals and selenium include urban runoff.</w:t>
      </w:r>
    </w:p>
    <w:p w:rsidRPr="00A3095D" w:rsidR="00A3095D" w:rsidP="00A3095D" w:rsidRDefault="00A3095D" w14:paraId="5F85780B" w14:textId="2E0E203E">
      <w:pPr>
        <w:ind w:left="1260"/>
        <w:rPr>
          <w:rFonts w:cs="Arial"/>
          <w:lang w:eastAsia="en-US"/>
        </w:rPr>
      </w:pPr>
      <w:r w:rsidRPr="00A3095D">
        <w:rPr>
          <w:b/>
          <w:szCs w:val="20"/>
          <w:lang w:eastAsia="en-US"/>
        </w:rPr>
        <w:t>Responsible Permi</w:t>
      </w:r>
      <w:r w:rsidR="0091593F">
        <w:rPr>
          <w:b/>
          <w:szCs w:val="20"/>
          <w:lang w:eastAsia="en-US"/>
        </w:rPr>
        <w:t>t</w:t>
      </w:r>
      <w:r w:rsidRPr="00A3095D">
        <w:rPr>
          <w:b/>
          <w:szCs w:val="20"/>
          <w:lang w:eastAsia="en-US"/>
        </w:rPr>
        <w:t>tees:</w:t>
      </w:r>
      <w:r w:rsidRPr="00A3095D">
        <w:rPr>
          <w:b/>
          <w:bCs/>
          <w:szCs w:val="20"/>
          <w:lang w:eastAsia="en-US"/>
        </w:rPr>
        <w:t xml:space="preserve"> </w:t>
      </w:r>
      <w:r w:rsidRPr="004132B4" w:rsidR="004132B4">
        <w:rPr>
          <w:szCs w:val="20"/>
          <w:lang w:eastAsia="en-US"/>
        </w:rPr>
        <w:t xml:space="preserve">Naval Base Ventura County, includes Port Hueneme and Point Mugu; </w:t>
      </w:r>
      <w:r w:rsidR="004132B4">
        <w:rPr>
          <w:szCs w:val="20"/>
          <w:lang w:eastAsia="en-US"/>
        </w:rPr>
        <w:t xml:space="preserve">and </w:t>
      </w:r>
      <w:r w:rsidRPr="004132B4" w:rsidR="004132B4">
        <w:rPr>
          <w:szCs w:val="20"/>
          <w:lang w:eastAsia="en-US"/>
        </w:rPr>
        <w:t>California State University Channel Islands</w:t>
      </w:r>
      <w:r w:rsidR="004132B4">
        <w:rPr>
          <w:rFonts w:cs="Arial"/>
          <w:lang w:eastAsia="en-US"/>
        </w:rPr>
        <w:t>.</w:t>
      </w:r>
    </w:p>
    <w:p w:rsidRPr="00A3095D" w:rsidR="00A3095D" w:rsidP="00A3095D" w:rsidRDefault="00A3095D" w14:paraId="1E5B15BD" w14:textId="77777777">
      <w:pPr>
        <w:ind w:left="1260"/>
        <w:rPr>
          <w:rFonts w:cs="Arial"/>
          <w:lang w:eastAsia="en-US"/>
        </w:rPr>
      </w:pPr>
      <w:r w:rsidRPr="00A3095D">
        <w:rPr>
          <w:b/>
          <w:szCs w:val="20"/>
          <w:lang w:eastAsia="en-US"/>
        </w:rPr>
        <w:t>Wasteload Allocations:</w:t>
      </w:r>
      <w:r w:rsidRPr="00A3095D">
        <w:rPr>
          <w:b/>
          <w:bCs/>
          <w:szCs w:val="20"/>
          <w:lang w:eastAsia="en-US"/>
        </w:rPr>
        <w:t xml:space="preserve"> </w:t>
      </w:r>
      <w:r w:rsidRPr="00A3095D">
        <w:rPr>
          <w:szCs w:val="20"/>
          <w:lang w:eastAsia="en-US"/>
        </w:rPr>
        <w:t xml:space="preserve">Wasteload allocations for permitted stormwater discharges include mass-based wasteload allocations established for copper, nickel, and selenium in total recoverable forms. </w:t>
      </w:r>
      <w:r w:rsidRPr="00A3095D">
        <w:rPr>
          <w:rFonts w:cs="Arial"/>
          <w:lang w:eastAsia="en-US"/>
        </w:rPr>
        <w:t>The Calleguas Creek Watershed Metals and Selenium TMDL assigns the following interim and final wasteload allocations as receiving water allocations.</w:t>
      </w:r>
    </w:p>
    <w:p w:rsidRPr="00A3095D" w:rsidR="00A3095D" w:rsidP="00E8254E" w:rsidRDefault="00A3095D" w14:paraId="275DC209" w14:textId="77777777">
      <w:pPr>
        <w:numPr>
          <w:ilvl w:val="0"/>
          <w:numId w:val="47"/>
        </w:numPr>
        <w:ind w:left="1620"/>
        <w:contextualSpacing/>
        <w:rPr>
          <w:rFonts w:cs="Arial"/>
          <w:lang w:eastAsia="en-US"/>
        </w:rPr>
      </w:pPr>
      <w:r w:rsidRPr="00A3095D">
        <w:rPr>
          <w:rFonts w:cs="Arial"/>
          <w:lang w:eastAsia="en-US"/>
        </w:rPr>
        <w:t>Interim Wasteload Allocations:</w:t>
      </w:r>
    </w:p>
    <w:p w:rsidRPr="008B4658" w:rsidR="00A3095D" w:rsidP="00C131F4" w:rsidRDefault="00A3095D" w14:paraId="52E9ACF5" w14:textId="77777777">
      <w:pPr>
        <w:pStyle w:val="TableHead"/>
        <w:ind w:firstLine="1260"/>
        <w:rPr>
          <w:lang w:eastAsia="en-US"/>
        </w:rPr>
      </w:pPr>
      <w:r w:rsidRPr="008B4658">
        <w:rPr>
          <w:lang w:eastAsia="en-US"/>
        </w:rPr>
        <w:t>Interim Limits for Calleguas and Conejo Creek (µg/L)</w:t>
      </w:r>
    </w:p>
    <w:tbl>
      <w:tblPr>
        <w:tblStyle w:val="TableGrid41"/>
        <w:tblW w:w="0" w:type="auto"/>
        <w:tblInd w:w="1255" w:type="dxa"/>
        <w:tblLook w:val="04A0" w:firstRow="1" w:lastRow="0" w:firstColumn="1" w:lastColumn="0" w:noHBand="0" w:noVBand="1"/>
      </w:tblPr>
      <w:tblGrid>
        <w:gridCol w:w="1890"/>
        <w:gridCol w:w="1980"/>
        <w:gridCol w:w="2250"/>
        <w:gridCol w:w="1952"/>
      </w:tblGrid>
      <w:tr w:rsidRPr="00C131F4" w:rsidR="00A3095D" w:rsidTr="00B96052" w14:paraId="6F0D4230" w14:textId="77777777">
        <w:trPr>
          <w:trHeight w:val="1010"/>
        </w:trPr>
        <w:tc>
          <w:tcPr>
            <w:tcW w:w="1890" w:type="dxa"/>
            <w:shd w:val="clear" w:color="auto" w:fill="C5E0B3"/>
          </w:tcPr>
          <w:p w:rsidRPr="00C131F4" w:rsidR="00A3095D" w:rsidP="00A3095D" w:rsidRDefault="00A3095D" w14:paraId="699D1D1A" w14:textId="77777777">
            <w:pPr>
              <w:spacing w:before="60" w:after="60" w:line="240" w:lineRule="auto"/>
              <w:jc w:val="center"/>
              <w:rPr>
                <w:rFonts w:ascii="Arial" w:hAnsi="Arial"/>
                <w:b/>
                <w:bCs/>
                <w:sz w:val="22"/>
                <w:szCs w:val="22"/>
                <w:lang w:eastAsia="en-US"/>
              </w:rPr>
            </w:pPr>
            <w:r w:rsidRPr="00C131F4">
              <w:rPr>
                <w:rFonts w:ascii="Arial" w:hAnsi="Arial"/>
                <w:b/>
                <w:bCs/>
                <w:sz w:val="22"/>
                <w:szCs w:val="22"/>
                <w:lang w:eastAsia="en-US"/>
              </w:rPr>
              <w:t>Constituent</w:t>
            </w:r>
          </w:p>
        </w:tc>
        <w:tc>
          <w:tcPr>
            <w:tcW w:w="1980" w:type="dxa"/>
            <w:shd w:val="clear" w:color="auto" w:fill="C5E0B3"/>
          </w:tcPr>
          <w:p w:rsidRPr="00C131F4" w:rsidR="00A3095D" w:rsidP="00A3095D" w:rsidRDefault="00A3095D" w14:paraId="4B725014" w14:textId="77777777">
            <w:pPr>
              <w:spacing w:before="60" w:after="60" w:line="240" w:lineRule="auto"/>
              <w:jc w:val="center"/>
              <w:rPr>
                <w:rFonts w:ascii="Arial" w:hAnsi="Arial"/>
                <w:b/>
                <w:bCs/>
                <w:sz w:val="22"/>
                <w:szCs w:val="22"/>
                <w:lang w:eastAsia="en-US"/>
              </w:rPr>
            </w:pPr>
            <w:r w:rsidRPr="00C131F4">
              <w:rPr>
                <w:rFonts w:ascii="Arial" w:hAnsi="Arial"/>
                <w:b/>
                <w:bCs/>
                <w:sz w:val="22"/>
                <w:szCs w:val="22"/>
                <w:lang w:eastAsia="en-US"/>
              </w:rPr>
              <w:t>Dry Weather Daily Maximum</w:t>
            </w:r>
          </w:p>
        </w:tc>
        <w:tc>
          <w:tcPr>
            <w:tcW w:w="2250" w:type="dxa"/>
            <w:shd w:val="clear" w:color="auto" w:fill="C5E0B3"/>
          </w:tcPr>
          <w:p w:rsidRPr="00C131F4" w:rsidR="00A3095D" w:rsidP="00A3095D" w:rsidRDefault="00A3095D" w14:paraId="7B76DCBD" w14:textId="77777777">
            <w:pPr>
              <w:spacing w:before="60" w:after="60" w:line="240" w:lineRule="auto"/>
              <w:jc w:val="center"/>
              <w:rPr>
                <w:rFonts w:ascii="Arial" w:hAnsi="Arial"/>
                <w:b/>
                <w:bCs/>
                <w:sz w:val="22"/>
                <w:szCs w:val="22"/>
                <w:lang w:eastAsia="en-US"/>
              </w:rPr>
            </w:pPr>
            <w:r w:rsidRPr="00C131F4">
              <w:rPr>
                <w:rFonts w:ascii="Arial" w:hAnsi="Arial"/>
                <w:b/>
                <w:bCs/>
                <w:sz w:val="22"/>
                <w:szCs w:val="22"/>
                <w:lang w:eastAsia="en-US"/>
              </w:rPr>
              <w:t xml:space="preserve">Dry Weather Monthly Average </w:t>
            </w:r>
          </w:p>
        </w:tc>
        <w:tc>
          <w:tcPr>
            <w:tcW w:w="1952" w:type="dxa"/>
            <w:shd w:val="clear" w:color="auto" w:fill="C5E0B3"/>
          </w:tcPr>
          <w:p w:rsidRPr="00C131F4" w:rsidR="00A3095D" w:rsidP="00A3095D" w:rsidRDefault="00A3095D" w14:paraId="19FF37D2" w14:textId="77777777">
            <w:pPr>
              <w:spacing w:before="60" w:after="60" w:line="240" w:lineRule="auto"/>
              <w:jc w:val="center"/>
              <w:rPr>
                <w:rFonts w:ascii="Arial" w:hAnsi="Arial"/>
                <w:b/>
                <w:bCs/>
                <w:sz w:val="22"/>
                <w:szCs w:val="22"/>
                <w:lang w:eastAsia="en-US"/>
              </w:rPr>
            </w:pPr>
            <w:r w:rsidRPr="00C131F4">
              <w:rPr>
                <w:rFonts w:ascii="Arial" w:hAnsi="Arial"/>
                <w:b/>
                <w:bCs/>
                <w:sz w:val="22"/>
                <w:szCs w:val="22"/>
                <w:lang w:eastAsia="en-US"/>
              </w:rPr>
              <w:t>Wet Weather Daily Maximum</w:t>
            </w:r>
          </w:p>
        </w:tc>
      </w:tr>
      <w:tr w:rsidRPr="00C131F4" w:rsidR="00A3095D" w:rsidTr="00B96052" w14:paraId="746C7036" w14:textId="77777777">
        <w:trPr>
          <w:trHeight w:val="429"/>
        </w:trPr>
        <w:tc>
          <w:tcPr>
            <w:tcW w:w="1890" w:type="dxa"/>
          </w:tcPr>
          <w:p w:rsidRPr="00C131F4" w:rsidR="00A3095D" w:rsidP="00A3095D" w:rsidRDefault="00A3095D" w14:paraId="6AB10F8A" w14:textId="77777777">
            <w:pPr>
              <w:spacing w:before="60" w:after="60" w:line="240" w:lineRule="auto"/>
              <w:rPr>
                <w:rFonts w:ascii="Arial" w:hAnsi="Arial"/>
                <w:sz w:val="22"/>
                <w:szCs w:val="22"/>
                <w:lang w:eastAsia="en-US"/>
              </w:rPr>
            </w:pPr>
            <w:r w:rsidRPr="00C131F4">
              <w:rPr>
                <w:rFonts w:ascii="Arial" w:hAnsi="Arial"/>
                <w:sz w:val="22"/>
                <w:szCs w:val="22"/>
                <w:lang w:eastAsia="en-US"/>
              </w:rPr>
              <w:t>Copper</w:t>
            </w:r>
          </w:p>
        </w:tc>
        <w:tc>
          <w:tcPr>
            <w:tcW w:w="1980" w:type="dxa"/>
          </w:tcPr>
          <w:p w:rsidRPr="00C131F4" w:rsidR="00A3095D" w:rsidP="00A3095D" w:rsidRDefault="00A3095D" w14:paraId="25AE14C0" w14:textId="77777777">
            <w:pPr>
              <w:spacing w:before="60" w:after="60" w:line="240" w:lineRule="auto"/>
              <w:jc w:val="center"/>
              <w:rPr>
                <w:rFonts w:ascii="Arial" w:hAnsi="Arial"/>
                <w:sz w:val="22"/>
                <w:szCs w:val="22"/>
                <w:lang w:eastAsia="en-US"/>
              </w:rPr>
            </w:pPr>
            <w:r w:rsidRPr="00C131F4">
              <w:rPr>
                <w:rFonts w:ascii="Arial" w:hAnsi="Arial"/>
                <w:sz w:val="22"/>
                <w:szCs w:val="22"/>
                <w:lang w:eastAsia="en-US"/>
              </w:rPr>
              <w:t>23</w:t>
            </w:r>
          </w:p>
        </w:tc>
        <w:tc>
          <w:tcPr>
            <w:tcW w:w="2250" w:type="dxa"/>
          </w:tcPr>
          <w:p w:rsidRPr="00C131F4" w:rsidR="00A3095D" w:rsidP="00A3095D" w:rsidRDefault="00A3095D" w14:paraId="225EC7A5" w14:textId="77777777">
            <w:pPr>
              <w:spacing w:before="60" w:after="60" w:line="240" w:lineRule="auto"/>
              <w:jc w:val="center"/>
              <w:rPr>
                <w:rFonts w:ascii="Arial" w:hAnsi="Arial"/>
                <w:sz w:val="22"/>
                <w:szCs w:val="22"/>
                <w:lang w:eastAsia="en-US"/>
              </w:rPr>
            </w:pPr>
            <w:r w:rsidRPr="00C131F4">
              <w:rPr>
                <w:rFonts w:ascii="Arial" w:hAnsi="Arial"/>
                <w:sz w:val="22"/>
                <w:szCs w:val="22"/>
                <w:lang w:eastAsia="en-US"/>
              </w:rPr>
              <w:t>19</w:t>
            </w:r>
          </w:p>
        </w:tc>
        <w:tc>
          <w:tcPr>
            <w:tcW w:w="1952" w:type="dxa"/>
          </w:tcPr>
          <w:p w:rsidRPr="00C131F4" w:rsidR="00A3095D" w:rsidP="00A3095D" w:rsidRDefault="00A3095D" w14:paraId="291DB9C5" w14:textId="77777777">
            <w:pPr>
              <w:spacing w:before="60" w:after="60" w:line="240" w:lineRule="auto"/>
              <w:jc w:val="center"/>
              <w:rPr>
                <w:rFonts w:ascii="Arial" w:hAnsi="Arial"/>
                <w:sz w:val="22"/>
                <w:szCs w:val="22"/>
                <w:lang w:eastAsia="en-US"/>
              </w:rPr>
            </w:pPr>
            <w:r w:rsidRPr="00C131F4">
              <w:rPr>
                <w:rFonts w:ascii="Arial" w:hAnsi="Arial"/>
                <w:sz w:val="22"/>
                <w:szCs w:val="22"/>
                <w:lang w:eastAsia="en-US"/>
              </w:rPr>
              <w:t>204</w:t>
            </w:r>
          </w:p>
        </w:tc>
      </w:tr>
      <w:tr w:rsidRPr="00C131F4" w:rsidR="00A3095D" w:rsidTr="00B96052" w14:paraId="02303793" w14:textId="77777777">
        <w:trPr>
          <w:trHeight w:val="444"/>
        </w:trPr>
        <w:tc>
          <w:tcPr>
            <w:tcW w:w="1890" w:type="dxa"/>
          </w:tcPr>
          <w:p w:rsidRPr="00C131F4" w:rsidR="00A3095D" w:rsidP="00A3095D" w:rsidRDefault="00A3095D" w14:paraId="7F19C9EA" w14:textId="77777777">
            <w:pPr>
              <w:spacing w:before="60" w:after="60" w:line="240" w:lineRule="auto"/>
              <w:rPr>
                <w:rFonts w:ascii="Arial" w:hAnsi="Arial"/>
                <w:sz w:val="22"/>
                <w:szCs w:val="22"/>
                <w:lang w:eastAsia="en-US"/>
              </w:rPr>
            </w:pPr>
            <w:r w:rsidRPr="00C131F4">
              <w:rPr>
                <w:rFonts w:ascii="Arial" w:hAnsi="Arial"/>
                <w:sz w:val="22"/>
                <w:szCs w:val="22"/>
                <w:lang w:eastAsia="en-US"/>
              </w:rPr>
              <w:t>Nickel</w:t>
            </w:r>
          </w:p>
        </w:tc>
        <w:tc>
          <w:tcPr>
            <w:tcW w:w="1980" w:type="dxa"/>
          </w:tcPr>
          <w:p w:rsidRPr="00C131F4" w:rsidR="00A3095D" w:rsidP="00A3095D" w:rsidRDefault="00A3095D" w14:paraId="1B64116B" w14:textId="77777777">
            <w:pPr>
              <w:spacing w:before="60" w:after="60" w:line="240" w:lineRule="auto"/>
              <w:jc w:val="center"/>
              <w:rPr>
                <w:rFonts w:ascii="Arial" w:hAnsi="Arial"/>
                <w:sz w:val="22"/>
                <w:szCs w:val="22"/>
                <w:lang w:eastAsia="en-US"/>
              </w:rPr>
            </w:pPr>
            <w:r w:rsidRPr="00C131F4">
              <w:rPr>
                <w:rFonts w:ascii="Arial" w:hAnsi="Arial"/>
                <w:sz w:val="22"/>
                <w:szCs w:val="22"/>
                <w:lang w:eastAsia="en-US"/>
              </w:rPr>
              <w:t>15</w:t>
            </w:r>
          </w:p>
        </w:tc>
        <w:tc>
          <w:tcPr>
            <w:tcW w:w="2250" w:type="dxa"/>
          </w:tcPr>
          <w:p w:rsidRPr="00C131F4" w:rsidR="00A3095D" w:rsidP="00A3095D" w:rsidRDefault="00A3095D" w14:paraId="68FCEFA3" w14:textId="77777777">
            <w:pPr>
              <w:spacing w:before="60" w:after="60" w:line="240" w:lineRule="auto"/>
              <w:jc w:val="center"/>
              <w:rPr>
                <w:rFonts w:ascii="Arial" w:hAnsi="Arial"/>
                <w:sz w:val="22"/>
                <w:szCs w:val="22"/>
                <w:lang w:eastAsia="en-US"/>
              </w:rPr>
            </w:pPr>
            <w:r w:rsidRPr="00C131F4">
              <w:rPr>
                <w:rFonts w:ascii="Arial" w:hAnsi="Arial"/>
                <w:sz w:val="22"/>
                <w:szCs w:val="22"/>
                <w:lang w:eastAsia="en-US"/>
              </w:rPr>
              <w:t>13</w:t>
            </w:r>
          </w:p>
        </w:tc>
        <w:tc>
          <w:tcPr>
            <w:tcW w:w="1952" w:type="dxa"/>
          </w:tcPr>
          <w:p w:rsidRPr="00B96052" w:rsidR="00A3095D" w:rsidP="00A3095D" w:rsidRDefault="00A3095D" w14:paraId="4A824224" w14:textId="77777777">
            <w:pPr>
              <w:spacing w:before="60" w:after="60" w:line="240" w:lineRule="auto"/>
              <w:jc w:val="center"/>
              <w:rPr>
                <w:rFonts w:ascii="Arial" w:hAnsi="Arial"/>
                <w:sz w:val="22"/>
                <w:szCs w:val="22"/>
                <w:vertAlign w:val="superscript"/>
                <w:lang w:eastAsia="en-US"/>
              </w:rPr>
            </w:pPr>
            <w:r w:rsidRPr="00B96052">
              <w:rPr>
                <w:rFonts w:ascii="Arial" w:hAnsi="Arial"/>
                <w:sz w:val="22"/>
                <w:szCs w:val="22"/>
                <w:vertAlign w:val="superscript"/>
                <w:lang w:eastAsia="en-US"/>
              </w:rPr>
              <w:t>(a)</w:t>
            </w:r>
          </w:p>
        </w:tc>
      </w:tr>
      <w:tr w:rsidRPr="00C131F4" w:rsidR="00A3095D" w:rsidTr="00B96052" w14:paraId="4FCA628D" w14:textId="77777777">
        <w:trPr>
          <w:trHeight w:val="429"/>
        </w:trPr>
        <w:tc>
          <w:tcPr>
            <w:tcW w:w="1890" w:type="dxa"/>
          </w:tcPr>
          <w:p w:rsidRPr="00C131F4" w:rsidR="00A3095D" w:rsidP="00A3095D" w:rsidRDefault="00A3095D" w14:paraId="0ED0A360" w14:textId="77777777">
            <w:pPr>
              <w:spacing w:before="60" w:after="60" w:line="240" w:lineRule="auto"/>
              <w:rPr>
                <w:rFonts w:ascii="Arial" w:hAnsi="Arial"/>
                <w:sz w:val="22"/>
                <w:szCs w:val="22"/>
                <w:lang w:eastAsia="en-US"/>
              </w:rPr>
            </w:pPr>
            <w:r w:rsidRPr="00C131F4">
              <w:rPr>
                <w:rFonts w:ascii="Arial" w:hAnsi="Arial"/>
                <w:sz w:val="22"/>
                <w:szCs w:val="22"/>
                <w:lang w:eastAsia="en-US"/>
              </w:rPr>
              <w:t>Selenium</w:t>
            </w:r>
          </w:p>
        </w:tc>
        <w:tc>
          <w:tcPr>
            <w:tcW w:w="1980" w:type="dxa"/>
          </w:tcPr>
          <w:p w:rsidRPr="00B96052" w:rsidR="00A3095D" w:rsidP="00A3095D" w:rsidRDefault="00A3095D" w14:paraId="75184A5A" w14:textId="77777777">
            <w:pPr>
              <w:spacing w:before="60" w:after="60" w:line="240" w:lineRule="auto"/>
              <w:jc w:val="center"/>
              <w:rPr>
                <w:rFonts w:ascii="Arial" w:hAnsi="Arial"/>
                <w:sz w:val="22"/>
                <w:szCs w:val="22"/>
                <w:vertAlign w:val="superscript"/>
                <w:lang w:eastAsia="en-US"/>
              </w:rPr>
            </w:pPr>
            <w:r w:rsidRPr="00B96052">
              <w:rPr>
                <w:rFonts w:ascii="Arial" w:hAnsi="Arial"/>
                <w:sz w:val="22"/>
                <w:szCs w:val="22"/>
                <w:vertAlign w:val="superscript"/>
                <w:lang w:eastAsia="en-US"/>
              </w:rPr>
              <w:t>(b)</w:t>
            </w:r>
          </w:p>
        </w:tc>
        <w:tc>
          <w:tcPr>
            <w:tcW w:w="2250" w:type="dxa"/>
          </w:tcPr>
          <w:p w:rsidRPr="00B96052" w:rsidR="00A3095D" w:rsidP="00A3095D" w:rsidRDefault="00A3095D" w14:paraId="3FE9638B" w14:textId="77777777">
            <w:pPr>
              <w:spacing w:before="60" w:after="60" w:line="240" w:lineRule="auto"/>
              <w:jc w:val="center"/>
              <w:rPr>
                <w:rFonts w:ascii="Arial" w:hAnsi="Arial"/>
                <w:sz w:val="22"/>
                <w:szCs w:val="22"/>
                <w:vertAlign w:val="superscript"/>
                <w:lang w:eastAsia="en-US"/>
              </w:rPr>
            </w:pPr>
            <w:r w:rsidRPr="00B96052">
              <w:rPr>
                <w:rFonts w:ascii="Arial" w:hAnsi="Arial"/>
                <w:sz w:val="22"/>
                <w:szCs w:val="22"/>
                <w:vertAlign w:val="superscript"/>
                <w:lang w:eastAsia="en-US"/>
              </w:rPr>
              <w:t>(b)</w:t>
            </w:r>
          </w:p>
        </w:tc>
        <w:tc>
          <w:tcPr>
            <w:tcW w:w="1952" w:type="dxa"/>
          </w:tcPr>
          <w:p w:rsidRPr="00B96052" w:rsidR="00A3095D" w:rsidP="00A3095D" w:rsidRDefault="00A3095D" w14:paraId="779CA748" w14:textId="77777777">
            <w:pPr>
              <w:spacing w:before="60" w:after="60" w:line="240" w:lineRule="auto"/>
              <w:jc w:val="center"/>
              <w:rPr>
                <w:rFonts w:ascii="Arial" w:hAnsi="Arial"/>
                <w:sz w:val="22"/>
                <w:szCs w:val="22"/>
                <w:vertAlign w:val="superscript"/>
                <w:lang w:eastAsia="en-US"/>
              </w:rPr>
            </w:pPr>
            <w:r w:rsidRPr="00B96052">
              <w:rPr>
                <w:rFonts w:ascii="Arial" w:hAnsi="Arial"/>
                <w:sz w:val="22"/>
                <w:szCs w:val="22"/>
                <w:vertAlign w:val="superscript"/>
                <w:lang w:eastAsia="en-US"/>
              </w:rPr>
              <w:t>(b)</w:t>
            </w:r>
          </w:p>
        </w:tc>
      </w:tr>
    </w:tbl>
    <w:p w:rsidRPr="008133B5" w:rsidR="00A3095D" w:rsidP="00B96052" w:rsidRDefault="00A3095D" w14:paraId="22339C8F" w14:textId="77777777">
      <w:pPr>
        <w:tabs>
          <w:tab w:val="left" w:pos="1620"/>
        </w:tabs>
        <w:spacing w:before="40" w:after="40" w:line="240" w:lineRule="auto"/>
        <w:ind w:left="1620" w:hanging="360"/>
        <w:rPr>
          <w:rFonts w:cs="Arial"/>
          <w:sz w:val="20"/>
          <w:szCs w:val="20"/>
          <w:u w:val="single"/>
          <w:lang w:eastAsia="en-US"/>
        </w:rPr>
      </w:pPr>
      <w:r w:rsidRPr="008133B5">
        <w:rPr>
          <w:rFonts w:cs="Arial"/>
          <w:sz w:val="20"/>
          <w:szCs w:val="20"/>
          <w:u w:val="single"/>
          <w:lang w:eastAsia="en-US"/>
        </w:rPr>
        <w:t>Table Notes</w:t>
      </w:r>
    </w:p>
    <w:p w:rsidRPr="008133B5" w:rsidR="00A3095D" w:rsidP="00E8254E" w:rsidRDefault="00A3095D" w14:paraId="3109CB8E" w14:textId="77777777">
      <w:pPr>
        <w:widowControl w:val="0"/>
        <w:numPr>
          <w:ilvl w:val="0"/>
          <w:numId w:val="48"/>
        </w:numPr>
        <w:tabs>
          <w:tab w:val="left" w:pos="180"/>
          <w:tab w:val="left" w:pos="1620"/>
        </w:tabs>
        <w:autoSpaceDE w:val="0"/>
        <w:autoSpaceDN w:val="0"/>
        <w:spacing w:before="40" w:after="40" w:line="240" w:lineRule="auto"/>
        <w:ind w:left="1620" w:right="204" w:hanging="360"/>
        <w:rPr>
          <w:sz w:val="20"/>
          <w:szCs w:val="20"/>
          <w:lang w:eastAsia="en-US"/>
        </w:rPr>
      </w:pPr>
      <w:r w:rsidRPr="008133B5">
        <w:rPr>
          <w:sz w:val="20"/>
          <w:szCs w:val="20"/>
          <w:lang w:eastAsia="en-US"/>
        </w:rPr>
        <w:t>The</w:t>
      </w:r>
      <w:r w:rsidRPr="008133B5">
        <w:rPr>
          <w:spacing w:val="-2"/>
          <w:sz w:val="20"/>
          <w:szCs w:val="20"/>
          <w:lang w:eastAsia="en-US"/>
        </w:rPr>
        <w:t xml:space="preserve"> </w:t>
      </w:r>
      <w:r w:rsidRPr="008133B5">
        <w:rPr>
          <w:sz w:val="20"/>
          <w:szCs w:val="20"/>
          <w:lang w:eastAsia="en-US"/>
        </w:rPr>
        <w:t>current</w:t>
      </w:r>
      <w:r w:rsidRPr="008133B5">
        <w:rPr>
          <w:spacing w:val="-4"/>
          <w:sz w:val="20"/>
          <w:szCs w:val="20"/>
          <w:lang w:eastAsia="en-US"/>
        </w:rPr>
        <w:t xml:space="preserve"> </w:t>
      </w:r>
      <w:r w:rsidRPr="008133B5">
        <w:rPr>
          <w:sz w:val="20"/>
          <w:szCs w:val="20"/>
          <w:lang w:eastAsia="en-US"/>
        </w:rPr>
        <w:t>loads</w:t>
      </w:r>
      <w:r w:rsidRPr="008133B5">
        <w:rPr>
          <w:spacing w:val="-3"/>
          <w:sz w:val="20"/>
          <w:szCs w:val="20"/>
          <w:lang w:eastAsia="en-US"/>
        </w:rPr>
        <w:t xml:space="preserve"> </w:t>
      </w:r>
      <w:r w:rsidRPr="008133B5">
        <w:rPr>
          <w:sz w:val="20"/>
          <w:szCs w:val="20"/>
          <w:lang w:eastAsia="en-US"/>
        </w:rPr>
        <w:t>do</w:t>
      </w:r>
      <w:r w:rsidRPr="008133B5">
        <w:rPr>
          <w:spacing w:val="-4"/>
          <w:sz w:val="20"/>
          <w:szCs w:val="20"/>
          <w:lang w:eastAsia="en-US"/>
        </w:rPr>
        <w:t xml:space="preserve"> </w:t>
      </w:r>
      <w:r w:rsidRPr="008133B5">
        <w:rPr>
          <w:sz w:val="20"/>
          <w:szCs w:val="20"/>
          <w:lang w:eastAsia="en-US"/>
        </w:rPr>
        <w:t>not</w:t>
      </w:r>
      <w:r w:rsidRPr="008133B5">
        <w:rPr>
          <w:spacing w:val="-3"/>
          <w:sz w:val="20"/>
          <w:szCs w:val="20"/>
          <w:lang w:eastAsia="en-US"/>
        </w:rPr>
        <w:t xml:space="preserve"> </w:t>
      </w:r>
      <w:r w:rsidRPr="008133B5">
        <w:rPr>
          <w:sz w:val="20"/>
          <w:szCs w:val="20"/>
          <w:lang w:eastAsia="en-US"/>
        </w:rPr>
        <w:t>exceed</w:t>
      </w:r>
      <w:r w:rsidRPr="008133B5">
        <w:rPr>
          <w:spacing w:val="-2"/>
          <w:sz w:val="20"/>
          <w:szCs w:val="20"/>
          <w:lang w:eastAsia="en-US"/>
        </w:rPr>
        <w:t xml:space="preserve"> </w:t>
      </w:r>
      <w:r w:rsidRPr="008133B5">
        <w:rPr>
          <w:sz w:val="20"/>
          <w:szCs w:val="20"/>
          <w:lang w:eastAsia="en-US"/>
        </w:rPr>
        <w:t>the</w:t>
      </w:r>
      <w:r w:rsidRPr="008133B5">
        <w:rPr>
          <w:spacing w:val="-4"/>
          <w:sz w:val="20"/>
          <w:szCs w:val="20"/>
          <w:lang w:eastAsia="en-US"/>
        </w:rPr>
        <w:t xml:space="preserve"> </w:t>
      </w:r>
      <w:r w:rsidRPr="008133B5">
        <w:rPr>
          <w:sz w:val="20"/>
          <w:szCs w:val="20"/>
          <w:lang w:eastAsia="en-US"/>
        </w:rPr>
        <w:t>TMDL</w:t>
      </w:r>
      <w:r w:rsidRPr="008133B5">
        <w:rPr>
          <w:spacing w:val="-2"/>
          <w:sz w:val="20"/>
          <w:szCs w:val="20"/>
          <w:lang w:eastAsia="en-US"/>
        </w:rPr>
        <w:t xml:space="preserve"> </w:t>
      </w:r>
      <w:r w:rsidRPr="008133B5">
        <w:rPr>
          <w:sz w:val="20"/>
          <w:szCs w:val="20"/>
          <w:lang w:eastAsia="en-US"/>
        </w:rPr>
        <w:t>under</w:t>
      </w:r>
      <w:r w:rsidRPr="008133B5">
        <w:rPr>
          <w:spacing w:val="-3"/>
          <w:sz w:val="20"/>
          <w:szCs w:val="20"/>
          <w:lang w:eastAsia="en-US"/>
        </w:rPr>
        <w:t xml:space="preserve"> </w:t>
      </w:r>
      <w:r w:rsidRPr="008133B5">
        <w:rPr>
          <w:sz w:val="20"/>
          <w:szCs w:val="20"/>
          <w:lang w:eastAsia="en-US"/>
        </w:rPr>
        <w:t>wet</w:t>
      </w:r>
      <w:r w:rsidRPr="008133B5">
        <w:rPr>
          <w:spacing w:val="-3"/>
          <w:sz w:val="20"/>
          <w:szCs w:val="20"/>
          <w:lang w:eastAsia="en-US"/>
        </w:rPr>
        <w:t xml:space="preserve"> </w:t>
      </w:r>
      <w:r w:rsidRPr="008133B5">
        <w:rPr>
          <w:sz w:val="20"/>
          <w:szCs w:val="20"/>
          <w:lang w:eastAsia="en-US"/>
        </w:rPr>
        <w:t>conditions;</w:t>
      </w:r>
      <w:r w:rsidRPr="008133B5">
        <w:rPr>
          <w:spacing w:val="-5"/>
          <w:sz w:val="20"/>
          <w:szCs w:val="20"/>
          <w:lang w:eastAsia="en-US"/>
        </w:rPr>
        <w:t xml:space="preserve"> </w:t>
      </w:r>
      <w:r w:rsidRPr="008133B5">
        <w:rPr>
          <w:sz w:val="20"/>
          <w:szCs w:val="20"/>
          <w:lang w:eastAsia="en-US"/>
        </w:rPr>
        <w:t>interim</w:t>
      </w:r>
      <w:r w:rsidRPr="008133B5">
        <w:rPr>
          <w:spacing w:val="-3"/>
          <w:sz w:val="20"/>
          <w:szCs w:val="20"/>
          <w:lang w:eastAsia="en-US"/>
        </w:rPr>
        <w:t xml:space="preserve"> </w:t>
      </w:r>
      <w:r w:rsidRPr="008133B5">
        <w:rPr>
          <w:sz w:val="20"/>
          <w:szCs w:val="20"/>
          <w:lang w:eastAsia="en-US"/>
        </w:rPr>
        <w:t>limits</w:t>
      </w:r>
      <w:r w:rsidRPr="008133B5">
        <w:rPr>
          <w:spacing w:val="-2"/>
          <w:sz w:val="20"/>
          <w:szCs w:val="20"/>
          <w:lang w:eastAsia="en-US"/>
        </w:rPr>
        <w:t xml:space="preserve"> </w:t>
      </w:r>
      <w:r w:rsidRPr="008133B5">
        <w:rPr>
          <w:sz w:val="20"/>
          <w:szCs w:val="20"/>
          <w:lang w:eastAsia="en-US"/>
        </w:rPr>
        <w:t>are not required.</w:t>
      </w:r>
    </w:p>
    <w:p w:rsidRPr="008133B5" w:rsidR="00A3095D" w:rsidP="00E8254E" w:rsidRDefault="00A3095D" w14:paraId="5FD2C380" w14:textId="77777777">
      <w:pPr>
        <w:widowControl w:val="0"/>
        <w:numPr>
          <w:ilvl w:val="0"/>
          <w:numId w:val="48"/>
        </w:numPr>
        <w:tabs>
          <w:tab w:val="left" w:pos="180"/>
          <w:tab w:val="left" w:pos="1620"/>
        </w:tabs>
        <w:autoSpaceDE w:val="0"/>
        <w:autoSpaceDN w:val="0"/>
        <w:spacing w:before="40" w:after="40" w:line="240" w:lineRule="auto"/>
        <w:ind w:left="1620" w:right="513" w:hanging="360"/>
        <w:rPr>
          <w:sz w:val="20"/>
          <w:szCs w:val="20"/>
          <w:lang w:eastAsia="en-US"/>
        </w:rPr>
      </w:pPr>
      <w:r w:rsidRPr="008133B5">
        <w:rPr>
          <w:sz w:val="20"/>
          <w:szCs w:val="20"/>
          <w:lang w:eastAsia="en-US"/>
        </w:rPr>
        <w:t>Selenium</w:t>
      </w:r>
      <w:r w:rsidRPr="008133B5">
        <w:rPr>
          <w:spacing w:val="-3"/>
          <w:sz w:val="20"/>
          <w:szCs w:val="20"/>
          <w:lang w:eastAsia="en-US"/>
        </w:rPr>
        <w:t xml:space="preserve"> </w:t>
      </w:r>
      <w:r w:rsidRPr="008133B5">
        <w:rPr>
          <w:sz w:val="20"/>
          <w:szCs w:val="20"/>
          <w:lang w:eastAsia="en-US"/>
        </w:rPr>
        <w:t>allocations</w:t>
      </w:r>
      <w:r w:rsidRPr="008133B5">
        <w:rPr>
          <w:spacing w:val="-3"/>
          <w:sz w:val="20"/>
          <w:szCs w:val="20"/>
          <w:lang w:eastAsia="en-US"/>
        </w:rPr>
        <w:t xml:space="preserve"> </w:t>
      </w:r>
      <w:r w:rsidRPr="008133B5">
        <w:rPr>
          <w:sz w:val="20"/>
          <w:szCs w:val="20"/>
          <w:lang w:eastAsia="en-US"/>
        </w:rPr>
        <w:t>have</w:t>
      </w:r>
      <w:r w:rsidRPr="008133B5">
        <w:rPr>
          <w:spacing w:val="-1"/>
          <w:sz w:val="20"/>
          <w:szCs w:val="20"/>
          <w:lang w:eastAsia="en-US"/>
        </w:rPr>
        <w:t xml:space="preserve"> </w:t>
      </w:r>
      <w:r w:rsidRPr="008133B5">
        <w:rPr>
          <w:sz w:val="20"/>
          <w:szCs w:val="20"/>
          <w:lang w:eastAsia="en-US"/>
        </w:rPr>
        <w:t>not</w:t>
      </w:r>
      <w:r w:rsidRPr="008133B5">
        <w:rPr>
          <w:spacing w:val="-6"/>
          <w:sz w:val="20"/>
          <w:szCs w:val="20"/>
          <w:lang w:eastAsia="en-US"/>
        </w:rPr>
        <w:t xml:space="preserve"> </w:t>
      </w:r>
      <w:r w:rsidRPr="008133B5">
        <w:rPr>
          <w:sz w:val="20"/>
          <w:szCs w:val="20"/>
          <w:lang w:eastAsia="en-US"/>
        </w:rPr>
        <w:t>been</w:t>
      </w:r>
      <w:r w:rsidRPr="008133B5">
        <w:rPr>
          <w:spacing w:val="-4"/>
          <w:sz w:val="20"/>
          <w:szCs w:val="20"/>
          <w:lang w:eastAsia="en-US"/>
        </w:rPr>
        <w:t xml:space="preserve"> </w:t>
      </w:r>
      <w:r w:rsidRPr="008133B5">
        <w:rPr>
          <w:sz w:val="20"/>
          <w:szCs w:val="20"/>
          <w:lang w:eastAsia="en-US"/>
        </w:rPr>
        <w:t>developed</w:t>
      </w:r>
      <w:r w:rsidRPr="008133B5">
        <w:rPr>
          <w:spacing w:val="-1"/>
          <w:sz w:val="20"/>
          <w:szCs w:val="20"/>
          <w:lang w:eastAsia="en-US"/>
        </w:rPr>
        <w:t xml:space="preserve"> </w:t>
      </w:r>
      <w:r w:rsidRPr="008133B5">
        <w:rPr>
          <w:sz w:val="20"/>
          <w:szCs w:val="20"/>
          <w:lang w:eastAsia="en-US"/>
        </w:rPr>
        <w:t>for</w:t>
      </w:r>
      <w:r w:rsidRPr="008133B5">
        <w:rPr>
          <w:spacing w:val="-2"/>
          <w:sz w:val="20"/>
          <w:szCs w:val="20"/>
          <w:lang w:eastAsia="en-US"/>
        </w:rPr>
        <w:t xml:space="preserve"> </w:t>
      </w:r>
      <w:r w:rsidRPr="008133B5">
        <w:rPr>
          <w:sz w:val="20"/>
          <w:szCs w:val="20"/>
          <w:lang w:eastAsia="en-US"/>
        </w:rPr>
        <w:t>this</w:t>
      </w:r>
      <w:r w:rsidRPr="008133B5">
        <w:rPr>
          <w:spacing w:val="-1"/>
          <w:sz w:val="20"/>
          <w:szCs w:val="20"/>
          <w:lang w:eastAsia="en-US"/>
        </w:rPr>
        <w:t xml:space="preserve"> </w:t>
      </w:r>
      <w:r w:rsidRPr="008133B5">
        <w:rPr>
          <w:sz w:val="20"/>
          <w:szCs w:val="20"/>
          <w:lang w:eastAsia="en-US"/>
        </w:rPr>
        <w:t>reach</w:t>
      </w:r>
      <w:r w:rsidRPr="008133B5">
        <w:rPr>
          <w:spacing w:val="-4"/>
          <w:sz w:val="20"/>
          <w:szCs w:val="20"/>
          <w:lang w:eastAsia="en-US"/>
        </w:rPr>
        <w:t xml:space="preserve"> </w:t>
      </w:r>
      <w:r w:rsidRPr="008133B5">
        <w:rPr>
          <w:sz w:val="20"/>
          <w:szCs w:val="20"/>
          <w:lang w:eastAsia="en-US"/>
        </w:rPr>
        <w:t>as</w:t>
      </w:r>
      <w:r w:rsidRPr="008133B5">
        <w:rPr>
          <w:spacing w:val="-1"/>
          <w:sz w:val="20"/>
          <w:szCs w:val="20"/>
          <w:lang w:eastAsia="en-US"/>
        </w:rPr>
        <w:t xml:space="preserve"> </w:t>
      </w:r>
      <w:r w:rsidRPr="008133B5">
        <w:rPr>
          <w:sz w:val="20"/>
          <w:szCs w:val="20"/>
          <w:lang w:eastAsia="en-US"/>
        </w:rPr>
        <w:t>it</w:t>
      </w:r>
      <w:r w:rsidRPr="008133B5">
        <w:rPr>
          <w:spacing w:val="-4"/>
          <w:sz w:val="20"/>
          <w:szCs w:val="20"/>
          <w:lang w:eastAsia="en-US"/>
        </w:rPr>
        <w:t xml:space="preserve"> </w:t>
      </w:r>
      <w:r w:rsidRPr="008133B5">
        <w:rPr>
          <w:sz w:val="20"/>
          <w:szCs w:val="20"/>
          <w:lang w:eastAsia="en-US"/>
        </w:rPr>
        <w:t>is</w:t>
      </w:r>
      <w:r w:rsidRPr="008133B5">
        <w:rPr>
          <w:spacing w:val="-3"/>
          <w:sz w:val="20"/>
          <w:szCs w:val="20"/>
          <w:lang w:eastAsia="en-US"/>
        </w:rPr>
        <w:t xml:space="preserve"> </w:t>
      </w:r>
      <w:r w:rsidRPr="008133B5">
        <w:rPr>
          <w:sz w:val="20"/>
          <w:szCs w:val="20"/>
          <w:lang w:eastAsia="en-US"/>
        </w:rPr>
        <w:t>not</w:t>
      </w:r>
      <w:r w:rsidRPr="008133B5">
        <w:rPr>
          <w:spacing w:val="-4"/>
          <w:sz w:val="20"/>
          <w:szCs w:val="20"/>
          <w:lang w:eastAsia="en-US"/>
        </w:rPr>
        <w:t xml:space="preserve"> </w:t>
      </w:r>
      <w:r w:rsidRPr="008133B5">
        <w:rPr>
          <w:sz w:val="20"/>
          <w:szCs w:val="20"/>
          <w:lang w:eastAsia="en-US"/>
        </w:rPr>
        <w:t>on</w:t>
      </w:r>
      <w:r w:rsidRPr="008133B5">
        <w:rPr>
          <w:spacing w:val="-1"/>
          <w:sz w:val="20"/>
          <w:szCs w:val="20"/>
          <w:lang w:eastAsia="en-US"/>
        </w:rPr>
        <w:t xml:space="preserve"> </w:t>
      </w:r>
      <w:r w:rsidRPr="008133B5">
        <w:rPr>
          <w:sz w:val="20"/>
          <w:szCs w:val="20"/>
          <w:lang w:eastAsia="en-US"/>
        </w:rPr>
        <w:t>the 303(d) list.</w:t>
      </w:r>
    </w:p>
    <w:p w:rsidRPr="008133B5" w:rsidR="00A3095D" w:rsidP="00E8254E" w:rsidRDefault="00A3095D" w14:paraId="33A2F931" w14:textId="55724FEB">
      <w:pPr>
        <w:widowControl w:val="0"/>
        <w:numPr>
          <w:ilvl w:val="0"/>
          <w:numId w:val="48"/>
        </w:numPr>
        <w:tabs>
          <w:tab w:val="left" w:pos="360"/>
          <w:tab w:val="left" w:pos="1620"/>
        </w:tabs>
        <w:autoSpaceDE w:val="0"/>
        <w:autoSpaceDN w:val="0"/>
        <w:spacing w:before="40" w:after="40" w:line="240" w:lineRule="auto"/>
        <w:ind w:left="1620" w:right="513" w:hanging="360"/>
        <w:rPr>
          <w:sz w:val="20"/>
          <w:szCs w:val="20"/>
          <w:lang w:eastAsia="en-US"/>
        </w:rPr>
      </w:pPr>
      <w:r w:rsidRPr="008133B5">
        <w:rPr>
          <w:sz w:val="20"/>
          <w:szCs w:val="20"/>
          <w:lang w:eastAsia="en-US"/>
        </w:rPr>
        <w:t>Attainment</w:t>
      </w:r>
      <w:r w:rsidRPr="008133B5">
        <w:rPr>
          <w:spacing w:val="-5"/>
          <w:sz w:val="20"/>
          <w:szCs w:val="20"/>
          <w:lang w:eastAsia="en-US"/>
        </w:rPr>
        <w:t xml:space="preserve"> </w:t>
      </w:r>
      <w:r w:rsidRPr="008133B5">
        <w:rPr>
          <w:sz w:val="20"/>
          <w:szCs w:val="20"/>
          <w:lang w:eastAsia="en-US"/>
        </w:rPr>
        <w:t>of</w:t>
      </w:r>
      <w:r w:rsidRPr="008133B5">
        <w:rPr>
          <w:spacing w:val="-5"/>
          <w:sz w:val="20"/>
          <w:szCs w:val="20"/>
          <w:lang w:eastAsia="en-US"/>
        </w:rPr>
        <w:t xml:space="preserve"> </w:t>
      </w:r>
      <w:r w:rsidRPr="008133B5">
        <w:rPr>
          <w:sz w:val="20"/>
          <w:szCs w:val="20"/>
          <w:lang w:eastAsia="en-US"/>
        </w:rPr>
        <w:t>interim</w:t>
      </w:r>
      <w:r w:rsidRPr="008133B5">
        <w:rPr>
          <w:spacing w:val="-4"/>
          <w:sz w:val="20"/>
          <w:szCs w:val="20"/>
          <w:lang w:eastAsia="en-US"/>
        </w:rPr>
        <w:t xml:space="preserve"> </w:t>
      </w:r>
      <w:r w:rsidRPr="008133B5">
        <w:rPr>
          <w:sz w:val="20"/>
          <w:szCs w:val="20"/>
          <w:lang w:eastAsia="en-US"/>
        </w:rPr>
        <w:t>limits</w:t>
      </w:r>
      <w:r w:rsidRPr="008133B5">
        <w:rPr>
          <w:spacing w:val="-2"/>
          <w:sz w:val="20"/>
          <w:szCs w:val="20"/>
          <w:lang w:eastAsia="en-US"/>
        </w:rPr>
        <w:t xml:space="preserve"> </w:t>
      </w:r>
      <w:r w:rsidRPr="008133B5">
        <w:rPr>
          <w:sz w:val="20"/>
          <w:szCs w:val="20"/>
          <w:lang w:eastAsia="en-US"/>
        </w:rPr>
        <w:t>will</w:t>
      </w:r>
      <w:r w:rsidRPr="008133B5">
        <w:rPr>
          <w:spacing w:val="-5"/>
          <w:sz w:val="20"/>
          <w:szCs w:val="20"/>
          <w:lang w:eastAsia="en-US"/>
        </w:rPr>
        <w:t xml:space="preserve"> </w:t>
      </w:r>
      <w:r w:rsidRPr="008133B5">
        <w:rPr>
          <w:sz w:val="20"/>
          <w:szCs w:val="20"/>
          <w:lang w:eastAsia="en-US"/>
        </w:rPr>
        <w:t>be</w:t>
      </w:r>
      <w:r w:rsidRPr="008133B5">
        <w:rPr>
          <w:spacing w:val="-2"/>
          <w:sz w:val="20"/>
          <w:szCs w:val="20"/>
          <w:lang w:eastAsia="en-US"/>
        </w:rPr>
        <w:t xml:space="preserve"> </w:t>
      </w:r>
      <w:r w:rsidRPr="008133B5">
        <w:rPr>
          <w:sz w:val="20"/>
          <w:szCs w:val="20"/>
          <w:lang w:eastAsia="en-US"/>
        </w:rPr>
        <w:t>evaluated</w:t>
      </w:r>
      <w:r w:rsidRPr="008133B5">
        <w:rPr>
          <w:spacing w:val="-2"/>
          <w:sz w:val="20"/>
          <w:szCs w:val="20"/>
          <w:lang w:eastAsia="en-US"/>
        </w:rPr>
        <w:t xml:space="preserve"> </w:t>
      </w:r>
      <w:r w:rsidRPr="008133B5">
        <w:rPr>
          <w:sz w:val="20"/>
          <w:szCs w:val="20"/>
          <w:lang w:eastAsia="en-US"/>
        </w:rPr>
        <w:t>in</w:t>
      </w:r>
      <w:r w:rsidRPr="008133B5">
        <w:rPr>
          <w:spacing w:val="-5"/>
          <w:sz w:val="20"/>
          <w:szCs w:val="20"/>
          <w:lang w:eastAsia="en-US"/>
        </w:rPr>
        <w:t xml:space="preserve"> </w:t>
      </w:r>
      <w:r w:rsidRPr="008133B5">
        <w:rPr>
          <w:sz w:val="20"/>
          <w:szCs w:val="20"/>
          <w:lang w:eastAsia="en-US"/>
        </w:rPr>
        <w:t>consideration</w:t>
      </w:r>
      <w:r w:rsidRPr="008133B5">
        <w:rPr>
          <w:spacing w:val="-7"/>
          <w:sz w:val="20"/>
          <w:szCs w:val="20"/>
          <w:lang w:eastAsia="en-US"/>
        </w:rPr>
        <w:t xml:space="preserve"> </w:t>
      </w:r>
      <w:r w:rsidRPr="008133B5">
        <w:rPr>
          <w:sz w:val="20"/>
          <w:szCs w:val="20"/>
          <w:lang w:eastAsia="en-US"/>
        </w:rPr>
        <w:t>of</w:t>
      </w:r>
      <w:r w:rsidRPr="008133B5">
        <w:rPr>
          <w:spacing w:val="-3"/>
          <w:sz w:val="20"/>
          <w:szCs w:val="20"/>
          <w:lang w:eastAsia="en-US"/>
        </w:rPr>
        <w:t xml:space="preserve"> </w:t>
      </w:r>
      <w:r w:rsidRPr="008133B5">
        <w:rPr>
          <w:sz w:val="20"/>
          <w:szCs w:val="20"/>
          <w:lang w:eastAsia="en-US"/>
        </w:rPr>
        <w:t>background</w:t>
      </w:r>
      <w:r w:rsidRPr="008133B5">
        <w:rPr>
          <w:spacing w:val="-2"/>
          <w:sz w:val="20"/>
          <w:szCs w:val="20"/>
          <w:lang w:eastAsia="en-US"/>
        </w:rPr>
        <w:t xml:space="preserve"> </w:t>
      </w:r>
      <w:r w:rsidRPr="008133B5">
        <w:rPr>
          <w:sz w:val="20"/>
          <w:szCs w:val="20"/>
          <w:lang w:eastAsia="en-US"/>
        </w:rPr>
        <w:t>loading data, if available consistent with</w:t>
      </w:r>
      <w:r w:rsidR="003244B9">
        <w:rPr>
          <w:sz w:val="20"/>
          <w:szCs w:val="20"/>
          <w:lang w:eastAsia="en-US"/>
        </w:rPr>
        <w:t xml:space="preserve"> </w:t>
      </w:r>
      <w:r w:rsidR="00766ACF">
        <w:rPr>
          <w:sz w:val="20"/>
          <w:szCs w:val="20"/>
          <w:lang w:eastAsia="en-US"/>
        </w:rPr>
        <w:t>USEPA</w:t>
      </w:r>
      <w:r w:rsidRPr="008133B5">
        <w:rPr>
          <w:sz w:val="20"/>
          <w:szCs w:val="20"/>
          <w:lang w:eastAsia="en-US"/>
        </w:rPr>
        <w:t>’s 2016 Recommended Aquatic Life Ambient Water Quality Criterion for Selenium in Freshwater</w:t>
      </w:r>
    </w:p>
    <w:p w:rsidRPr="008C7286" w:rsidR="00A3095D" w:rsidP="00B96052" w:rsidRDefault="00A3095D" w14:paraId="0E3E91AA" w14:textId="77777777">
      <w:pPr>
        <w:pStyle w:val="TableHead"/>
        <w:keepNext/>
        <w:keepLines/>
        <w:ind w:firstLine="1260"/>
        <w:rPr>
          <w:lang w:eastAsia="en-US"/>
        </w:rPr>
      </w:pPr>
      <w:r w:rsidRPr="008C7286">
        <w:rPr>
          <w:lang w:eastAsia="en-US"/>
        </w:rPr>
        <w:t>Interim Limits for Revlon Slough (µg/L)</w:t>
      </w:r>
    </w:p>
    <w:tbl>
      <w:tblPr>
        <w:tblStyle w:val="TableGrid36"/>
        <w:tblW w:w="8062" w:type="dxa"/>
        <w:tblInd w:w="1255" w:type="dxa"/>
        <w:tblLook w:val="04A0" w:firstRow="1" w:lastRow="0" w:firstColumn="1" w:lastColumn="0" w:noHBand="0" w:noVBand="1"/>
      </w:tblPr>
      <w:tblGrid>
        <w:gridCol w:w="1980"/>
        <w:gridCol w:w="2070"/>
        <w:gridCol w:w="1980"/>
        <w:gridCol w:w="2032"/>
      </w:tblGrid>
      <w:tr w:rsidRPr="00A3095D" w:rsidR="00A3095D" w:rsidTr="00B96052" w14:paraId="475B7D1B" w14:textId="77777777">
        <w:tc>
          <w:tcPr>
            <w:tcW w:w="1980" w:type="dxa"/>
            <w:shd w:val="clear" w:color="auto" w:fill="C5E0B3"/>
          </w:tcPr>
          <w:p w:rsidRPr="008923F7" w:rsidR="00A3095D" w:rsidP="008923F7" w:rsidRDefault="00A3095D" w14:paraId="1166D777" w14:textId="77777777">
            <w:pPr>
              <w:keepNext/>
              <w:keepLines/>
              <w:spacing w:before="0" w:after="40" w:line="240" w:lineRule="auto"/>
              <w:rPr>
                <w:rFonts w:ascii="Arial" w:hAnsi="Arial"/>
                <w:b/>
                <w:bCs/>
                <w:spacing w:val="-1"/>
                <w:sz w:val="22"/>
                <w:szCs w:val="22"/>
                <w:lang w:eastAsia="en-US"/>
              </w:rPr>
            </w:pPr>
            <w:r w:rsidRPr="008923F7">
              <w:rPr>
                <w:rFonts w:ascii="Arial" w:hAnsi="Arial"/>
                <w:b/>
                <w:bCs/>
                <w:spacing w:val="-1"/>
                <w:sz w:val="22"/>
                <w:szCs w:val="22"/>
                <w:lang w:eastAsia="en-US"/>
              </w:rPr>
              <w:t>Constituent</w:t>
            </w:r>
          </w:p>
        </w:tc>
        <w:tc>
          <w:tcPr>
            <w:tcW w:w="2070" w:type="dxa"/>
            <w:shd w:val="clear" w:color="auto" w:fill="C5E0B3"/>
          </w:tcPr>
          <w:p w:rsidRPr="008923F7" w:rsidR="00A3095D" w:rsidP="008923F7" w:rsidRDefault="00A3095D" w14:paraId="3164A641" w14:textId="77777777">
            <w:pPr>
              <w:keepNext/>
              <w:keepLines/>
              <w:spacing w:before="0" w:after="40" w:line="240" w:lineRule="auto"/>
              <w:jc w:val="center"/>
              <w:rPr>
                <w:rFonts w:ascii="Arial" w:hAnsi="Arial"/>
                <w:b/>
                <w:bCs/>
                <w:spacing w:val="-1"/>
                <w:sz w:val="22"/>
                <w:szCs w:val="22"/>
                <w:lang w:eastAsia="en-US"/>
              </w:rPr>
            </w:pPr>
            <w:r w:rsidRPr="008923F7">
              <w:rPr>
                <w:rFonts w:ascii="Arial" w:hAnsi="Arial"/>
                <w:b/>
                <w:bCs/>
                <w:spacing w:val="-1"/>
                <w:sz w:val="22"/>
                <w:szCs w:val="22"/>
                <w:lang w:eastAsia="en-US"/>
              </w:rPr>
              <w:t>Dry Weather Daily Maximum</w:t>
            </w:r>
          </w:p>
        </w:tc>
        <w:tc>
          <w:tcPr>
            <w:tcW w:w="1980" w:type="dxa"/>
            <w:shd w:val="clear" w:color="auto" w:fill="C5E0B3"/>
          </w:tcPr>
          <w:p w:rsidRPr="008923F7" w:rsidR="00A3095D" w:rsidP="008923F7" w:rsidRDefault="00A3095D" w14:paraId="7D4AE406" w14:textId="77777777">
            <w:pPr>
              <w:keepNext/>
              <w:keepLines/>
              <w:spacing w:before="0" w:after="40" w:line="240" w:lineRule="auto"/>
              <w:jc w:val="center"/>
              <w:rPr>
                <w:rFonts w:ascii="Arial" w:hAnsi="Arial"/>
                <w:b/>
                <w:bCs/>
                <w:spacing w:val="-1"/>
                <w:sz w:val="22"/>
                <w:szCs w:val="22"/>
                <w:lang w:eastAsia="en-US"/>
              </w:rPr>
            </w:pPr>
            <w:r w:rsidRPr="008923F7">
              <w:rPr>
                <w:rFonts w:ascii="Arial" w:hAnsi="Arial"/>
                <w:b/>
                <w:bCs/>
                <w:spacing w:val="-1"/>
                <w:sz w:val="22"/>
                <w:szCs w:val="22"/>
                <w:lang w:eastAsia="en-US"/>
              </w:rPr>
              <w:t>Dry Weather Monthly Average</w:t>
            </w:r>
          </w:p>
        </w:tc>
        <w:tc>
          <w:tcPr>
            <w:tcW w:w="2032" w:type="dxa"/>
            <w:shd w:val="clear" w:color="auto" w:fill="C5E0B3"/>
          </w:tcPr>
          <w:p w:rsidRPr="008923F7" w:rsidR="00A3095D" w:rsidP="008923F7" w:rsidRDefault="00A3095D" w14:paraId="3D1AC745" w14:textId="77777777">
            <w:pPr>
              <w:keepNext/>
              <w:keepLines/>
              <w:spacing w:before="0" w:after="40" w:line="240" w:lineRule="auto"/>
              <w:jc w:val="center"/>
              <w:rPr>
                <w:rFonts w:ascii="Arial" w:hAnsi="Arial"/>
                <w:b/>
                <w:bCs/>
                <w:spacing w:val="-1"/>
                <w:sz w:val="22"/>
                <w:szCs w:val="22"/>
                <w:lang w:eastAsia="en-US"/>
              </w:rPr>
            </w:pPr>
            <w:r w:rsidRPr="008923F7">
              <w:rPr>
                <w:rFonts w:ascii="Arial" w:hAnsi="Arial"/>
                <w:b/>
                <w:bCs/>
                <w:spacing w:val="-1"/>
                <w:sz w:val="22"/>
                <w:szCs w:val="22"/>
                <w:lang w:eastAsia="en-US"/>
              </w:rPr>
              <w:t>Wet Weather Daily Maximum</w:t>
            </w:r>
          </w:p>
        </w:tc>
      </w:tr>
      <w:tr w:rsidRPr="00A3095D" w:rsidR="00A3095D" w:rsidTr="00B96052" w14:paraId="4220394A" w14:textId="77777777">
        <w:tc>
          <w:tcPr>
            <w:tcW w:w="1980" w:type="dxa"/>
          </w:tcPr>
          <w:p w:rsidRPr="008C7286" w:rsidR="00A3095D" w:rsidP="008923F7" w:rsidRDefault="00A3095D" w14:paraId="1BDB42E3" w14:textId="77777777">
            <w:pPr>
              <w:keepNext/>
              <w:keepLines/>
              <w:spacing w:before="0" w:after="40" w:line="240" w:lineRule="auto"/>
              <w:rPr>
                <w:rFonts w:ascii="Arial" w:hAnsi="Arial"/>
                <w:spacing w:val="-1"/>
                <w:sz w:val="22"/>
                <w:szCs w:val="22"/>
                <w:lang w:eastAsia="en-US"/>
              </w:rPr>
            </w:pPr>
            <w:r w:rsidRPr="008C7286">
              <w:rPr>
                <w:rFonts w:ascii="Arial" w:hAnsi="Arial"/>
                <w:spacing w:val="-1"/>
                <w:sz w:val="22"/>
                <w:szCs w:val="22"/>
                <w:lang w:eastAsia="en-US"/>
              </w:rPr>
              <w:t>Copper</w:t>
            </w:r>
          </w:p>
        </w:tc>
        <w:tc>
          <w:tcPr>
            <w:tcW w:w="2070" w:type="dxa"/>
          </w:tcPr>
          <w:p w:rsidRPr="008C7286" w:rsidR="00A3095D" w:rsidP="008923F7" w:rsidRDefault="00A3095D" w14:paraId="45A1BC48"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23</w:t>
            </w:r>
          </w:p>
        </w:tc>
        <w:tc>
          <w:tcPr>
            <w:tcW w:w="1980" w:type="dxa"/>
          </w:tcPr>
          <w:p w:rsidRPr="008C7286" w:rsidR="00A3095D" w:rsidP="008923F7" w:rsidRDefault="00A3095D" w14:paraId="68C0EA60"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19</w:t>
            </w:r>
          </w:p>
        </w:tc>
        <w:tc>
          <w:tcPr>
            <w:tcW w:w="2032" w:type="dxa"/>
          </w:tcPr>
          <w:p w:rsidRPr="008C7286" w:rsidR="00A3095D" w:rsidP="008923F7" w:rsidRDefault="00A3095D" w14:paraId="4BEC4502"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204</w:t>
            </w:r>
          </w:p>
        </w:tc>
      </w:tr>
      <w:tr w:rsidRPr="00A3095D" w:rsidR="00A3095D" w:rsidTr="00B96052" w14:paraId="54BBE517" w14:textId="77777777">
        <w:tc>
          <w:tcPr>
            <w:tcW w:w="1980" w:type="dxa"/>
          </w:tcPr>
          <w:p w:rsidRPr="008C7286" w:rsidR="00A3095D" w:rsidP="008923F7" w:rsidRDefault="00A3095D" w14:paraId="6942A45F" w14:textId="77777777">
            <w:pPr>
              <w:keepNext/>
              <w:keepLines/>
              <w:spacing w:before="0" w:after="40" w:line="240" w:lineRule="auto"/>
              <w:rPr>
                <w:rFonts w:ascii="Arial" w:hAnsi="Arial"/>
                <w:spacing w:val="-1"/>
                <w:sz w:val="22"/>
                <w:szCs w:val="22"/>
                <w:lang w:eastAsia="en-US"/>
              </w:rPr>
            </w:pPr>
            <w:r w:rsidRPr="008C7286">
              <w:rPr>
                <w:rFonts w:ascii="Arial" w:hAnsi="Arial"/>
                <w:spacing w:val="-1"/>
                <w:sz w:val="22"/>
                <w:szCs w:val="22"/>
                <w:lang w:eastAsia="en-US"/>
              </w:rPr>
              <w:t>Nickel</w:t>
            </w:r>
          </w:p>
        </w:tc>
        <w:tc>
          <w:tcPr>
            <w:tcW w:w="2070" w:type="dxa"/>
          </w:tcPr>
          <w:p w:rsidRPr="008C7286" w:rsidR="00A3095D" w:rsidP="008923F7" w:rsidRDefault="00A3095D" w14:paraId="3CA8BE35"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15</w:t>
            </w:r>
          </w:p>
        </w:tc>
        <w:tc>
          <w:tcPr>
            <w:tcW w:w="1980" w:type="dxa"/>
          </w:tcPr>
          <w:p w:rsidRPr="008C7286" w:rsidR="00A3095D" w:rsidP="008923F7" w:rsidRDefault="00A3095D" w14:paraId="3095CE19"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13</w:t>
            </w:r>
          </w:p>
        </w:tc>
        <w:tc>
          <w:tcPr>
            <w:tcW w:w="2032" w:type="dxa"/>
          </w:tcPr>
          <w:p w:rsidRPr="008C7286" w:rsidR="00A3095D" w:rsidP="008923F7" w:rsidRDefault="00A3095D" w14:paraId="7E105C8F"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(a)</w:t>
            </w:r>
          </w:p>
        </w:tc>
      </w:tr>
      <w:tr w:rsidRPr="00A3095D" w:rsidR="00A3095D" w:rsidTr="00B96052" w14:paraId="41F16EB1" w14:textId="77777777">
        <w:tc>
          <w:tcPr>
            <w:tcW w:w="1980" w:type="dxa"/>
          </w:tcPr>
          <w:p w:rsidRPr="008C7286" w:rsidR="00A3095D" w:rsidP="008923F7" w:rsidRDefault="00A3095D" w14:paraId="47508908" w14:textId="77777777">
            <w:pPr>
              <w:keepNext/>
              <w:keepLines/>
              <w:spacing w:before="0" w:after="40" w:line="240" w:lineRule="auto"/>
              <w:rPr>
                <w:rFonts w:ascii="Arial" w:hAnsi="Arial"/>
                <w:spacing w:val="-1"/>
                <w:sz w:val="22"/>
                <w:szCs w:val="22"/>
                <w:lang w:eastAsia="en-US"/>
              </w:rPr>
            </w:pPr>
            <w:r w:rsidRPr="008C7286">
              <w:rPr>
                <w:rFonts w:ascii="Arial" w:hAnsi="Arial"/>
                <w:spacing w:val="-1"/>
                <w:sz w:val="22"/>
                <w:szCs w:val="22"/>
                <w:lang w:eastAsia="en-US"/>
              </w:rPr>
              <w:t>Selenium</w:t>
            </w:r>
          </w:p>
        </w:tc>
        <w:tc>
          <w:tcPr>
            <w:tcW w:w="2070" w:type="dxa"/>
          </w:tcPr>
          <w:p w:rsidRPr="008C7286" w:rsidR="00A3095D" w:rsidP="008923F7" w:rsidRDefault="00A3095D" w14:paraId="77A5E466"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14 (c)</w:t>
            </w:r>
          </w:p>
        </w:tc>
        <w:tc>
          <w:tcPr>
            <w:tcW w:w="1980" w:type="dxa"/>
          </w:tcPr>
          <w:p w:rsidRPr="008C7286" w:rsidR="00A3095D" w:rsidP="008923F7" w:rsidRDefault="00A3095D" w14:paraId="32381DDC"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13 (c)</w:t>
            </w:r>
          </w:p>
        </w:tc>
        <w:tc>
          <w:tcPr>
            <w:tcW w:w="2032" w:type="dxa"/>
          </w:tcPr>
          <w:p w:rsidRPr="008C7286" w:rsidR="00A3095D" w:rsidP="008923F7" w:rsidRDefault="00A3095D" w14:paraId="2DDE3DB1" w14:textId="77777777">
            <w:pPr>
              <w:keepNext/>
              <w:keepLines/>
              <w:spacing w:before="0" w:after="40" w:line="240" w:lineRule="auto"/>
              <w:jc w:val="center"/>
              <w:rPr>
                <w:rFonts w:ascii="Arial" w:hAnsi="Arial"/>
                <w:spacing w:val="-1"/>
                <w:sz w:val="22"/>
                <w:szCs w:val="22"/>
                <w:lang w:eastAsia="en-US"/>
              </w:rPr>
            </w:pPr>
            <w:r w:rsidRPr="008C7286">
              <w:rPr>
                <w:rFonts w:ascii="Arial" w:hAnsi="Arial"/>
                <w:spacing w:val="-1"/>
                <w:sz w:val="22"/>
                <w:szCs w:val="22"/>
                <w:lang w:eastAsia="en-US"/>
              </w:rPr>
              <w:t>(b)</w:t>
            </w:r>
          </w:p>
        </w:tc>
      </w:tr>
    </w:tbl>
    <w:p w:rsidRPr="00A75CA2" w:rsidR="00A3095D" w:rsidP="00B96052" w:rsidRDefault="00A3095D" w14:paraId="66304966" w14:textId="77777777">
      <w:pPr>
        <w:widowControl w:val="0"/>
        <w:spacing w:before="28" w:after="60" w:line="240" w:lineRule="auto"/>
        <w:ind w:left="1620" w:right="204" w:hanging="360"/>
        <w:rPr>
          <w:sz w:val="20"/>
          <w:szCs w:val="20"/>
          <w:u w:val="single"/>
          <w:lang w:eastAsia="en-US"/>
        </w:rPr>
      </w:pPr>
      <w:r w:rsidRPr="00A75CA2">
        <w:rPr>
          <w:sz w:val="20"/>
          <w:szCs w:val="20"/>
          <w:u w:val="single"/>
          <w:lang w:eastAsia="en-US"/>
        </w:rPr>
        <w:t>Table Notes</w:t>
      </w:r>
    </w:p>
    <w:p w:rsidRPr="00A75CA2" w:rsidR="00A3095D" w:rsidP="00E8254E" w:rsidRDefault="00A3095D" w14:paraId="657CCABC" w14:textId="77777777">
      <w:pPr>
        <w:widowControl w:val="0"/>
        <w:numPr>
          <w:ilvl w:val="0"/>
          <w:numId w:val="49"/>
        </w:numPr>
        <w:autoSpaceDE w:val="0"/>
        <w:autoSpaceDN w:val="0"/>
        <w:spacing w:before="40" w:after="40" w:line="240" w:lineRule="auto"/>
        <w:ind w:left="1710" w:right="204" w:hanging="450"/>
        <w:rPr>
          <w:sz w:val="20"/>
          <w:szCs w:val="20"/>
          <w:lang w:eastAsia="en-US"/>
        </w:rPr>
      </w:pPr>
      <w:r w:rsidRPr="00A75CA2">
        <w:rPr>
          <w:sz w:val="20"/>
          <w:szCs w:val="20"/>
          <w:lang w:eastAsia="en-US"/>
        </w:rPr>
        <w:t>The</w:t>
      </w:r>
      <w:r w:rsidRPr="00A75CA2">
        <w:rPr>
          <w:spacing w:val="-2"/>
          <w:sz w:val="20"/>
          <w:szCs w:val="20"/>
          <w:lang w:eastAsia="en-US"/>
        </w:rPr>
        <w:t xml:space="preserve"> </w:t>
      </w:r>
      <w:r w:rsidRPr="00A75CA2">
        <w:rPr>
          <w:sz w:val="20"/>
          <w:szCs w:val="20"/>
          <w:lang w:eastAsia="en-US"/>
        </w:rPr>
        <w:t>current</w:t>
      </w:r>
      <w:r w:rsidRPr="00A75CA2">
        <w:rPr>
          <w:spacing w:val="-4"/>
          <w:sz w:val="20"/>
          <w:szCs w:val="20"/>
          <w:lang w:eastAsia="en-US"/>
        </w:rPr>
        <w:t xml:space="preserve"> </w:t>
      </w:r>
      <w:r w:rsidRPr="00A75CA2">
        <w:rPr>
          <w:sz w:val="20"/>
          <w:szCs w:val="20"/>
          <w:lang w:eastAsia="en-US"/>
        </w:rPr>
        <w:t>loads</w:t>
      </w:r>
      <w:r w:rsidRPr="00A75CA2">
        <w:rPr>
          <w:spacing w:val="-3"/>
          <w:sz w:val="20"/>
          <w:szCs w:val="20"/>
          <w:lang w:eastAsia="en-US"/>
        </w:rPr>
        <w:t xml:space="preserve"> </w:t>
      </w:r>
      <w:r w:rsidRPr="00A75CA2">
        <w:rPr>
          <w:sz w:val="20"/>
          <w:szCs w:val="20"/>
          <w:lang w:eastAsia="en-US"/>
        </w:rPr>
        <w:t>do</w:t>
      </w:r>
      <w:r w:rsidRPr="00A75CA2">
        <w:rPr>
          <w:spacing w:val="-4"/>
          <w:sz w:val="20"/>
          <w:szCs w:val="20"/>
          <w:lang w:eastAsia="en-US"/>
        </w:rPr>
        <w:t xml:space="preserve"> </w:t>
      </w:r>
      <w:r w:rsidRPr="00A75CA2">
        <w:rPr>
          <w:sz w:val="20"/>
          <w:szCs w:val="20"/>
          <w:lang w:eastAsia="en-US"/>
        </w:rPr>
        <w:t>not</w:t>
      </w:r>
      <w:r w:rsidRPr="00A75CA2">
        <w:rPr>
          <w:spacing w:val="-3"/>
          <w:sz w:val="20"/>
          <w:szCs w:val="20"/>
          <w:lang w:eastAsia="en-US"/>
        </w:rPr>
        <w:t xml:space="preserve"> </w:t>
      </w:r>
      <w:r w:rsidRPr="00A75CA2">
        <w:rPr>
          <w:sz w:val="20"/>
          <w:szCs w:val="20"/>
          <w:lang w:eastAsia="en-US"/>
        </w:rPr>
        <w:t>exceed</w:t>
      </w:r>
      <w:r w:rsidRPr="00A75CA2">
        <w:rPr>
          <w:spacing w:val="-2"/>
          <w:sz w:val="20"/>
          <w:szCs w:val="20"/>
          <w:lang w:eastAsia="en-US"/>
        </w:rPr>
        <w:t xml:space="preserve"> </w:t>
      </w:r>
      <w:r w:rsidRPr="00A75CA2">
        <w:rPr>
          <w:sz w:val="20"/>
          <w:szCs w:val="20"/>
          <w:lang w:eastAsia="en-US"/>
        </w:rPr>
        <w:t>the</w:t>
      </w:r>
      <w:r w:rsidRPr="00A75CA2">
        <w:rPr>
          <w:spacing w:val="-4"/>
          <w:sz w:val="20"/>
          <w:szCs w:val="20"/>
          <w:lang w:eastAsia="en-US"/>
        </w:rPr>
        <w:t xml:space="preserve"> </w:t>
      </w:r>
      <w:r w:rsidRPr="00A75CA2">
        <w:rPr>
          <w:sz w:val="20"/>
          <w:szCs w:val="20"/>
          <w:lang w:eastAsia="en-US"/>
        </w:rPr>
        <w:t>TMDL</w:t>
      </w:r>
      <w:r w:rsidRPr="00A75CA2">
        <w:rPr>
          <w:spacing w:val="-2"/>
          <w:sz w:val="20"/>
          <w:szCs w:val="20"/>
          <w:lang w:eastAsia="en-US"/>
        </w:rPr>
        <w:t xml:space="preserve"> </w:t>
      </w:r>
      <w:r w:rsidRPr="00A75CA2">
        <w:rPr>
          <w:sz w:val="20"/>
          <w:szCs w:val="20"/>
          <w:lang w:eastAsia="en-US"/>
        </w:rPr>
        <w:t>under</w:t>
      </w:r>
      <w:r w:rsidRPr="00A75CA2">
        <w:rPr>
          <w:spacing w:val="-3"/>
          <w:sz w:val="20"/>
          <w:szCs w:val="20"/>
          <w:lang w:eastAsia="en-US"/>
        </w:rPr>
        <w:t xml:space="preserve"> </w:t>
      </w:r>
      <w:r w:rsidRPr="00A75CA2">
        <w:rPr>
          <w:sz w:val="20"/>
          <w:szCs w:val="20"/>
          <w:lang w:eastAsia="en-US"/>
        </w:rPr>
        <w:t>wet</w:t>
      </w:r>
      <w:r w:rsidRPr="00A75CA2">
        <w:rPr>
          <w:spacing w:val="-3"/>
          <w:sz w:val="20"/>
          <w:szCs w:val="20"/>
          <w:lang w:eastAsia="en-US"/>
        </w:rPr>
        <w:t xml:space="preserve"> </w:t>
      </w:r>
      <w:r w:rsidRPr="00A75CA2">
        <w:rPr>
          <w:sz w:val="20"/>
          <w:szCs w:val="20"/>
          <w:lang w:eastAsia="en-US"/>
        </w:rPr>
        <w:t>conditions;</w:t>
      </w:r>
      <w:r w:rsidRPr="00A75CA2">
        <w:rPr>
          <w:spacing w:val="-5"/>
          <w:sz w:val="20"/>
          <w:szCs w:val="20"/>
          <w:lang w:eastAsia="en-US"/>
        </w:rPr>
        <w:t xml:space="preserve"> </w:t>
      </w:r>
      <w:r w:rsidRPr="00A75CA2">
        <w:rPr>
          <w:sz w:val="20"/>
          <w:szCs w:val="20"/>
          <w:lang w:eastAsia="en-US"/>
        </w:rPr>
        <w:t>interim</w:t>
      </w:r>
      <w:r w:rsidRPr="00A75CA2">
        <w:rPr>
          <w:spacing w:val="-3"/>
          <w:sz w:val="20"/>
          <w:szCs w:val="20"/>
          <w:lang w:eastAsia="en-US"/>
        </w:rPr>
        <w:t xml:space="preserve"> </w:t>
      </w:r>
      <w:r w:rsidRPr="00A75CA2">
        <w:rPr>
          <w:sz w:val="20"/>
          <w:szCs w:val="20"/>
          <w:lang w:eastAsia="en-US"/>
        </w:rPr>
        <w:t>limits</w:t>
      </w:r>
      <w:r w:rsidRPr="00A75CA2">
        <w:rPr>
          <w:spacing w:val="-2"/>
          <w:sz w:val="20"/>
          <w:szCs w:val="20"/>
          <w:lang w:eastAsia="en-US"/>
        </w:rPr>
        <w:t xml:space="preserve"> </w:t>
      </w:r>
      <w:r w:rsidRPr="00A75CA2">
        <w:rPr>
          <w:sz w:val="20"/>
          <w:szCs w:val="20"/>
          <w:lang w:eastAsia="en-US"/>
        </w:rPr>
        <w:t>are not required.</w:t>
      </w:r>
    </w:p>
    <w:p w:rsidRPr="00A75CA2" w:rsidR="00A3095D" w:rsidP="00E8254E" w:rsidRDefault="00A3095D" w14:paraId="7F7A71B9" w14:textId="77777777">
      <w:pPr>
        <w:widowControl w:val="0"/>
        <w:numPr>
          <w:ilvl w:val="0"/>
          <w:numId w:val="49"/>
        </w:numPr>
        <w:autoSpaceDE w:val="0"/>
        <w:autoSpaceDN w:val="0"/>
        <w:spacing w:before="40" w:after="40" w:line="240" w:lineRule="auto"/>
        <w:ind w:left="1710" w:right="513" w:hanging="450"/>
        <w:rPr>
          <w:sz w:val="20"/>
          <w:szCs w:val="20"/>
          <w:lang w:eastAsia="en-US"/>
        </w:rPr>
      </w:pPr>
      <w:r w:rsidRPr="00A75CA2">
        <w:rPr>
          <w:sz w:val="20"/>
          <w:szCs w:val="20"/>
          <w:lang w:eastAsia="en-US"/>
        </w:rPr>
        <w:t>Selenium</w:t>
      </w:r>
      <w:r w:rsidRPr="00A75CA2">
        <w:rPr>
          <w:spacing w:val="-3"/>
          <w:sz w:val="20"/>
          <w:szCs w:val="20"/>
          <w:lang w:eastAsia="en-US"/>
        </w:rPr>
        <w:t xml:space="preserve"> </w:t>
      </w:r>
      <w:r w:rsidRPr="00A75CA2">
        <w:rPr>
          <w:sz w:val="20"/>
          <w:szCs w:val="20"/>
          <w:lang w:eastAsia="en-US"/>
        </w:rPr>
        <w:t>allocations</w:t>
      </w:r>
      <w:r w:rsidRPr="00A75CA2">
        <w:rPr>
          <w:spacing w:val="-3"/>
          <w:sz w:val="20"/>
          <w:szCs w:val="20"/>
          <w:lang w:eastAsia="en-US"/>
        </w:rPr>
        <w:t xml:space="preserve"> </w:t>
      </w:r>
      <w:r w:rsidRPr="00A75CA2">
        <w:rPr>
          <w:sz w:val="20"/>
          <w:szCs w:val="20"/>
          <w:lang w:eastAsia="en-US"/>
        </w:rPr>
        <w:t>have</w:t>
      </w:r>
      <w:r w:rsidRPr="00A75CA2">
        <w:rPr>
          <w:spacing w:val="-1"/>
          <w:sz w:val="20"/>
          <w:szCs w:val="20"/>
          <w:lang w:eastAsia="en-US"/>
        </w:rPr>
        <w:t xml:space="preserve"> </w:t>
      </w:r>
      <w:r w:rsidRPr="00A75CA2">
        <w:rPr>
          <w:sz w:val="20"/>
          <w:szCs w:val="20"/>
          <w:lang w:eastAsia="en-US"/>
        </w:rPr>
        <w:t>not</w:t>
      </w:r>
      <w:r w:rsidRPr="00A75CA2">
        <w:rPr>
          <w:spacing w:val="-6"/>
          <w:sz w:val="20"/>
          <w:szCs w:val="20"/>
          <w:lang w:eastAsia="en-US"/>
        </w:rPr>
        <w:t xml:space="preserve"> </w:t>
      </w:r>
      <w:r w:rsidRPr="00A75CA2">
        <w:rPr>
          <w:sz w:val="20"/>
          <w:szCs w:val="20"/>
          <w:lang w:eastAsia="en-US"/>
        </w:rPr>
        <w:t>been</w:t>
      </w:r>
      <w:r w:rsidRPr="00A75CA2">
        <w:rPr>
          <w:spacing w:val="-4"/>
          <w:sz w:val="20"/>
          <w:szCs w:val="20"/>
          <w:lang w:eastAsia="en-US"/>
        </w:rPr>
        <w:t xml:space="preserve"> </w:t>
      </w:r>
      <w:r w:rsidRPr="00A75CA2">
        <w:rPr>
          <w:sz w:val="20"/>
          <w:szCs w:val="20"/>
          <w:lang w:eastAsia="en-US"/>
        </w:rPr>
        <w:t>developed</w:t>
      </w:r>
      <w:r w:rsidRPr="00A75CA2">
        <w:rPr>
          <w:spacing w:val="-1"/>
          <w:sz w:val="20"/>
          <w:szCs w:val="20"/>
          <w:lang w:eastAsia="en-US"/>
        </w:rPr>
        <w:t xml:space="preserve"> </w:t>
      </w:r>
      <w:r w:rsidRPr="00A75CA2">
        <w:rPr>
          <w:sz w:val="20"/>
          <w:szCs w:val="20"/>
          <w:lang w:eastAsia="en-US"/>
        </w:rPr>
        <w:t>for</w:t>
      </w:r>
      <w:r w:rsidRPr="00A75CA2">
        <w:rPr>
          <w:spacing w:val="-2"/>
          <w:sz w:val="20"/>
          <w:szCs w:val="20"/>
          <w:lang w:eastAsia="en-US"/>
        </w:rPr>
        <w:t xml:space="preserve"> </w:t>
      </w:r>
      <w:r w:rsidRPr="00A75CA2">
        <w:rPr>
          <w:sz w:val="20"/>
          <w:szCs w:val="20"/>
          <w:lang w:eastAsia="en-US"/>
        </w:rPr>
        <w:t>this</w:t>
      </w:r>
      <w:r w:rsidRPr="00A75CA2">
        <w:rPr>
          <w:spacing w:val="-1"/>
          <w:sz w:val="20"/>
          <w:szCs w:val="20"/>
          <w:lang w:eastAsia="en-US"/>
        </w:rPr>
        <w:t xml:space="preserve"> </w:t>
      </w:r>
      <w:r w:rsidRPr="00A75CA2">
        <w:rPr>
          <w:sz w:val="20"/>
          <w:szCs w:val="20"/>
          <w:lang w:eastAsia="en-US"/>
        </w:rPr>
        <w:t>reach</w:t>
      </w:r>
      <w:r w:rsidRPr="00A75CA2">
        <w:rPr>
          <w:spacing w:val="-4"/>
          <w:sz w:val="20"/>
          <w:szCs w:val="20"/>
          <w:lang w:eastAsia="en-US"/>
        </w:rPr>
        <w:t xml:space="preserve"> </w:t>
      </w:r>
      <w:r w:rsidRPr="00A75CA2">
        <w:rPr>
          <w:sz w:val="20"/>
          <w:szCs w:val="20"/>
          <w:lang w:eastAsia="en-US"/>
        </w:rPr>
        <w:t>as</w:t>
      </w:r>
      <w:r w:rsidRPr="00A75CA2">
        <w:rPr>
          <w:spacing w:val="-1"/>
          <w:sz w:val="20"/>
          <w:szCs w:val="20"/>
          <w:lang w:eastAsia="en-US"/>
        </w:rPr>
        <w:t xml:space="preserve"> </w:t>
      </w:r>
      <w:r w:rsidRPr="00A75CA2">
        <w:rPr>
          <w:sz w:val="20"/>
          <w:szCs w:val="20"/>
          <w:lang w:eastAsia="en-US"/>
        </w:rPr>
        <w:t>it</w:t>
      </w:r>
      <w:r w:rsidRPr="00A75CA2">
        <w:rPr>
          <w:spacing w:val="-4"/>
          <w:sz w:val="20"/>
          <w:szCs w:val="20"/>
          <w:lang w:eastAsia="en-US"/>
        </w:rPr>
        <w:t xml:space="preserve"> </w:t>
      </w:r>
      <w:r w:rsidRPr="00A75CA2">
        <w:rPr>
          <w:sz w:val="20"/>
          <w:szCs w:val="20"/>
          <w:lang w:eastAsia="en-US"/>
        </w:rPr>
        <w:t>is</w:t>
      </w:r>
      <w:r w:rsidRPr="00A75CA2">
        <w:rPr>
          <w:spacing w:val="-3"/>
          <w:sz w:val="20"/>
          <w:szCs w:val="20"/>
          <w:lang w:eastAsia="en-US"/>
        </w:rPr>
        <w:t xml:space="preserve"> </w:t>
      </w:r>
      <w:r w:rsidRPr="00A75CA2">
        <w:rPr>
          <w:sz w:val="20"/>
          <w:szCs w:val="20"/>
          <w:lang w:eastAsia="en-US"/>
        </w:rPr>
        <w:t>not</w:t>
      </w:r>
      <w:r w:rsidRPr="00A75CA2">
        <w:rPr>
          <w:spacing w:val="-4"/>
          <w:sz w:val="20"/>
          <w:szCs w:val="20"/>
          <w:lang w:eastAsia="en-US"/>
        </w:rPr>
        <w:t xml:space="preserve"> </w:t>
      </w:r>
      <w:r w:rsidRPr="00A75CA2">
        <w:rPr>
          <w:sz w:val="20"/>
          <w:szCs w:val="20"/>
          <w:lang w:eastAsia="en-US"/>
        </w:rPr>
        <w:t>on</w:t>
      </w:r>
      <w:r w:rsidRPr="00A75CA2">
        <w:rPr>
          <w:spacing w:val="-1"/>
          <w:sz w:val="20"/>
          <w:szCs w:val="20"/>
          <w:lang w:eastAsia="en-US"/>
        </w:rPr>
        <w:t xml:space="preserve"> </w:t>
      </w:r>
      <w:r w:rsidRPr="00A75CA2">
        <w:rPr>
          <w:sz w:val="20"/>
          <w:szCs w:val="20"/>
          <w:lang w:eastAsia="en-US"/>
        </w:rPr>
        <w:t>the 303(d) list.</w:t>
      </w:r>
    </w:p>
    <w:p w:rsidRPr="00A75CA2" w:rsidR="00A3095D" w:rsidP="00E8254E" w:rsidRDefault="00A3095D" w14:paraId="1769C7D6" w14:textId="72C4AB28">
      <w:pPr>
        <w:widowControl w:val="0"/>
        <w:numPr>
          <w:ilvl w:val="0"/>
          <w:numId w:val="49"/>
        </w:numPr>
        <w:autoSpaceDE w:val="0"/>
        <w:autoSpaceDN w:val="0"/>
        <w:spacing w:before="40" w:line="240" w:lineRule="auto"/>
        <w:ind w:left="1710" w:right="115" w:hanging="450"/>
        <w:rPr>
          <w:sz w:val="20"/>
          <w:szCs w:val="20"/>
          <w:lang w:eastAsia="en-US"/>
        </w:rPr>
      </w:pPr>
      <w:r w:rsidRPr="00A75CA2">
        <w:rPr>
          <w:sz w:val="20"/>
          <w:szCs w:val="20"/>
          <w:lang w:eastAsia="en-US"/>
        </w:rPr>
        <w:t>Attainment</w:t>
      </w:r>
      <w:r w:rsidRPr="00A75CA2">
        <w:rPr>
          <w:spacing w:val="-5"/>
          <w:sz w:val="20"/>
          <w:szCs w:val="20"/>
          <w:lang w:eastAsia="en-US"/>
        </w:rPr>
        <w:t xml:space="preserve"> </w:t>
      </w:r>
      <w:r w:rsidRPr="00A75CA2">
        <w:rPr>
          <w:sz w:val="20"/>
          <w:szCs w:val="20"/>
          <w:lang w:eastAsia="en-US"/>
        </w:rPr>
        <w:t>of</w:t>
      </w:r>
      <w:r w:rsidRPr="00A75CA2">
        <w:rPr>
          <w:spacing w:val="-5"/>
          <w:sz w:val="20"/>
          <w:szCs w:val="20"/>
          <w:lang w:eastAsia="en-US"/>
        </w:rPr>
        <w:t xml:space="preserve"> </w:t>
      </w:r>
      <w:r w:rsidRPr="00A75CA2">
        <w:rPr>
          <w:sz w:val="20"/>
          <w:szCs w:val="20"/>
          <w:lang w:eastAsia="en-US"/>
        </w:rPr>
        <w:t>interim</w:t>
      </w:r>
      <w:r w:rsidRPr="00A75CA2">
        <w:rPr>
          <w:spacing w:val="-4"/>
          <w:sz w:val="20"/>
          <w:szCs w:val="20"/>
          <w:lang w:eastAsia="en-US"/>
        </w:rPr>
        <w:t xml:space="preserve"> </w:t>
      </w:r>
      <w:r w:rsidRPr="00A75CA2">
        <w:rPr>
          <w:sz w:val="20"/>
          <w:szCs w:val="20"/>
          <w:lang w:eastAsia="en-US"/>
        </w:rPr>
        <w:t>limits</w:t>
      </w:r>
      <w:r w:rsidRPr="00A75CA2">
        <w:rPr>
          <w:spacing w:val="-2"/>
          <w:sz w:val="20"/>
          <w:szCs w:val="20"/>
          <w:lang w:eastAsia="en-US"/>
        </w:rPr>
        <w:t xml:space="preserve"> </w:t>
      </w:r>
      <w:r w:rsidRPr="00A75CA2">
        <w:rPr>
          <w:sz w:val="20"/>
          <w:szCs w:val="20"/>
          <w:lang w:eastAsia="en-US"/>
        </w:rPr>
        <w:t>will</w:t>
      </w:r>
      <w:r w:rsidRPr="00A75CA2">
        <w:rPr>
          <w:spacing w:val="-5"/>
          <w:sz w:val="20"/>
          <w:szCs w:val="20"/>
          <w:lang w:eastAsia="en-US"/>
        </w:rPr>
        <w:t xml:space="preserve"> </w:t>
      </w:r>
      <w:r w:rsidRPr="00A75CA2">
        <w:rPr>
          <w:sz w:val="20"/>
          <w:szCs w:val="20"/>
          <w:lang w:eastAsia="en-US"/>
        </w:rPr>
        <w:t>be</w:t>
      </w:r>
      <w:r w:rsidRPr="00A75CA2">
        <w:rPr>
          <w:spacing w:val="-2"/>
          <w:sz w:val="20"/>
          <w:szCs w:val="20"/>
          <w:lang w:eastAsia="en-US"/>
        </w:rPr>
        <w:t xml:space="preserve"> </w:t>
      </w:r>
      <w:r w:rsidRPr="00A75CA2">
        <w:rPr>
          <w:sz w:val="20"/>
          <w:szCs w:val="20"/>
          <w:lang w:eastAsia="en-US"/>
        </w:rPr>
        <w:t>evaluated</w:t>
      </w:r>
      <w:r w:rsidRPr="00A75CA2">
        <w:rPr>
          <w:spacing w:val="-2"/>
          <w:sz w:val="20"/>
          <w:szCs w:val="20"/>
          <w:lang w:eastAsia="en-US"/>
        </w:rPr>
        <w:t xml:space="preserve"> </w:t>
      </w:r>
      <w:r w:rsidRPr="00A75CA2">
        <w:rPr>
          <w:sz w:val="20"/>
          <w:szCs w:val="20"/>
          <w:lang w:eastAsia="en-US"/>
        </w:rPr>
        <w:t>in</w:t>
      </w:r>
      <w:r w:rsidRPr="00A75CA2">
        <w:rPr>
          <w:spacing w:val="-5"/>
          <w:sz w:val="20"/>
          <w:szCs w:val="20"/>
          <w:lang w:eastAsia="en-US"/>
        </w:rPr>
        <w:t xml:space="preserve"> </w:t>
      </w:r>
      <w:r w:rsidRPr="00A75CA2">
        <w:rPr>
          <w:sz w:val="20"/>
          <w:szCs w:val="20"/>
          <w:lang w:eastAsia="en-US"/>
        </w:rPr>
        <w:t>consideration</w:t>
      </w:r>
      <w:r w:rsidRPr="00A75CA2">
        <w:rPr>
          <w:spacing w:val="-7"/>
          <w:sz w:val="20"/>
          <w:szCs w:val="20"/>
          <w:lang w:eastAsia="en-US"/>
        </w:rPr>
        <w:t xml:space="preserve"> </w:t>
      </w:r>
      <w:r w:rsidRPr="00A75CA2">
        <w:rPr>
          <w:sz w:val="20"/>
          <w:szCs w:val="20"/>
          <w:lang w:eastAsia="en-US"/>
        </w:rPr>
        <w:t>of</w:t>
      </w:r>
      <w:r w:rsidRPr="00A75CA2">
        <w:rPr>
          <w:spacing w:val="-3"/>
          <w:sz w:val="20"/>
          <w:szCs w:val="20"/>
          <w:lang w:eastAsia="en-US"/>
        </w:rPr>
        <w:t xml:space="preserve"> </w:t>
      </w:r>
      <w:r w:rsidRPr="00A75CA2">
        <w:rPr>
          <w:sz w:val="20"/>
          <w:szCs w:val="20"/>
          <w:lang w:eastAsia="en-US"/>
        </w:rPr>
        <w:t>background</w:t>
      </w:r>
      <w:r w:rsidRPr="00A75CA2">
        <w:rPr>
          <w:spacing w:val="-2"/>
          <w:sz w:val="20"/>
          <w:szCs w:val="20"/>
          <w:lang w:eastAsia="en-US"/>
        </w:rPr>
        <w:t xml:space="preserve"> </w:t>
      </w:r>
      <w:r w:rsidRPr="00A75CA2">
        <w:rPr>
          <w:sz w:val="20"/>
          <w:szCs w:val="20"/>
          <w:lang w:eastAsia="en-US"/>
        </w:rPr>
        <w:t xml:space="preserve">loading data, if available consistent with </w:t>
      </w:r>
      <w:r w:rsidR="00766ACF">
        <w:rPr>
          <w:sz w:val="20"/>
          <w:szCs w:val="20"/>
          <w:lang w:eastAsia="en-US"/>
        </w:rPr>
        <w:t>USEPA</w:t>
      </w:r>
      <w:r w:rsidRPr="00A75CA2">
        <w:rPr>
          <w:sz w:val="20"/>
          <w:szCs w:val="20"/>
          <w:lang w:eastAsia="en-US"/>
        </w:rPr>
        <w:t>’s 2016 Recommended Aquatic Life Ambient Water Quality Criterion for Selenium in Freshwater.</w:t>
      </w:r>
    </w:p>
    <w:p w:rsidRPr="00A3095D" w:rsidR="00A3095D" w:rsidP="00E8254E" w:rsidRDefault="00A3095D" w14:paraId="50241982" w14:textId="77777777">
      <w:pPr>
        <w:numPr>
          <w:ilvl w:val="0"/>
          <w:numId w:val="47"/>
        </w:numPr>
        <w:ind w:left="1620"/>
        <w:contextualSpacing/>
        <w:rPr>
          <w:rFonts w:cs="Arial"/>
          <w:lang w:eastAsia="en-US"/>
        </w:rPr>
      </w:pPr>
      <w:r w:rsidRPr="00A3095D">
        <w:rPr>
          <w:rFonts w:cs="Arial"/>
          <w:lang w:eastAsia="en-US"/>
        </w:rPr>
        <w:t xml:space="preserve">Final Wasteload Allocations for Total Recoverable Copper, Nickel, and Selenium </w:t>
      </w:r>
    </w:p>
    <w:p w:rsidRPr="00A3095D" w:rsidR="00A3095D" w:rsidP="00A75CA2" w:rsidRDefault="00A3095D" w14:paraId="13F375FB" w14:textId="5165EF36">
      <w:pPr>
        <w:ind w:left="1980"/>
        <w:rPr>
          <w:rFonts w:cs="Arial"/>
          <w:lang w:eastAsia="en-US"/>
        </w:rPr>
      </w:pPr>
      <w:r w:rsidRPr="00A3095D">
        <w:rPr>
          <w:rFonts w:cs="Arial"/>
          <w:lang w:eastAsia="en-US"/>
        </w:rPr>
        <w:t>Final wasteload allocations where Q is the Daily Storm Volume and WER is the Water Effects Ratio</w:t>
      </w:r>
      <w:r w:rsidR="008B4658">
        <w:rPr>
          <w:rFonts w:cs="Arial"/>
          <w:lang w:eastAsia="en-US"/>
        </w:rPr>
        <w:t>.</w:t>
      </w:r>
    </w:p>
    <w:p w:rsidRPr="00D54946" w:rsidR="00A3095D" w:rsidP="00B96052" w:rsidRDefault="00A3095D" w14:paraId="7E01EB48" w14:textId="77777777">
      <w:pPr>
        <w:pStyle w:val="TableHead"/>
        <w:ind w:left="1260"/>
        <w:rPr>
          <w:lang w:eastAsia="en-US"/>
        </w:rPr>
      </w:pPr>
      <w:r w:rsidRPr="00D54946">
        <w:rPr>
          <w:lang w:eastAsia="en-US"/>
        </w:rPr>
        <w:t>Dry Weather Final Wasteload Allocation in Water Column: Calleguas and Conejo Creeks (total recoverable in pounds per day)</w:t>
      </w:r>
    </w:p>
    <w:tbl>
      <w:tblPr>
        <w:tblStyle w:val="TableGrid36"/>
        <w:tblW w:w="8095" w:type="dxa"/>
        <w:tblInd w:w="125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220" w:firstRow="1" w:lastRow="0" w:firstColumn="0" w:lastColumn="0" w:noHBand="1" w:noVBand="0"/>
        <w:tblCaption w:val="Calleguas and Conejo Creeks Dry Weather Final Metals WLAs"/>
        <w:tblDescription w:val="Dry weather total recoverable metlas pounds per day"/>
      </w:tblPr>
      <w:tblGrid>
        <w:gridCol w:w="1530"/>
        <w:gridCol w:w="2160"/>
        <w:gridCol w:w="2250"/>
        <w:gridCol w:w="2155"/>
      </w:tblGrid>
      <w:tr w:rsidRPr="00B96052" w:rsidR="00A3095D" w:rsidTr="00B96052" w14:paraId="7D7E8C76" w14:textId="77777777">
        <w:trPr>
          <w:trHeight w:val="449"/>
          <w:tblHeader/>
        </w:trPr>
        <w:tc>
          <w:tcPr>
            <w:tcW w:w="1530" w:type="dxa"/>
            <w:shd w:val="clear" w:color="auto" w:fill="C5E0B3"/>
            <w:vAlign w:val="center"/>
          </w:tcPr>
          <w:p w:rsidRPr="00B96052" w:rsidR="00A3095D" w:rsidP="00A3095D" w:rsidRDefault="00A3095D" w14:paraId="2AAC25D7" w14:textId="77777777">
            <w:pPr>
              <w:spacing w:line="240" w:lineRule="auto"/>
              <w:contextualSpacing/>
              <w:rPr>
                <w:rFonts w:ascii="Arial" w:hAnsi="Arial"/>
                <w:b/>
                <w:bCs/>
                <w:spacing w:val="-1"/>
                <w:sz w:val="22"/>
                <w:szCs w:val="22"/>
                <w:lang w:eastAsia="en-US"/>
              </w:rPr>
            </w:pPr>
            <w:r w:rsidRPr="00B96052">
              <w:rPr>
                <w:rFonts w:ascii="Arial" w:hAnsi="Arial"/>
                <w:b/>
                <w:bCs/>
                <w:spacing w:val="-1"/>
                <w:sz w:val="22"/>
                <w:szCs w:val="22"/>
                <w:lang w:eastAsia="en-US"/>
              </w:rPr>
              <w:t>Metal</w:t>
            </w:r>
          </w:p>
        </w:tc>
        <w:tc>
          <w:tcPr>
            <w:tcW w:w="2160" w:type="dxa"/>
            <w:shd w:val="clear" w:color="auto" w:fill="C5E0B3"/>
            <w:vAlign w:val="center"/>
          </w:tcPr>
          <w:p w:rsidRPr="00B96052" w:rsidR="00A3095D" w:rsidP="00A3095D" w:rsidRDefault="00A3095D" w14:paraId="2934662C" w14:textId="77777777">
            <w:pPr>
              <w:spacing w:line="240" w:lineRule="auto"/>
              <w:contextualSpacing/>
              <w:jc w:val="center"/>
              <w:rPr>
                <w:rFonts w:ascii="Arial" w:hAnsi="Arial"/>
                <w:b/>
                <w:bCs/>
                <w:spacing w:val="-1"/>
                <w:sz w:val="22"/>
                <w:szCs w:val="22"/>
                <w:lang w:eastAsia="en-US"/>
              </w:rPr>
            </w:pPr>
            <w:r w:rsidRPr="00B96052">
              <w:rPr>
                <w:rFonts w:ascii="Arial" w:hAnsi="Arial"/>
                <w:b/>
                <w:bCs/>
                <w:spacing w:val="-1"/>
                <w:sz w:val="22"/>
                <w:szCs w:val="22"/>
                <w:lang w:eastAsia="en-US"/>
              </w:rPr>
              <w:t>Low Flow</w:t>
            </w:r>
          </w:p>
        </w:tc>
        <w:tc>
          <w:tcPr>
            <w:tcW w:w="2250" w:type="dxa"/>
            <w:shd w:val="clear" w:color="auto" w:fill="C5E0B3"/>
            <w:vAlign w:val="center"/>
          </w:tcPr>
          <w:p w:rsidRPr="00B96052" w:rsidR="00A3095D" w:rsidP="00A3095D" w:rsidRDefault="00A3095D" w14:paraId="5A40813F" w14:textId="77777777">
            <w:pPr>
              <w:spacing w:line="240" w:lineRule="auto"/>
              <w:contextualSpacing/>
              <w:jc w:val="center"/>
              <w:rPr>
                <w:rFonts w:ascii="Arial" w:hAnsi="Arial"/>
                <w:b/>
                <w:bCs/>
                <w:spacing w:val="-1"/>
                <w:sz w:val="22"/>
                <w:szCs w:val="22"/>
                <w:lang w:eastAsia="en-US"/>
              </w:rPr>
            </w:pPr>
            <w:r w:rsidRPr="00B96052">
              <w:rPr>
                <w:rFonts w:ascii="Arial" w:hAnsi="Arial"/>
                <w:b/>
                <w:bCs/>
                <w:spacing w:val="-1"/>
                <w:sz w:val="22"/>
                <w:szCs w:val="22"/>
                <w:lang w:eastAsia="en-US"/>
              </w:rPr>
              <w:t>Average Flow</w:t>
            </w:r>
          </w:p>
        </w:tc>
        <w:tc>
          <w:tcPr>
            <w:tcW w:w="2155" w:type="dxa"/>
            <w:shd w:val="clear" w:color="auto" w:fill="C5E0B3"/>
            <w:vAlign w:val="center"/>
          </w:tcPr>
          <w:p w:rsidRPr="00B96052" w:rsidR="00A3095D" w:rsidP="00A3095D" w:rsidRDefault="00A3095D" w14:paraId="77AB30DD" w14:textId="77777777">
            <w:pPr>
              <w:spacing w:line="240" w:lineRule="auto"/>
              <w:contextualSpacing/>
              <w:jc w:val="center"/>
              <w:rPr>
                <w:rFonts w:ascii="Arial" w:hAnsi="Arial"/>
                <w:b/>
                <w:bCs/>
                <w:spacing w:val="-1"/>
                <w:sz w:val="22"/>
                <w:szCs w:val="22"/>
                <w:lang w:eastAsia="en-US"/>
              </w:rPr>
            </w:pPr>
            <w:r w:rsidRPr="00B96052">
              <w:rPr>
                <w:rFonts w:ascii="Arial" w:hAnsi="Arial"/>
                <w:b/>
                <w:bCs/>
                <w:spacing w:val="-1"/>
                <w:sz w:val="22"/>
                <w:szCs w:val="22"/>
                <w:lang w:eastAsia="en-US"/>
              </w:rPr>
              <w:t>Elevated Flow</w:t>
            </w:r>
          </w:p>
        </w:tc>
      </w:tr>
      <w:tr w:rsidRPr="00B96052" w:rsidR="00A3095D" w:rsidTr="00B96052" w14:paraId="60EC3637" w14:textId="77777777">
        <w:trPr>
          <w:trHeight w:val="449"/>
        </w:trPr>
        <w:tc>
          <w:tcPr>
            <w:tcW w:w="1530" w:type="dxa"/>
            <w:vAlign w:val="center"/>
          </w:tcPr>
          <w:p w:rsidRPr="00B96052" w:rsidR="00A3095D" w:rsidP="00A3095D" w:rsidRDefault="00A3095D" w14:paraId="7ADF8692" w14:textId="77777777">
            <w:pPr>
              <w:spacing w:line="240" w:lineRule="auto"/>
              <w:contextualSpacing/>
              <w:rPr>
                <w:rFonts w:ascii="Arial" w:hAnsi="Arial"/>
                <w:spacing w:val="-1"/>
                <w:sz w:val="22"/>
                <w:szCs w:val="22"/>
                <w:lang w:eastAsia="en-US"/>
              </w:rPr>
            </w:pPr>
            <w:r w:rsidRPr="00B96052">
              <w:rPr>
                <w:rFonts w:ascii="Arial" w:hAnsi="Arial"/>
                <w:spacing w:val="-1"/>
                <w:sz w:val="22"/>
                <w:szCs w:val="22"/>
                <w:lang w:eastAsia="en-US"/>
              </w:rPr>
              <w:t>Copper</w:t>
            </w:r>
          </w:p>
        </w:tc>
        <w:tc>
          <w:tcPr>
            <w:tcW w:w="2160" w:type="dxa"/>
            <w:vAlign w:val="center"/>
          </w:tcPr>
          <w:p w:rsidRPr="00B96052" w:rsidR="00A3095D" w:rsidP="00A3095D" w:rsidRDefault="00A3095D" w14:paraId="6C3A8B0B" w14:textId="77777777">
            <w:pPr>
              <w:spacing w:line="240" w:lineRule="auto"/>
              <w:contextualSpacing/>
              <w:jc w:val="center"/>
              <w:rPr>
                <w:rFonts w:ascii="Arial" w:hAnsi="Arial"/>
                <w:spacing w:val="-1"/>
                <w:sz w:val="22"/>
                <w:szCs w:val="22"/>
                <w:lang w:eastAsia="en-US"/>
              </w:rPr>
            </w:pPr>
            <w:r w:rsidRPr="00B96052">
              <w:rPr>
                <w:rFonts w:ascii="Arial" w:hAnsi="Arial"/>
                <w:spacing w:val="-1"/>
                <w:sz w:val="22"/>
                <w:szCs w:val="22"/>
                <w:lang w:eastAsia="en-US"/>
              </w:rPr>
              <w:t>0.04×WER -0.02</w:t>
            </w:r>
          </w:p>
        </w:tc>
        <w:tc>
          <w:tcPr>
            <w:tcW w:w="2250" w:type="dxa"/>
            <w:vAlign w:val="center"/>
          </w:tcPr>
          <w:p w:rsidRPr="00B96052" w:rsidR="00A3095D" w:rsidP="00A3095D" w:rsidRDefault="00A3095D" w14:paraId="1CF51684" w14:textId="77777777">
            <w:pPr>
              <w:spacing w:line="240" w:lineRule="auto"/>
              <w:contextualSpacing/>
              <w:jc w:val="center"/>
              <w:rPr>
                <w:rFonts w:ascii="Arial" w:hAnsi="Arial"/>
                <w:spacing w:val="-1"/>
                <w:sz w:val="22"/>
                <w:szCs w:val="22"/>
                <w:lang w:eastAsia="en-US"/>
              </w:rPr>
            </w:pPr>
            <w:r w:rsidRPr="00B96052">
              <w:rPr>
                <w:rFonts w:ascii="Arial" w:hAnsi="Arial"/>
                <w:spacing w:val="-1"/>
                <w:sz w:val="22"/>
                <w:szCs w:val="22"/>
                <w:lang w:eastAsia="en-US"/>
              </w:rPr>
              <w:t>0.12×WER -0.02</w:t>
            </w:r>
          </w:p>
        </w:tc>
        <w:tc>
          <w:tcPr>
            <w:tcW w:w="2155" w:type="dxa"/>
            <w:vAlign w:val="center"/>
          </w:tcPr>
          <w:p w:rsidRPr="00B96052" w:rsidR="00A3095D" w:rsidP="00A3095D" w:rsidRDefault="00A3095D" w14:paraId="016D80A0" w14:textId="77777777">
            <w:pPr>
              <w:spacing w:line="240" w:lineRule="auto"/>
              <w:contextualSpacing/>
              <w:jc w:val="center"/>
              <w:rPr>
                <w:rFonts w:ascii="Arial" w:hAnsi="Arial"/>
                <w:spacing w:val="-1"/>
                <w:sz w:val="22"/>
                <w:szCs w:val="22"/>
                <w:lang w:eastAsia="en-US"/>
              </w:rPr>
            </w:pPr>
            <w:r w:rsidRPr="00B96052">
              <w:rPr>
                <w:rFonts w:ascii="Arial" w:hAnsi="Arial"/>
                <w:spacing w:val="-1"/>
                <w:sz w:val="22"/>
                <w:szCs w:val="22"/>
                <w:lang w:eastAsia="en-US"/>
              </w:rPr>
              <w:t>0.18×WER -0.03</w:t>
            </w:r>
          </w:p>
        </w:tc>
      </w:tr>
      <w:tr w:rsidRPr="00B96052" w:rsidR="00A3095D" w:rsidTr="00B96052" w14:paraId="20B741D7" w14:textId="77777777">
        <w:trPr>
          <w:trHeight w:val="449"/>
        </w:trPr>
        <w:tc>
          <w:tcPr>
            <w:tcW w:w="1530" w:type="dxa"/>
            <w:vAlign w:val="center"/>
          </w:tcPr>
          <w:p w:rsidRPr="00B96052" w:rsidR="00A3095D" w:rsidP="00A3095D" w:rsidRDefault="00A3095D" w14:paraId="60E8CFBF" w14:textId="77777777">
            <w:pPr>
              <w:spacing w:line="240" w:lineRule="auto"/>
              <w:contextualSpacing/>
              <w:rPr>
                <w:rFonts w:ascii="Arial" w:hAnsi="Arial"/>
                <w:spacing w:val="-1"/>
                <w:sz w:val="22"/>
                <w:szCs w:val="22"/>
                <w:lang w:eastAsia="en-US"/>
              </w:rPr>
            </w:pPr>
            <w:r w:rsidRPr="00B96052">
              <w:rPr>
                <w:rFonts w:ascii="Arial" w:hAnsi="Arial"/>
                <w:spacing w:val="-1"/>
                <w:sz w:val="22"/>
                <w:szCs w:val="22"/>
                <w:lang w:eastAsia="en-US"/>
              </w:rPr>
              <w:t>Nickel</w:t>
            </w:r>
          </w:p>
        </w:tc>
        <w:tc>
          <w:tcPr>
            <w:tcW w:w="2160" w:type="dxa"/>
            <w:vAlign w:val="center"/>
          </w:tcPr>
          <w:p w:rsidRPr="00B96052" w:rsidR="00A3095D" w:rsidP="00A3095D" w:rsidRDefault="00A3095D" w14:paraId="5E76A9AD" w14:textId="77777777">
            <w:pPr>
              <w:spacing w:line="240" w:lineRule="auto"/>
              <w:contextualSpacing/>
              <w:jc w:val="center"/>
              <w:rPr>
                <w:rFonts w:ascii="Arial" w:hAnsi="Arial"/>
                <w:spacing w:val="-1"/>
                <w:sz w:val="22"/>
                <w:szCs w:val="22"/>
                <w:lang w:eastAsia="en-US"/>
              </w:rPr>
            </w:pPr>
            <w:r w:rsidRPr="00B96052">
              <w:rPr>
                <w:rFonts w:ascii="Arial" w:hAnsi="Arial"/>
                <w:spacing w:val="-1"/>
                <w:sz w:val="22"/>
                <w:szCs w:val="22"/>
                <w:lang w:eastAsia="en-US"/>
              </w:rPr>
              <w:t>0.100</w:t>
            </w:r>
          </w:p>
        </w:tc>
        <w:tc>
          <w:tcPr>
            <w:tcW w:w="2250" w:type="dxa"/>
            <w:vAlign w:val="center"/>
          </w:tcPr>
          <w:p w:rsidRPr="00B96052" w:rsidR="00A3095D" w:rsidP="00A3095D" w:rsidRDefault="00A3095D" w14:paraId="09584325" w14:textId="77777777">
            <w:pPr>
              <w:spacing w:line="240" w:lineRule="auto"/>
              <w:contextualSpacing/>
              <w:jc w:val="center"/>
              <w:rPr>
                <w:rFonts w:ascii="Arial" w:hAnsi="Arial"/>
                <w:spacing w:val="-1"/>
                <w:sz w:val="22"/>
                <w:szCs w:val="22"/>
                <w:lang w:eastAsia="en-US"/>
              </w:rPr>
            </w:pPr>
            <w:r w:rsidRPr="00B96052">
              <w:rPr>
                <w:rFonts w:ascii="Arial" w:hAnsi="Arial"/>
                <w:spacing w:val="-1"/>
                <w:sz w:val="22"/>
                <w:szCs w:val="22"/>
                <w:lang w:eastAsia="en-US"/>
              </w:rPr>
              <w:t>0.120</w:t>
            </w:r>
          </w:p>
        </w:tc>
        <w:tc>
          <w:tcPr>
            <w:tcW w:w="2155" w:type="dxa"/>
            <w:vAlign w:val="center"/>
          </w:tcPr>
          <w:p w:rsidRPr="00B96052" w:rsidR="00A3095D" w:rsidP="00A3095D" w:rsidRDefault="00A3095D" w14:paraId="1A148822" w14:textId="77777777">
            <w:pPr>
              <w:spacing w:line="240" w:lineRule="auto"/>
              <w:contextualSpacing/>
              <w:jc w:val="center"/>
              <w:rPr>
                <w:rFonts w:ascii="Arial" w:hAnsi="Arial"/>
                <w:spacing w:val="-1"/>
                <w:sz w:val="22"/>
                <w:szCs w:val="22"/>
                <w:lang w:eastAsia="en-US"/>
              </w:rPr>
            </w:pPr>
            <w:r w:rsidRPr="00B96052">
              <w:rPr>
                <w:rFonts w:ascii="Arial" w:hAnsi="Arial"/>
                <w:spacing w:val="-1"/>
                <w:sz w:val="22"/>
                <w:szCs w:val="22"/>
                <w:lang w:eastAsia="en-US"/>
              </w:rPr>
              <w:t>0.440</w:t>
            </w:r>
          </w:p>
        </w:tc>
      </w:tr>
      <w:tr w:rsidRPr="00B96052" w:rsidR="00A3095D" w:rsidTr="00B96052" w14:paraId="21D17FC7" w14:textId="77777777">
        <w:trPr>
          <w:trHeight w:val="449"/>
        </w:trPr>
        <w:tc>
          <w:tcPr>
            <w:tcW w:w="1530" w:type="dxa"/>
            <w:vAlign w:val="center"/>
          </w:tcPr>
          <w:p w:rsidRPr="00B96052" w:rsidR="00A3095D" w:rsidP="00A3095D" w:rsidRDefault="00A3095D" w14:paraId="3165A581" w14:textId="77777777">
            <w:pPr>
              <w:spacing w:line="240" w:lineRule="auto"/>
              <w:contextualSpacing/>
              <w:rPr>
                <w:rFonts w:ascii="Arial" w:hAnsi="Arial"/>
                <w:spacing w:val="-1"/>
                <w:sz w:val="22"/>
                <w:szCs w:val="22"/>
                <w:lang w:eastAsia="en-US"/>
              </w:rPr>
            </w:pPr>
            <w:r w:rsidRPr="00B96052">
              <w:rPr>
                <w:rFonts w:ascii="Arial" w:hAnsi="Arial"/>
                <w:spacing w:val="-1"/>
                <w:sz w:val="22"/>
                <w:szCs w:val="22"/>
                <w:lang w:eastAsia="en-US"/>
              </w:rPr>
              <w:t>Selenium</w:t>
            </w:r>
          </w:p>
        </w:tc>
        <w:tc>
          <w:tcPr>
            <w:tcW w:w="2160" w:type="dxa"/>
            <w:vAlign w:val="center"/>
          </w:tcPr>
          <w:p w:rsidRPr="00B96052" w:rsidR="00A3095D" w:rsidP="00A3095D" w:rsidRDefault="00A3095D" w14:paraId="238B1BE2" w14:textId="77777777">
            <w:pPr>
              <w:spacing w:line="240" w:lineRule="auto"/>
              <w:jc w:val="center"/>
              <w:rPr>
                <w:rFonts w:ascii="Arial" w:hAnsi="Arial"/>
                <w:color w:val="D9D9D9"/>
                <w:sz w:val="22"/>
                <w:szCs w:val="22"/>
                <w:lang w:eastAsia="en-US"/>
              </w:rPr>
            </w:pPr>
            <w:r w:rsidRPr="00B96052">
              <w:rPr>
                <w:rFonts w:ascii="Arial" w:hAnsi="Arial"/>
                <w:color w:val="D9D9D9"/>
                <w:sz w:val="22"/>
                <w:szCs w:val="22"/>
                <w:lang w:eastAsia="en-US"/>
              </w:rPr>
              <w:t>Blank cell</w:t>
            </w:r>
          </w:p>
        </w:tc>
        <w:tc>
          <w:tcPr>
            <w:tcW w:w="2250" w:type="dxa"/>
            <w:vAlign w:val="center"/>
          </w:tcPr>
          <w:p w:rsidRPr="00B96052" w:rsidR="00A3095D" w:rsidP="00A3095D" w:rsidRDefault="00A3095D" w14:paraId="2AB974A9" w14:textId="77777777">
            <w:pPr>
              <w:spacing w:line="240" w:lineRule="auto"/>
              <w:jc w:val="center"/>
              <w:rPr>
                <w:rFonts w:ascii="Arial" w:hAnsi="Arial"/>
                <w:color w:val="D9D9D9"/>
                <w:sz w:val="22"/>
                <w:szCs w:val="22"/>
                <w:lang w:eastAsia="en-US"/>
              </w:rPr>
            </w:pPr>
            <w:r w:rsidRPr="00B96052">
              <w:rPr>
                <w:rFonts w:ascii="Arial" w:hAnsi="Arial"/>
                <w:color w:val="D9D9D9"/>
                <w:sz w:val="22"/>
                <w:szCs w:val="22"/>
                <w:lang w:eastAsia="en-US"/>
              </w:rPr>
              <w:t>Flank cell</w:t>
            </w:r>
          </w:p>
        </w:tc>
        <w:tc>
          <w:tcPr>
            <w:tcW w:w="2155" w:type="dxa"/>
            <w:vAlign w:val="center"/>
          </w:tcPr>
          <w:p w:rsidRPr="00B96052" w:rsidR="00A3095D" w:rsidP="00A3095D" w:rsidRDefault="00A3095D" w14:paraId="27BD3CC8" w14:textId="77777777">
            <w:pPr>
              <w:spacing w:line="240" w:lineRule="auto"/>
              <w:jc w:val="center"/>
              <w:rPr>
                <w:rFonts w:ascii="Arial" w:hAnsi="Arial"/>
                <w:color w:val="D9D9D9"/>
                <w:sz w:val="22"/>
                <w:szCs w:val="22"/>
                <w:lang w:eastAsia="en-US"/>
              </w:rPr>
            </w:pPr>
            <w:r w:rsidRPr="00B96052">
              <w:rPr>
                <w:rFonts w:ascii="Arial" w:hAnsi="Arial"/>
                <w:color w:val="D9D9D9"/>
                <w:sz w:val="22"/>
                <w:szCs w:val="22"/>
                <w:lang w:eastAsia="en-US"/>
              </w:rPr>
              <w:t>Blank cell</w:t>
            </w:r>
          </w:p>
        </w:tc>
      </w:tr>
    </w:tbl>
    <w:p w:rsidRPr="00A3095D" w:rsidR="00A3095D" w:rsidP="00B96052" w:rsidRDefault="00A3095D" w14:paraId="7D1FB4D4" w14:textId="5E9889EA">
      <w:pPr>
        <w:pStyle w:val="TableHead"/>
        <w:ind w:left="1260"/>
        <w:rPr>
          <w:lang w:eastAsia="en-US"/>
        </w:rPr>
      </w:pPr>
      <w:r w:rsidRPr="00A3095D">
        <w:rPr>
          <w:lang w:eastAsia="en-US"/>
        </w:rPr>
        <w:t xml:space="preserve">Dry Weather Final Wasteload Allocation in Water Column: Revolon Slough </w:t>
      </w:r>
      <w:r w:rsidR="00D54946">
        <w:rPr>
          <w:lang w:eastAsia="en-US"/>
        </w:rPr>
        <w:br/>
      </w:r>
      <w:r w:rsidRPr="00A3095D">
        <w:rPr>
          <w:lang w:eastAsia="en-US"/>
        </w:rPr>
        <w:t>(total recoverable in pounds per day)</w:t>
      </w:r>
    </w:p>
    <w:tbl>
      <w:tblPr>
        <w:tblStyle w:val="TableGrid36"/>
        <w:tblW w:w="8627" w:type="dxa"/>
        <w:tblInd w:w="1255" w:type="dxa"/>
        <w:tblLook w:val="0220" w:firstRow="1" w:lastRow="0" w:firstColumn="0" w:lastColumn="0" w:noHBand="1" w:noVBand="0"/>
        <w:tblCaption w:val="Revolon Slough Dry Weather Total Recoverable Final Metal WLAs"/>
      </w:tblPr>
      <w:tblGrid>
        <w:gridCol w:w="1466"/>
        <w:gridCol w:w="2387"/>
        <w:gridCol w:w="2387"/>
        <w:gridCol w:w="2387"/>
      </w:tblGrid>
      <w:tr w:rsidRPr="00D54946" w:rsidR="00A3095D" w:rsidTr="00B47BB4" w14:paraId="3A1E4399" w14:textId="77777777">
        <w:trPr>
          <w:trHeight w:val="434"/>
          <w:tblHeader/>
        </w:trPr>
        <w:tc>
          <w:tcPr>
            <w:tcW w:w="0" w:type="auto"/>
            <w:shd w:val="clear" w:color="auto" w:fill="C5E0B3"/>
            <w:vAlign w:val="center"/>
          </w:tcPr>
          <w:p w:rsidRPr="00B96052" w:rsidR="00A3095D" w:rsidP="003D0B7A" w:rsidRDefault="00A3095D" w14:paraId="44692A6B" w14:textId="77777777">
            <w:pPr>
              <w:pStyle w:val="TableHead"/>
              <w:spacing w:before="0"/>
              <w:jc w:val="center"/>
              <w:rPr>
                <w:rFonts w:ascii="Arial" w:hAnsi="Arial"/>
                <w:lang w:eastAsia="en-US"/>
              </w:rPr>
            </w:pPr>
            <w:bookmarkStart w:name="_Hlk153181229" w:id="90"/>
            <w:r w:rsidRPr="00B96052">
              <w:rPr>
                <w:rFonts w:ascii="Arial" w:hAnsi="Arial"/>
                <w:lang w:eastAsia="en-US"/>
              </w:rPr>
              <w:t>Metal</w:t>
            </w:r>
          </w:p>
        </w:tc>
        <w:tc>
          <w:tcPr>
            <w:tcW w:w="0" w:type="auto"/>
            <w:shd w:val="clear" w:color="auto" w:fill="C5E0B3"/>
            <w:vAlign w:val="center"/>
          </w:tcPr>
          <w:p w:rsidRPr="00B96052" w:rsidR="00A3095D" w:rsidP="003D0B7A" w:rsidRDefault="00A3095D" w14:paraId="118D1906" w14:textId="77777777">
            <w:pPr>
              <w:pStyle w:val="TableHead"/>
              <w:spacing w:before="0"/>
              <w:jc w:val="center"/>
              <w:rPr>
                <w:rFonts w:ascii="Arial" w:hAnsi="Arial"/>
                <w:lang w:eastAsia="en-US"/>
              </w:rPr>
            </w:pPr>
            <w:r w:rsidRPr="00B96052">
              <w:rPr>
                <w:rFonts w:ascii="Arial" w:hAnsi="Arial"/>
                <w:lang w:eastAsia="en-US"/>
              </w:rPr>
              <w:t>Low Flow</w:t>
            </w:r>
          </w:p>
        </w:tc>
        <w:tc>
          <w:tcPr>
            <w:tcW w:w="0" w:type="auto"/>
            <w:shd w:val="clear" w:color="auto" w:fill="C5E0B3"/>
            <w:vAlign w:val="center"/>
          </w:tcPr>
          <w:p w:rsidRPr="00B96052" w:rsidR="00A3095D" w:rsidP="003D0B7A" w:rsidRDefault="00A3095D" w14:paraId="6D05BFF6" w14:textId="77777777">
            <w:pPr>
              <w:pStyle w:val="TableHead"/>
              <w:spacing w:before="0"/>
              <w:jc w:val="center"/>
              <w:rPr>
                <w:rFonts w:ascii="Arial" w:hAnsi="Arial"/>
                <w:lang w:eastAsia="en-US"/>
              </w:rPr>
            </w:pPr>
            <w:r w:rsidRPr="00B96052">
              <w:rPr>
                <w:rFonts w:ascii="Arial" w:hAnsi="Arial"/>
                <w:lang w:eastAsia="en-US"/>
              </w:rPr>
              <w:t>Average Flow</w:t>
            </w:r>
          </w:p>
        </w:tc>
        <w:tc>
          <w:tcPr>
            <w:tcW w:w="0" w:type="auto"/>
            <w:shd w:val="clear" w:color="auto" w:fill="C5E0B3"/>
            <w:vAlign w:val="center"/>
          </w:tcPr>
          <w:p w:rsidRPr="00B96052" w:rsidR="00A3095D" w:rsidP="003D0B7A" w:rsidRDefault="00A3095D" w14:paraId="10A236D5" w14:textId="77777777">
            <w:pPr>
              <w:pStyle w:val="TableHead"/>
              <w:spacing w:before="0"/>
              <w:jc w:val="center"/>
              <w:rPr>
                <w:rFonts w:ascii="Arial" w:hAnsi="Arial"/>
                <w:lang w:eastAsia="en-US"/>
              </w:rPr>
            </w:pPr>
            <w:r w:rsidRPr="00B96052">
              <w:rPr>
                <w:rFonts w:ascii="Arial" w:hAnsi="Arial"/>
                <w:lang w:eastAsia="en-US"/>
              </w:rPr>
              <w:t>Elevated Flow</w:t>
            </w:r>
          </w:p>
        </w:tc>
      </w:tr>
      <w:tr w:rsidRPr="00D54946" w:rsidR="00A3095D" w:rsidTr="00B47BB4" w14:paraId="4BD8A554" w14:textId="77777777">
        <w:trPr>
          <w:trHeight w:val="434"/>
        </w:trPr>
        <w:tc>
          <w:tcPr>
            <w:tcW w:w="0" w:type="auto"/>
            <w:vAlign w:val="center"/>
          </w:tcPr>
          <w:p w:rsidRPr="00D54946" w:rsidR="00A3095D" w:rsidP="003D0B7A" w:rsidRDefault="00A3095D" w14:paraId="36142398" w14:textId="77777777">
            <w:pPr>
              <w:spacing w:before="0" w:line="240" w:lineRule="auto"/>
              <w:rPr>
                <w:rFonts w:ascii="Arial" w:hAnsi="Arial"/>
                <w:spacing w:val="-1"/>
                <w:sz w:val="22"/>
                <w:szCs w:val="22"/>
                <w:lang w:eastAsia="en-US"/>
              </w:rPr>
            </w:pPr>
            <w:r w:rsidRPr="00D54946">
              <w:rPr>
                <w:rFonts w:ascii="Arial" w:hAnsi="Arial"/>
                <w:spacing w:val="-1"/>
                <w:sz w:val="22"/>
                <w:szCs w:val="22"/>
                <w:lang w:eastAsia="en-US"/>
              </w:rPr>
              <w:t>Copper</w:t>
            </w:r>
          </w:p>
        </w:tc>
        <w:tc>
          <w:tcPr>
            <w:tcW w:w="0" w:type="auto"/>
            <w:vAlign w:val="center"/>
          </w:tcPr>
          <w:p w:rsidRPr="00D54946" w:rsidR="00A3095D" w:rsidP="003D0B7A" w:rsidRDefault="00A3095D" w14:paraId="3DA63DFC"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0.03×WER -0.01</w:t>
            </w:r>
          </w:p>
        </w:tc>
        <w:tc>
          <w:tcPr>
            <w:tcW w:w="0" w:type="auto"/>
            <w:vAlign w:val="center"/>
          </w:tcPr>
          <w:p w:rsidRPr="00D54946" w:rsidR="00A3095D" w:rsidP="003D0B7A" w:rsidRDefault="00A3095D" w14:paraId="2DA4B621"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0.06×WER -0.03</w:t>
            </w:r>
          </w:p>
        </w:tc>
        <w:tc>
          <w:tcPr>
            <w:tcW w:w="0" w:type="auto"/>
            <w:vAlign w:val="center"/>
          </w:tcPr>
          <w:p w:rsidRPr="00D54946" w:rsidR="00A3095D" w:rsidP="003D0B7A" w:rsidRDefault="00A3095D" w14:paraId="22EBD1B4"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0.13×WER -0.02</w:t>
            </w:r>
          </w:p>
        </w:tc>
      </w:tr>
      <w:tr w:rsidRPr="00D54946" w:rsidR="00A3095D" w:rsidTr="00B47BB4" w14:paraId="5DE36C36" w14:textId="77777777">
        <w:trPr>
          <w:trHeight w:val="434"/>
        </w:trPr>
        <w:tc>
          <w:tcPr>
            <w:tcW w:w="0" w:type="auto"/>
            <w:vAlign w:val="center"/>
          </w:tcPr>
          <w:p w:rsidRPr="00D54946" w:rsidR="00A3095D" w:rsidP="003D0B7A" w:rsidRDefault="00A3095D" w14:paraId="514B7788" w14:textId="77777777">
            <w:pPr>
              <w:spacing w:before="0" w:line="240" w:lineRule="auto"/>
              <w:rPr>
                <w:rFonts w:ascii="Arial" w:hAnsi="Arial"/>
                <w:spacing w:val="-1"/>
                <w:sz w:val="22"/>
                <w:szCs w:val="22"/>
                <w:lang w:eastAsia="en-US"/>
              </w:rPr>
            </w:pPr>
            <w:r w:rsidRPr="00D54946">
              <w:rPr>
                <w:rFonts w:ascii="Arial" w:hAnsi="Arial"/>
                <w:spacing w:val="-1"/>
                <w:sz w:val="22"/>
                <w:szCs w:val="22"/>
                <w:lang w:eastAsia="en-US"/>
              </w:rPr>
              <w:t>Nickel</w:t>
            </w:r>
          </w:p>
        </w:tc>
        <w:tc>
          <w:tcPr>
            <w:tcW w:w="0" w:type="auto"/>
            <w:vAlign w:val="center"/>
          </w:tcPr>
          <w:p w:rsidRPr="00D54946" w:rsidR="00A3095D" w:rsidP="003D0B7A" w:rsidRDefault="00A3095D" w14:paraId="57358B73"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0.050</w:t>
            </w:r>
          </w:p>
        </w:tc>
        <w:tc>
          <w:tcPr>
            <w:tcW w:w="0" w:type="auto"/>
            <w:vAlign w:val="center"/>
          </w:tcPr>
          <w:p w:rsidRPr="00D54946" w:rsidR="00A3095D" w:rsidP="003D0B7A" w:rsidRDefault="00A3095D" w14:paraId="3C339BF6"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0.069</w:t>
            </w:r>
          </w:p>
        </w:tc>
        <w:tc>
          <w:tcPr>
            <w:tcW w:w="0" w:type="auto"/>
            <w:vAlign w:val="center"/>
          </w:tcPr>
          <w:p w:rsidRPr="00D54946" w:rsidR="00A3095D" w:rsidP="003D0B7A" w:rsidRDefault="00A3095D" w14:paraId="22F2F666"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0.116</w:t>
            </w:r>
          </w:p>
        </w:tc>
      </w:tr>
      <w:tr w:rsidRPr="00D54946" w:rsidR="00A3095D" w:rsidTr="00B47BB4" w14:paraId="7C4EBCB8" w14:textId="77777777">
        <w:trPr>
          <w:trHeight w:val="434"/>
        </w:trPr>
        <w:tc>
          <w:tcPr>
            <w:tcW w:w="0" w:type="auto"/>
            <w:vAlign w:val="center"/>
          </w:tcPr>
          <w:p w:rsidRPr="00D54946" w:rsidR="00A3095D" w:rsidP="003D0B7A" w:rsidRDefault="00A3095D" w14:paraId="78BB468E" w14:textId="77777777">
            <w:pPr>
              <w:spacing w:before="0" w:line="240" w:lineRule="auto"/>
              <w:rPr>
                <w:rFonts w:ascii="Arial" w:hAnsi="Arial"/>
                <w:spacing w:val="-1"/>
                <w:sz w:val="22"/>
                <w:szCs w:val="22"/>
                <w:lang w:eastAsia="en-US"/>
              </w:rPr>
            </w:pPr>
            <w:r w:rsidRPr="00D54946">
              <w:rPr>
                <w:rFonts w:ascii="Arial" w:hAnsi="Arial"/>
                <w:spacing w:val="-1"/>
                <w:sz w:val="22"/>
                <w:szCs w:val="22"/>
                <w:lang w:eastAsia="en-US"/>
              </w:rPr>
              <w:t>Selenium</w:t>
            </w:r>
          </w:p>
        </w:tc>
        <w:tc>
          <w:tcPr>
            <w:tcW w:w="0" w:type="auto"/>
            <w:vAlign w:val="center"/>
          </w:tcPr>
          <w:p w:rsidRPr="00D54946" w:rsidR="00A3095D" w:rsidP="003D0B7A" w:rsidRDefault="00A3095D" w14:paraId="438EA7DA"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0.004</w:t>
            </w:r>
          </w:p>
        </w:tc>
        <w:tc>
          <w:tcPr>
            <w:tcW w:w="0" w:type="auto"/>
            <w:vAlign w:val="center"/>
          </w:tcPr>
          <w:p w:rsidRPr="00D54946" w:rsidR="00A3095D" w:rsidP="003D0B7A" w:rsidRDefault="00A3095D" w14:paraId="52CA302F"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0.003</w:t>
            </w:r>
          </w:p>
        </w:tc>
        <w:tc>
          <w:tcPr>
            <w:tcW w:w="0" w:type="auto"/>
            <w:vAlign w:val="center"/>
          </w:tcPr>
          <w:p w:rsidRPr="00D54946" w:rsidR="00A3095D" w:rsidP="003D0B7A" w:rsidRDefault="00A3095D" w14:paraId="31A75AAF" w14:textId="77777777">
            <w:pPr>
              <w:spacing w:before="0" w:line="240" w:lineRule="auto"/>
              <w:jc w:val="center"/>
              <w:rPr>
                <w:rFonts w:ascii="Arial" w:hAnsi="Arial"/>
                <w:spacing w:val="-1"/>
                <w:sz w:val="22"/>
                <w:szCs w:val="22"/>
                <w:lang w:eastAsia="en-US"/>
              </w:rPr>
            </w:pPr>
            <w:r w:rsidRPr="00D54946">
              <w:rPr>
                <w:rFonts w:ascii="Arial" w:hAnsi="Arial"/>
                <w:spacing w:val="-1"/>
                <w:sz w:val="22"/>
                <w:szCs w:val="22"/>
                <w:lang w:eastAsia="en-US"/>
              </w:rPr>
              <w:t>0.004</w:t>
            </w:r>
          </w:p>
        </w:tc>
      </w:tr>
    </w:tbl>
    <w:bookmarkEnd w:id="90"/>
    <w:p w:rsidRPr="00A3095D" w:rsidR="00A3095D" w:rsidP="000921CB" w:rsidRDefault="00A3095D" w14:paraId="73AAD42E" w14:textId="119C9198">
      <w:pPr>
        <w:pStyle w:val="TableHead"/>
        <w:ind w:left="1260"/>
        <w:rPr>
          <w:lang w:eastAsia="en-US"/>
        </w:rPr>
      </w:pPr>
      <w:r w:rsidRPr="00A3095D">
        <w:rPr>
          <w:lang w:eastAsia="en-US"/>
        </w:rPr>
        <w:t>Wet Weather Final Wasteload Allocations: Calleguas Creek and Revlon Sough (total recoverable, pounds per day)</w:t>
      </w:r>
    </w:p>
    <w:tbl>
      <w:tblPr>
        <w:tblStyle w:val="TableGrid36"/>
        <w:tblW w:w="8820" w:type="dxa"/>
        <w:tblInd w:w="1255" w:type="dxa"/>
        <w:tblLook w:val="0220" w:firstRow="1" w:lastRow="0" w:firstColumn="0" w:lastColumn="0" w:noHBand="1" w:noVBand="0"/>
        <w:tblCaption w:val="Revolon Slough Dry Weather Total Recoverable Final Metal WLAs"/>
      </w:tblPr>
      <w:tblGrid>
        <w:gridCol w:w="1350"/>
        <w:gridCol w:w="3780"/>
        <w:gridCol w:w="3690"/>
      </w:tblGrid>
      <w:tr w:rsidRPr="003D0B7A" w:rsidR="00A3095D" w:rsidTr="003D0B7A" w14:paraId="09DA293C" w14:textId="77777777">
        <w:trPr>
          <w:trHeight w:val="508"/>
          <w:tblHeader/>
        </w:trPr>
        <w:tc>
          <w:tcPr>
            <w:tcW w:w="1350" w:type="dxa"/>
            <w:shd w:val="clear" w:color="auto" w:fill="C5E0B3"/>
            <w:vAlign w:val="center"/>
          </w:tcPr>
          <w:p w:rsidRPr="003D0B7A" w:rsidR="00A3095D" w:rsidP="003D0B7A" w:rsidRDefault="00A3095D" w14:paraId="7B9AD3EE" w14:textId="77777777">
            <w:pPr>
              <w:pStyle w:val="TableHead"/>
              <w:spacing w:before="0"/>
              <w:jc w:val="center"/>
              <w:rPr>
                <w:rFonts w:ascii="Arial" w:hAnsi="Arial"/>
                <w:lang w:eastAsia="en-US"/>
              </w:rPr>
            </w:pPr>
            <w:r w:rsidRPr="003D0B7A">
              <w:rPr>
                <w:rFonts w:ascii="Arial" w:hAnsi="Arial"/>
                <w:lang w:eastAsia="en-US"/>
              </w:rPr>
              <w:t>Metal</w:t>
            </w:r>
          </w:p>
        </w:tc>
        <w:tc>
          <w:tcPr>
            <w:tcW w:w="3780" w:type="dxa"/>
            <w:shd w:val="clear" w:color="auto" w:fill="C5E0B3"/>
            <w:vAlign w:val="center"/>
          </w:tcPr>
          <w:p w:rsidRPr="003D0B7A" w:rsidR="00A3095D" w:rsidP="003D0B7A" w:rsidRDefault="00A3095D" w14:paraId="7DC14EF6" w14:textId="77777777">
            <w:pPr>
              <w:pStyle w:val="TableHead"/>
              <w:spacing w:before="0"/>
              <w:jc w:val="center"/>
              <w:rPr>
                <w:rFonts w:ascii="Arial" w:hAnsi="Arial"/>
                <w:lang w:eastAsia="en-US"/>
              </w:rPr>
            </w:pPr>
            <w:r w:rsidRPr="003D0B7A">
              <w:rPr>
                <w:rFonts w:ascii="Arial" w:hAnsi="Arial"/>
                <w:lang w:eastAsia="en-US"/>
              </w:rPr>
              <w:t>Calleguas Creek</w:t>
            </w:r>
          </w:p>
        </w:tc>
        <w:tc>
          <w:tcPr>
            <w:tcW w:w="3690" w:type="dxa"/>
            <w:shd w:val="clear" w:color="auto" w:fill="C5E0B3"/>
            <w:vAlign w:val="center"/>
          </w:tcPr>
          <w:p w:rsidRPr="003D0B7A" w:rsidR="00A3095D" w:rsidP="003D0B7A" w:rsidRDefault="00A3095D" w14:paraId="7BFF3D28" w14:textId="77777777">
            <w:pPr>
              <w:pStyle w:val="TableHead"/>
              <w:spacing w:before="0"/>
              <w:jc w:val="center"/>
              <w:rPr>
                <w:rFonts w:ascii="Arial" w:hAnsi="Arial"/>
                <w:lang w:eastAsia="en-US"/>
              </w:rPr>
            </w:pPr>
            <w:r w:rsidRPr="003D0B7A">
              <w:rPr>
                <w:rFonts w:ascii="Arial" w:hAnsi="Arial"/>
                <w:lang w:eastAsia="en-US"/>
              </w:rPr>
              <w:t>Revolon Slough</w:t>
            </w:r>
          </w:p>
        </w:tc>
      </w:tr>
      <w:tr w:rsidRPr="003D0B7A" w:rsidR="00A3095D" w:rsidTr="003D0B7A" w14:paraId="6EC886C3" w14:textId="77777777">
        <w:trPr>
          <w:trHeight w:val="508"/>
        </w:trPr>
        <w:tc>
          <w:tcPr>
            <w:tcW w:w="1350" w:type="dxa"/>
            <w:vAlign w:val="center"/>
          </w:tcPr>
          <w:p w:rsidRPr="003D0B7A" w:rsidR="00A3095D" w:rsidP="00CB572F" w:rsidRDefault="00A3095D" w14:paraId="116CA676" w14:textId="77777777">
            <w:pPr>
              <w:spacing w:before="40" w:after="40" w:line="240" w:lineRule="auto"/>
              <w:rPr>
                <w:rFonts w:ascii="Arial" w:hAnsi="Arial"/>
                <w:spacing w:val="-1"/>
                <w:sz w:val="22"/>
                <w:szCs w:val="22"/>
                <w:lang w:eastAsia="en-US"/>
              </w:rPr>
            </w:pPr>
            <w:r w:rsidRPr="003D0B7A">
              <w:rPr>
                <w:rFonts w:ascii="Arial" w:hAnsi="Arial"/>
                <w:spacing w:val="-1"/>
                <w:sz w:val="22"/>
                <w:szCs w:val="22"/>
                <w:lang w:eastAsia="en-US"/>
              </w:rPr>
              <w:t xml:space="preserve">Copper </w:t>
            </w:r>
            <w:r w:rsidRPr="003D0B7A">
              <w:rPr>
                <w:rFonts w:ascii="Arial" w:hAnsi="Arial"/>
                <w:spacing w:val="-1"/>
                <w:sz w:val="22"/>
                <w:szCs w:val="22"/>
                <w:vertAlign w:val="superscript"/>
                <w:lang w:eastAsia="en-US"/>
              </w:rPr>
              <w:t>1</w:t>
            </w:r>
          </w:p>
        </w:tc>
        <w:tc>
          <w:tcPr>
            <w:tcW w:w="3780" w:type="dxa"/>
            <w:vAlign w:val="center"/>
          </w:tcPr>
          <w:p w:rsidRPr="003D0B7A" w:rsidR="00A3095D" w:rsidP="00CB572F" w:rsidRDefault="00A3095D" w14:paraId="103AB12C" w14:textId="088E25BF">
            <w:pPr>
              <w:widowControl w:val="0"/>
              <w:tabs>
                <w:tab w:val="left" w:pos="1641"/>
              </w:tabs>
              <w:spacing w:before="40" w:after="40" w:line="240" w:lineRule="auto"/>
              <w:ind w:left="69"/>
              <w:rPr>
                <w:rFonts w:ascii="Arial" w:hAnsi="Arial"/>
                <w:sz w:val="22"/>
                <w:szCs w:val="22"/>
                <w:lang w:eastAsia="en-US"/>
              </w:rPr>
            </w:pPr>
            <w:r w:rsidRPr="003D0B7A">
              <w:rPr>
                <w:rFonts w:ascii="Arial" w:hAnsi="Arial"/>
                <w:spacing w:val="-2"/>
                <w:w w:val="105"/>
                <w:position w:val="-8"/>
                <w:sz w:val="22"/>
                <w:szCs w:val="22"/>
                <w:lang w:eastAsia="en-US"/>
              </w:rPr>
              <w:t xml:space="preserve">(0.00054*Q^2*0.032*Q </w:t>
            </w:r>
            <w:r w:rsidRPr="003D0B7A" w:rsidR="003D0B7A">
              <w:rPr>
                <w:rFonts w:ascii="Arial" w:hAnsi="Arial"/>
                <w:spacing w:val="-2"/>
                <w:w w:val="105"/>
                <w:position w:val="-8"/>
                <w:sz w:val="22"/>
                <w:szCs w:val="22"/>
                <w:lang w:eastAsia="en-US"/>
              </w:rPr>
              <w:t>–</w:t>
            </w:r>
            <w:r w:rsidRPr="003D0B7A">
              <w:rPr>
                <w:rFonts w:ascii="Arial" w:hAnsi="Arial"/>
                <w:spacing w:val="-2"/>
                <w:w w:val="105"/>
                <w:position w:val="-8"/>
                <w:sz w:val="22"/>
                <w:szCs w:val="22"/>
                <w:lang w:eastAsia="en-US"/>
              </w:rPr>
              <w:t xml:space="preserve"> 0.17)*WER – 0.06</w:t>
            </w:r>
          </w:p>
        </w:tc>
        <w:tc>
          <w:tcPr>
            <w:tcW w:w="3690" w:type="dxa"/>
            <w:vAlign w:val="center"/>
          </w:tcPr>
          <w:p w:rsidRPr="003D0B7A" w:rsidR="00A3095D" w:rsidP="00CB572F" w:rsidRDefault="00A3095D" w14:paraId="36AB9038" w14:textId="77777777">
            <w:pPr>
              <w:widowControl w:val="0"/>
              <w:tabs>
                <w:tab w:val="left" w:pos="1641"/>
              </w:tabs>
              <w:spacing w:before="40" w:after="40" w:line="240" w:lineRule="auto"/>
              <w:ind w:left="69"/>
              <w:rPr>
                <w:rFonts w:ascii="Arial" w:hAnsi="Arial"/>
                <w:sz w:val="22"/>
                <w:szCs w:val="22"/>
                <w:lang w:eastAsia="en-US"/>
              </w:rPr>
            </w:pPr>
            <w:r w:rsidRPr="003D0B7A">
              <w:rPr>
                <w:rFonts w:ascii="Arial" w:hAnsi="Arial"/>
                <w:spacing w:val="-2"/>
                <w:w w:val="105"/>
                <w:position w:val="-8"/>
                <w:sz w:val="22"/>
                <w:szCs w:val="22"/>
                <w:lang w:eastAsia="en-US"/>
              </w:rPr>
              <w:t xml:space="preserve">(0.0002*Q2 + 0.0005*Q)*WER </w:t>
            </w:r>
          </w:p>
        </w:tc>
      </w:tr>
      <w:tr w:rsidRPr="003D0B7A" w:rsidR="00A3095D" w:rsidTr="003D0B7A" w14:paraId="66B86C6D" w14:textId="77777777">
        <w:trPr>
          <w:trHeight w:val="508"/>
        </w:trPr>
        <w:tc>
          <w:tcPr>
            <w:tcW w:w="1350" w:type="dxa"/>
            <w:vAlign w:val="center"/>
          </w:tcPr>
          <w:p w:rsidRPr="003D0B7A" w:rsidR="00A3095D" w:rsidP="00CB572F" w:rsidRDefault="00A3095D" w14:paraId="1DE6DF8D" w14:textId="77777777">
            <w:pPr>
              <w:spacing w:before="40" w:after="40" w:line="240" w:lineRule="auto"/>
              <w:rPr>
                <w:rFonts w:ascii="Arial" w:hAnsi="Arial"/>
                <w:spacing w:val="-1"/>
                <w:sz w:val="22"/>
                <w:szCs w:val="22"/>
                <w:lang w:eastAsia="en-US"/>
              </w:rPr>
            </w:pPr>
            <w:r w:rsidRPr="003D0B7A">
              <w:rPr>
                <w:rFonts w:ascii="Arial" w:hAnsi="Arial"/>
                <w:spacing w:val="-1"/>
                <w:sz w:val="22"/>
                <w:szCs w:val="22"/>
                <w:lang w:eastAsia="en-US"/>
              </w:rPr>
              <w:t xml:space="preserve">Nickel </w:t>
            </w:r>
            <w:r w:rsidRPr="003D0B7A">
              <w:rPr>
                <w:rFonts w:ascii="Arial" w:hAnsi="Arial"/>
                <w:spacing w:val="-1"/>
                <w:sz w:val="22"/>
                <w:szCs w:val="22"/>
                <w:vertAlign w:val="superscript"/>
                <w:lang w:eastAsia="en-US"/>
              </w:rPr>
              <w:t>2</w:t>
            </w:r>
          </w:p>
        </w:tc>
        <w:tc>
          <w:tcPr>
            <w:tcW w:w="3780" w:type="dxa"/>
            <w:vAlign w:val="center"/>
          </w:tcPr>
          <w:p w:rsidRPr="003D0B7A" w:rsidR="00A3095D" w:rsidP="00CB572F" w:rsidRDefault="00A3095D" w14:paraId="3D1AEFAD" w14:textId="77777777">
            <w:pPr>
              <w:widowControl w:val="0"/>
              <w:tabs>
                <w:tab w:val="left" w:pos="1641"/>
              </w:tabs>
              <w:spacing w:before="40" w:after="40" w:line="240" w:lineRule="auto"/>
              <w:ind w:left="69"/>
              <w:rPr>
                <w:rFonts w:ascii="Arial" w:hAnsi="Arial"/>
                <w:spacing w:val="-2"/>
                <w:w w:val="105"/>
                <w:position w:val="-8"/>
                <w:sz w:val="22"/>
                <w:szCs w:val="22"/>
                <w:lang w:eastAsia="en-US"/>
              </w:rPr>
            </w:pPr>
            <w:r w:rsidRPr="003D0B7A">
              <w:rPr>
                <w:rFonts w:ascii="Arial" w:hAnsi="Arial"/>
                <w:spacing w:val="-2"/>
                <w:w w:val="105"/>
                <w:position w:val="-8"/>
                <w:sz w:val="22"/>
                <w:szCs w:val="22"/>
                <w:lang w:eastAsia="en-US"/>
              </w:rPr>
              <w:t>0.014*Q^2+0.82*Q</w:t>
            </w:r>
          </w:p>
        </w:tc>
        <w:tc>
          <w:tcPr>
            <w:tcW w:w="3690" w:type="dxa"/>
            <w:vAlign w:val="center"/>
          </w:tcPr>
          <w:p w:rsidRPr="003D0B7A" w:rsidR="00A3095D" w:rsidP="00CB572F" w:rsidRDefault="00A3095D" w14:paraId="4D699650" w14:textId="77777777">
            <w:pPr>
              <w:spacing w:before="40" w:after="40" w:line="240" w:lineRule="auto"/>
              <w:rPr>
                <w:rFonts w:ascii="Arial" w:hAnsi="Arial"/>
                <w:spacing w:val="-1"/>
                <w:sz w:val="22"/>
                <w:szCs w:val="22"/>
                <w:lang w:eastAsia="en-US"/>
              </w:rPr>
            </w:pPr>
            <w:r w:rsidRPr="003D0B7A">
              <w:rPr>
                <w:rFonts w:ascii="Arial" w:hAnsi="Arial"/>
                <w:spacing w:val="-1"/>
                <w:sz w:val="22"/>
                <w:szCs w:val="22"/>
                <w:lang w:eastAsia="en-US"/>
              </w:rPr>
              <w:t>0.027*Q^2+0.47*Q</w:t>
            </w:r>
          </w:p>
        </w:tc>
      </w:tr>
      <w:tr w:rsidRPr="003D0B7A" w:rsidR="00A3095D" w:rsidTr="003D0B7A" w14:paraId="00A2BA28" w14:textId="77777777">
        <w:trPr>
          <w:trHeight w:val="508"/>
        </w:trPr>
        <w:tc>
          <w:tcPr>
            <w:tcW w:w="1350" w:type="dxa"/>
            <w:vAlign w:val="center"/>
          </w:tcPr>
          <w:p w:rsidRPr="003D0B7A" w:rsidR="00A3095D" w:rsidP="00CB572F" w:rsidRDefault="00A3095D" w14:paraId="4C248AFB" w14:textId="77777777">
            <w:pPr>
              <w:spacing w:before="40" w:after="40" w:line="240" w:lineRule="auto"/>
              <w:rPr>
                <w:rFonts w:ascii="Arial" w:hAnsi="Arial"/>
                <w:spacing w:val="-1"/>
                <w:sz w:val="22"/>
                <w:szCs w:val="22"/>
                <w:lang w:eastAsia="en-US"/>
              </w:rPr>
            </w:pPr>
            <w:r w:rsidRPr="003D0B7A">
              <w:rPr>
                <w:rFonts w:ascii="Arial" w:hAnsi="Arial"/>
                <w:spacing w:val="-1"/>
                <w:sz w:val="22"/>
                <w:szCs w:val="22"/>
                <w:lang w:eastAsia="en-US"/>
              </w:rPr>
              <w:t>Selenium</w:t>
            </w:r>
          </w:p>
        </w:tc>
        <w:tc>
          <w:tcPr>
            <w:tcW w:w="3780" w:type="dxa"/>
            <w:vAlign w:val="center"/>
          </w:tcPr>
          <w:p w:rsidRPr="003D0B7A" w:rsidR="00A3095D" w:rsidP="00CB572F" w:rsidRDefault="007270E7" w14:paraId="30F4A2EA" w14:textId="333D3128">
            <w:pPr>
              <w:spacing w:before="40" w:after="40" w:line="240" w:lineRule="auto"/>
              <w:rPr>
                <w:rFonts w:ascii="Arial" w:hAnsi="Arial"/>
                <w:spacing w:val="-1"/>
                <w:sz w:val="22"/>
                <w:szCs w:val="22"/>
                <w:lang w:eastAsia="en-US"/>
              </w:rPr>
            </w:pPr>
            <w:r w:rsidRPr="003D0B7A">
              <w:rPr>
                <w:rFonts w:ascii="Arial" w:hAnsi="Arial"/>
                <w:spacing w:val="-1"/>
                <w:sz w:val="22"/>
                <w:szCs w:val="22"/>
                <w:lang w:eastAsia="en-US"/>
              </w:rPr>
              <w:t xml:space="preserve">Note </w:t>
            </w:r>
            <w:r w:rsidRPr="00600A4F" w:rsidR="00A3095D">
              <w:rPr>
                <w:rFonts w:ascii="Arial" w:hAnsi="Arial"/>
                <w:spacing w:val="-1"/>
                <w:sz w:val="22"/>
                <w:szCs w:val="22"/>
                <w:vertAlign w:val="superscript"/>
                <w:lang w:eastAsia="en-US"/>
              </w:rPr>
              <w:t>(a)</w:t>
            </w:r>
          </w:p>
        </w:tc>
        <w:tc>
          <w:tcPr>
            <w:tcW w:w="3690" w:type="dxa"/>
            <w:vAlign w:val="center"/>
          </w:tcPr>
          <w:p w:rsidRPr="003D0B7A" w:rsidR="00A3095D" w:rsidP="00CB572F" w:rsidRDefault="00A3095D" w14:paraId="341ABBC8" w14:textId="77777777">
            <w:pPr>
              <w:spacing w:before="40" w:after="40" w:line="240" w:lineRule="auto"/>
              <w:rPr>
                <w:rFonts w:ascii="Arial" w:hAnsi="Arial"/>
                <w:spacing w:val="-1"/>
                <w:sz w:val="22"/>
                <w:szCs w:val="22"/>
                <w:lang w:eastAsia="en-US"/>
              </w:rPr>
            </w:pPr>
            <w:r w:rsidRPr="003D0B7A">
              <w:rPr>
                <w:rFonts w:ascii="Arial" w:hAnsi="Arial"/>
                <w:spacing w:val="-1"/>
                <w:sz w:val="22"/>
                <w:szCs w:val="22"/>
                <w:lang w:eastAsia="en-US"/>
              </w:rPr>
              <w:t>0.027*Q^2+0.47*Q</w:t>
            </w:r>
          </w:p>
        </w:tc>
      </w:tr>
    </w:tbl>
    <w:p w:rsidRPr="00600A4F" w:rsidR="00A3095D" w:rsidP="005F5E46" w:rsidRDefault="00A3095D" w14:paraId="7DCC437B" w14:textId="77777777">
      <w:pPr>
        <w:widowControl w:val="0"/>
        <w:tabs>
          <w:tab w:val="left" w:pos="2880"/>
        </w:tabs>
        <w:spacing w:before="0" w:after="0" w:line="240" w:lineRule="auto"/>
        <w:ind w:left="1620" w:right="204" w:hanging="360"/>
        <w:rPr>
          <w:sz w:val="20"/>
          <w:szCs w:val="20"/>
          <w:u w:val="single"/>
          <w:lang w:eastAsia="en-US"/>
        </w:rPr>
      </w:pPr>
      <w:r w:rsidRPr="00600A4F">
        <w:rPr>
          <w:sz w:val="20"/>
          <w:szCs w:val="20"/>
          <w:u w:val="single"/>
          <w:lang w:eastAsia="en-US"/>
        </w:rPr>
        <w:t>Table Legend and Notes</w:t>
      </w:r>
    </w:p>
    <w:p w:rsidRPr="00600A4F" w:rsidR="00A3095D" w:rsidP="005F5E46" w:rsidRDefault="00A3095D" w14:paraId="2045B34F" w14:textId="4374A7D2">
      <w:pPr>
        <w:spacing w:before="0" w:after="0" w:line="240" w:lineRule="auto"/>
        <w:ind w:left="1620" w:hanging="360"/>
        <w:rPr>
          <w:sz w:val="20"/>
          <w:szCs w:val="20"/>
          <w:lang w:eastAsia="en-US"/>
        </w:rPr>
      </w:pPr>
      <w:r w:rsidRPr="00600A4F">
        <w:rPr>
          <w:sz w:val="20"/>
          <w:szCs w:val="20"/>
          <w:lang w:eastAsia="en-US"/>
        </w:rPr>
        <w:t>Q:</w:t>
      </w:r>
      <w:r w:rsidRPr="00600A4F" w:rsidR="00B7271E">
        <w:rPr>
          <w:sz w:val="20"/>
          <w:szCs w:val="20"/>
          <w:lang w:eastAsia="en-US"/>
        </w:rPr>
        <w:t xml:space="preserve"> </w:t>
      </w:r>
      <w:r w:rsidRPr="00600A4F" w:rsidR="000921CB">
        <w:rPr>
          <w:sz w:val="20"/>
          <w:szCs w:val="20"/>
          <w:lang w:eastAsia="en-US"/>
        </w:rPr>
        <w:tab/>
      </w:r>
      <w:r w:rsidRPr="00600A4F">
        <w:rPr>
          <w:sz w:val="20"/>
          <w:szCs w:val="20"/>
          <w:lang w:eastAsia="en-US"/>
        </w:rPr>
        <w:t>Daily</w:t>
      </w:r>
      <w:r w:rsidRPr="00600A4F">
        <w:rPr>
          <w:spacing w:val="-2"/>
          <w:sz w:val="20"/>
          <w:szCs w:val="20"/>
          <w:lang w:eastAsia="en-US"/>
        </w:rPr>
        <w:t xml:space="preserve"> </w:t>
      </w:r>
      <w:r w:rsidRPr="00600A4F">
        <w:rPr>
          <w:sz w:val="20"/>
          <w:szCs w:val="20"/>
          <w:lang w:eastAsia="en-US"/>
        </w:rPr>
        <w:t>storm</w:t>
      </w:r>
      <w:r w:rsidRPr="00600A4F">
        <w:rPr>
          <w:spacing w:val="-1"/>
          <w:sz w:val="20"/>
          <w:szCs w:val="20"/>
          <w:lang w:eastAsia="en-US"/>
        </w:rPr>
        <w:t xml:space="preserve"> </w:t>
      </w:r>
      <w:r w:rsidRPr="00600A4F">
        <w:rPr>
          <w:sz w:val="20"/>
          <w:szCs w:val="20"/>
          <w:lang w:eastAsia="en-US"/>
        </w:rPr>
        <w:t>volume in cubic feet per second</w:t>
      </w:r>
    </w:p>
    <w:p w:rsidRPr="00600A4F" w:rsidR="00A3095D" w:rsidP="00E8254E" w:rsidRDefault="00A3095D" w14:paraId="2CFC92D3" w14:textId="4521BFEF">
      <w:pPr>
        <w:numPr>
          <w:ilvl w:val="0"/>
          <w:numId w:val="50"/>
        </w:numPr>
        <w:tabs>
          <w:tab w:val="left" w:pos="360"/>
        </w:tabs>
        <w:autoSpaceDE w:val="0"/>
        <w:autoSpaceDN w:val="0"/>
        <w:adjustRightInd w:val="0"/>
        <w:spacing w:before="0" w:after="0" w:line="240" w:lineRule="auto"/>
        <w:ind w:left="1620"/>
        <w:rPr>
          <w:rFonts w:eastAsia="Calibri" w:cs="Arial"/>
          <w:color w:val="000000"/>
          <w:sz w:val="20"/>
          <w:szCs w:val="20"/>
          <w:lang w:eastAsia="en-US"/>
        </w:rPr>
      </w:pPr>
      <w:r w:rsidRPr="00600A4F">
        <w:rPr>
          <w:rFonts w:eastAsia="Calibri" w:cs="Arial"/>
          <w:color w:val="000000"/>
          <w:sz w:val="20"/>
          <w:szCs w:val="20"/>
          <w:lang w:eastAsia="en-US"/>
        </w:rPr>
        <w:t>WER:</w:t>
      </w:r>
      <w:r w:rsidRPr="00600A4F" w:rsidR="00B7271E">
        <w:rPr>
          <w:rFonts w:eastAsia="Calibri" w:cs="Arial"/>
          <w:color w:val="000000"/>
          <w:sz w:val="20"/>
          <w:szCs w:val="20"/>
          <w:lang w:eastAsia="en-US"/>
        </w:rPr>
        <w:t xml:space="preserve"> </w:t>
      </w:r>
      <w:r w:rsidRPr="00600A4F">
        <w:rPr>
          <w:rFonts w:eastAsia="Calibri" w:cs="Arial"/>
          <w:color w:val="000000"/>
          <w:sz w:val="20"/>
          <w:szCs w:val="20"/>
          <w:lang w:eastAsia="en-US"/>
        </w:rPr>
        <w:t>Water effects ratio of 1.51 is used to calculate the assigned</w:t>
      </w:r>
      <w:r w:rsidR="005A0069">
        <w:rPr>
          <w:rFonts w:eastAsia="Calibri" w:cs="Arial"/>
          <w:color w:val="000000"/>
          <w:sz w:val="20"/>
          <w:szCs w:val="20"/>
          <w:lang w:eastAsia="en-US"/>
        </w:rPr>
        <w:t xml:space="preserve"> </w:t>
      </w:r>
      <w:r w:rsidR="002D1420">
        <w:rPr>
          <w:rFonts w:eastAsia="Calibri" w:cs="Arial"/>
          <w:color w:val="000000"/>
          <w:sz w:val="20"/>
          <w:szCs w:val="20"/>
          <w:lang w:eastAsia="en-US"/>
        </w:rPr>
        <w:t xml:space="preserve">wasteload allocation </w:t>
      </w:r>
      <w:r w:rsidRPr="00600A4F">
        <w:rPr>
          <w:rFonts w:eastAsia="Calibri" w:cs="Arial"/>
          <w:color w:val="000000"/>
          <w:sz w:val="20"/>
          <w:szCs w:val="20"/>
          <w:lang w:eastAsia="en-US"/>
        </w:rPr>
        <w:t>s for discharges to Calleguas and Conejo Creek.</w:t>
      </w:r>
    </w:p>
    <w:p w:rsidRPr="00600A4F" w:rsidR="00A3095D" w:rsidP="00E8254E" w:rsidRDefault="00A3095D" w14:paraId="70997A2C" w14:textId="77777777">
      <w:pPr>
        <w:numPr>
          <w:ilvl w:val="0"/>
          <w:numId w:val="50"/>
        </w:numPr>
        <w:tabs>
          <w:tab w:val="left" w:pos="360"/>
        </w:tabs>
        <w:autoSpaceDE w:val="0"/>
        <w:autoSpaceDN w:val="0"/>
        <w:adjustRightInd w:val="0"/>
        <w:spacing w:before="0" w:after="0" w:line="240" w:lineRule="auto"/>
        <w:ind w:left="1620"/>
        <w:rPr>
          <w:rFonts w:eastAsia="Calibri" w:cs="Arial"/>
          <w:color w:val="000000"/>
          <w:sz w:val="20"/>
          <w:szCs w:val="20"/>
          <w:lang w:eastAsia="en-US"/>
        </w:rPr>
      </w:pPr>
      <w:r w:rsidRPr="00600A4F">
        <w:rPr>
          <w:rFonts w:eastAsia="Calibri" w:cs="Arial"/>
          <w:color w:val="000000"/>
          <w:sz w:val="20"/>
          <w:szCs w:val="20"/>
          <w:lang w:eastAsia="en-US"/>
        </w:rPr>
        <w:t>Current loads for nickel do not exceed loading capacity during wet weather. Sum of all loads cannot exceed loads presented in the table</w:t>
      </w:r>
    </w:p>
    <w:p w:rsidRPr="00600A4F" w:rsidR="00A3095D" w:rsidP="00E8254E" w:rsidRDefault="00A3095D" w14:paraId="4AF0DBCD" w14:textId="380F4CA2">
      <w:pPr>
        <w:pStyle w:val="ListParagraph"/>
        <w:numPr>
          <w:ilvl w:val="0"/>
          <w:numId w:val="62"/>
        </w:numPr>
        <w:tabs>
          <w:tab w:val="left" w:pos="360"/>
        </w:tabs>
        <w:autoSpaceDE w:val="0"/>
        <w:autoSpaceDN w:val="0"/>
        <w:adjustRightInd w:val="0"/>
        <w:spacing w:before="0" w:after="0" w:line="240" w:lineRule="auto"/>
        <w:ind w:left="1620"/>
        <w:contextualSpacing w:val="0"/>
        <w:rPr>
          <w:rFonts w:eastAsia="Calibri" w:cs="Arial"/>
          <w:color w:val="000000"/>
          <w:sz w:val="20"/>
          <w:szCs w:val="20"/>
        </w:rPr>
      </w:pPr>
      <w:r w:rsidRPr="00600A4F">
        <w:rPr>
          <w:rFonts w:eastAsia="Calibri" w:cs="Arial"/>
          <w:color w:val="000000"/>
          <w:sz w:val="20"/>
          <w:szCs w:val="20"/>
        </w:rPr>
        <w:t>Selenium allocations have not been developed for this reach as it is not on the 303(d) list.</w:t>
      </w:r>
    </w:p>
    <w:p w:rsidRPr="00A3095D" w:rsidR="00A3095D" w:rsidP="00E8254E" w:rsidRDefault="00A3095D" w14:paraId="152D1E05" w14:textId="77777777">
      <w:pPr>
        <w:numPr>
          <w:ilvl w:val="0"/>
          <w:numId w:val="51"/>
        </w:numPr>
        <w:autoSpaceDE w:val="0"/>
        <w:autoSpaceDN w:val="0"/>
        <w:adjustRightInd w:val="0"/>
        <w:ind w:left="1620"/>
        <w:rPr>
          <w:rFonts w:eastAsia="Calibri" w:cs="Arial"/>
          <w:color w:val="000000"/>
          <w:lang w:eastAsia="en-US"/>
        </w:rPr>
      </w:pPr>
      <w:r w:rsidRPr="00A3095D">
        <w:rPr>
          <w:rFonts w:eastAsia="Calibri" w:cs="Arial"/>
          <w:color w:val="000000"/>
          <w:lang w:eastAsia="en-US"/>
        </w:rPr>
        <w:t xml:space="preserve">Interim and Final Wasteload Allocations for Mercury in Suspended Sediment </w:t>
      </w:r>
    </w:p>
    <w:p w:rsidRPr="00A3095D" w:rsidR="00A3095D" w:rsidP="00A71673" w:rsidRDefault="00A3095D" w14:paraId="7EE5516C" w14:textId="10A5918E">
      <w:pPr>
        <w:ind w:left="1620"/>
        <w:rPr>
          <w:lang w:eastAsia="en-US"/>
        </w:rPr>
      </w:pPr>
      <w:r w:rsidRPr="00A3095D">
        <w:rPr>
          <w:lang w:eastAsia="en-US"/>
        </w:rPr>
        <w:t>Final w</w:t>
      </w:r>
      <w:r w:rsidRPr="00A3095D">
        <w:rPr>
          <w:szCs w:val="20"/>
          <w:lang w:eastAsia="en-US"/>
        </w:rPr>
        <w:t>asteload allocation</w:t>
      </w:r>
      <w:r w:rsidRPr="00A3095D">
        <w:rPr>
          <w:lang w:eastAsia="en-US"/>
        </w:rPr>
        <w:t>s are set at 80% reduction of Hydrologic Simulation Program – FORTRAN (HSPF) load estimates. Interim limits for mercury in suspended sediment are set equal to the highest annual load within each flow category, based on HSPF output for the years 1993-2003</w:t>
      </w:r>
      <w:r w:rsidR="00397143">
        <w:rPr>
          <w:lang w:eastAsia="en-US"/>
        </w:rPr>
        <w:t>.</w:t>
      </w:r>
      <w:r w:rsidR="008713E2">
        <w:rPr>
          <w:rStyle w:val="FootnoteReference"/>
          <w:lang w:eastAsia="en-US"/>
        </w:rPr>
        <w:footnoteReference w:id="23"/>
      </w:r>
    </w:p>
    <w:p w:rsidRPr="00A3095D" w:rsidR="00A3095D" w:rsidP="00A71673" w:rsidRDefault="00A3095D" w14:paraId="3E71917F" w14:textId="77777777">
      <w:pPr>
        <w:pStyle w:val="TableHead"/>
        <w:ind w:left="1260"/>
        <w:rPr>
          <w:lang w:eastAsia="en-US"/>
        </w:rPr>
      </w:pPr>
      <w:r w:rsidRPr="00A3095D">
        <w:rPr>
          <w:lang w:eastAsia="en-US"/>
        </w:rPr>
        <w:t>Calleguas Creek - Interim and Final Wasteload Allocations for Mercury in Suspended Sediment (pounds per year)</w:t>
      </w:r>
    </w:p>
    <w:tbl>
      <w:tblPr>
        <w:tblStyle w:val="TableGrid36"/>
        <w:tblW w:w="8534" w:type="dxa"/>
        <w:tblInd w:w="1255" w:type="dxa"/>
        <w:tblLook w:val="0220" w:firstRow="1" w:lastRow="0" w:firstColumn="0" w:lastColumn="0" w:noHBand="1" w:noVBand="0"/>
        <w:tblCaption w:val="Calleguas and Conejo Creeks Dry Weather Final Metals WLAs"/>
        <w:tblDescription w:val="Dry weather total recoverable metlas pounds per day"/>
      </w:tblPr>
      <w:tblGrid>
        <w:gridCol w:w="3555"/>
        <w:gridCol w:w="1798"/>
        <w:gridCol w:w="3181"/>
      </w:tblGrid>
      <w:tr w:rsidRPr="002243EA" w:rsidR="00A3095D" w:rsidTr="00A71673" w14:paraId="52979277" w14:textId="77777777">
        <w:trPr>
          <w:trHeight w:val="444"/>
          <w:tblHeader/>
        </w:trPr>
        <w:tc>
          <w:tcPr>
            <w:tcW w:w="0" w:type="auto"/>
            <w:shd w:val="clear" w:color="auto" w:fill="C5E0B3"/>
            <w:vAlign w:val="center"/>
          </w:tcPr>
          <w:p w:rsidRPr="002243EA" w:rsidR="00A3095D" w:rsidP="00A71673" w:rsidRDefault="00A3095D" w14:paraId="25E79951" w14:textId="25E79660">
            <w:pPr>
              <w:spacing w:line="240" w:lineRule="auto"/>
              <w:contextualSpacing/>
              <w:jc w:val="center"/>
              <w:rPr>
                <w:rFonts w:ascii="Arial" w:hAnsi="Arial"/>
                <w:b/>
                <w:bCs/>
                <w:spacing w:val="-1"/>
                <w:sz w:val="22"/>
                <w:szCs w:val="22"/>
                <w:lang w:eastAsia="en-US"/>
              </w:rPr>
            </w:pPr>
            <w:r w:rsidRPr="002243EA">
              <w:rPr>
                <w:rFonts w:ascii="Arial" w:hAnsi="Arial"/>
                <w:b/>
                <w:bCs/>
                <w:spacing w:val="-1"/>
                <w:sz w:val="22"/>
                <w:szCs w:val="22"/>
                <w:lang w:eastAsia="en-US"/>
              </w:rPr>
              <w:t xml:space="preserve">Flow Range </w:t>
            </w:r>
            <w:r w:rsidR="002243EA">
              <w:rPr>
                <w:rFonts w:ascii="Arial" w:hAnsi="Arial"/>
                <w:b/>
                <w:bCs/>
                <w:spacing w:val="-1"/>
                <w:sz w:val="22"/>
                <w:szCs w:val="22"/>
                <w:lang w:eastAsia="en-US"/>
              </w:rPr>
              <w:br/>
            </w:r>
            <w:r w:rsidRPr="002243EA">
              <w:rPr>
                <w:rFonts w:ascii="Arial" w:hAnsi="Arial"/>
                <w:b/>
                <w:bCs/>
                <w:spacing w:val="-1"/>
                <w:sz w:val="22"/>
                <w:szCs w:val="22"/>
                <w:lang w:eastAsia="en-US"/>
              </w:rPr>
              <w:t>(million gallons per year)</w:t>
            </w:r>
          </w:p>
        </w:tc>
        <w:tc>
          <w:tcPr>
            <w:tcW w:w="0" w:type="auto"/>
            <w:shd w:val="clear" w:color="auto" w:fill="C5E0B3"/>
            <w:vAlign w:val="center"/>
          </w:tcPr>
          <w:p w:rsidRPr="002243EA" w:rsidR="00A3095D" w:rsidP="00A71673" w:rsidRDefault="00A3095D" w14:paraId="40F18CA5" w14:textId="77777777">
            <w:pPr>
              <w:spacing w:line="240" w:lineRule="auto"/>
              <w:contextualSpacing/>
              <w:jc w:val="center"/>
              <w:rPr>
                <w:rFonts w:ascii="Arial" w:hAnsi="Arial"/>
                <w:b/>
                <w:bCs/>
                <w:spacing w:val="-1"/>
                <w:sz w:val="22"/>
                <w:szCs w:val="22"/>
                <w:lang w:eastAsia="en-US"/>
              </w:rPr>
            </w:pPr>
            <w:r w:rsidRPr="002243EA">
              <w:rPr>
                <w:rFonts w:ascii="Arial" w:hAnsi="Arial"/>
                <w:b/>
                <w:bCs/>
                <w:spacing w:val="-1"/>
                <w:sz w:val="22"/>
                <w:szCs w:val="22"/>
                <w:lang w:eastAsia="en-US"/>
              </w:rPr>
              <w:t>Interim</w:t>
            </w:r>
          </w:p>
        </w:tc>
        <w:tc>
          <w:tcPr>
            <w:tcW w:w="0" w:type="auto"/>
            <w:shd w:val="clear" w:color="auto" w:fill="C5E0B3"/>
            <w:vAlign w:val="center"/>
          </w:tcPr>
          <w:p w:rsidRPr="002243EA" w:rsidR="00A3095D" w:rsidP="00A71673" w:rsidRDefault="00A3095D" w14:paraId="0DAD7614" w14:textId="77777777">
            <w:pPr>
              <w:spacing w:line="240" w:lineRule="auto"/>
              <w:contextualSpacing/>
              <w:jc w:val="center"/>
              <w:rPr>
                <w:rFonts w:ascii="Arial" w:hAnsi="Arial"/>
                <w:b/>
                <w:bCs/>
                <w:spacing w:val="-1"/>
                <w:sz w:val="22"/>
                <w:szCs w:val="22"/>
                <w:lang w:eastAsia="en-US"/>
              </w:rPr>
            </w:pPr>
            <w:r w:rsidRPr="002243EA">
              <w:rPr>
                <w:rFonts w:ascii="Arial" w:hAnsi="Arial"/>
                <w:b/>
                <w:bCs/>
                <w:spacing w:val="-1"/>
                <w:sz w:val="22"/>
                <w:szCs w:val="22"/>
                <w:lang w:eastAsia="en-US"/>
              </w:rPr>
              <w:t>Final</w:t>
            </w:r>
          </w:p>
        </w:tc>
      </w:tr>
      <w:tr w:rsidRPr="002243EA" w:rsidR="00A3095D" w:rsidTr="00A71673" w14:paraId="6881454D" w14:textId="77777777">
        <w:trPr>
          <w:trHeight w:val="444"/>
        </w:trPr>
        <w:tc>
          <w:tcPr>
            <w:tcW w:w="3555" w:type="dxa"/>
            <w:vAlign w:val="center"/>
          </w:tcPr>
          <w:p w:rsidRPr="002243EA" w:rsidR="00A3095D" w:rsidP="00A3095D" w:rsidRDefault="00A3095D" w14:paraId="1BDAB7B9" w14:textId="77777777">
            <w:pPr>
              <w:spacing w:line="240" w:lineRule="auto"/>
              <w:contextualSpacing/>
              <w:rPr>
                <w:rFonts w:ascii="Arial" w:hAnsi="Arial"/>
                <w:spacing w:val="-1"/>
                <w:sz w:val="22"/>
                <w:szCs w:val="22"/>
                <w:lang w:eastAsia="en-US"/>
              </w:rPr>
            </w:pPr>
            <w:r w:rsidRPr="002243EA">
              <w:rPr>
                <w:rFonts w:ascii="Arial" w:hAnsi="Arial"/>
                <w:spacing w:val="-1"/>
                <w:sz w:val="22"/>
                <w:szCs w:val="22"/>
                <w:lang w:eastAsia="en-US"/>
              </w:rPr>
              <w:t>0-15,000</w:t>
            </w:r>
          </w:p>
        </w:tc>
        <w:tc>
          <w:tcPr>
            <w:tcW w:w="1798" w:type="dxa"/>
            <w:vAlign w:val="center"/>
          </w:tcPr>
          <w:p w:rsidRPr="002243EA" w:rsidR="00A3095D" w:rsidP="00A3095D" w:rsidRDefault="00A3095D" w14:paraId="30C6FB8A" w14:textId="77777777">
            <w:pPr>
              <w:spacing w:line="240" w:lineRule="auto"/>
              <w:contextualSpacing/>
              <w:jc w:val="center"/>
              <w:rPr>
                <w:rFonts w:ascii="Arial" w:hAnsi="Arial"/>
                <w:spacing w:val="-1"/>
                <w:sz w:val="22"/>
                <w:szCs w:val="22"/>
                <w:lang w:eastAsia="en-US"/>
              </w:rPr>
            </w:pPr>
            <w:r w:rsidRPr="002243EA">
              <w:rPr>
                <w:rFonts w:ascii="Arial" w:hAnsi="Arial"/>
                <w:spacing w:val="-1"/>
                <w:sz w:val="22"/>
                <w:szCs w:val="22"/>
                <w:lang w:eastAsia="en-US"/>
              </w:rPr>
              <w:t>3.3</w:t>
            </w:r>
          </w:p>
        </w:tc>
        <w:tc>
          <w:tcPr>
            <w:tcW w:w="3181" w:type="dxa"/>
            <w:vAlign w:val="center"/>
          </w:tcPr>
          <w:p w:rsidRPr="002243EA" w:rsidR="00A3095D" w:rsidP="00A3095D" w:rsidRDefault="00A3095D" w14:paraId="5CACB3F9" w14:textId="77777777">
            <w:pPr>
              <w:spacing w:line="240" w:lineRule="auto"/>
              <w:contextualSpacing/>
              <w:jc w:val="center"/>
              <w:rPr>
                <w:rFonts w:ascii="Arial" w:hAnsi="Arial"/>
                <w:spacing w:val="-1"/>
                <w:sz w:val="22"/>
                <w:szCs w:val="22"/>
                <w:lang w:eastAsia="en-US"/>
              </w:rPr>
            </w:pPr>
            <w:r w:rsidRPr="002243EA">
              <w:rPr>
                <w:rFonts w:ascii="Arial" w:hAnsi="Arial"/>
                <w:spacing w:val="-1"/>
                <w:sz w:val="22"/>
                <w:szCs w:val="22"/>
                <w:lang w:eastAsia="en-US"/>
              </w:rPr>
              <w:t>0.4</w:t>
            </w:r>
          </w:p>
        </w:tc>
      </w:tr>
      <w:tr w:rsidRPr="002243EA" w:rsidR="00A3095D" w:rsidTr="00A71673" w14:paraId="45E3C144" w14:textId="77777777">
        <w:trPr>
          <w:trHeight w:val="444"/>
        </w:trPr>
        <w:tc>
          <w:tcPr>
            <w:tcW w:w="3555" w:type="dxa"/>
            <w:vAlign w:val="center"/>
          </w:tcPr>
          <w:p w:rsidRPr="002243EA" w:rsidR="00A3095D" w:rsidP="00A3095D" w:rsidRDefault="00A3095D" w14:paraId="424C7FC0" w14:textId="77777777">
            <w:pPr>
              <w:spacing w:line="240" w:lineRule="auto"/>
              <w:contextualSpacing/>
              <w:rPr>
                <w:rFonts w:ascii="Arial" w:hAnsi="Arial"/>
                <w:spacing w:val="-1"/>
                <w:sz w:val="22"/>
                <w:szCs w:val="22"/>
                <w:lang w:eastAsia="en-US"/>
              </w:rPr>
            </w:pPr>
            <w:r w:rsidRPr="002243EA">
              <w:rPr>
                <w:rFonts w:ascii="Arial" w:hAnsi="Arial"/>
                <w:spacing w:val="-1"/>
                <w:sz w:val="22"/>
                <w:szCs w:val="22"/>
                <w:lang w:eastAsia="en-US"/>
              </w:rPr>
              <w:t>15,000-25,000</w:t>
            </w:r>
          </w:p>
        </w:tc>
        <w:tc>
          <w:tcPr>
            <w:tcW w:w="1798" w:type="dxa"/>
            <w:vAlign w:val="center"/>
          </w:tcPr>
          <w:p w:rsidRPr="002243EA" w:rsidR="00A3095D" w:rsidP="00A3095D" w:rsidRDefault="00A3095D" w14:paraId="0BCDCE5B" w14:textId="77777777">
            <w:pPr>
              <w:spacing w:line="240" w:lineRule="auto"/>
              <w:contextualSpacing/>
              <w:jc w:val="center"/>
              <w:rPr>
                <w:rFonts w:ascii="Arial" w:hAnsi="Arial"/>
                <w:spacing w:val="-1"/>
                <w:sz w:val="22"/>
                <w:szCs w:val="22"/>
                <w:lang w:eastAsia="en-US"/>
              </w:rPr>
            </w:pPr>
            <w:r w:rsidRPr="002243EA">
              <w:rPr>
                <w:rFonts w:ascii="Arial" w:hAnsi="Arial"/>
                <w:spacing w:val="-1"/>
                <w:sz w:val="22"/>
                <w:szCs w:val="22"/>
                <w:lang w:eastAsia="en-US"/>
              </w:rPr>
              <w:t>10.5</w:t>
            </w:r>
          </w:p>
        </w:tc>
        <w:tc>
          <w:tcPr>
            <w:tcW w:w="3181" w:type="dxa"/>
            <w:vAlign w:val="center"/>
          </w:tcPr>
          <w:p w:rsidRPr="002243EA" w:rsidR="00A3095D" w:rsidP="00A3095D" w:rsidRDefault="00A3095D" w14:paraId="71723838" w14:textId="77777777">
            <w:pPr>
              <w:spacing w:line="240" w:lineRule="auto"/>
              <w:contextualSpacing/>
              <w:jc w:val="center"/>
              <w:rPr>
                <w:rFonts w:ascii="Arial" w:hAnsi="Arial"/>
                <w:spacing w:val="-1"/>
                <w:sz w:val="22"/>
                <w:szCs w:val="22"/>
                <w:lang w:eastAsia="en-US"/>
              </w:rPr>
            </w:pPr>
            <w:r w:rsidRPr="002243EA">
              <w:rPr>
                <w:rFonts w:ascii="Arial" w:hAnsi="Arial"/>
                <w:spacing w:val="-1"/>
                <w:sz w:val="22"/>
                <w:szCs w:val="22"/>
                <w:lang w:eastAsia="en-US"/>
              </w:rPr>
              <w:t>1.6</w:t>
            </w:r>
          </w:p>
        </w:tc>
      </w:tr>
      <w:tr w:rsidRPr="002243EA" w:rsidR="00A3095D" w:rsidTr="00A71673" w14:paraId="6FCB31A5" w14:textId="77777777">
        <w:trPr>
          <w:trHeight w:val="444"/>
        </w:trPr>
        <w:tc>
          <w:tcPr>
            <w:tcW w:w="3555" w:type="dxa"/>
            <w:vAlign w:val="center"/>
          </w:tcPr>
          <w:p w:rsidRPr="002243EA" w:rsidR="00A3095D" w:rsidP="00A3095D" w:rsidRDefault="00A3095D" w14:paraId="4D7A3088" w14:textId="77777777">
            <w:pPr>
              <w:spacing w:line="240" w:lineRule="auto"/>
              <w:contextualSpacing/>
              <w:rPr>
                <w:rFonts w:ascii="Arial" w:hAnsi="Arial"/>
                <w:spacing w:val="-1"/>
                <w:sz w:val="22"/>
                <w:szCs w:val="22"/>
                <w:lang w:eastAsia="en-US"/>
              </w:rPr>
            </w:pPr>
            <w:r w:rsidRPr="002243EA">
              <w:rPr>
                <w:rFonts w:ascii="Arial" w:hAnsi="Arial"/>
                <w:spacing w:val="-1"/>
                <w:sz w:val="22"/>
                <w:szCs w:val="22"/>
                <w:lang w:eastAsia="en-US"/>
              </w:rPr>
              <w:t>Above 25,000</w:t>
            </w:r>
          </w:p>
        </w:tc>
        <w:tc>
          <w:tcPr>
            <w:tcW w:w="1798" w:type="dxa"/>
            <w:vAlign w:val="center"/>
          </w:tcPr>
          <w:p w:rsidRPr="002243EA" w:rsidR="00A3095D" w:rsidP="00A3095D" w:rsidRDefault="00A3095D" w14:paraId="63A4C1A6" w14:textId="77777777">
            <w:pPr>
              <w:spacing w:line="240" w:lineRule="auto"/>
              <w:jc w:val="center"/>
              <w:rPr>
                <w:rFonts w:ascii="Arial" w:hAnsi="Arial"/>
                <w:sz w:val="22"/>
                <w:szCs w:val="22"/>
                <w:lang w:eastAsia="en-US"/>
              </w:rPr>
            </w:pPr>
            <w:r w:rsidRPr="002243EA">
              <w:rPr>
                <w:rFonts w:ascii="Arial" w:hAnsi="Arial"/>
                <w:sz w:val="22"/>
                <w:szCs w:val="22"/>
                <w:lang w:eastAsia="en-US"/>
              </w:rPr>
              <w:t>64.6</w:t>
            </w:r>
          </w:p>
        </w:tc>
        <w:tc>
          <w:tcPr>
            <w:tcW w:w="3181" w:type="dxa"/>
            <w:vAlign w:val="center"/>
          </w:tcPr>
          <w:p w:rsidRPr="002243EA" w:rsidR="00A3095D" w:rsidP="00A3095D" w:rsidRDefault="00A3095D" w14:paraId="42A5DAE4" w14:textId="77777777">
            <w:pPr>
              <w:spacing w:line="240" w:lineRule="auto"/>
              <w:jc w:val="center"/>
              <w:rPr>
                <w:rFonts w:ascii="Arial" w:hAnsi="Arial"/>
                <w:sz w:val="22"/>
                <w:szCs w:val="22"/>
                <w:lang w:eastAsia="en-US"/>
              </w:rPr>
            </w:pPr>
            <w:r w:rsidRPr="002243EA">
              <w:rPr>
                <w:rFonts w:ascii="Arial" w:hAnsi="Arial"/>
                <w:sz w:val="22"/>
                <w:szCs w:val="22"/>
                <w:lang w:eastAsia="en-US"/>
              </w:rPr>
              <w:t>9.3</w:t>
            </w:r>
          </w:p>
        </w:tc>
      </w:tr>
    </w:tbl>
    <w:p w:rsidRPr="00A3095D" w:rsidR="00A3095D" w:rsidP="00A71673" w:rsidRDefault="00A3095D" w14:paraId="613C7875" w14:textId="77777777">
      <w:pPr>
        <w:pStyle w:val="TableHead"/>
        <w:ind w:left="1260"/>
        <w:rPr>
          <w:lang w:eastAsia="en-US"/>
        </w:rPr>
      </w:pPr>
      <w:r w:rsidRPr="00A3095D">
        <w:rPr>
          <w:lang w:eastAsia="en-US"/>
        </w:rPr>
        <w:t>Revolon Slough - Interim and Final Wasteload Allocations for Mercury in Suspended Sediment (pounds per year)</w:t>
      </w:r>
    </w:p>
    <w:tbl>
      <w:tblPr>
        <w:tblStyle w:val="TableGrid36"/>
        <w:tblW w:w="8221" w:type="dxa"/>
        <w:tblInd w:w="1327" w:type="dxa"/>
        <w:tblLook w:val="0220" w:firstRow="1" w:lastRow="0" w:firstColumn="0" w:lastColumn="0" w:noHBand="1" w:noVBand="0"/>
        <w:tblCaption w:val="Calleguas and Conejo Creeks Dry Weather Final Metals WLAs"/>
        <w:tblDescription w:val="Dry weather total recoverable metlas pounds per day"/>
      </w:tblPr>
      <w:tblGrid>
        <w:gridCol w:w="3038"/>
        <w:gridCol w:w="2135"/>
        <w:gridCol w:w="3048"/>
      </w:tblGrid>
      <w:tr w:rsidRPr="0058412C" w:rsidR="00A3095D" w:rsidTr="00A71673" w14:paraId="3C65F2DC" w14:textId="77777777">
        <w:trPr>
          <w:trHeight w:val="428"/>
          <w:tblHeader/>
        </w:trPr>
        <w:tc>
          <w:tcPr>
            <w:tcW w:w="3038" w:type="dxa"/>
            <w:shd w:val="clear" w:color="auto" w:fill="C5E0B3"/>
            <w:vAlign w:val="center"/>
          </w:tcPr>
          <w:p w:rsidRPr="0058412C" w:rsidR="00A3095D" w:rsidP="00A3095D" w:rsidRDefault="00A3095D" w14:paraId="67E60189" w14:textId="5E93B9FE">
            <w:pPr>
              <w:spacing w:line="240" w:lineRule="auto"/>
              <w:contextualSpacing/>
              <w:rPr>
                <w:rFonts w:ascii="Arial" w:hAnsi="Arial"/>
                <w:b/>
                <w:bCs/>
                <w:spacing w:val="-1"/>
                <w:sz w:val="22"/>
                <w:szCs w:val="22"/>
                <w:lang w:eastAsia="en-US"/>
              </w:rPr>
            </w:pPr>
            <w:r w:rsidRPr="0058412C">
              <w:rPr>
                <w:rFonts w:ascii="Arial" w:hAnsi="Arial"/>
                <w:b/>
                <w:bCs/>
                <w:spacing w:val="-1"/>
                <w:sz w:val="22"/>
                <w:szCs w:val="22"/>
                <w:lang w:eastAsia="en-US"/>
              </w:rPr>
              <w:t xml:space="preserve">Flow Range </w:t>
            </w:r>
            <w:r w:rsidR="0058412C">
              <w:rPr>
                <w:rFonts w:ascii="Arial" w:hAnsi="Arial"/>
                <w:b/>
                <w:bCs/>
                <w:spacing w:val="-1"/>
                <w:sz w:val="22"/>
                <w:szCs w:val="22"/>
                <w:lang w:eastAsia="en-US"/>
              </w:rPr>
              <w:br/>
            </w:r>
            <w:r w:rsidRPr="0058412C">
              <w:rPr>
                <w:rFonts w:ascii="Arial" w:hAnsi="Arial"/>
                <w:b/>
                <w:bCs/>
                <w:spacing w:val="-1"/>
                <w:sz w:val="22"/>
                <w:szCs w:val="22"/>
                <w:lang w:eastAsia="en-US"/>
              </w:rPr>
              <w:t>(million gallons per year)</w:t>
            </w:r>
          </w:p>
        </w:tc>
        <w:tc>
          <w:tcPr>
            <w:tcW w:w="2135" w:type="dxa"/>
            <w:shd w:val="clear" w:color="auto" w:fill="C5E0B3"/>
            <w:vAlign w:val="center"/>
          </w:tcPr>
          <w:p w:rsidRPr="0058412C" w:rsidR="00A3095D" w:rsidP="00A3095D" w:rsidRDefault="00A3095D" w14:paraId="7DD5C739" w14:textId="77777777">
            <w:pPr>
              <w:spacing w:line="240" w:lineRule="auto"/>
              <w:contextualSpacing/>
              <w:jc w:val="center"/>
              <w:rPr>
                <w:rFonts w:ascii="Arial" w:hAnsi="Arial"/>
                <w:b/>
                <w:bCs/>
                <w:spacing w:val="-1"/>
                <w:sz w:val="22"/>
                <w:szCs w:val="22"/>
                <w:lang w:eastAsia="en-US"/>
              </w:rPr>
            </w:pPr>
            <w:r w:rsidRPr="0058412C">
              <w:rPr>
                <w:rFonts w:ascii="Arial" w:hAnsi="Arial"/>
                <w:b/>
                <w:bCs/>
                <w:spacing w:val="-1"/>
                <w:sz w:val="22"/>
                <w:szCs w:val="22"/>
                <w:lang w:eastAsia="en-US"/>
              </w:rPr>
              <w:t>Interim</w:t>
            </w:r>
          </w:p>
        </w:tc>
        <w:tc>
          <w:tcPr>
            <w:tcW w:w="3048" w:type="dxa"/>
            <w:shd w:val="clear" w:color="auto" w:fill="C5E0B3"/>
            <w:vAlign w:val="center"/>
          </w:tcPr>
          <w:p w:rsidRPr="0058412C" w:rsidR="00A3095D" w:rsidP="00A3095D" w:rsidRDefault="00A3095D" w14:paraId="0D48C97A" w14:textId="77777777">
            <w:pPr>
              <w:spacing w:line="240" w:lineRule="auto"/>
              <w:contextualSpacing/>
              <w:jc w:val="center"/>
              <w:rPr>
                <w:rFonts w:ascii="Arial" w:hAnsi="Arial"/>
                <w:b/>
                <w:bCs/>
                <w:spacing w:val="-1"/>
                <w:sz w:val="22"/>
                <w:szCs w:val="22"/>
                <w:lang w:eastAsia="en-US"/>
              </w:rPr>
            </w:pPr>
            <w:r w:rsidRPr="0058412C">
              <w:rPr>
                <w:rFonts w:ascii="Arial" w:hAnsi="Arial"/>
                <w:b/>
                <w:bCs/>
                <w:spacing w:val="-1"/>
                <w:sz w:val="22"/>
                <w:szCs w:val="22"/>
                <w:lang w:eastAsia="en-US"/>
              </w:rPr>
              <w:t>Final</w:t>
            </w:r>
          </w:p>
        </w:tc>
      </w:tr>
      <w:tr w:rsidRPr="0058412C" w:rsidR="00A3095D" w:rsidTr="00A71673" w14:paraId="48908E9C" w14:textId="77777777">
        <w:trPr>
          <w:trHeight w:val="428"/>
        </w:trPr>
        <w:tc>
          <w:tcPr>
            <w:tcW w:w="3038" w:type="dxa"/>
            <w:vAlign w:val="center"/>
          </w:tcPr>
          <w:p w:rsidRPr="0058412C" w:rsidR="00A3095D" w:rsidP="00A3095D" w:rsidRDefault="00A3095D" w14:paraId="2E22BBD6" w14:textId="77777777">
            <w:pPr>
              <w:spacing w:line="240" w:lineRule="auto"/>
              <w:contextualSpacing/>
              <w:rPr>
                <w:rFonts w:ascii="Arial" w:hAnsi="Arial"/>
                <w:spacing w:val="-1"/>
                <w:sz w:val="22"/>
                <w:szCs w:val="22"/>
                <w:lang w:eastAsia="en-US"/>
              </w:rPr>
            </w:pPr>
            <w:r w:rsidRPr="0058412C">
              <w:rPr>
                <w:rFonts w:ascii="Arial" w:hAnsi="Arial"/>
                <w:spacing w:val="-1"/>
                <w:sz w:val="22"/>
                <w:szCs w:val="22"/>
                <w:lang w:eastAsia="en-US"/>
              </w:rPr>
              <w:t>0-15,000</w:t>
            </w:r>
          </w:p>
        </w:tc>
        <w:tc>
          <w:tcPr>
            <w:tcW w:w="2135" w:type="dxa"/>
            <w:vAlign w:val="center"/>
          </w:tcPr>
          <w:p w:rsidRPr="0058412C" w:rsidR="00A3095D" w:rsidP="00A3095D" w:rsidRDefault="00A3095D" w14:paraId="058CD963" w14:textId="77777777">
            <w:pPr>
              <w:spacing w:line="240" w:lineRule="auto"/>
              <w:contextualSpacing/>
              <w:jc w:val="center"/>
              <w:rPr>
                <w:rFonts w:ascii="Arial" w:hAnsi="Arial"/>
                <w:spacing w:val="-1"/>
                <w:sz w:val="22"/>
                <w:szCs w:val="22"/>
                <w:lang w:eastAsia="en-US"/>
              </w:rPr>
            </w:pPr>
            <w:r w:rsidRPr="0058412C">
              <w:rPr>
                <w:rFonts w:ascii="Arial" w:hAnsi="Arial"/>
                <w:spacing w:val="-1"/>
                <w:sz w:val="22"/>
                <w:szCs w:val="22"/>
                <w:lang w:eastAsia="en-US"/>
              </w:rPr>
              <w:t>1.7</w:t>
            </w:r>
          </w:p>
        </w:tc>
        <w:tc>
          <w:tcPr>
            <w:tcW w:w="3048" w:type="dxa"/>
            <w:vAlign w:val="center"/>
          </w:tcPr>
          <w:p w:rsidRPr="0058412C" w:rsidR="00A3095D" w:rsidP="00A3095D" w:rsidRDefault="00A3095D" w14:paraId="077C59E0" w14:textId="77777777">
            <w:pPr>
              <w:spacing w:line="240" w:lineRule="auto"/>
              <w:contextualSpacing/>
              <w:jc w:val="center"/>
              <w:rPr>
                <w:rFonts w:ascii="Arial" w:hAnsi="Arial"/>
                <w:spacing w:val="-1"/>
                <w:sz w:val="22"/>
                <w:szCs w:val="22"/>
                <w:lang w:eastAsia="en-US"/>
              </w:rPr>
            </w:pPr>
            <w:r w:rsidRPr="0058412C">
              <w:rPr>
                <w:rFonts w:ascii="Arial" w:hAnsi="Arial"/>
                <w:spacing w:val="-1"/>
                <w:sz w:val="22"/>
                <w:szCs w:val="22"/>
                <w:lang w:eastAsia="en-US"/>
              </w:rPr>
              <w:t>0.1</w:t>
            </w:r>
          </w:p>
        </w:tc>
      </w:tr>
      <w:tr w:rsidRPr="0058412C" w:rsidR="00A3095D" w:rsidTr="00A71673" w14:paraId="424D4E45" w14:textId="77777777">
        <w:trPr>
          <w:trHeight w:val="428"/>
        </w:trPr>
        <w:tc>
          <w:tcPr>
            <w:tcW w:w="3038" w:type="dxa"/>
            <w:vAlign w:val="center"/>
          </w:tcPr>
          <w:p w:rsidRPr="0058412C" w:rsidR="00A3095D" w:rsidP="00A3095D" w:rsidRDefault="00A3095D" w14:paraId="6CBBE543" w14:textId="77777777">
            <w:pPr>
              <w:spacing w:line="240" w:lineRule="auto"/>
              <w:contextualSpacing/>
              <w:rPr>
                <w:rFonts w:ascii="Arial" w:hAnsi="Arial"/>
                <w:spacing w:val="-1"/>
                <w:sz w:val="22"/>
                <w:szCs w:val="22"/>
                <w:lang w:eastAsia="en-US"/>
              </w:rPr>
            </w:pPr>
            <w:r w:rsidRPr="0058412C">
              <w:rPr>
                <w:rFonts w:ascii="Arial" w:hAnsi="Arial"/>
                <w:spacing w:val="-1"/>
                <w:sz w:val="22"/>
                <w:szCs w:val="22"/>
                <w:lang w:eastAsia="en-US"/>
              </w:rPr>
              <w:t>15,000-25,000</w:t>
            </w:r>
          </w:p>
        </w:tc>
        <w:tc>
          <w:tcPr>
            <w:tcW w:w="2135" w:type="dxa"/>
            <w:vAlign w:val="center"/>
          </w:tcPr>
          <w:p w:rsidRPr="0058412C" w:rsidR="00A3095D" w:rsidP="00A3095D" w:rsidRDefault="00A3095D" w14:paraId="7F573F6F" w14:textId="77777777">
            <w:pPr>
              <w:spacing w:line="240" w:lineRule="auto"/>
              <w:contextualSpacing/>
              <w:jc w:val="center"/>
              <w:rPr>
                <w:rFonts w:ascii="Arial" w:hAnsi="Arial"/>
                <w:spacing w:val="-1"/>
                <w:sz w:val="22"/>
                <w:szCs w:val="22"/>
                <w:lang w:eastAsia="en-US"/>
              </w:rPr>
            </w:pPr>
            <w:r w:rsidRPr="0058412C">
              <w:rPr>
                <w:rFonts w:ascii="Arial" w:hAnsi="Arial"/>
                <w:spacing w:val="-1"/>
                <w:sz w:val="22"/>
                <w:szCs w:val="22"/>
                <w:lang w:eastAsia="en-US"/>
              </w:rPr>
              <w:t>4</w:t>
            </w:r>
          </w:p>
        </w:tc>
        <w:tc>
          <w:tcPr>
            <w:tcW w:w="3048" w:type="dxa"/>
            <w:vAlign w:val="center"/>
          </w:tcPr>
          <w:p w:rsidRPr="0058412C" w:rsidR="00A3095D" w:rsidP="00A3095D" w:rsidRDefault="00A3095D" w14:paraId="51298E84" w14:textId="77777777">
            <w:pPr>
              <w:spacing w:line="240" w:lineRule="auto"/>
              <w:contextualSpacing/>
              <w:jc w:val="center"/>
              <w:rPr>
                <w:rFonts w:ascii="Arial" w:hAnsi="Arial"/>
                <w:spacing w:val="-1"/>
                <w:sz w:val="22"/>
                <w:szCs w:val="22"/>
                <w:lang w:eastAsia="en-US"/>
              </w:rPr>
            </w:pPr>
            <w:r w:rsidRPr="0058412C">
              <w:rPr>
                <w:rFonts w:ascii="Arial" w:hAnsi="Arial"/>
                <w:spacing w:val="-1"/>
                <w:sz w:val="22"/>
                <w:szCs w:val="22"/>
                <w:lang w:eastAsia="en-US"/>
              </w:rPr>
              <w:t>0.7</w:t>
            </w:r>
          </w:p>
        </w:tc>
      </w:tr>
      <w:tr w:rsidRPr="0058412C" w:rsidR="00A3095D" w:rsidTr="00A71673" w14:paraId="7E2DEB20" w14:textId="77777777">
        <w:trPr>
          <w:trHeight w:val="428"/>
        </w:trPr>
        <w:tc>
          <w:tcPr>
            <w:tcW w:w="3038" w:type="dxa"/>
            <w:vAlign w:val="center"/>
          </w:tcPr>
          <w:p w:rsidRPr="0058412C" w:rsidR="00A3095D" w:rsidP="00A3095D" w:rsidRDefault="00A3095D" w14:paraId="2AC0919F" w14:textId="77777777">
            <w:pPr>
              <w:spacing w:line="240" w:lineRule="auto"/>
              <w:contextualSpacing/>
              <w:rPr>
                <w:rFonts w:ascii="Arial" w:hAnsi="Arial"/>
                <w:spacing w:val="-1"/>
                <w:sz w:val="22"/>
                <w:szCs w:val="22"/>
                <w:lang w:eastAsia="en-US"/>
              </w:rPr>
            </w:pPr>
            <w:r w:rsidRPr="0058412C">
              <w:rPr>
                <w:rFonts w:ascii="Arial" w:hAnsi="Arial"/>
                <w:spacing w:val="-1"/>
                <w:sz w:val="22"/>
                <w:szCs w:val="22"/>
                <w:lang w:eastAsia="en-US"/>
              </w:rPr>
              <w:t>Above 25,000</w:t>
            </w:r>
          </w:p>
        </w:tc>
        <w:tc>
          <w:tcPr>
            <w:tcW w:w="2135" w:type="dxa"/>
            <w:vAlign w:val="center"/>
          </w:tcPr>
          <w:p w:rsidRPr="0058412C" w:rsidR="00A3095D" w:rsidP="00A3095D" w:rsidRDefault="00A3095D" w14:paraId="389F5176" w14:textId="77777777">
            <w:pPr>
              <w:spacing w:line="240" w:lineRule="auto"/>
              <w:jc w:val="center"/>
              <w:rPr>
                <w:rFonts w:ascii="Arial" w:hAnsi="Arial"/>
                <w:sz w:val="22"/>
                <w:szCs w:val="22"/>
                <w:lang w:eastAsia="en-US"/>
              </w:rPr>
            </w:pPr>
            <w:r w:rsidRPr="0058412C">
              <w:rPr>
                <w:rFonts w:ascii="Arial" w:hAnsi="Arial"/>
                <w:sz w:val="22"/>
                <w:szCs w:val="22"/>
                <w:lang w:eastAsia="en-US"/>
              </w:rPr>
              <w:t>10.2</w:t>
            </w:r>
          </w:p>
        </w:tc>
        <w:tc>
          <w:tcPr>
            <w:tcW w:w="3048" w:type="dxa"/>
            <w:vAlign w:val="center"/>
          </w:tcPr>
          <w:p w:rsidRPr="0058412C" w:rsidR="00A3095D" w:rsidP="00A3095D" w:rsidRDefault="00A3095D" w14:paraId="5304E765" w14:textId="77777777">
            <w:pPr>
              <w:spacing w:line="240" w:lineRule="auto"/>
              <w:jc w:val="center"/>
              <w:rPr>
                <w:rFonts w:ascii="Arial" w:hAnsi="Arial"/>
                <w:sz w:val="22"/>
                <w:szCs w:val="22"/>
                <w:lang w:eastAsia="en-US"/>
              </w:rPr>
            </w:pPr>
            <w:r w:rsidRPr="0058412C">
              <w:rPr>
                <w:rFonts w:ascii="Arial" w:hAnsi="Arial"/>
                <w:sz w:val="22"/>
                <w:szCs w:val="22"/>
                <w:lang w:eastAsia="en-US"/>
              </w:rPr>
              <w:t>1.8</w:t>
            </w:r>
          </w:p>
        </w:tc>
      </w:tr>
    </w:tbl>
    <w:p w:rsidRPr="00A3095D" w:rsidR="00A3095D" w:rsidP="00A3095D" w:rsidRDefault="00A3095D" w14:paraId="42A217DF" w14:textId="79F334A4">
      <w:pPr>
        <w:spacing w:before="240"/>
        <w:ind w:left="1267"/>
        <w:rPr>
          <w:rFonts w:cs="Arial"/>
          <w:lang w:eastAsia="en-US"/>
        </w:rPr>
      </w:pPr>
      <w:r w:rsidRPr="00A3095D">
        <w:rPr>
          <w:rFonts w:cs="Arial"/>
          <w:b/>
          <w:bCs/>
          <w:lang w:eastAsia="en-US"/>
        </w:rPr>
        <w:t xml:space="preserve">Final Compliance Deadline: </w:t>
      </w:r>
      <w:r w:rsidRPr="00A3095D">
        <w:rPr>
          <w:rFonts w:cs="Arial"/>
          <w:lang w:eastAsia="en-US"/>
        </w:rPr>
        <w:t xml:space="preserve">Achievement of final wasteload allocations for copper, nickel, mercury and selenium March 27, 2022. If the deadline has not been met, the Permittee may request a time schedule order from the </w:t>
      </w:r>
      <w:r w:rsidRPr="00A3095D">
        <w:rPr>
          <w:rFonts w:cs="Arial"/>
          <w:lang w:eastAsia="en-US"/>
        </w:rPr>
        <w:t xml:space="preserve">Los Angeles Water Board Executive Officer, which </w:t>
      </w:r>
      <w:r w:rsidR="005C1C22">
        <w:rPr>
          <w:rFonts w:cs="Arial"/>
          <w:lang w:eastAsia="en-US"/>
        </w:rPr>
        <w:t xml:space="preserve">may establish an implementation schedule </w:t>
      </w:r>
      <w:r w:rsidRPr="00A3095D">
        <w:rPr>
          <w:rFonts w:cs="Arial"/>
          <w:lang w:eastAsia="en-US"/>
        </w:rPr>
        <w:t>for the Permittee to comply with the TMDL requirements, and will supersede the deadlines referenced in this Order.</w:t>
      </w:r>
    </w:p>
    <w:p w:rsidRPr="000D48DD" w:rsidR="00A3095D" w:rsidP="000D48DD" w:rsidRDefault="00836361" w14:paraId="5F7A998E" w14:textId="57862EDC">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.10</w:t>
      </w:r>
      <w:r w:rsidRPr="000D48DD" w:rsidR="00A3095D">
        <w:rPr>
          <w:i/>
          <w:iCs/>
        </w:rPr>
        <w:tab/>
      </w:r>
      <w:r w:rsidRPr="000D48DD" w:rsidR="00A3095D">
        <w:rPr>
          <w:i/>
          <w:iCs/>
        </w:rPr>
        <w:t xml:space="preserve">San Gabriel River and Impaired Tributaries Metals and Selenium </w:t>
      </w:r>
    </w:p>
    <w:p w:rsidRPr="00A3095D" w:rsidR="00A3095D" w:rsidP="00A3095D" w:rsidRDefault="00A3095D" w14:paraId="7D61CABA" w14:textId="0BA58FCE">
      <w:pPr>
        <w:ind w:left="1260"/>
        <w:rPr>
          <w:rFonts w:cs="Arial"/>
          <w:lang w:eastAsia="en-US"/>
        </w:rPr>
      </w:pPr>
      <w:r w:rsidRPr="00A3095D">
        <w:rPr>
          <w:rFonts w:cs="Arial"/>
          <w:b/>
          <w:bCs/>
          <w:lang w:eastAsia="en-US"/>
        </w:rPr>
        <w:t>Description:</w:t>
      </w:r>
      <w:r w:rsidRPr="00A3095D">
        <w:rPr>
          <w:rFonts w:cs="Arial"/>
          <w:lang w:eastAsia="en-US"/>
        </w:rPr>
        <w:t xml:space="preserve"> </w:t>
      </w:r>
      <w:r w:rsidR="00766ACF">
        <w:rPr>
          <w:rFonts w:cs="Arial"/>
          <w:lang w:eastAsia="en-US"/>
        </w:rPr>
        <w:t>USEPA</w:t>
      </w:r>
      <w:r w:rsidR="00C56C92">
        <w:rPr>
          <w:rFonts w:cs="Arial"/>
          <w:lang w:eastAsia="en-US"/>
        </w:rPr>
        <w:t xml:space="preserve"> </w:t>
      </w:r>
      <w:r w:rsidRPr="00A3095D">
        <w:rPr>
          <w:rFonts w:cs="Arial"/>
          <w:lang w:eastAsia="en-US"/>
        </w:rPr>
        <w:t xml:space="preserve">established the TMDL on March 26, 2007, and approved the revision on May 11, 2017. San Jose Creek Reach 1 and 2 (a tributary to </w:t>
      </w:r>
      <w:r w:rsidRPr="00A3095D">
        <w:rPr>
          <w:szCs w:val="20"/>
          <w:lang w:eastAsia="en-US"/>
        </w:rPr>
        <w:t>San Gabriel River) exceed water quality objectives for selenium.</w:t>
      </w:r>
      <w:r w:rsidRPr="00A3095D">
        <w:rPr>
          <w:rFonts w:cs="Arial"/>
          <w:lang w:eastAsia="en-US"/>
        </w:rPr>
        <w:t xml:space="preserve"> Municipal stormwater has been identified as a source.</w:t>
      </w:r>
    </w:p>
    <w:p w:rsidRPr="00CF1731" w:rsidR="00A3095D" w:rsidP="00A3095D" w:rsidRDefault="00A3095D" w14:paraId="2BAB4239" w14:textId="70C841A2">
      <w:pPr>
        <w:ind w:left="1260"/>
        <w:rPr>
          <w:rFonts w:cs="Arial"/>
          <w:lang w:eastAsia="en-US"/>
        </w:rPr>
      </w:pPr>
      <w:r w:rsidRPr="00CF1731">
        <w:rPr>
          <w:b/>
          <w:szCs w:val="20"/>
          <w:lang w:eastAsia="en-US"/>
        </w:rPr>
        <w:t>Responsible Permit</w:t>
      </w:r>
      <w:r w:rsidR="00CF1731">
        <w:rPr>
          <w:b/>
          <w:szCs w:val="20"/>
          <w:lang w:eastAsia="en-US"/>
        </w:rPr>
        <w:t>t</w:t>
      </w:r>
      <w:r w:rsidRPr="00CF1731">
        <w:rPr>
          <w:b/>
          <w:szCs w:val="20"/>
          <w:lang w:eastAsia="en-US"/>
        </w:rPr>
        <w:t xml:space="preserve">ees: </w:t>
      </w:r>
      <w:r w:rsidRPr="00CF1731">
        <w:rPr>
          <w:rFonts w:cs="Arial"/>
          <w:lang w:eastAsia="en-US"/>
        </w:rPr>
        <w:t>California State Polytechnic University, Pomona.</w:t>
      </w:r>
    </w:p>
    <w:p w:rsidRPr="00A3095D" w:rsidR="00A3095D" w:rsidP="00A3095D" w:rsidRDefault="00A3095D" w14:paraId="641859E6" w14:textId="6982FA3C">
      <w:pPr>
        <w:ind w:left="1260"/>
        <w:rPr>
          <w:rFonts w:cs="Arial"/>
          <w:lang w:eastAsia="en-US"/>
        </w:rPr>
      </w:pPr>
      <w:r w:rsidRPr="00A3095D">
        <w:rPr>
          <w:b/>
          <w:szCs w:val="20"/>
          <w:lang w:eastAsia="en-US"/>
        </w:rPr>
        <w:t>Wasteload Allocations:</w:t>
      </w:r>
      <w:r w:rsidRPr="00A3095D">
        <w:rPr>
          <w:b/>
          <w:bCs/>
          <w:szCs w:val="20"/>
          <w:lang w:eastAsia="en-US"/>
        </w:rPr>
        <w:t xml:space="preserve"> </w:t>
      </w:r>
      <w:r w:rsidRPr="00A3095D">
        <w:rPr>
          <w:rFonts w:cs="Arial"/>
          <w:lang w:eastAsia="en-US"/>
        </w:rPr>
        <w:t xml:space="preserve">The San Gabriel River Metals and Selenium TMDL assigns wasteload allocations to urban runoff in San Jose Creek, tributaries to the San Gabriel River for entities within the city of Pomona, which includes California State Polytechnic University, Pomona. Therefore, only wasteload allocations assigned to San Jose Creek Reach 1 and Reach 2 </w:t>
      </w:r>
      <w:r w:rsidR="00D546E7">
        <w:rPr>
          <w:rFonts w:cs="Arial"/>
          <w:lang w:eastAsia="en-US"/>
        </w:rPr>
        <w:t>are</w:t>
      </w:r>
      <w:r w:rsidRPr="00A3095D">
        <w:rPr>
          <w:rFonts w:cs="Arial"/>
          <w:lang w:eastAsia="en-US"/>
        </w:rPr>
        <w:t xml:space="preserve"> included in this Order.</w:t>
      </w:r>
    </w:p>
    <w:p w:rsidR="00744599" w:rsidP="00744599" w:rsidRDefault="00A3095D" w14:paraId="7617C725" w14:textId="77777777">
      <w:pPr>
        <w:ind w:left="1267"/>
        <w:rPr>
          <w:rFonts w:cs="Arial"/>
          <w:u w:val="single"/>
          <w:lang w:eastAsia="en-US"/>
        </w:rPr>
      </w:pPr>
      <w:r w:rsidRPr="00F11A2D">
        <w:rPr>
          <w:rFonts w:cs="Arial"/>
          <w:u w:val="single"/>
          <w:lang w:eastAsia="en-US"/>
        </w:rPr>
        <w:t xml:space="preserve">Dry Weather Selenium </w:t>
      </w:r>
      <w:r w:rsidR="00D174D4">
        <w:rPr>
          <w:rFonts w:cs="Arial"/>
          <w:u w:val="single"/>
          <w:lang w:eastAsia="en-US"/>
        </w:rPr>
        <w:t>A</w:t>
      </w:r>
      <w:r w:rsidRPr="00F11A2D">
        <w:rPr>
          <w:rFonts w:cs="Arial"/>
          <w:u w:val="single"/>
          <w:lang w:eastAsia="en-US"/>
        </w:rPr>
        <w:t>llocation for San Jose Creek Reach 1 and Reach 2</w:t>
      </w:r>
    </w:p>
    <w:p w:rsidRPr="00A3095D" w:rsidR="00A3095D" w:rsidP="00744599" w:rsidRDefault="00A3095D" w14:paraId="153DBA8D" w14:textId="093FD693">
      <w:pPr>
        <w:ind w:left="1267"/>
        <w:rPr>
          <w:rFonts w:eastAsia="Calibri" w:cs="Arial"/>
          <w:lang w:eastAsia="en-US"/>
        </w:rPr>
      </w:pPr>
      <w:r w:rsidRPr="00A3095D">
        <w:rPr>
          <w:rFonts w:cs="Arial"/>
          <w:lang w:eastAsia="en-US"/>
        </w:rPr>
        <w:t>Municipal Stormwater (</w:t>
      </w:r>
      <w:r w:rsidR="00801FDA">
        <w:rPr>
          <w:rFonts w:cs="Arial"/>
          <w:lang w:eastAsia="en-US"/>
        </w:rPr>
        <w:t xml:space="preserve">as </w:t>
      </w:r>
      <w:r w:rsidRPr="00A3095D">
        <w:rPr>
          <w:rFonts w:cs="Arial"/>
          <w:lang w:eastAsia="en-US"/>
        </w:rPr>
        <w:t xml:space="preserve">total recoverable metals): </w:t>
      </w:r>
      <w:r w:rsidRPr="00A3095D">
        <w:rPr>
          <w:rFonts w:eastAsia="Calibri" w:cs="Arial"/>
          <w:lang w:eastAsia="en-US"/>
        </w:rPr>
        <w:t>5 micrograms per liter</w:t>
      </w:r>
      <w:r w:rsidRPr="00A3095D">
        <w:rPr>
          <w:rFonts w:eastAsia="Calibri" w:cs="Arial"/>
          <w:vertAlign w:val="superscript"/>
          <w:lang w:eastAsia="en-US"/>
        </w:rPr>
        <w:footnoteReference w:id="24"/>
      </w:r>
    </w:p>
    <w:p w:rsidRPr="00A3095D" w:rsidR="00A3095D" w:rsidP="00801FDA" w:rsidRDefault="00A3095D" w14:paraId="7C2A7F92" w14:textId="77777777">
      <w:pPr>
        <w:ind w:left="1267"/>
        <w:rPr>
          <w:rFonts w:cs="Arial"/>
          <w:lang w:eastAsia="en-US"/>
        </w:rPr>
      </w:pPr>
      <w:r w:rsidRPr="00A3095D">
        <w:rPr>
          <w:rFonts w:cs="Arial"/>
          <w:b/>
          <w:bCs/>
          <w:lang w:eastAsia="en-US"/>
        </w:rPr>
        <w:t>Final Compliance Deadline: By September 30, 2026, t</w:t>
      </w:r>
      <w:r w:rsidRPr="00A3095D">
        <w:rPr>
          <w:rFonts w:cs="Arial"/>
          <w:lang w:eastAsia="en-US"/>
        </w:rPr>
        <w:t>he Permittee shall demonstrate that it is meeting the wasteload allocation.</w:t>
      </w:r>
    </w:p>
    <w:p w:rsidRPr="000D48DD" w:rsidR="00A3095D" w:rsidP="000D48DD" w:rsidRDefault="00836361" w14:paraId="056D07C4" w14:textId="770E24F1">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.11</w:t>
      </w:r>
      <w:r w:rsidRPr="000D48DD" w:rsidR="00A3095D">
        <w:rPr>
          <w:i/>
          <w:iCs/>
        </w:rPr>
        <w:tab/>
      </w:r>
      <w:r w:rsidRPr="000D48DD" w:rsidR="00A3095D">
        <w:rPr>
          <w:i/>
          <w:iCs/>
        </w:rPr>
        <w:t>Los Angeles River Nitrogen Compounds and Related Effects TMDL</w:t>
      </w:r>
    </w:p>
    <w:p w:rsidRPr="00A3095D" w:rsidR="00A3095D" w:rsidP="00A3095D" w:rsidRDefault="00A3095D" w14:paraId="42CFAA44" w14:textId="58CB2AB6">
      <w:pPr>
        <w:ind w:left="1260"/>
        <w:rPr>
          <w:rFonts w:cs="Arial"/>
          <w:lang w:eastAsia="en-US"/>
        </w:rPr>
      </w:pPr>
      <w:r w:rsidRPr="00A3095D">
        <w:rPr>
          <w:rFonts w:cs="Arial"/>
          <w:b/>
          <w:bCs/>
          <w:lang w:eastAsia="en-US"/>
        </w:rPr>
        <w:t xml:space="preserve">Description: </w:t>
      </w:r>
      <w:r w:rsidR="00766ACF">
        <w:rPr>
          <w:rFonts w:cs="Arial"/>
          <w:lang w:eastAsia="en-US"/>
        </w:rPr>
        <w:t>USEPA</w:t>
      </w:r>
      <w:r w:rsidR="00C56C92">
        <w:rPr>
          <w:rFonts w:cs="Arial"/>
          <w:lang w:eastAsia="en-US"/>
        </w:rPr>
        <w:t xml:space="preserve"> </w:t>
      </w:r>
      <w:r w:rsidRPr="00A3095D">
        <w:rPr>
          <w:rFonts w:cs="Arial"/>
          <w:lang w:eastAsia="en-US"/>
        </w:rPr>
        <w:t xml:space="preserve">approved the TMDL on March 18, 2004 and an amended TMDL on August 7, 2014. </w:t>
      </w:r>
      <w:r w:rsidRPr="00A3095D">
        <w:rPr>
          <w:rFonts w:cs="Arial"/>
          <w:szCs w:val="20"/>
          <w:lang w:eastAsia="en-US"/>
        </w:rPr>
        <w:t xml:space="preserve">Los Angeles River </w:t>
      </w:r>
      <w:r w:rsidRPr="00A3095D">
        <w:rPr>
          <w:rFonts w:cs="Arial"/>
          <w:lang w:eastAsia="en-US"/>
        </w:rPr>
        <w:t xml:space="preserve">is impaired for nitrogen compounds and related effects, and the TMDL identifies municipal stormwater runoff as a minor source of these pollutants. </w:t>
      </w:r>
    </w:p>
    <w:p w:rsidRPr="00A3095D" w:rsidR="00A3095D" w:rsidP="00A3095D" w:rsidRDefault="00A3095D" w14:paraId="33C3D828" w14:textId="7A7A76C3">
      <w:pPr>
        <w:ind w:left="1260"/>
        <w:rPr>
          <w:rFonts w:cs="Arial"/>
          <w:lang w:eastAsia="en-US"/>
        </w:rPr>
      </w:pPr>
      <w:r w:rsidRPr="00A3095D">
        <w:rPr>
          <w:b/>
          <w:szCs w:val="20"/>
          <w:lang w:eastAsia="en-US"/>
        </w:rPr>
        <w:t>Responsible Permi</w:t>
      </w:r>
      <w:r w:rsidR="0091593F">
        <w:rPr>
          <w:b/>
          <w:szCs w:val="20"/>
          <w:lang w:eastAsia="en-US"/>
        </w:rPr>
        <w:t>t</w:t>
      </w:r>
      <w:r w:rsidRPr="00A3095D">
        <w:rPr>
          <w:b/>
          <w:szCs w:val="20"/>
          <w:lang w:eastAsia="en-US"/>
        </w:rPr>
        <w:t>tees:</w:t>
      </w:r>
      <w:r w:rsidRPr="00A3095D">
        <w:rPr>
          <w:b/>
          <w:bCs/>
          <w:szCs w:val="20"/>
          <w:lang w:eastAsia="en-US"/>
        </w:rPr>
        <w:t xml:space="preserve"> </w:t>
      </w:r>
      <w:r w:rsidRPr="00A3095D">
        <w:rPr>
          <w:rFonts w:cs="Arial"/>
          <w:lang w:eastAsia="en-US"/>
        </w:rPr>
        <w:t>California State University Los Angeles and California State University Northridge.</w:t>
      </w:r>
    </w:p>
    <w:p w:rsidRPr="00A3095D" w:rsidR="00A3095D" w:rsidP="00A3095D" w:rsidRDefault="00A3095D" w14:paraId="7B484E1E" w14:textId="77777777">
      <w:pPr>
        <w:ind w:left="1260"/>
        <w:rPr>
          <w:rFonts w:cs="Arial"/>
          <w:lang w:eastAsia="en-US"/>
        </w:rPr>
      </w:pPr>
      <w:r w:rsidRPr="00A3095D">
        <w:rPr>
          <w:rFonts w:cs="Arial"/>
          <w:b/>
          <w:bCs/>
          <w:lang w:eastAsia="en-US"/>
        </w:rPr>
        <w:t>Wasteload Allocations</w:t>
      </w:r>
      <w:r w:rsidRPr="00A3095D">
        <w:rPr>
          <w:rFonts w:cs="Arial"/>
          <w:lang w:eastAsia="en-US"/>
        </w:rPr>
        <w:t>: Permittees are assigned the following Wasteload Allocations (wasteload allocations):</w:t>
      </w:r>
    </w:p>
    <w:p w:rsidRPr="00A3095D" w:rsidR="00A3095D" w:rsidP="00A62AB8" w:rsidRDefault="00A3095D" w14:paraId="1FE9E211" w14:textId="55521DE9">
      <w:pPr>
        <w:pStyle w:val="TableHead"/>
        <w:keepNext/>
        <w:keepLines/>
        <w:rPr>
          <w:lang w:eastAsia="en-US"/>
        </w:rPr>
      </w:pPr>
      <w:r w:rsidRPr="00A3095D">
        <w:rPr>
          <w:lang w:eastAsia="en-US"/>
        </w:rPr>
        <w:t>Los Angeles River Nitrogen and Related Effects Wasteload Allocations for California State University Los Angeles and California State University Northridge (milligrams per liter)</w:t>
      </w:r>
    </w:p>
    <w:tbl>
      <w:tblPr>
        <w:tblStyle w:val="TableGrid36"/>
        <w:tblW w:w="495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620" w:firstRow="1" w:lastRow="0" w:firstColumn="0" w:lastColumn="0" w:noHBand="1" w:noVBand="1"/>
        <w:tblCaption w:val="WLAs for CSU Los Angeles and CSU Northridge Table"/>
      </w:tblPr>
      <w:tblGrid>
        <w:gridCol w:w="2671"/>
        <w:gridCol w:w="1212"/>
        <w:gridCol w:w="1323"/>
        <w:gridCol w:w="1413"/>
        <w:gridCol w:w="1235"/>
        <w:gridCol w:w="1416"/>
      </w:tblGrid>
      <w:tr w:rsidRPr="00A62AB8" w:rsidR="00A3095D" w:rsidTr="00350CC2" w14:paraId="11798A3D" w14:textId="77777777">
        <w:trPr>
          <w:cantSplit/>
          <w:tblHeader/>
          <w:jc w:val="center"/>
        </w:trPr>
        <w:tc>
          <w:tcPr>
            <w:tcW w:w="1455" w:type="pct"/>
            <w:shd w:val="clear" w:color="auto" w:fill="C5E0B3"/>
            <w:vAlign w:val="center"/>
          </w:tcPr>
          <w:p w:rsidRPr="00A62AB8" w:rsidR="00A3095D" w:rsidP="004B3179" w:rsidRDefault="00A3095D" w14:paraId="6A9261BE" w14:textId="77777777">
            <w:pPr>
              <w:keepNext/>
              <w:keepLines/>
              <w:spacing w:before="0" w:after="40" w:line="240" w:lineRule="auto"/>
              <w:ind w:firstLine="65"/>
              <w:rPr>
                <w:rFonts w:ascii="Arial" w:hAnsi="Arial"/>
                <w:b/>
                <w:bCs/>
                <w:spacing w:val="-1"/>
                <w:sz w:val="22"/>
                <w:szCs w:val="22"/>
                <w:lang w:eastAsia="en-US"/>
              </w:rPr>
            </w:pPr>
            <w:r w:rsidRPr="00A62AB8">
              <w:rPr>
                <w:rFonts w:ascii="Arial" w:hAnsi="Arial"/>
                <w:b/>
                <w:bCs/>
                <w:spacing w:val="-1"/>
                <w:sz w:val="22"/>
                <w:szCs w:val="22"/>
                <w:lang w:eastAsia="en-US"/>
              </w:rPr>
              <w:t>Waterbodies</w:t>
            </w:r>
          </w:p>
        </w:tc>
        <w:tc>
          <w:tcPr>
            <w:tcW w:w="583" w:type="pct"/>
            <w:shd w:val="clear" w:color="auto" w:fill="C5E0B3"/>
            <w:vAlign w:val="center"/>
          </w:tcPr>
          <w:p w:rsidRPr="00A62AB8" w:rsidR="00A3095D" w:rsidP="004B3179" w:rsidRDefault="00A3095D" w14:paraId="0CBC9F60" w14:textId="77777777">
            <w:pPr>
              <w:keepNext/>
              <w:keepLines/>
              <w:spacing w:before="0" w:after="40" w:line="240" w:lineRule="auto"/>
              <w:jc w:val="center"/>
              <w:rPr>
                <w:rFonts w:ascii="Arial" w:hAnsi="Arial"/>
                <w:b/>
                <w:bCs/>
                <w:spacing w:val="-1"/>
                <w:sz w:val="22"/>
                <w:szCs w:val="22"/>
                <w:lang w:eastAsia="en-US"/>
              </w:rPr>
            </w:pPr>
            <w:r w:rsidRPr="00A62AB8">
              <w:rPr>
                <w:rFonts w:ascii="Arial" w:hAnsi="Arial"/>
                <w:b/>
                <w:bCs/>
                <w:spacing w:val="-1"/>
                <w:sz w:val="22"/>
                <w:szCs w:val="22"/>
                <w:lang w:eastAsia="en-US"/>
              </w:rPr>
              <w:t xml:space="preserve">Ammonia </w:t>
            </w:r>
            <w:r w:rsidRPr="00A62AB8">
              <w:rPr>
                <w:rFonts w:ascii="Arial" w:hAnsi="Arial"/>
                <w:b/>
                <w:bCs/>
                <w:spacing w:val="-1"/>
                <w:sz w:val="22"/>
                <w:szCs w:val="22"/>
                <w:lang w:eastAsia="en-US"/>
              </w:rPr>
              <w:br/>
            </w:r>
            <w:r w:rsidRPr="00A62AB8">
              <w:rPr>
                <w:rFonts w:ascii="Arial" w:hAnsi="Arial"/>
                <w:b/>
                <w:bCs/>
                <w:spacing w:val="-1"/>
                <w:sz w:val="22"/>
                <w:szCs w:val="22"/>
                <w:lang w:eastAsia="en-US"/>
              </w:rPr>
              <w:t>1-hour Average</w:t>
            </w:r>
          </w:p>
        </w:tc>
        <w:tc>
          <w:tcPr>
            <w:tcW w:w="728" w:type="pct"/>
            <w:shd w:val="clear" w:color="auto" w:fill="C5E0B3"/>
            <w:vAlign w:val="center"/>
          </w:tcPr>
          <w:p w:rsidRPr="00A62AB8" w:rsidR="00A3095D" w:rsidP="004B3179" w:rsidRDefault="00A3095D" w14:paraId="3B3AE830" w14:textId="77777777">
            <w:pPr>
              <w:keepNext/>
              <w:keepLines/>
              <w:spacing w:before="0" w:after="40" w:line="240" w:lineRule="auto"/>
              <w:jc w:val="center"/>
              <w:rPr>
                <w:rFonts w:ascii="Arial" w:hAnsi="Arial"/>
                <w:b/>
                <w:bCs/>
                <w:spacing w:val="-1"/>
                <w:sz w:val="22"/>
                <w:szCs w:val="22"/>
                <w:lang w:eastAsia="en-US"/>
              </w:rPr>
            </w:pPr>
            <w:r w:rsidRPr="00A62AB8">
              <w:rPr>
                <w:rFonts w:ascii="Arial" w:hAnsi="Arial"/>
                <w:b/>
                <w:bCs/>
                <w:spacing w:val="-1"/>
                <w:sz w:val="22"/>
                <w:szCs w:val="22"/>
                <w:lang w:eastAsia="en-US"/>
              </w:rPr>
              <w:t xml:space="preserve">Ammonia </w:t>
            </w:r>
            <w:r w:rsidRPr="00A62AB8">
              <w:rPr>
                <w:rFonts w:ascii="Arial" w:hAnsi="Arial"/>
                <w:b/>
                <w:bCs/>
                <w:spacing w:val="-1"/>
                <w:sz w:val="22"/>
                <w:szCs w:val="22"/>
                <w:lang w:eastAsia="en-US"/>
              </w:rPr>
              <w:br/>
            </w:r>
            <w:r w:rsidRPr="00A62AB8">
              <w:rPr>
                <w:rFonts w:ascii="Arial" w:hAnsi="Arial"/>
                <w:b/>
                <w:bCs/>
                <w:spacing w:val="-1"/>
                <w:sz w:val="22"/>
                <w:szCs w:val="22"/>
                <w:lang w:eastAsia="en-US"/>
              </w:rPr>
              <w:t>30-day Average</w:t>
            </w:r>
          </w:p>
        </w:tc>
        <w:tc>
          <w:tcPr>
            <w:tcW w:w="776" w:type="pct"/>
            <w:shd w:val="clear" w:color="auto" w:fill="C5E0B3"/>
            <w:vAlign w:val="center"/>
          </w:tcPr>
          <w:p w:rsidRPr="00A62AB8" w:rsidR="00A3095D" w:rsidP="004B3179" w:rsidRDefault="00A3095D" w14:paraId="5DEA49C2" w14:textId="77777777">
            <w:pPr>
              <w:keepNext/>
              <w:keepLines/>
              <w:spacing w:before="0" w:after="40" w:line="240" w:lineRule="auto"/>
              <w:jc w:val="center"/>
              <w:rPr>
                <w:rFonts w:ascii="Arial" w:hAnsi="Arial"/>
                <w:b/>
                <w:bCs/>
                <w:spacing w:val="-1"/>
                <w:sz w:val="22"/>
                <w:szCs w:val="22"/>
                <w:lang w:eastAsia="en-US"/>
              </w:rPr>
            </w:pPr>
            <w:r w:rsidRPr="00A62AB8">
              <w:rPr>
                <w:rFonts w:ascii="Arial" w:hAnsi="Arial"/>
                <w:b/>
                <w:bCs/>
                <w:spacing w:val="-1"/>
                <w:sz w:val="22"/>
                <w:szCs w:val="22"/>
                <w:lang w:eastAsia="en-US"/>
              </w:rPr>
              <w:t xml:space="preserve">Nitrate-Nitrogen </w:t>
            </w:r>
            <w:r w:rsidRPr="00A62AB8">
              <w:rPr>
                <w:rFonts w:ascii="Arial" w:hAnsi="Arial"/>
                <w:b/>
                <w:bCs/>
                <w:spacing w:val="-1"/>
                <w:sz w:val="22"/>
                <w:szCs w:val="22"/>
                <w:lang w:eastAsia="en-US"/>
              </w:rPr>
              <w:br/>
            </w:r>
            <w:r w:rsidRPr="00A62AB8">
              <w:rPr>
                <w:rFonts w:ascii="Arial" w:hAnsi="Arial"/>
                <w:b/>
                <w:bCs/>
                <w:spacing w:val="-1"/>
                <w:sz w:val="22"/>
                <w:szCs w:val="22"/>
                <w:lang w:eastAsia="en-US"/>
              </w:rPr>
              <w:t>30-day average</w:t>
            </w:r>
          </w:p>
        </w:tc>
        <w:tc>
          <w:tcPr>
            <w:tcW w:w="680" w:type="pct"/>
            <w:shd w:val="clear" w:color="auto" w:fill="C5E0B3"/>
            <w:vAlign w:val="center"/>
          </w:tcPr>
          <w:p w:rsidRPr="00A62AB8" w:rsidR="00A3095D" w:rsidP="004B3179" w:rsidRDefault="00A3095D" w14:paraId="001C8CE5" w14:textId="77777777">
            <w:pPr>
              <w:keepNext/>
              <w:keepLines/>
              <w:spacing w:before="0" w:after="40" w:line="240" w:lineRule="auto"/>
              <w:jc w:val="center"/>
              <w:rPr>
                <w:rFonts w:ascii="Arial" w:hAnsi="Arial"/>
                <w:b/>
                <w:bCs/>
                <w:spacing w:val="-1"/>
                <w:sz w:val="22"/>
                <w:szCs w:val="22"/>
                <w:lang w:eastAsia="en-US"/>
              </w:rPr>
            </w:pPr>
            <w:r w:rsidRPr="00A62AB8">
              <w:rPr>
                <w:rFonts w:ascii="Arial" w:hAnsi="Arial"/>
                <w:b/>
                <w:bCs/>
                <w:spacing w:val="-1"/>
                <w:sz w:val="22"/>
                <w:szCs w:val="22"/>
                <w:lang w:eastAsia="en-US"/>
              </w:rPr>
              <w:t xml:space="preserve">Nitrite-Nitrogen </w:t>
            </w:r>
            <w:r w:rsidRPr="00A62AB8">
              <w:rPr>
                <w:rFonts w:ascii="Arial" w:hAnsi="Arial"/>
                <w:b/>
                <w:bCs/>
                <w:spacing w:val="-1"/>
                <w:sz w:val="22"/>
                <w:szCs w:val="22"/>
                <w:lang w:eastAsia="en-US"/>
              </w:rPr>
              <w:br/>
            </w:r>
            <w:r w:rsidRPr="00A62AB8">
              <w:rPr>
                <w:rFonts w:ascii="Arial" w:hAnsi="Arial"/>
                <w:b/>
                <w:bCs/>
                <w:spacing w:val="-1"/>
                <w:sz w:val="22"/>
                <w:szCs w:val="22"/>
                <w:lang w:eastAsia="en-US"/>
              </w:rPr>
              <w:t>30-day average</w:t>
            </w:r>
          </w:p>
        </w:tc>
        <w:tc>
          <w:tcPr>
            <w:tcW w:w="778" w:type="pct"/>
            <w:shd w:val="clear" w:color="auto" w:fill="C5E0B3"/>
            <w:vAlign w:val="center"/>
          </w:tcPr>
          <w:p w:rsidRPr="00A62AB8" w:rsidR="00A3095D" w:rsidP="004B3179" w:rsidRDefault="00A3095D" w14:paraId="6255D281" w14:textId="77777777">
            <w:pPr>
              <w:keepNext/>
              <w:keepLines/>
              <w:spacing w:before="0" w:after="40" w:line="240" w:lineRule="auto"/>
              <w:jc w:val="center"/>
              <w:rPr>
                <w:rFonts w:ascii="Arial" w:hAnsi="Arial"/>
                <w:b/>
                <w:bCs/>
                <w:spacing w:val="-1"/>
                <w:sz w:val="22"/>
                <w:szCs w:val="22"/>
                <w:lang w:eastAsia="en-US"/>
              </w:rPr>
            </w:pPr>
            <w:r w:rsidRPr="00A62AB8">
              <w:rPr>
                <w:rFonts w:ascii="Arial" w:hAnsi="Arial"/>
                <w:b/>
                <w:bCs/>
                <w:spacing w:val="-1"/>
                <w:sz w:val="22"/>
                <w:szCs w:val="22"/>
                <w:lang w:eastAsia="en-US"/>
              </w:rPr>
              <w:t xml:space="preserve">Nitrate-Nitrogen + Nitrite-Nitrogen </w:t>
            </w:r>
            <w:r w:rsidRPr="00A62AB8">
              <w:rPr>
                <w:rFonts w:ascii="Arial" w:hAnsi="Arial"/>
                <w:b/>
                <w:bCs/>
                <w:spacing w:val="-1"/>
                <w:sz w:val="22"/>
                <w:szCs w:val="22"/>
                <w:lang w:eastAsia="en-US"/>
              </w:rPr>
              <w:br/>
            </w:r>
            <w:r w:rsidRPr="00A62AB8">
              <w:rPr>
                <w:rFonts w:ascii="Arial" w:hAnsi="Arial"/>
                <w:b/>
                <w:bCs/>
                <w:spacing w:val="-1"/>
                <w:sz w:val="22"/>
                <w:szCs w:val="22"/>
                <w:lang w:eastAsia="en-US"/>
              </w:rPr>
              <w:t>30-day average</w:t>
            </w:r>
          </w:p>
        </w:tc>
      </w:tr>
      <w:tr w:rsidRPr="00A62AB8" w:rsidR="00A3095D" w:rsidTr="00350CC2" w14:paraId="65ABA533" w14:textId="77777777">
        <w:trPr>
          <w:cantSplit/>
          <w:jc w:val="center"/>
        </w:trPr>
        <w:tc>
          <w:tcPr>
            <w:tcW w:w="1455" w:type="pct"/>
            <w:vAlign w:val="center"/>
          </w:tcPr>
          <w:p w:rsidRPr="00A62AB8" w:rsidR="00A3095D" w:rsidP="004B3179" w:rsidRDefault="00A3095D" w14:paraId="7EB9132F" w14:textId="77777777">
            <w:pPr>
              <w:keepNext/>
              <w:keepLines/>
              <w:spacing w:before="0" w:after="40" w:line="240" w:lineRule="auto"/>
              <w:rPr>
                <w:rFonts w:ascii="Arial" w:hAnsi="Arial"/>
                <w:spacing w:val="-1"/>
                <w:sz w:val="22"/>
                <w:szCs w:val="22"/>
                <w:lang w:eastAsia="en-US"/>
              </w:rPr>
            </w:pPr>
            <w:r w:rsidRPr="00A62AB8">
              <w:rPr>
                <w:rFonts w:ascii="Arial" w:hAnsi="Arial"/>
                <w:spacing w:val="-1"/>
                <w:sz w:val="22"/>
                <w:szCs w:val="22"/>
                <w:lang w:eastAsia="en-US"/>
              </w:rPr>
              <w:t>Los Angeles River above Los Angeles-Glendale Water Reclamation Plant</w:t>
            </w:r>
          </w:p>
        </w:tc>
        <w:tc>
          <w:tcPr>
            <w:tcW w:w="583" w:type="pct"/>
            <w:vAlign w:val="center"/>
          </w:tcPr>
          <w:p w:rsidRPr="00A62AB8" w:rsidR="00A3095D" w:rsidP="004B3179" w:rsidRDefault="00A3095D" w14:paraId="1D21E7CA"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4.7</w:t>
            </w:r>
          </w:p>
        </w:tc>
        <w:tc>
          <w:tcPr>
            <w:tcW w:w="728" w:type="pct"/>
            <w:vAlign w:val="center"/>
          </w:tcPr>
          <w:p w:rsidRPr="00A62AB8" w:rsidR="00A3095D" w:rsidP="004B3179" w:rsidRDefault="00A3095D" w14:paraId="38C5F1A5"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2.4</w:t>
            </w:r>
          </w:p>
        </w:tc>
        <w:tc>
          <w:tcPr>
            <w:tcW w:w="776" w:type="pct"/>
            <w:vAlign w:val="center"/>
          </w:tcPr>
          <w:p w:rsidRPr="00A62AB8" w:rsidR="00A3095D" w:rsidP="004B3179" w:rsidRDefault="00A3095D" w14:paraId="1CD428CD"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8.0</w:t>
            </w:r>
          </w:p>
        </w:tc>
        <w:tc>
          <w:tcPr>
            <w:tcW w:w="680" w:type="pct"/>
            <w:vAlign w:val="center"/>
          </w:tcPr>
          <w:p w:rsidRPr="00A62AB8" w:rsidR="00A3095D" w:rsidP="004B3179" w:rsidRDefault="00A3095D" w14:paraId="122DFC7E"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1.0</w:t>
            </w:r>
          </w:p>
        </w:tc>
        <w:tc>
          <w:tcPr>
            <w:tcW w:w="778" w:type="pct"/>
            <w:vAlign w:val="center"/>
          </w:tcPr>
          <w:p w:rsidRPr="00A62AB8" w:rsidR="00A3095D" w:rsidP="004B3179" w:rsidRDefault="00A3095D" w14:paraId="093C3436"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8.0</w:t>
            </w:r>
          </w:p>
        </w:tc>
      </w:tr>
      <w:tr w:rsidRPr="00A62AB8" w:rsidR="00A3095D" w:rsidTr="00350CC2" w14:paraId="5BFE8844" w14:textId="77777777">
        <w:trPr>
          <w:cantSplit/>
          <w:jc w:val="center"/>
        </w:trPr>
        <w:tc>
          <w:tcPr>
            <w:tcW w:w="1455" w:type="pct"/>
            <w:vAlign w:val="center"/>
          </w:tcPr>
          <w:p w:rsidRPr="00A62AB8" w:rsidR="00A3095D" w:rsidP="004B3179" w:rsidRDefault="00A3095D" w14:paraId="04ED8E77" w14:textId="77777777">
            <w:pPr>
              <w:keepNext/>
              <w:keepLines/>
              <w:spacing w:before="0" w:after="40" w:line="240" w:lineRule="auto"/>
              <w:rPr>
                <w:rFonts w:ascii="Arial" w:hAnsi="Arial"/>
                <w:spacing w:val="-1"/>
                <w:sz w:val="22"/>
                <w:szCs w:val="22"/>
                <w:lang w:eastAsia="en-US"/>
              </w:rPr>
            </w:pPr>
            <w:r w:rsidRPr="00A62AB8">
              <w:rPr>
                <w:rFonts w:ascii="Arial" w:hAnsi="Arial"/>
                <w:spacing w:val="-1"/>
                <w:sz w:val="22"/>
                <w:szCs w:val="22"/>
                <w:lang w:eastAsia="en-US"/>
              </w:rPr>
              <w:t>Los Angeles River below Los Angeles-Glendale Water Reclamation Plant</w:t>
            </w:r>
          </w:p>
        </w:tc>
        <w:tc>
          <w:tcPr>
            <w:tcW w:w="583" w:type="pct"/>
            <w:vAlign w:val="center"/>
          </w:tcPr>
          <w:p w:rsidRPr="00A62AB8" w:rsidR="00A3095D" w:rsidP="004B3179" w:rsidRDefault="00A3095D" w14:paraId="287F2527"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8.7</w:t>
            </w:r>
          </w:p>
        </w:tc>
        <w:tc>
          <w:tcPr>
            <w:tcW w:w="728" w:type="pct"/>
            <w:vAlign w:val="center"/>
          </w:tcPr>
          <w:p w:rsidRPr="00A62AB8" w:rsidR="00A3095D" w:rsidP="004B3179" w:rsidRDefault="00A3095D" w14:paraId="30C10C4E"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2.4</w:t>
            </w:r>
          </w:p>
        </w:tc>
        <w:tc>
          <w:tcPr>
            <w:tcW w:w="776" w:type="pct"/>
            <w:vAlign w:val="center"/>
          </w:tcPr>
          <w:p w:rsidRPr="00A62AB8" w:rsidR="00A3095D" w:rsidP="004B3179" w:rsidRDefault="00A3095D" w14:paraId="7901DC95"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8.0</w:t>
            </w:r>
          </w:p>
        </w:tc>
        <w:tc>
          <w:tcPr>
            <w:tcW w:w="680" w:type="pct"/>
            <w:vAlign w:val="center"/>
          </w:tcPr>
          <w:p w:rsidRPr="00A62AB8" w:rsidR="00A3095D" w:rsidP="004B3179" w:rsidRDefault="00A3095D" w14:paraId="57782E92"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1.0</w:t>
            </w:r>
          </w:p>
        </w:tc>
        <w:tc>
          <w:tcPr>
            <w:tcW w:w="778" w:type="pct"/>
            <w:vAlign w:val="center"/>
          </w:tcPr>
          <w:p w:rsidRPr="00A62AB8" w:rsidR="00A3095D" w:rsidP="004B3179" w:rsidRDefault="00A3095D" w14:paraId="389F8D5A" w14:textId="77777777">
            <w:pPr>
              <w:keepNext/>
              <w:keepLines/>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8.0</w:t>
            </w:r>
          </w:p>
        </w:tc>
      </w:tr>
      <w:tr w:rsidRPr="00A62AB8" w:rsidR="00A3095D" w:rsidTr="00350CC2" w14:paraId="2A3F6F33" w14:textId="77777777">
        <w:trPr>
          <w:cantSplit/>
          <w:jc w:val="center"/>
        </w:trPr>
        <w:tc>
          <w:tcPr>
            <w:tcW w:w="1455" w:type="pct"/>
            <w:vAlign w:val="center"/>
          </w:tcPr>
          <w:p w:rsidRPr="00A62AB8" w:rsidR="00A3095D" w:rsidP="004B3179" w:rsidRDefault="00A3095D" w14:paraId="4EBE78FC" w14:textId="77777777">
            <w:pPr>
              <w:spacing w:before="0" w:after="40" w:line="240" w:lineRule="auto"/>
              <w:rPr>
                <w:rFonts w:ascii="Arial" w:hAnsi="Arial"/>
                <w:spacing w:val="-1"/>
                <w:sz w:val="22"/>
                <w:szCs w:val="22"/>
                <w:lang w:eastAsia="en-US"/>
              </w:rPr>
            </w:pPr>
            <w:r w:rsidRPr="00A62AB8">
              <w:rPr>
                <w:rFonts w:ascii="Arial" w:hAnsi="Arial"/>
                <w:spacing w:val="-1"/>
                <w:sz w:val="22"/>
                <w:szCs w:val="22"/>
                <w:lang w:eastAsia="en-US"/>
              </w:rPr>
              <w:t>Los Angeles River Tributaries</w:t>
            </w:r>
          </w:p>
        </w:tc>
        <w:tc>
          <w:tcPr>
            <w:tcW w:w="583" w:type="pct"/>
            <w:vAlign w:val="center"/>
          </w:tcPr>
          <w:p w:rsidRPr="00A62AB8" w:rsidR="00A3095D" w:rsidP="004B3179" w:rsidRDefault="00A3095D" w14:paraId="7C34450B" w14:textId="77777777">
            <w:pPr>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10.1</w:t>
            </w:r>
          </w:p>
        </w:tc>
        <w:tc>
          <w:tcPr>
            <w:tcW w:w="728" w:type="pct"/>
            <w:vAlign w:val="center"/>
          </w:tcPr>
          <w:p w:rsidRPr="00A62AB8" w:rsidR="00A3095D" w:rsidP="004B3179" w:rsidRDefault="00A3095D" w14:paraId="7C49AD9B" w14:textId="77777777">
            <w:pPr>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2.3</w:t>
            </w:r>
          </w:p>
        </w:tc>
        <w:tc>
          <w:tcPr>
            <w:tcW w:w="776" w:type="pct"/>
            <w:vAlign w:val="center"/>
          </w:tcPr>
          <w:p w:rsidRPr="00A62AB8" w:rsidR="00A3095D" w:rsidP="004B3179" w:rsidRDefault="00A3095D" w14:paraId="319601D4" w14:textId="77777777">
            <w:pPr>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8.0</w:t>
            </w:r>
          </w:p>
        </w:tc>
        <w:tc>
          <w:tcPr>
            <w:tcW w:w="680" w:type="pct"/>
            <w:vAlign w:val="center"/>
          </w:tcPr>
          <w:p w:rsidRPr="00A62AB8" w:rsidR="00A3095D" w:rsidP="004B3179" w:rsidRDefault="00A3095D" w14:paraId="62D0F8DB" w14:textId="77777777">
            <w:pPr>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1.0</w:t>
            </w:r>
          </w:p>
        </w:tc>
        <w:tc>
          <w:tcPr>
            <w:tcW w:w="778" w:type="pct"/>
            <w:vAlign w:val="center"/>
          </w:tcPr>
          <w:p w:rsidRPr="00A62AB8" w:rsidR="00A3095D" w:rsidP="004B3179" w:rsidRDefault="00A3095D" w14:paraId="05E7D768" w14:textId="77777777">
            <w:pPr>
              <w:spacing w:before="0" w:after="40" w:line="240" w:lineRule="auto"/>
              <w:jc w:val="center"/>
              <w:rPr>
                <w:rFonts w:ascii="Arial" w:hAnsi="Arial"/>
                <w:spacing w:val="-1"/>
                <w:sz w:val="22"/>
                <w:szCs w:val="22"/>
                <w:lang w:eastAsia="en-US"/>
              </w:rPr>
            </w:pPr>
            <w:r w:rsidRPr="00A62AB8">
              <w:rPr>
                <w:rFonts w:ascii="Arial" w:hAnsi="Arial"/>
                <w:spacing w:val="-1"/>
                <w:sz w:val="22"/>
                <w:szCs w:val="22"/>
                <w:lang w:eastAsia="en-US"/>
              </w:rPr>
              <w:t>8.0</w:t>
            </w:r>
          </w:p>
        </w:tc>
      </w:tr>
    </w:tbl>
    <w:p w:rsidRPr="00A3095D" w:rsidR="00A3095D" w:rsidP="00A3095D" w:rsidRDefault="00A3095D" w14:paraId="5E99B6C4" w14:textId="77777777">
      <w:pPr>
        <w:spacing w:before="240"/>
        <w:ind w:left="1267"/>
        <w:rPr>
          <w:rFonts w:cs="Arial"/>
          <w:lang w:eastAsia="en-US"/>
        </w:rPr>
      </w:pPr>
      <w:r w:rsidRPr="00A3095D">
        <w:rPr>
          <w:rFonts w:cs="Arial"/>
          <w:lang w:eastAsia="en-US"/>
        </w:rPr>
        <w:t xml:space="preserve">The </w:t>
      </w:r>
      <w:r w:rsidRPr="00A3095D">
        <w:rPr>
          <w:lang w:eastAsia="en-US"/>
        </w:rPr>
        <w:t>highest four-day average within a 30-day period shall not exceed 2.5 times the 30-day average wasteload allocation.</w:t>
      </w:r>
    </w:p>
    <w:p w:rsidRPr="00A3095D" w:rsidR="00A3095D" w:rsidP="00A3095D" w:rsidRDefault="00A3095D" w14:paraId="4A0562BB" w14:textId="6AF948C8">
      <w:pPr>
        <w:spacing w:before="240"/>
        <w:ind w:left="1267"/>
        <w:rPr>
          <w:rFonts w:cs="Arial"/>
          <w:lang w:eastAsia="en-US"/>
        </w:rPr>
      </w:pPr>
      <w:r w:rsidRPr="00A3095D">
        <w:rPr>
          <w:rFonts w:cs="Arial"/>
          <w:b/>
          <w:bCs/>
          <w:lang w:eastAsia="en-US"/>
        </w:rPr>
        <w:t xml:space="preserve">Final Compliance Deadline: </w:t>
      </w:r>
      <w:r w:rsidRPr="00A3095D">
        <w:rPr>
          <w:rFonts w:cs="Arial"/>
          <w:lang w:eastAsia="en-US"/>
        </w:rPr>
        <w:t xml:space="preserve">The TMDL specifies that the target date to achieve the wasteload allocations assigned to </w:t>
      </w:r>
      <w:r w:rsidR="005060FF">
        <w:rPr>
          <w:rFonts w:cs="Arial"/>
          <w:lang w:eastAsia="en-US"/>
        </w:rPr>
        <w:t>Small MS4</w:t>
      </w:r>
      <w:r w:rsidR="000E1B01">
        <w:rPr>
          <w:rFonts w:cs="Arial"/>
          <w:lang w:eastAsia="en-US"/>
        </w:rPr>
        <w:t xml:space="preserve"> Permittees </w:t>
      </w:r>
      <w:r w:rsidRPr="00A3095D">
        <w:rPr>
          <w:rFonts w:cs="Arial"/>
          <w:lang w:eastAsia="en-US"/>
        </w:rPr>
        <w:t xml:space="preserve">is March 23, 2004. The allocations are therefore effective immediately. If the deadline has not been met, the Permittee may request a time schedule order from the Los Angeles Water Board Executive Officer, which </w:t>
      </w:r>
      <w:r w:rsidR="005C1C22">
        <w:rPr>
          <w:rFonts w:cs="Arial"/>
          <w:lang w:eastAsia="en-US"/>
        </w:rPr>
        <w:t xml:space="preserve">may establish an implementation schedule </w:t>
      </w:r>
      <w:r w:rsidRPr="00A3095D">
        <w:rPr>
          <w:rFonts w:cs="Arial"/>
          <w:lang w:eastAsia="en-US"/>
        </w:rPr>
        <w:t>for the Permittee to comply with the TMDL requirements, and will supersede the deadlines referenced in this Order.</w:t>
      </w:r>
    </w:p>
    <w:p w:rsidRPr="000D48DD" w:rsidR="00A3095D" w:rsidP="000D48DD" w:rsidRDefault="00836361" w14:paraId="4BA97E7E" w14:textId="6A930CAC">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.12</w:t>
      </w:r>
      <w:r w:rsidRPr="000D48DD" w:rsidR="00A3095D">
        <w:rPr>
          <w:i/>
          <w:iCs/>
        </w:rPr>
        <w:tab/>
      </w:r>
      <w:r w:rsidRPr="000D48DD" w:rsidR="00A3095D">
        <w:rPr>
          <w:i/>
          <w:iCs/>
        </w:rPr>
        <w:t>Calleguas Creek Organochlorine Pesticides, Polychlorinated Biphenyls, and Siltation TMDL</w:t>
      </w:r>
    </w:p>
    <w:p w:rsidRPr="00A3095D" w:rsidR="00A3095D" w:rsidP="00A3095D" w:rsidRDefault="00A3095D" w14:paraId="40668A74" w14:textId="05C643D0">
      <w:pPr>
        <w:ind w:left="1260"/>
        <w:rPr>
          <w:rFonts w:cs="Arial"/>
          <w:lang w:eastAsia="en-US"/>
        </w:rPr>
      </w:pPr>
      <w:r w:rsidRPr="00A3095D">
        <w:rPr>
          <w:rFonts w:cs="Arial"/>
          <w:b/>
          <w:bCs/>
          <w:lang w:eastAsia="en-US"/>
        </w:rPr>
        <w:t xml:space="preserve">Description: </w:t>
      </w:r>
      <w:r w:rsidR="00766ACF">
        <w:rPr>
          <w:rFonts w:cs="Arial"/>
          <w:lang w:eastAsia="en-US"/>
        </w:rPr>
        <w:t>USEPA</w:t>
      </w:r>
      <w:r w:rsidR="00C56C92">
        <w:rPr>
          <w:rFonts w:cs="Arial"/>
          <w:lang w:eastAsia="en-US"/>
        </w:rPr>
        <w:t xml:space="preserve"> </w:t>
      </w:r>
      <w:r w:rsidRPr="00A3095D">
        <w:rPr>
          <w:rFonts w:cs="Arial"/>
          <w:lang w:eastAsia="en-US"/>
        </w:rPr>
        <w:t>approved the TMDL on March 14, 2006. Eleven of fourteen reaches in the Calleguas Creek watershed are impaired due to elevated levels of organochlorine pesticides and/or polychlorinated biphenyls (PCBs) in water, sediment, and/or fish tissue. Urban runoff is considered as minor sources of organochlorine pesticides and PCBs</w:t>
      </w:r>
    </w:p>
    <w:p w:rsidRPr="00A3095D" w:rsidR="00A3095D" w:rsidP="00A3095D" w:rsidRDefault="00A3095D" w14:paraId="38DA6673" w14:textId="11F9C5DC">
      <w:pPr>
        <w:ind w:left="1260"/>
        <w:rPr>
          <w:rFonts w:cs="Arial"/>
          <w:lang w:eastAsia="en-US"/>
        </w:rPr>
      </w:pPr>
      <w:r w:rsidRPr="00A3095D">
        <w:rPr>
          <w:b/>
          <w:szCs w:val="20"/>
          <w:lang w:eastAsia="en-US"/>
        </w:rPr>
        <w:t>Responsible Permit</w:t>
      </w:r>
      <w:r w:rsidR="0091593F">
        <w:rPr>
          <w:b/>
          <w:szCs w:val="20"/>
          <w:lang w:eastAsia="en-US"/>
        </w:rPr>
        <w:t>t</w:t>
      </w:r>
      <w:r w:rsidRPr="00A3095D">
        <w:rPr>
          <w:b/>
          <w:szCs w:val="20"/>
          <w:lang w:eastAsia="en-US"/>
        </w:rPr>
        <w:t>ees:</w:t>
      </w:r>
      <w:r w:rsidRPr="00A3095D">
        <w:rPr>
          <w:b/>
          <w:bCs/>
          <w:szCs w:val="20"/>
          <w:lang w:eastAsia="en-US"/>
        </w:rPr>
        <w:t xml:space="preserve"> </w:t>
      </w:r>
      <w:r w:rsidRPr="00A3095D" w:rsidR="00DC6C92">
        <w:rPr>
          <w:rFonts w:cs="Arial"/>
          <w:lang w:eastAsia="en-US"/>
        </w:rPr>
        <w:t>Naval Base Ventura County</w:t>
      </w:r>
      <w:r w:rsidRPr="00DC6C92" w:rsidR="00DC6C92">
        <w:rPr>
          <w:szCs w:val="20"/>
          <w:lang w:eastAsia="en-US"/>
        </w:rPr>
        <w:t xml:space="preserve">, includes Port Hueneme and Point Mugu; </w:t>
      </w:r>
      <w:r w:rsidR="00DC6C92">
        <w:rPr>
          <w:szCs w:val="20"/>
          <w:lang w:eastAsia="en-US"/>
        </w:rPr>
        <w:t xml:space="preserve">and </w:t>
      </w:r>
      <w:r w:rsidRPr="00DC6C92" w:rsidR="00DC6C92">
        <w:rPr>
          <w:szCs w:val="20"/>
          <w:lang w:eastAsia="en-US"/>
        </w:rPr>
        <w:t>California State University Channel Islands</w:t>
      </w:r>
      <w:r w:rsidR="00DC6C92">
        <w:rPr>
          <w:b/>
          <w:bCs/>
          <w:szCs w:val="20"/>
          <w:lang w:eastAsia="en-US"/>
        </w:rPr>
        <w:t>.</w:t>
      </w:r>
    </w:p>
    <w:p w:rsidRPr="00A3095D" w:rsidR="00A3095D" w:rsidP="00A3095D" w:rsidRDefault="00A3095D" w14:paraId="2D99093E" w14:textId="77777777">
      <w:pPr>
        <w:ind w:left="1260"/>
        <w:rPr>
          <w:rFonts w:cs="Arial"/>
          <w:lang w:eastAsia="en-US"/>
        </w:rPr>
      </w:pPr>
      <w:r w:rsidRPr="00A3095D">
        <w:rPr>
          <w:b/>
          <w:szCs w:val="20"/>
          <w:lang w:eastAsia="en-US"/>
        </w:rPr>
        <w:t>Wasteload Allocations:</w:t>
      </w:r>
      <w:r w:rsidRPr="00A3095D">
        <w:rPr>
          <w:b/>
          <w:bCs/>
          <w:szCs w:val="20"/>
          <w:lang w:eastAsia="en-US"/>
        </w:rPr>
        <w:t xml:space="preserve"> </w:t>
      </w:r>
      <w:r w:rsidRPr="00A3095D">
        <w:rPr>
          <w:rFonts w:cs="Arial"/>
          <w:lang w:eastAsia="en-US"/>
        </w:rPr>
        <w:t>The TMDL assigns the following interim and final wasteload allocations as receiving water allocations.</w:t>
      </w:r>
    </w:p>
    <w:p w:rsidRPr="00A3095D" w:rsidR="00A3095D" w:rsidP="006012F5" w:rsidRDefault="00A3095D" w14:paraId="63046397" w14:textId="77777777">
      <w:pPr>
        <w:keepNext/>
        <w:keepLines/>
        <w:ind w:left="1260"/>
        <w:rPr>
          <w:rFonts w:cs="Arial"/>
          <w:u w:val="single"/>
          <w:lang w:eastAsia="en-US"/>
        </w:rPr>
      </w:pPr>
      <w:r w:rsidRPr="00A3095D">
        <w:rPr>
          <w:rFonts w:cs="Arial"/>
          <w:u w:val="single"/>
          <w:lang w:eastAsia="en-US"/>
        </w:rPr>
        <w:t>Interim Wasteload Allocations in Sediment Calleguas Creek (nanograms per gram)</w:t>
      </w:r>
    </w:p>
    <w:p w:rsidRPr="00A3095D" w:rsidR="00A3095D" w:rsidP="001F5507" w:rsidRDefault="00A3095D" w14:paraId="3A6D906A" w14:textId="398A161A">
      <w:pPr>
        <w:keepNext/>
        <w:keepLines/>
        <w:tabs>
          <w:tab w:val="left" w:pos="3240"/>
        </w:tabs>
        <w:spacing w:before="60" w:after="60"/>
        <w:ind w:left="1890"/>
        <w:rPr>
          <w:rFonts w:eastAsia="Calibri" w:cs="Arial"/>
          <w:lang w:eastAsia="en-US"/>
        </w:rPr>
      </w:pPr>
      <w:r w:rsidRPr="00A3095D">
        <w:rPr>
          <w:rFonts w:eastAsia="Calibri" w:cs="Arial"/>
          <w:lang w:eastAsia="en-US"/>
        </w:rPr>
        <w:t>Chlordane:</w:t>
      </w:r>
      <w:r w:rsidR="00DC6C92">
        <w:rPr>
          <w:rFonts w:eastAsia="Calibri" w:cs="Arial"/>
          <w:lang w:eastAsia="en-US"/>
        </w:rPr>
        <w:tab/>
      </w:r>
      <w:r w:rsidRPr="00A3095D">
        <w:rPr>
          <w:rFonts w:eastAsia="Calibri" w:cs="Arial"/>
          <w:lang w:eastAsia="en-US"/>
        </w:rPr>
        <w:t>17.0</w:t>
      </w:r>
    </w:p>
    <w:p w:rsidRPr="00A3095D" w:rsidR="00A3095D" w:rsidP="00DC6C92" w:rsidRDefault="00A3095D" w14:paraId="184A1651" w14:textId="77777777">
      <w:pPr>
        <w:keepNext/>
        <w:keepLines/>
        <w:tabs>
          <w:tab w:val="left" w:pos="3240"/>
        </w:tabs>
        <w:spacing w:before="60" w:after="60"/>
        <w:ind w:left="1890"/>
        <w:rPr>
          <w:rFonts w:eastAsia="Calibri" w:cs="Arial"/>
          <w:lang w:eastAsia="en-US"/>
        </w:rPr>
      </w:pPr>
      <w:r w:rsidRPr="00A3095D">
        <w:rPr>
          <w:rFonts w:eastAsia="Calibri" w:cs="Arial"/>
          <w:lang w:eastAsia="en-US"/>
        </w:rPr>
        <w:t xml:space="preserve">4,4-DDD: </w:t>
      </w:r>
      <w:r w:rsidRPr="00A3095D">
        <w:rPr>
          <w:rFonts w:eastAsia="Calibri" w:cs="Arial"/>
          <w:lang w:eastAsia="en-US"/>
        </w:rPr>
        <w:tab/>
      </w:r>
      <w:r w:rsidRPr="00A3095D">
        <w:rPr>
          <w:rFonts w:eastAsia="Calibri" w:cs="Arial"/>
          <w:lang w:eastAsia="en-US"/>
        </w:rPr>
        <w:t>66.0</w:t>
      </w:r>
    </w:p>
    <w:p w:rsidRPr="00A3095D" w:rsidR="00A3095D" w:rsidP="00A3095D" w:rsidRDefault="00A3095D" w14:paraId="6D46D2CD"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4,4-DDE: </w:t>
      </w:r>
      <w:r w:rsidRPr="00A3095D">
        <w:rPr>
          <w:rFonts w:eastAsia="Calibri" w:cs="Arial"/>
          <w:lang w:eastAsia="en-US"/>
        </w:rPr>
        <w:tab/>
      </w:r>
      <w:r w:rsidRPr="00A3095D">
        <w:rPr>
          <w:rFonts w:eastAsia="Calibri" w:cs="Arial"/>
          <w:lang w:eastAsia="en-US"/>
        </w:rPr>
        <w:t>470.0</w:t>
      </w:r>
    </w:p>
    <w:p w:rsidRPr="00A3095D" w:rsidR="00A3095D" w:rsidP="001F5507" w:rsidRDefault="00A3095D" w14:paraId="5111F736"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4,4-DDT: </w:t>
      </w:r>
      <w:r w:rsidRPr="00A3095D">
        <w:rPr>
          <w:rFonts w:eastAsia="Calibri" w:cs="Arial"/>
          <w:lang w:eastAsia="en-US"/>
        </w:rPr>
        <w:tab/>
      </w:r>
      <w:r w:rsidRPr="00A3095D">
        <w:rPr>
          <w:rFonts w:eastAsia="Calibri" w:cs="Arial"/>
          <w:lang w:eastAsia="en-US"/>
        </w:rPr>
        <w:t>110.0</w:t>
      </w:r>
    </w:p>
    <w:p w:rsidRPr="00A3095D" w:rsidR="00A3095D" w:rsidP="001F5507" w:rsidRDefault="00A3095D" w14:paraId="3945AC75"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Dieldrin: </w:t>
      </w:r>
      <w:r w:rsidRPr="00A3095D">
        <w:rPr>
          <w:rFonts w:eastAsia="Calibri" w:cs="Arial"/>
          <w:lang w:eastAsia="en-US"/>
        </w:rPr>
        <w:tab/>
      </w:r>
      <w:r w:rsidRPr="00A3095D">
        <w:rPr>
          <w:rFonts w:eastAsia="Calibri" w:cs="Arial"/>
          <w:lang w:eastAsia="en-US"/>
        </w:rPr>
        <w:t>3.0</w:t>
      </w:r>
    </w:p>
    <w:p w:rsidRPr="00A3095D" w:rsidR="00A3095D" w:rsidP="00A3095D" w:rsidRDefault="00A3095D" w14:paraId="40F5D62D"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PCBs: </w:t>
      </w:r>
      <w:r w:rsidRPr="00A3095D">
        <w:rPr>
          <w:rFonts w:eastAsia="Calibri" w:cs="Arial"/>
          <w:lang w:eastAsia="en-US"/>
        </w:rPr>
        <w:tab/>
      </w:r>
      <w:r w:rsidRPr="00A3095D">
        <w:rPr>
          <w:rFonts w:eastAsia="Calibri" w:cs="Arial"/>
          <w:lang w:eastAsia="en-US"/>
        </w:rPr>
        <w:t>3800.0</w:t>
      </w:r>
    </w:p>
    <w:p w:rsidRPr="00A3095D" w:rsidR="00A3095D" w:rsidP="00A3095D" w:rsidRDefault="00A3095D" w14:paraId="322655BD"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Toxaphene: </w:t>
      </w:r>
      <w:r w:rsidRPr="00A3095D">
        <w:rPr>
          <w:rFonts w:eastAsia="Calibri" w:cs="Arial"/>
          <w:lang w:eastAsia="en-US"/>
        </w:rPr>
        <w:tab/>
      </w:r>
      <w:r w:rsidRPr="00A3095D">
        <w:rPr>
          <w:rFonts w:eastAsia="Calibri" w:cs="Arial"/>
          <w:lang w:eastAsia="en-US"/>
        </w:rPr>
        <w:t>260.0</w:t>
      </w:r>
    </w:p>
    <w:p w:rsidRPr="00A3095D" w:rsidR="00A3095D" w:rsidP="00A3095D" w:rsidRDefault="00A3095D" w14:paraId="03B401E4" w14:textId="77777777">
      <w:pPr>
        <w:ind w:left="1260"/>
        <w:rPr>
          <w:rFonts w:cs="Arial"/>
          <w:lang w:eastAsia="en-US"/>
        </w:rPr>
      </w:pPr>
      <w:r w:rsidRPr="00A3095D">
        <w:rPr>
          <w:rFonts w:cs="Arial"/>
          <w:lang w:eastAsia="en-US"/>
        </w:rPr>
        <w:t>Compliance with sediment based wasteload allocations is measured as an in-stream annual average at the base of each subwatershed where the discharges are located.</w:t>
      </w:r>
    </w:p>
    <w:p w:rsidRPr="00A3095D" w:rsidR="00A3095D" w:rsidP="00A3095D" w:rsidRDefault="00A3095D" w14:paraId="2BB92D38" w14:textId="77777777">
      <w:pPr>
        <w:ind w:left="1260"/>
        <w:rPr>
          <w:rFonts w:eastAsia="Calibri" w:cs="Arial"/>
          <w:u w:val="single"/>
          <w:lang w:eastAsia="en-US"/>
        </w:rPr>
      </w:pPr>
      <w:r w:rsidRPr="00A3095D">
        <w:rPr>
          <w:rFonts w:eastAsia="Calibri" w:cs="Arial"/>
          <w:u w:val="single"/>
          <w:lang w:eastAsia="en-US"/>
        </w:rPr>
        <w:t>Final Wasteload Allocations in Sediment Annual Average at Base of Watershed (nanograms per gram):</w:t>
      </w:r>
    </w:p>
    <w:p w:rsidRPr="00A3095D" w:rsidR="00A3095D" w:rsidP="00A3095D" w:rsidRDefault="00A3095D" w14:paraId="7A088951"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Chlordane: </w:t>
      </w:r>
      <w:r w:rsidRPr="00A3095D">
        <w:rPr>
          <w:rFonts w:eastAsia="Calibri" w:cs="Arial"/>
          <w:lang w:eastAsia="en-US"/>
        </w:rPr>
        <w:tab/>
      </w:r>
      <w:r w:rsidRPr="00A3095D">
        <w:rPr>
          <w:rFonts w:eastAsia="Calibri" w:cs="Arial"/>
          <w:lang w:eastAsia="en-US"/>
        </w:rPr>
        <w:t>3.3</w:t>
      </w:r>
    </w:p>
    <w:p w:rsidRPr="00A3095D" w:rsidR="00A3095D" w:rsidP="00A3095D" w:rsidRDefault="00A3095D" w14:paraId="3488EFAC"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4,4-DDD: </w:t>
      </w:r>
      <w:r w:rsidRPr="00A3095D">
        <w:rPr>
          <w:rFonts w:eastAsia="Calibri" w:cs="Arial"/>
          <w:lang w:eastAsia="en-US"/>
        </w:rPr>
        <w:tab/>
      </w:r>
      <w:r w:rsidRPr="00A3095D">
        <w:rPr>
          <w:rFonts w:eastAsia="Calibri" w:cs="Arial"/>
          <w:lang w:eastAsia="en-US"/>
        </w:rPr>
        <w:t>2.0</w:t>
      </w:r>
    </w:p>
    <w:p w:rsidRPr="00A3095D" w:rsidR="00A3095D" w:rsidP="00A3095D" w:rsidRDefault="00A3095D" w14:paraId="045F6E15"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4,4-DDE: </w:t>
      </w:r>
      <w:r w:rsidRPr="00A3095D">
        <w:rPr>
          <w:rFonts w:eastAsia="Calibri" w:cs="Arial"/>
          <w:lang w:eastAsia="en-US"/>
        </w:rPr>
        <w:tab/>
      </w:r>
      <w:r w:rsidRPr="00A3095D">
        <w:rPr>
          <w:rFonts w:eastAsia="Calibri" w:cs="Arial"/>
          <w:lang w:eastAsia="en-US"/>
        </w:rPr>
        <w:t>1.4</w:t>
      </w:r>
    </w:p>
    <w:p w:rsidRPr="00A3095D" w:rsidR="00A3095D" w:rsidP="00A3095D" w:rsidRDefault="00A3095D" w14:paraId="5C0ED1E0"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4,4-DDT: </w:t>
      </w:r>
      <w:r w:rsidRPr="00A3095D">
        <w:rPr>
          <w:rFonts w:eastAsia="Calibri" w:cs="Arial"/>
          <w:lang w:eastAsia="en-US"/>
        </w:rPr>
        <w:tab/>
      </w:r>
      <w:r w:rsidRPr="00A3095D">
        <w:rPr>
          <w:rFonts w:eastAsia="Calibri" w:cs="Arial"/>
          <w:lang w:eastAsia="en-US"/>
        </w:rPr>
        <w:t>0.3</w:t>
      </w:r>
    </w:p>
    <w:p w:rsidRPr="00A3095D" w:rsidR="00A3095D" w:rsidP="00A3095D" w:rsidRDefault="00A3095D" w14:paraId="3F966BB2"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Dieldrin: </w:t>
      </w:r>
      <w:r w:rsidRPr="00A3095D">
        <w:rPr>
          <w:rFonts w:eastAsia="Calibri" w:cs="Arial"/>
          <w:lang w:eastAsia="en-US"/>
        </w:rPr>
        <w:tab/>
      </w:r>
      <w:r w:rsidRPr="00A3095D">
        <w:rPr>
          <w:rFonts w:eastAsia="Calibri" w:cs="Arial"/>
          <w:lang w:eastAsia="en-US"/>
        </w:rPr>
        <w:t>0.2</w:t>
      </w:r>
    </w:p>
    <w:p w:rsidRPr="00A3095D" w:rsidR="00A3095D" w:rsidP="00A3095D" w:rsidRDefault="00A3095D" w14:paraId="08AE6608"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PCBs: </w:t>
      </w:r>
      <w:r w:rsidRPr="00A3095D">
        <w:rPr>
          <w:rFonts w:eastAsia="Calibri" w:cs="Arial"/>
          <w:lang w:eastAsia="en-US"/>
        </w:rPr>
        <w:tab/>
      </w:r>
      <w:r w:rsidRPr="00A3095D">
        <w:rPr>
          <w:rFonts w:eastAsia="Calibri" w:cs="Arial"/>
          <w:lang w:eastAsia="en-US"/>
        </w:rPr>
        <w:t>120.0</w:t>
      </w:r>
    </w:p>
    <w:p w:rsidRPr="00A3095D" w:rsidR="00A3095D" w:rsidP="00A3095D" w:rsidRDefault="00A3095D" w14:paraId="258CF6A2" w14:textId="77777777">
      <w:pPr>
        <w:tabs>
          <w:tab w:val="left" w:pos="3240"/>
        </w:tabs>
        <w:spacing w:before="60" w:after="60"/>
        <w:ind w:left="1440" w:firstLine="446"/>
        <w:rPr>
          <w:rFonts w:eastAsia="Calibri" w:cs="Arial"/>
          <w:lang w:eastAsia="en-US"/>
        </w:rPr>
      </w:pPr>
      <w:r w:rsidRPr="00A3095D">
        <w:rPr>
          <w:rFonts w:eastAsia="Calibri" w:cs="Arial"/>
          <w:lang w:eastAsia="en-US"/>
        </w:rPr>
        <w:t xml:space="preserve">Toxaphene: </w:t>
      </w:r>
      <w:r w:rsidRPr="00A3095D">
        <w:rPr>
          <w:rFonts w:eastAsia="Calibri" w:cs="Arial"/>
          <w:lang w:eastAsia="en-US"/>
        </w:rPr>
        <w:tab/>
      </w:r>
      <w:r w:rsidRPr="00A3095D">
        <w:rPr>
          <w:rFonts w:eastAsia="Calibri" w:cs="Arial"/>
          <w:lang w:eastAsia="en-US"/>
        </w:rPr>
        <w:t>0.6</w:t>
      </w:r>
    </w:p>
    <w:p w:rsidRPr="00A3095D" w:rsidR="00A3095D" w:rsidP="00A3095D" w:rsidRDefault="00A3095D" w14:paraId="2BDE6165" w14:textId="77777777">
      <w:pPr>
        <w:tabs>
          <w:tab w:val="left" w:pos="3240"/>
        </w:tabs>
        <w:ind w:left="1440"/>
        <w:rPr>
          <w:rFonts w:eastAsia="Calibri" w:cs="Arial"/>
          <w:u w:val="single"/>
          <w:lang w:eastAsia="en-US"/>
        </w:rPr>
      </w:pPr>
      <w:r w:rsidRPr="00A3095D">
        <w:rPr>
          <w:rFonts w:cs="Arial"/>
          <w:lang w:eastAsia="en-US"/>
        </w:rPr>
        <w:t>Compliance with sediment based wasteload allocations is measured as an in-stream annual average at the base of each subwatershed where the discharges are located.</w:t>
      </w:r>
    </w:p>
    <w:p w:rsidRPr="00A3095D" w:rsidR="00A3095D" w:rsidP="0060388B" w:rsidRDefault="00A3095D" w14:paraId="0D4B308B" w14:textId="77777777">
      <w:pPr>
        <w:tabs>
          <w:tab w:val="left" w:pos="3240"/>
        </w:tabs>
        <w:spacing w:before="60" w:after="60"/>
        <w:ind w:left="1440" w:hanging="180"/>
        <w:rPr>
          <w:rFonts w:eastAsia="Calibri" w:cs="Arial"/>
          <w:lang w:eastAsia="en-US"/>
        </w:rPr>
      </w:pPr>
      <w:r w:rsidRPr="00A3095D">
        <w:rPr>
          <w:rFonts w:eastAsia="Calibri" w:cs="Arial"/>
          <w:u w:val="single"/>
          <w:lang w:eastAsia="en-US"/>
        </w:rPr>
        <w:t>Siltation Wasteload Allocation</w:t>
      </w:r>
      <w:r w:rsidRPr="00A3095D">
        <w:rPr>
          <w:rFonts w:eastAsia="Calibri" w:cs="Arial"/>
          <w:lang w:eastAsia="en-US"/>
        </w:rPr>
        <w:t xml:space="preserve"> </w:t>
      </w:r>
    </w:p>
    <w:p w:rsidRPr="00A3095D" w:rsidR="00A3095D" w:rsidP="00350CC2" w:rsidRDefault="00A3095D" w14:paraId="1891F79A" w14:textId="77777777">
      <w:pPr>
        <w:tabs>
          <w:tab w:val="left" w:pos="3240"/>
        </w:tabs>
        <w:ind w:left="1440" w:firstLine="446"/>
        <w:rPr>
          <w:rFonts w:eastAsia="Calibri" w:cs="Arial"/>
          <w:lang w:eastAsia="en-US"/>
        </w:rPr>
      </w:pPr>
      <w:r w:rsidRPr="00A3095D">
        <w:rPr>
          <w:rFonts w:eastAsia="Calibri" w:cs="Arial"/>
          <w:lang w:eastAsia="en-US"/>
        </w:rPr>
        <w:t>2,496 tons per year reduction in yield to Mugu Lagoon.</w:t>
      </w:r>
    </w:p>
    <w:p w:rsidRPr="00A3095D" w:rsidR="00A3095D" w:rsidP="00A3095D" w:rsidRDefault="00A3095D" w14:paraId="32D47DC7" w14:textId="2A163B08">
      <w:pPr>
        <w:ind w:left="1267"/>
        <w:rPr>
          <w:rFonts w:cs="Arial"/>
          <w:b/>
          <w:bCs/>
          <w:lang w:eastAsia="en-US"/>
        </w:rPr>
      </w:pPr>
      <w:r w:rsidRPr="00A3095D">
        <w:rPr>
          <w:rFonts w:cs="Arial"/>
          <w:b/>
          <w:bCs/>
          <w:lang w:eastAsia="en-US"/>
        </w:rPr>
        <w:t xml:space="preserve">Final Compliance Deadline: </w:t>
      </w:r>
      <w:r w:rsidRPr="00A3095D">
        <w:rPr>
          <w:rFonts w:cs="Arial"/>
          <w:lang w:eastAsia="en-US"/>
        </w:rPr>
        <w:t xml:space="preserve">The TMDL specifies that the final wasteload allocations are to be achieved 20 years after the effective date of the TMDL (March 24, 2006). Therefore, the final wasteload allocations shall be achieved by March 24, 2026. If the deadline has not been met, the Permittee may request a time schedule order from the Los Angeles Water Board Executive Officer, which </w:t>
      </w:r>
      <w:r w:rsidR="005C1C22">
        <w:rPr>
          <w:rFonts w:cs="Arial"/>
          <w:lang w:eastAsia="en-US"/>
        </w:rPr>
        <w:t xml:space="preserve">may establish an implementation schedule </w:t>
      </w:r>
      <w:r w:rsidRPr="00A3095D">
        <w:rPr>
          <w:rFonts w:cs="Arial"/>
          <w:lang w:eastAsia="en-US"/>
        </w:rPr>
        <w:t>for the Permittee to comply with the TMDL requirements, and will supersede the deadlines referenced in this Order.</w:t>
      </w:r>
    </w:p>
    <w:p w:rsidRPr="000D48DD" w:rsidR="00A3095D" w:rsidP="000D48DD" w:rsidRDefault="00836361" w14:paraId="1CEA02ED" w14:textId="793D3E90">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.13</w:t>
      </w:r>
      <w:r w:rsidRPr="000D48DD" w:rsidR="00A3095D">
        <w:rPr>
          <w:i/>
          <w:iCs/>
        </w:rPr>
        <w:tab/>
      </w:r>
      <w:r w:rsidRPr="000D48DD" w:rsidR="00A3095D">
        <w:rPr>
          <w:i/>
          <w:iCs/>
        </w:rPr>
        <w:t>Ballona Creek Estuary Toxic Pollutants TMDL</w:t>
      </w:r>
    </w:p>
    <w:p w:rsidRPr="00A3095D" w:rsidR="00A3095D" w:rsidP="0060388B" w:rsidRDefault="00A3095D" w14:paraId="587F0A73" w14:textId="018F32AD">
      <w:pPr>
        <w:autoSpaceDE w:val="0"/>
        <w:autoSpaceDN w:val="0"/>
        <w:adjustRightInd w:val="0"/>
        <w:ind w:left="1267"/>
        <w:rPr>
          <w:rFonts w:eastAsia="Calibri" w:cs="Arial"/>
          <w:color w:val="000000"/>
          <w:lang w:eastAsia="en-US"/>
        </w:rPr>
      </w:pPr>
      <w:r w:rsidRPr="00A3095D">
        <w:rPr>
          <w:rFonts w:eastAsia="Calibri" w:cs="Arial"/>
          <w:b/>
          <w:bCs/>
          <w:color w:val="000000"/>
          <w:lang w:eastAsia="en-US"/>
        </w:rPr>
        <w:t>Description:</w:t>
      </w:r>
      <w:r w:rsidRPr="00A3095D">
        <w:rPr>
          <w:rFonts w:eastAsia="Calibri" w:cs="Arial"/>
          <w:color w:val="000000"/>
          <w:lang w:eastAsia="en-US"/>
        </w:rPr>
        <w:t xml:space="preserve"> </w:t>
      </w:r>
      <w:r w:rsidR="00766ACF">
        <w:rPr>
          <w:rFonts w:eastAsia="Calibri" w:cs="Arial"/>
          <w:color w:val="000000"/>
          <w:lang w:eastAsia="en-US"/>
        </w:rPr>
        <w:t>USEPA</w:t>
      </w:r>
      <w:r w:rsidR="00C56C92">
        <w:rPr>
          <w:rFonts w:eastAsia="Calibri" w:cs="Arial"/>
          <w:color w:val="000000"/>
          <w:lang w:eastAsia="en-US"/>
        </w:rPr>
        <w:t xml:space="preserve"> </w:t>
      </w:r>
      <w:r w:rsidRPr="00A3095D">
        <w:rPr>
          <w:rFonts w:eastAsia="Calibri" w:cs="Arial"/>
          <w:color w:val="000000"/>
          <w:lang w:eastAsia="en-US"/>
        </w:rPr>
        <w:t>approved the Ballona Creek Estuary Toxic Pollutants TMDL on December 22, 2005, and the revision on October 26,</w:t>
      </w:r>
      <w:r w:rsidR="0060388B">
        <w:rPr>
          <w:rFonts w:eastAsia="Calibri" w:cs="Arial"/>
          <w:color w:val="000000"/>
          <w:lang w:eastAsia="en-US"/>
        </w:rPr>
        <w:t> </w:t>
      </w:r>
      <w:r w:rsidRPr="00A3095D">
        <w:rPr>
          <w:rFonts w:eastAsia="Calibri" w:cs="Arial"/>
          <w:color w:val="000000"/>
          <w:lang w:eastAsia="en-US"/>
        </w:rPr>
        <w:t xml:space="preserve">2015. Ballona Creek Estuary is impaired for cadmium, copper, lead, silver, zinc, chlordane, dichlorodiphenyltrichloroethane (DDT), polychlorinated biphenyls (PCBs), and toxicity in sediments. The following beneficial uses are impaired by these toxic pollutants: water contact recreation; non-contact water recreation; estuarine habitat; marine habitat; wildlife habitat; rare and threatened or endangered species; migration of aquatic organisms; reproduction and early development of fish; commercial and sport fishing; and shellfish harvesting. Urban stormwater has been identified as a source. </w:t>
      </w:r>
    </w:p>
    <w:p w:rsidRPr="00A3095D" w:rsidR="00A3095D" w:rsidP="00A3095D" w:rsidRDefault="00A3095D" w14:paraId="1CC0BB24" w14:textId="66F49423">
      <w:pPr>
        <w:ind w:left="1260"/>
        <w:rPr>
          <w:rFonts w:cs="Arial"/>
          <w:lang w:eastAsia="en-US"/>
        </w:rPr>
      </w:pPr>
      <w:r w:rsidRPr="00A3095D">
        <w:rPr>
          <w:b/>
          <w:szCs w:val="20"/>
          <w:lang w:eastAsia="en-US"/>
        </w:rPr>
        <w:t>Responsible Permi</w:t>
      </w:r>
      <w:r w:rsidR="0091593F">
        <w:rPr>
          <w:b/>
          <w:szCs w:val="20"/>
          <w:lang w:eastAsia="en-US"/>
        </w:rPr>
        <w:t>t</w:t>
      </w:r>
      <w:r w:rsidRPr="00A3095D">
        <w:rPr>
          <w:b/>
          <w:szCs w:val="20"/>
          <w:lang w:eastAsia="en-US"/>
        </w:rPr>
        <w:t>tees:</w:t>
      </w:r>
      <w:r w:rsidRPr="00A3095D">
        <w:rPr>
          <w:b/>
          <w:bCs/>
          <w:szCs w:val="20"/>
          <w:lang w:eastAsia="en-US"/>
        </w:rPr>
        <w:t xml:space="preserve"> </w:t>
      </w:r>
      <w:r w:rsidRPr="00A3095D" w:rsidR="00DA26CA">
        <w:rPr>
          <w:rFonts w:cs="Arial"/>
          <w:lang w:eastAsia="en-US"/>
        </w:rPr>
        <w:t>University of California</w:t>
      </w:r>
      <w:r w:rsidRPr="00DA26CA" w:rsidR="00DA26CA">
        <w:rPr>
          <w:szCs w:val="20"/>
          <w:lang w:eastAsia="en-US"/>
        </w:rPr>
        <w:t>, Los Angeles;</w:t>
      </w:r>
      <w:r w:rsidR="00DA26CA">
        <w:rPr>
          <w:szCs w:val="20"/>
          <w:lang w:eastAsia="en-US"/>
        </w:rPr>
        <w:t xml:space="preserve"> and</w:t>
      </w:r>
      <w:r w:rsidRPr="00DA26CA" w:rsidR="00DA26CA">
        <w:rPr>
          <w:szCs w:val="20"/>
          <w:lang w:eastAsia="en-US"/>
        </w:rPr>
        <w:t xml:space="preserve"> Veterans Affairs Greater Los Angeles Healthcare System</w:t>
      </w:r>
      <w:r w:rsidR="00DA26CA">
        <w:rPr>
          <w:szCs w:val="20"/>
          <w:lang w:eastAsia="en-US"/>
        </w:rPr>
        <w:t>.</w:t>
      </w:r>
    </w:p>
    <w:p w:rsidRPr="00A3095D" w:rsidR="00A3095D" w:rsidP="00A3095D" w:rsidRDefault="00A3095D" w14:paraId="28D813FE" w14:textId="17FD4662">
      <w:pPr>
        <w:ind w:left="1260"/>
        <w:rPr>
          <w:rFonts w:cs="Arial"/>
          <w:lang w:eastAsia="en-US"/>
        </w:rPr>
      </w:pPr>
      <w:r w:rsidRPr="00A3095D">
        <w:rPr>
          <w:b/>
          <w:szCs w:val="20"/>
          <w:lang w:eastAsia="en-US"/>
        </w:rPr>
        <w:t>Wasteload Allocations:</w:t>
      </w:r>
      <w:r w:rsidRPr="00A3095D">
        <w:rPr>
          <w:b/>
          <w:bCs/>
          <w:szCs w:val="20"/>
          <w:lang w:eastAsia="en-US"/>
        </w:rPr>
        <w:t xml:space="preserve"> </w:t>
      </w:r>
      <w:r w:rsidRPr="00A3095D">
        <w:rPr>
          <w:rFonts w:cs="Arial"/>
          <w:lang w:eastAsia="en-US"/>
        </w:rPr>
        <w:t>wasteload allocations are expressed as shared allocations amongst the MS4</w:t>
      </w:r>
      <w:r w:rsidR="000E1B01">
        <w:rPr>
          <w:rFonts w:cs="Arial"/>
          <w:lang w:eastAsia="en-US"/>
        </w:rPr>
        <w:t xml:space="preserve"> Permittees </w:t>
      </w:r>
      <w:r w:rsidRPr="00A3095D">
        <w:rPr>
          <w:rFonts w:cs="Arial"/>
          <w:lang w:eastAsia="en-US"/>
        </w:rPr>
        <w:t>in the Ballona Creek watershed.</w:t>
      </w:r>
    </w:p>
    <w:p w:rsidRPr="00A3095D" w:rsidR="00A3095D" w:rsidP="005371D8" w:rsidRDefault="00A3095D" w14:paraId="0483CECB" w14:textId="77777777">
      <w:pPr>
        <w:tabs>
          <w:tab w:val="left" w:pos="3330"/>
        </w:tabs>
        <w:ind w:left="1530" w:hanging="270"/>
        <w:rPr>
          <w:rFonts w:eastAsia="Calibri" w:cs="Arial"/>
          <w:u w:val="single"/>
          <w:lang w:eastAsia="en-US"/>
        </w:rPr>
      </w:pPr>
      <w:r w:rsidRPr="00A3095D">
        <w:rPr>
          <w:u w:val="single"/>
          <w:lang w:eastAsia="en-US"/>
        </w:rPr>
        <w:t>Metals Wasteload Allocations for Stormwater (kilograms per year)</w:t>
      </w:r>
    </w:p>
    <w:p w:rsidRPr="00A3095D" w:rsidR="00A3095D" w:rsidP="00A3095D" w:rsidRDefault="00A3095D" w14:paraId="4FA0FB37" w14:textId="77777777">
      <w:pPr>
        <w:tabs>
          <w:tab w:val="left" w:pos="3330"/>
        </w:tabs>
        <w:spacing w:before="60" w:after="60"/>
        <w:ind w:left="1800"/>
        <w:rPr>
          <w:rFonts w:eastAsia="Calibri" w:cs="Arial"/>
          <w:lang w:eastAsia="en-US"/>
        </w:rPr>
      </w:pPr>
      <w:r w:rsidRPr="00A3095D">
        <w:rPr>
          <w:rFonts w:eastAsia="Calibri" w:cs="Arial"/>
          <w:lang w:eastAsia="en-US"/>
        </w:rPr>
        <w:t xml:space="preserve">Cadmium </w:t>
      </w:r>
      <w:r w:rsidRPr="00A3095D">
        <w:rPr>
          <w:rFonts w:eastAsia="Calibri" w:cs="Arial"/>
          <w:lang w:eastAsia="en-US"/>
        </w:rPr>
        <w:tab/>
      </w:r>
      <w:r w:rsidRPr="00A3095D">
        <w:rPr>
          <w:rFonts w:eastAsia="Calibri" w:cs="Arial"/>
          <w:lang w:eastAsia="en-US"/>
        </w:rPr>
        <w:t>8.0</w:t>
      </w:r>
    </w:p>
    <w:p w:rsidRPr="00A3095D" w:rsidR="00A3095D" w:rsidP="00A3095D" w:rsidRDefault="00A3095D" w14:paraId="6DD25308" w14:textId="77777777">
      <w:pPr>
        <w:tabs>
          <w:tab w:val="left" w:pos="3330"/>
        </w:tabs>
        <w:spacing w:before="60" w:after="60"/>
        <w:ind w:left="1800"/>
        <w:rPr>
          <w:rFonts w:eastAsia="Calibri" w:cs="Arial"/>
          <w:lang w:eastAsia="en-US"/>
        </w:rPr>
      </w:pPr>
      <w:r w:rsidRPr="00A3095D">
        <w:rPr>
          <w:rFonts w:eastAsia="Calibri" w:cs="Arial"/>
          <w:lang w:eastAsia="en-US"/>
        </w:rPr>
        <w:t>Copper</w:t>
      </w:r>
      <w:r w:rsidRPr="00A3095D">
        <w:rPr>
          <w:rFonts w:eastAsia="Calibri" w:cs="Arial"/>
          <w:lang w:eastAsia="en-US"/>
        </w:rPr>
        <w:tab/>
      </w:r>
      <w:r w:rsidRPr="00A3095D">
        <w:rPr>
          <w:rFonts w:eastAsia="Calibri" w:cs="Arial"/>
          <w:lang w:eastAsia="en-US"/>
        </w:rPr>
        <w:t>227.3</w:t>
      </w:r>
    </w:p>
    <w:p w:rsidRPr="00A3095D" w:rsidR="00A3095D" w:rsidP="00A3095D" w:rsidRDefault="00A3095D" w14:paraId="38C842E2" w14:textId="77777777">
      <w:pPr>
        <w:tabs>
          <w:tab w:val="left" w:pos="3240"/>
        </w:tabs>
        <w:spacing w:before="60" w:after="60"/>
        <w:ind w:left="1800"/>
        <w:rPr>
          <w:rFonts w:eastAsia="Calibri" w:cs="Arial"/>
          <w:lang w:eastAsia="en-US"/>
        </w:rPr>
      </w:pPr>
      <w:r w:rsidRPr="00A3095D">
        <w:rPr>
          <w:rFonts w:eastAsia="Calibri" w:cs="Arial"/>
          <w:lang w:eastAsia="en-US"/>
        </w:rPr>
        <w:t>Lead</w:t>
      </w:r>
      <w:r w:rsidRPr="00A3095D">
        <w:rPr>
          <w:rFonts w:eastAsia="Calibri" w:cs="Arial"/>
          <w:lang w:eastAsia="en-US"/>
        </w:rPr>
        <w:tab/>
      </w:r>
      <w:r w:rsidRPr="00A3095D">
        <w:rPr>
          <w:rFonts w:eastAsia="Calibri" w:cs="Arial"/>
          <w:lang w:eastAsia="en-US"/>
        </w:rPr>
        <w:t>312.3</w:t>
      </w:r>
    </w:p>
    <w:p w:rsidRPr="00A3095D" w:rsidR="00A3095D" w:rsidP="00A3095D" w:rsidRDefault="00A3095D" w14:paraId="75BA9E02" w14:textId="77777777">
      <w:pPr>
        <w:tabs>
          <w:tab w:val="left" w:pos="3330"/>
        </w:tabs>
        <w:spacing w:before="60" w:after="60"/>
        <w:ind w:left="1800"/>
        <w:rPr>
          <w:rFonts w:eastAsia="Calibri" w:cs="Arial"/>
          <w:lang w:eastAsia="en-US"/>
        </w:rPr>
      </w:pPr>
      <w:r w:rsidRPr="00A3095D">
        <w:rPr>
          <w:rFonts w:eastAsia="Calibri" w:cs="Arial"/>
          <w:lang w:eastAsia="en-US"/>
        </w:rPr>
        <w:t xml:space="preserve">Silver </w:t>
      </w:r>
      <w:r w:rsidRPr="00A3095D">
        <w:rPr>
          <w:rFonts w:eastAsia="Calibri" w:cs="Arial"/>
          <w:lang w:eastAsia="en-US"/>
        </w:rPr>
        <w:tab/>
      </w:r>
      <w:r w:rsidRPr="00A3095D">
        <w:rPr>
          <w:rFonts w:eastAsia="Calibri" w:cs="Arial"/>
          <w:lang w:eastAsia="en-US"/>
        </w:rPr>
        <w:t>6.69</w:t>
      </w:r>
    </w:p>
    <w:p w:rsidRPr="00A3095D" w:rsidR="00A3095D" w:rsidP="00A3095D" w:rsidRDefault="00A3095D" w14:paraId="134C9EA0" w14:textId="77777777">
      <w:pPr>
        <w:tabs>
          <w:tab w:val="left" w:pos="3330"/>
        </w:tabs>
        <w:spacing w:before="60" w:after="60"/>
        <w:ind w:left="1800"/>
        <w:rPr>
          <w:rFonts w:eastAsia="Calibri" w:cs="Arial"/>
          <w:lang w:eastAsia="en-US"/>
        </w:rPr>
      </w:pPr>
      <w:r w:rsidRPr="00A3095D">
        <w:rPr>
          <w:rFonts w:eastAsia="Calibri" w:cs="Arial"/>
          <w:lang w:eastAsia="en-US"/>
        </w:rPr>
        <w:t>Zinc</w:t>
      </w:r>
      <w:r w:rsidRPr="00A3095D">
        <w:rPr>
          <w:rFonts w:eastAsia="Calibri" w:cs="Arial"/>
          <w:lang w:eastAsia="en-US"/>
        </w:rPr>
        <w:tab/>
      </w:r>
      <w:r w:rsidRPr="00A3095D">
        <w:rPr>
          <w:rFonts w:eastAsia="Calibri" w:cs="Arial"/>
          <w:lang w:eastAsia="en-US"/>
        </w:rPr>
        <w:t>1003</w:t>
      </w:r>
    </w:p>
    <w:p w:rsidRPr="00A3095D" w:rsidR="00A3095D" w:rsidP="005371D8" w:rsidRDefault="00A3095D" w14:paraId="7D6E292D" w14:textId="77777777">
      <w:pPr>
        <w:tabs>
          <w:tab w:val="left" w:pos="3330"/>
        </w:tabs>
        <w:ind w:left="1350" w:hanging="90"/>
        <w:rPr>
          <w:rFonts w:eastAsia="Calibri" w:cs="Arial"/>
          <w:u w:val="single"/>
          <w:lang w:eastAsia="en-US"/>
        </w:rPr>
      </w:pPr>
      <w:r w:rsidRPr="00A3095D">
        <w:rPr>
          <w:rFonts w:eastAsia="Calibri" w:cs="Arial"/>
          <w:u w:val="single"/>
          <w:lang w:eastAsia="en-US"/>
        </w:rPr>
        <w:t>Organics Wasteload Allocations for Stormwater (grams per year)</w:t>
      </w:r>
    </w:p>
    <w:p w:rsidRPr="00A3095D" w:rsidR="00A3095D" w:rsidP="00A3095D" w:rsidRDefault="00A3095D" w14:paraId="062EA760" w14:textId="77777777">
      <w:pPr>
        <w:tabs>
          <w:tab w:val="left" w:pos="3330"/>
        </w:tabs>
        <w:spacing w:before="60" w:after="60"/>
        <w:ind w:left="1800"/>
        <w:rPr>
          <w:rFonts w:eastAsia="Calibri" w:cs="Arial"/>
          <w:lang w:eastAsia="en-US"/>
        </w:rPr>
      </w:pPr>
      <w:r w:rsidRPr="00A3095D">
        <w:rPr>
          <w:rFonts w:eastAsia="Calibri" w:cs="Arial"/>
          <w:lang w:eastAsia="en-US"/>
        </w:rPr>
        <w:t xml:space="preserve">Chlordane </w:t>
      </w:r>
      <w:r w:rsidRPr="00A3095D">
        <w:rPr>
          <w:rFonts w:eastAsia="Calibri" w:cs="Arial"/>
          <w:lang w:eastAsia="en-US"/>
        </w:rPr>
        <w:tab/>
      </w:r>
      <w:r w:rsidRPr="00A3095D">
        <w:rPr>
          <w:rFonts w:eastAsia="Calibri" w:cs="Arial"/>
          <w:lang w:eastAsia="en-US"/>
        </w:rPr>
        <w:t>8.69</w:t>
      </w:r>
    </w:p>
    <w:p w:rsidRPr="00A3095D" w:rsidR="00A3095D" w:rsidP="00A3095D" w:rsidRDefault="00A3095D" w14:paraId="46D7C373" w14:textId="77777777">
      <w:pPr>
        <w:tabs>
          <w:tab w:val="left" w:pos="3330"/>
        </w:tabs>
        <w:spacing w:before="60" w:after="60"/>
        <w:ind w:left="1800"/>
        <w:rPr>
          <w:rFonts w:eastAsia="Calibri" w:cs="Arial"/>
          <w:lang w:eastAsia="en-US"/>
        </w:rPr>
      </w:pPr>
      <w:r w:rsidRPr="00A3095D">
        <w:rPr>
          <w:rFonts w:eastAsia="Calibri" w:cs="Arial"/>
          <w:lang w:eastAsia="en-US"/>
        </w:rPr>
        <w:t>DDT</w:t>
      </w:r>
      <w:r w:rsidRPr="00A3095D">
        <w:rPr>
          <w:rFonts w:eastAsia="Calibri" w:cs="Arial"/>
          <w:lang w:eastAsia="en-US"/>
        </w:rPr>
        <w:tab/>
      </w:r>
      <w:r w:rsidRPr="00A3095D">
        <w:rPr>
          <w:rFonts w:eastAsia="Calibri" w:cs="Arial"/>
          <w:lang w:eastAsia="en-US"/>
        </w:rPr>
        <w:t>12.70</w:t>
      </w:r>
    </w:p>
    <w:p w:rsidRPr="00A3095D" w:rsidR="00A3095D" w:rsidP="00A3095D" w:rsidRDefault="00A3095D" w14:paraId="5E71E7BF" w14:textId="77777777">
      <w:pPr>
        <w:tabs>
          <w:tab w:val="left" w:pos="3330"/>
        </w:tabs>
        <w:spacing w:before="60" w:after="60"/>
        <w:ind w:left="1800"/>
        <w:rPr>
          <w:rFonts w:eastAsia="Calibri" w:cs="Arial"/>
          <w:lang w:eastAsia="en-US"/>
        </w:rPr>
      </w:pPr>
      <w:r w:rsidRPr="00A3095D">
        <w:rPr>
          <w:rFonts w:eastAsia="Calibri" w:cs="Arial"/>
          <w:lang w:eastAsia="en-US"/>
        </w:rPr>
        <w:t xml:space="preserve">Total PCB: </w:t>
      </w:r>
      <w:r w:rsidRPr="00A3095D">
        <w:rPr>
          <w:rFonts w:eastAsia="Calibri" w:cs="Arial"/>
          <w:lang w:eastAsia="en-US"/>
        </w:rPr>
        <w:tab/>
      </w:r>
      <w:r w:rsidRPr="00A3095D">
        <w:rPr>
          <w:rFonts w:eastAsia="Calibri" w:cs="Arial"/>
          <w:lang w:eastAsia="en-US"/>
        </w:rPr>
        <w:t>21.40</w:t>
      </w:r>
    </w:p>
    <w:p w:rsidRPr="00A3095D" w:rsidR="00A3095D" w:rsidP="00A3095D" w:rsidRDefault="00A3095D" w14:paraId="52D4637A" w14:textId="7EA1E4F8">
      <w:pPr>
        <w:spacing w:before="240"/>
        <w:ind w:left="1267" w:hanging="7"/>
        <w:rPr>
          <w:rFonts w:cs="Arial"/>
          <w:lang w:eastAsia="en-US"/>
        </w:rPr>
      </w:pPr>
      <w:r w:rsidRPr="00A3095D">
        <w:rPr>
          <w:rFonts w:cs="Arial"/>
          <w:b/>
          <w:bCs/>
          <w:lang w:eastAsia="en-US"/>
        </w:rPr>
        <w:t xml:space="preserve">Final Compliance Deadline: </w:t>
      </w:r>
      <w:r w:rsidRPr="00A3095D">
        <w:rPr>
          <w:rFonts w:cs="Arial"/>
          <w:lang w:eastAsia="en-US"/>
        </w:rPr>
        <w:t xml:space="preserve">The TMDL specifies that the final wasteload allocations shall be achieved by January 11, 2021. If the deadline has not been met, the Permittee may request a time schedule order from the Los Angeles Water Board Executive Officer, which </w:t>
      </w:r>
      <w:r w:rsidR="005C1C22">
        <w:rPr>
          <w:rFonts w:cs="Arial"/>
          <w:lang w:eastAsia="en-US"/>
        </w:rPr>
        <w:t xml:space="preserve">may establish an implementation schedule </w:t>
      </w:r>
      <w:r w:rsidRPr="00A3095D">
        <w:rPr>
          <w:rFonts w:cs="Arial"/>
          <w:lang w:eastAsia="en-US"/>
        </w:rPr>
        <w:t>for the Permittee to comply with the TMDL requirements, and will supersede the deadlines referenced in this Order.</w:t>
      </w:r>
    </w:p>
    <w:p w:rsidRPr="000D48DD" w:rsidR="00A3095D" w:rsidP="000D48DD" w:rsidRDefault="00836361" w14:paraId="38F91809" w14:textId="41CB07AC">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.14</w:t>
      </w:r>
      <w:r w:rsidRPr="000D48DD" w:rsidR="00A3095D">
        <w:rPr>
          <w:i/>
          <w:iCs/>
        </w:rPr>
        <w:tab/>
      </w:r>
      <w:r w:rsidRPr="000D48DD" w:rsidR="00A3095D">
        <w:rPr>
          <w:i/>
          <w:iCs/>
        </w:rPr>
        <w:t>Dominguez Channel and Greater Los Angeles and Long Beach Harbor Toxic Pollutants TMDL</w:t>
      </w:r>
    </w:p>
    <w:p w:rsidRPr="00A3095D" w:rsidR="00A3095D" w:rsidP="00A3095D" w:rsidRDefault="00A3095D" w14:paraId="471BED82" w14:textId="6BCDA9D3">
      <w:pPr>
        <w:ind w:left="1260"/>
        <w:rPr>
          <w:szCs w:val="20"/>
          <w:lang w:eastAsia="en-US"/>
        </w:rPr>
      </w:pPr>
      <w:r w:rsidRPr="00A3095D">
        <w:rPr>
          <w:b/>
          <w:bCs/>
          <w:szCs w:val="20"/>
          <w:lang w:eastAsia="en-US"/>
        </w:rPr>
        <w:t>Description</w:t>
      </w:r>
      <w:r w:rsidRPr="00A3095D">
        <w:rPr>
          <w:szCs w:val="20"/>
          <w:lang w:eastAsia="en-US"/>
        </w:rPr>
        <w:t xml:space="preserve">: </w:t>
      </w:r>
      <w:r w:rsidR="00766ACF">
        <w:rPr>
          <w:szCs w:val="20"/>
          <w:lang w:eastAsia="en-US"/>
        </w:rPr>
        <w:t>USEPA</w:t>
      </w:r>
      <w:r w:rsidR="00C56C92">
        <w:rPr>
          <w:szCs w:val="20"/>
          <w:lang w:eastAsia="en-US"/>
        </w:rPr>
        <w:t xml:space="preserve"> </w:t>
      </w:r>
      <w:r w:rsidRPr="00A3095D">
        <w:rPr>
          <w:szCs w:val="20"/>
          <w:lang w:eastAsia="en-US"/>
        </w:rPr>
        <w:t xml:space="preserve">approved the TMDL on March 23, 2012. The waters of Dominguez Channel and the Greater Los Angeles and Long Beach Harbor areas are impaired by heavy metals and organic pollutants, which impair the designated beneficial uses. Stormwater and urban runoff </w:t>
      </w:r>
      <w:r w:rsidRPr="00A3095D">
        <w:rPr>
          <w:szCs w:val="20"/>
          <w:lang w:eastAsia="en-US"/>
        </w:rPr>
        <w:t xml:space="preserve">discharges are sources of pollutants. Point sources include stormwater and urban runoff </w:t>
      </w:r>
      <w:r w:rsidR="00A2674F">
        <w:rPr>
          <w:szCs w:val="20"/>
          <w:lang w:eastAsia="en-US"/>
        </w:rPr>
        <w:t>from MS4s</w:t>
      </w:r>
      <w:r w:rsidRPr="00A3095D">
        <w:rPr>
          <w:szCs w:val="20"/>
          <w:lang w:eastAsia="en-US"/>
        </w:rPr>
        <w:t xml:space="preserve"> and other NPDES discharges</w:t>
      </w:r>
    </w:p>
    <w:p w:rsidRPr="00A3095D" w:rsidR="00A3095D" w:rsidP="00A3095D" w:rsidRDefault="00A3095D" w14:paraId="15735EB5" w14:textId="0F842F70">
      <w:pPr>
        <w:ind w:left="1260"/>
        <w:rPr>
          <w:szCs w:val="20"/>
          <w:lang w:eastAsia="en-US"/>
        </w:rPr>
      </w:pPr>
      <w:r w:rsidRPr="00A3095D">
        <w:rPr>
          <w:b/>
          <w:bCs/>
          <w:szCs w:val="20"/>
          <w:lang w:eastAsia="en-US"/>
        </w:rPr>
        <w:t>Responsible Permittees</w:t>
      </w:r>
      <w:r w:rsidRPr="00A3095D">
        <w:rPr>
          <w:szCs w:val="20"/>
          <w:lang w:eastAsia="en-US"/>
        </w:rPr>
        <w:t>: Federal Correction Institution</w:t>
      </w:r>
      <w:r w:rsidR="00DA26CA">
        <w:rPr>
          <w:szCs w:val="20"/>
          <w:lang w:eastAsia="en-US"/>
        </w:rPr>
        <w:t>,</w:t>
      </w:r>
      <w:r w:rsidDel="00DA26CA" w:rsidR="00E704C6">
        <w:rPr>
          <w:szCs w:val="20"/>
          <w:lang w:eastAsia="en-US"/>
        </w:rPr>
        <w:t xml:space="preserve"> </w:t>
      </w:r>
      <w:r w:rsidRPr="00A3095D">
        <w:rPr>
          <w:szCs w:val="20"/>
          <w:lang w:eastAsia="en-US"/>
        </w:rPr>
        <w:t>Terminal Island</w:t>
      </w:r>
      <w:r w:rsidR="00DA26CA">
        <w:rPr>
          <w:szCs w:val="20"/>
          <w:lang w:eastAsia="en-US"/>
        </w:rPr>
        <w:t>;</w:t>
      </w:r>
      <w:r w:rsidRPr="00A3095D">
        <w:rPr>
          <w:szCs w:val="20"/>
          <w:lang w:eastAsia="en-US"/>
        </w:rPr>
        <w:t xml:space="preserve"> and California State University</w:t>
      </w:r>
      <w:r w:rsidR="00DA26CA">
        <w:rPr>
          <w:szCs w:val="20"/>
          <w:lang w:eastAsia="en-US"/>
        </w:rPr>
        <w:t>,</w:t>
      </w:r>
      <w:r w:rsidRPr="00A3095D">
        <w:rPr>
          <w:szCs w:val="20"/>
          <w:lang w:eastAsia="en-US"/>
        </w:rPr>
        <w:t xml:space="preserve"> Dominguez Hills</w:t>
      </w:r>
    </w:p>
    <w:p w:rsidRPr="00A3095D" w:rsidR="00A3095D" w:rsidP="00A3095D" w:rsidRDefault="00A3095D" w14:paraId="06050E5D" w14:textId="77777777">
      <w:pPr>
        <w:ind w:left="1260"/>
        <w:rPr>
          <w:szCs w:val="20"/>
          <w:lang w:eastAsia="en-US"/>
        </w:rPr>
      </w:pPr>
      <w:r w:rsidRPr="00A3095D">
        <w:rPr>
          <w:b/>
          <w:bCs/>
          <w:szCs w:val="20"/>
          <w:lang w:eastAsia="en-US"/>
        </w:rPr>
        <w:t>Wasteload Allocations</w:t>
      </w:r>
      <w:r w:rsidRPr="00A3095D">
        <w:rPr>
          <w:szCs w:val="20"/>
          <w:lang w:eastAsia="en-US"/>
        </w:rPr>
        <w:t>: Final wasteload allocations are assigned to stormwater dischargers, as follows.</w:t>
      </w:r>
    </w:p>
    <w:p w:rsidRPr="00A3095D" w:rsidR="00A3095D" w:rsidP="00E8254E" w:rsidRDefault="00A3095D" w14:paraId="0B04B9A4" w14:textId="77777777">
      <w:pPr>
        <w:numPr>
          <w:ilvl w:val="0"/>
          <w:numId w:val="52"/>
        </w:numPr>
        <w:tabs>
          <w:tab w:val="left" w:pos="1620"/>
        </w:tabs>
        <w:autoSpaceDE w:val="0"/>
        <w:autoSpaceDN w:val="0"/>
        <w:adjustRightInd w:val="0"/>
        <w:spacing w:after="0" w:line="240" w:lineRule="auto"/>
        <w:ind w:left="1620"/>
        <w:rPr>
          <w:rFonts w:eastAsia="Calibri" w:cs="Arial"/>
          <w:color w:val="000000"/>
          <w:lang w:eastAsia="en-US"/>
        </w:rPr>
      </w:pPr>
      <w:r w:rsidRPr="00A3095D">
        <w:rPr>
          <w:rFonts w:eastAsia="Calibri" w:cs="Arial"/>
          <w:color w:val="000000"/>
          <w:lang w:eastAsia="en-US"/>
        </w:rPr>
        <w:t>Dominguez Channel Freshwater Allocations in Wet Weather</w:t>
      </w:r>
    </w:p>
    <w:p w:rsidRPr="00A3095D" w:rsidR="00A3095D" w:rsidP="00095BCB" w:rsidRDefault="00A3095D" w14:paraId="4F52705D" w14:textId="77777777">
      <w:pPr>
        <w:tabs>
          <w:tab w:val="left" w:pos="1620"/>
          <w:tab w:val="left" w:pos="3240"/>
        </w:tabs>
        <w:ind w:left="2160" w:hanging="360"/>
        <w:rPr>
          <w:szCs w:val="20"/>
          <w:lang w:eastAsia="en-US"/>
        </w:rPr>
      </w:pPr>
      <w:r w:rsidRPr="00A3095D">
        <w:rPr>
          <w:szCs w:val="20"/>
          <w:lang w:eastAsia="en-US"/>
        </w:rPr>
        <w:t xml:space="preserve">Toxicity </w:t>
      </w:r>
      <w:r w:rsidRPr="00A3095D">
        <w:rPr>
          <w:szCs w:val="20"/>
          <w:lang w:eastAsia="en-US"/>
        </w:rPr>
        <w:tab/>
      </w:r>
      <w:r w:rsidRPr="00A3095D">
        <w:rPr>
          <w:szCs w:val="20"/>
          <w:lang w:eastAsia="en-US"/>
        </w:rPr>
        <w:t>1 Chronic Toxicity Units (TUc)</w:t>
      </w:r>
    </w:p>
    <w:p w:rsidRPr="00A3095D" w:rsidR="00A3095D" w:rsidP="00E8254E" w:rsidRDefault="00A3095D" w14:paraId="28AD8AEF" w14:textId="77777777">
      <w:pPr>
        <w:numPr>
          <w:ilvl w:val="0"/>
          <w:numId w:val="52"/>
        </w:numPr>
        <w:tabs>
          <w:tab w:val="left" w:pos="1620"/>
        </w:tabs>
        <w:autoSpaceDE w:val="0"/>
        <w:autoSpaceDN w:val="0"/>
        <w:adjustRightInd w:val="0"/>
        <w:spacing w:before="240"/>
        <w:ind w:left="1620"/>
        <w:rPr>
          <w:rFonts w:eastAsia="Calibri" w:cs="Arial"/>
          <w:color w:val="000000"/>
          <w:lang w:eastAsia="en-US"/>
        </w:rPr>
      </w:pPr>
      <w:r w:rsidRPr="00A3095D">
        <w:rPr>
          <w:rFonts w:eastAsia="Calibri" w:cs="Arial"/>
          <w:color w:val="000000"/>
          <w:lang w:eastAsia="en-US"/>
        </w:rPr>
        <w:t>Mass-based Dominguez Channel Wet Weather Final Allocations</w:t>
      </w:r>
    </w:p>
    <w:p w:rsidRPr="00A3095D" w:rsidR="00A3095D" w:rsidP="00095BCB" w:rsidRDefault="00A3095D" w14:paraId="24B7C2ED" w14:textId="115B7CA6">
      <w:pPr>
        <w:tabs>
          <w:tab w:val="left" w:pos="1620"/>
        </w:tabs>
        <w:ind w:left="1620"/>
        <w:rPr>
          <w:szCs w:val="20"/>
          <w:lang w:eastAsia="en-US"/>
        </w:rPr>
      </w:pPr>
      <w:r w:rsidRPr="00A3095D">
        <w:rPr>
          <w:szCs w:val="20"/>
          <w:lang w:eastAsia="en-US"/>
        </w:rPr>
        <w:t>Mass-based wasteload allocation is shared and divided between MS4</w:t>
      </w:r>
      <w:r w:rsidR="000E1B01">
        <w:rPr>
          <w:szCs w:val="20"/>
          <w:lang w:eastAsia="en-US"/>
        </w:rPr>
        <w:t xml:space="preserve"> Permittees </w:t>
      </w:r>
      <w:r w:rsidRPr="00A3095D">
        <w:rPr>
          <w:szCs w:val="20"/>
          <w:lang w:eastAsia="en-US"/>
        </w:rPr>
        <w:t>and Caltrans.</w:t>
      </w:r>
    </w:p>
    <w:p w:rsidRPr="00A3095D" w:rsidR="00A3095D" w:rsidP="00A3095D" w:rsidRDefault="00A3095D" w14:paraId="38BDB83E" w14:textId="77777777">
      <w:pPr>
        <w:tabs>
          <w:tab w:val="left" w:pos="3870"/>
        </w:tabs>
        <w:ind w:left="2880" w:hanging="630"/>
        <w:rPr>
          <w:szCs w:val="20"/>
          <w:lang w:eastAsia="en-US"/>
        </w:rPr>
      </w:pPr>
      <w:r w:rsidRPr="00A3095D">
        <w:rPr>
          <w:szCs w:val="20"/>
          <w:lang w:eastAsia="en-US"/>
        </w:rPr>
        <w:t>Total Copper</w:t>
      </w:r>
      <w:r w:rsidRPr="00A3095D">
        <w:rPr>
          <w:szCs w:val="20"/>
          <w:lang w:eastAsia="en-US"/>
        </w:rPr>
        <w:tab/>
      </w:r>
      <w:r w:rsidRPr="00A3095D">
        <w:rPr>
          <w:szCs w:val="20"/>
          <w:lang w:eastAsia="en-US"/>
        </w:rPr>
        <w:t>32.3 grams per day</w:t>
      </w:r>
    </w:p>
    <w:p w:rsidRPr="00A3095D" w:rsidR="00A3095D" w:rsidP="00A3095D" w:rsidRDefault="00A3095D" w14:paraId="6151FA90" w14:textId="77777777">
      <w:pPr>
        <w:tabs>
          <w:tab w:val="left" w:pos="3870"/>
        </w:tabs>
        <w:ind w:left="2880" w:hanging="630"/>
        <w:rPr>
          <w:szCs w:val="20"/>
          <w:lang w:eastAsia="en-US"/>
        </w:rPr>
      </w:pPr>
      <w:r w:rsidRPr="00A3095D">
        <w:rPr>
          <w:szCs w:val="20"/>
          <w:lang w:eastAsia="en-US"/>
        </w:rPr>
        <w:t>Total Lead</w:t>
      </w:r>
      <w:r w:rsidRPr="00A3095D">
        <w:rPr>
          <w:szCs w:val="20"/>
          <w:lang w:eastAsia="en-US"/>
        </w:rPr>
        <w:tab/>
      </w:r>
      <w:r w:rsidRPr="00A3095D">
        <w:rPr>
          <w:szCs w:val="20"/>
          <w:lang w:eastAsia="en-US"/>
        </w:rPr>
        <w:t>142.6</w:t>
      </w:r>
    </w:p>
    <w:p w:rsidRPr="00A3095D" w:rsidR="00A3095D" w:rsidP="00A3095D" w:rsidRDefault="00A3095D" w14:paraId="21065090" w14:textId="77777777">
      <w:pPr>
        <w:tabs>
          <w:tab w:val="left" w:pos="3870"/>
        </w:tabs>
        <w:ind w:left="2880" w:hanging="630"/>
        <w:rPr>
          <w:szCs w:val="20"/>
          <w:lang w:eastAsia="en-US"/>
        </w:rPr>
      </w:pPr>
      <w:r w:rsidRPr="00A3095D">
        <w:rPr>
          <w:szCs w:val="20"/>
          <w:lang w:eastAsia="en-US"/>
        </w:rPr>
        <w:t>Total Zinc</w:t>
      </w:r>
      <w:r w:rsidRPr="00A3095D">
        <w:rPr>
          <w:szCs w:val="20"/>
          <w:lang w:eastAsia="en-US"/>
        </w:rPr>
        <w:tab/>
      </w:r>
      <w:r w:rsidRPr="00A3095D">
        <w:rPr>
          <w:szCs w:val="20"/>
          <w:lang w:eastAsia="en-US"/>
        </w:rPr>
        <w:t>232.6</w:t>
      </w:r>
    </w:p>
    <w:p w:rsidRPr="00A3095D" w:rsidR="00A3095D" w:rsidP="00E8254E" w:rsidRDefault="00A3095D" w14:paraId="0A4D6D85" w14:textId="64BFFE58">
      <w:pPr>
        <w:keepNext/>
        <w:keepLines/>
        <w:numPr>
          <w:ilvl w:val="0"/>
          <w:numId w:val="52"/>
        </w:numPr>
        <w:autoSpaceDE w:val="0"/>
        <w:autoSpaceDN w:val="0"/>
        <w:adjustRightInd w:val="0"/>
        <w:spacing w:before="240"/>
        <w:ind w:left="1620"/>
        <w:rPr>
          <w:rFonts w:eastAsia="Calibri" w:cs="Arial"/>
          <w:color w:val="000000"/>
          <w:lang w:eastAsia="en-US"/>
        </w:rPr>
      </w:pPr>
      <w:r w:rsidRPr="00A3095D">
        <w:rPr>
          <w:rFonts w:eastAsia="Calibri" w:cs="Arial"/>
          <w:color w:val="000000"/>
          <w:lang w:eastAsia="en-US"/>
        </w:rPr>
        <w:t>Metals and Polyaromatic Hydrocarbon (PAH) Compounds Wasteload Allocations for Greater Harbor Waters (kilograms per year)</w:t>
      </w:r>
      <w:r w:rsidR="00B7271E">
        <w:rPr>
          <w:rFonts w:eastAsia="Calibri" w:cs="Arial"/>
          <w:color w:val="000000"/>
          <w:lang w:eastAsia="en-US"/>
        </w:rPr>
        <w:t xml:space="preserve"> </w:t>
      </w:r>
    </w:p>
    <w:tbl>
      <w:tblPr>
        <w:tblStyle w:val="TableGrid36"/>
        <w:tblW w:w="7847" w:type="dxa"/>
        <w:tblInd w:w="1525" w:type="dxa"/>
        <w:tblCellMar>
          <w:top w:w="29" w:type="dxa"/>
          <w:left w:w="58" w:type="dxa"/>
          <w:bottom w:w="29" w:type="dxa"/>
          <w:right w:w="58" w:type="dxa"/>
        </w:tblCellMar>
        <w:tblLook w:val="0620" w:firstRow="1" w:lastRow="0" w:firstColumn="0" w:lastColumn="0" w:noHBand="1" w:noVBand="1"/>
        <w:tblCaption w:val="Metals and PAH Compounds WALs for Greater Harbor Waters Table"/>
      </w:tblPr>
      <w:tblGrid>
        <w:gridCol w:w="2075"/>
        <w:gridCol w:w="1465"/>
        <w:gridCol w:w="1421"/>
        <w:gridCol w:w="1421"/>
        <w:gridCol w:w="1465"/>
      </w:tblGrid>
      <w:tr w:rsidRPr="00095BCB" w:rsidR="00A3095D" w:rsidTr="00BA05DE" w14:paraId="062867C5" w14:textId="77777777">
        <w:trPr>
          <w:cantSplit/>
          <w:trHeight w:val="568"/>
          <w:tblHeader/>
        </w:trPr>
        <w:tc>
          <w:tcPr>
            <w:tcW w:w="2075" w:type="dxa"/>
            <w:shd w:val="clear" w:color="auto" w:fill="C5E0B3"/>
            <w:vAlign w:val="center"/>
          </w:tcPr>
          <w:p w:rsidRPr="00095BCB" w:rsidR="00A3095D" w:rsidP="00224C1A" w:rsidRDefault="00A3095D" w14:paraId="576F4C8D" w14:textId="77777777">
            <w:pPr>
              <w:keepNext/>
              <w:keepLines/>
              <w:spacing w:line="240" w:lineRule="auto"/>
              <w:contextualSpacing/>
              <w:jc w:val="center"/>
              <w:rPr>
                <w:rFonts w:ascii="Arial" w:hAnsi="Arial"/>
                <w:b/>
                <w:bCs/>
                <w:spacing w:val="-1"/>
                <w:sz w:val="22"/>
                <w:szCs w:val="22"/>
                <w:lang w:eastAsia="en-US"/>
              </w:rPr>
            </w:pPr>
            <w:r w:rsidRPr="00095BCB">
              <w:rPr>
                <w:rFonts w:ascii="Arial" w:hAnsi="Arial"/>
                <w:b/>
                <w:bCs/>
                <w:spacing w:val="-1"/>
                <w:sz w:val="22"/>
                <w:szCs w:val="22"/>
                <w:lang w:eastAsia="en-US"/>
              </w:rPr>
              <w:t xml:space="preserve">Waterbodies </w:t>
            </w:r>
          </w:p>
        </w:tc>
        <w:tc>
          <w:tcPr>
            <w:tcW w:w="1465" w:type="dxa"/>
            <w:shd w:val="clear" w:color="auto" w:fill="C5E0B3"/>
            <w:vAlign w:val="center"/>
          </w:tcPr>
          <w:p w:rsidRPr="00095BCB" w:rsidR="00A3095D" w:rsidP="00224C1A" w:rsidRDefault="00A3095D" w14:paraId="63D890C4" w14:textId="77777777">
            <w:pPr>
              <w:keepNext/>
              <w:keepLines/>
              <w:spacing w:line="240" w:lineRule="auto"/>
              <w:contextualSpacing/>
              <w:jc w:val="center"/>
              <w:rPr>
                <w:rFonts w:ascii="Arial" w:hAnsi="Arial"/>
                <w:b/>
                <w:bCs/>
                <w:spacing w:val="-1"/>
                <w:sz w:val="22"/>
                <w:szCs w:val="22"/>
                <w:lang w:eastAsia="en-US"/>
              </w:rPr>
            </w:pPr>
            <w:r w:rsidRPr="00095BCB">
              <w:rPr>
                <w:rFonts w:ascii="Arial" w:hAnsi="Arial"/>
                <w:b/>
                <w:bCs/>
                <w:spacing w:val="-1"/>
                <w:sz w:val="22"/>
                <w:szCs w:val="22"/>
                <w:lang w:eastAsia="en-US"/>
              </w:rPr>
              <w:t>Total Copper TMDL</w:t>
            </w:r>
          </w:p>
        </w:tc>
        <w:tc>
          <w:tcPr>
            <w:tcW w:w="1421" w:type="dxa"/>
            <w:shd w:val="clear" w:color="auto" w:fill="C5E0B3"/>
            <w:vAlign w:val="center"/>
          </w:tcPr>
          <w:p w:rsidRPr="00095BCB" w:rsidR="00A3095D" w:rsidP="00224C1A" w:rsidRDefault="00A3095D" w14:paraId="06369D5A" w14:textId="77777777">
            <w:pPr>
              <w:keepNext/>
              <w:keepLines/>
              <w:spacing w:line="240" w:lineRule="auto"/>
              <w:contextualSpacing/>
              <w:jc w:val="center"/>
              <w:rPr>
                <w:rFonts w:ascii="Arial" w:hAnsi="Arial"/>
                <w:b/>
                <w:bCs/>
                <w:spacing w:val="-1"/>
                <w:sz w:val="22"/>
                <w:szCs w:val="22"/>
                <w:lang w:eastAsia="en-US"/>
              </w:rPr>
            </w:pPr>
            <w:r w:rsidRPr="00095BCB">
              <w:rPr>
                <w:rFonts w:ascii="Arial" w:hAnsi="Arial"/>
                <w:b/>
                <w:bCs/>
                <w:spacing w:val="-1"/>
                <w:sz w:val="22"/>
                <w:szCs w:val="22"/>
                <w:lang w:eastAsia="en-US"/>
              </w:rPr>
              <w:t>Total Lead TMDL</w:t>
            </w:r>
          </w:p>
        </w:tc>
        <w:tc>
          <w:tcPr>
            <w:tcW w:w="1421" w:type="dxa"/>
            <w:shd w:val="clear" w:color="auto" w:fill="C5E0B3"/>
            <w:vAlign w:val="center"/>
          </w:tcPr>
          <w:p w:rsidRPr="00095BCB" w:rsidR="00A3095D" w:rsidP="00224C1A" w:rsidRDefault="00A3095D" w14:paraId="783F399E" w14:textId="77777777">
            <w:pPr>
              <w:keepNext/>
              <w:keepLines/>
              <w:spacing w:line="240" w:lineRule="auto"/>
              <w:contextualSpacing/>
              <w:jc w:val="center"/>
              <w:rPr>
                <w:rFonts w:ascii="Arial" w:hAnsi="Arial"/>
                <w:b/>
                <w:bCs/>
                <w:spacing w:val="-1"/>
                <w:sz w:val="22"/>
                <w:szCs w:val="22"/>
                <w:lang w:eastAsia="en-US"/>
              </w:rPr>
            </w:pPr>
            <w:r w:rsidRPr="00095BCB">
              <w:rPr>
                <w:rFonts w:ascii="Arial" w:hAnsi="Arial"/>
                <w:b/>
                <w:bCs/>
                <w:spacing w:val="-1"/>
                <w:sz w:val="22"/>
                <w:szCs w:val="22"/>
                <w:lang w:eastAsia="en-US"/>
              </w:rPr>
              <w:t>Total Zinc TMDL</w:t>
            </w:r>
          </w:p>
        </w:tc>
        <w:tc>
          <w:tcPr>
            <w:tcW w:w="1465" w:type="dxa"/>
            <w:shd w:val="clear" w:color="auto" w:fill="C5E0B3"/>
            <w:vAlign w:val="center"/>
          </w:tcPr>
          <w:p w:rsidRPr="00095BCB" w:rsidR="00A3095D" w:rsidP="00224C1A" w:rsidRDefault="00A3095D" w14:paraId="2C925DE2" w14:textId="77777777">
            <w:pPr>
              <w:keepNext/>
              <w:keepLines/>
              <w:spacing w:line="240" w:lineRule="auto"/>
              <w:contextualSpacing/>
              <w:jc w:val="center"/>
              <w:rPr>
                <w:rFonts w:ascii="Arial" w:hAnsi="Arial"/>
                <w:b/>
                <w:bCs/>
                <w:spacing w:val="-1"/>
                <w:sz w:val="22"/>
                <w:szCs w:val="22"/>
                <w:lang w:eastAsia="en-US"/>
              </w:rPr>
            </w:pPr>
            <w:r w:rsidRPr="00095BCB">
              <w:rPr>
                <w:rFonts w:ascii="Arial" w:hAnsi="Arial"/>
                <w:b/>
                <w:bCs/>
                <w:spacing w:val="-1"/>
                <w:sz w:val="22"/>
                <w:szCs w:val="22"/>
                <w:lang w:eastAsia="en-US"/>
              </w:rPr>
              <w:t>Total PAHs TMDL</w:t>
            </w:r>
          </w:p>
        </w:tc>
      </w:tr>
      <w:tr w:rsidRPr="00095BCB" w:rsidR="00A3095D" w:rsidTr="00BA05DE" w14:paraId="2C843C09" w14:textId="77777777">
        <w:trPr>
          <w:cantSplit/>
          <w:trHeight w:val="703"/>
        </w:trPr>
        <w:tc>
          <w:tcPr>
            <w:tcW w:w="2075" w:type="dxa"/>
            <w:vAlign w:val="center"/>
          </w:tcPr>
          <w:p w:rsidRPr="00095BCB" w:rsidR="00A3095D" w:rsidP="00224C1A" w:rsidRDefault="00A3095D" w14:paraId="57219AAD" w14:textId="77777777">
            <w:pPr>
              <w:keepNext/>
              <w:keepLines/>
              <w:spacing w:line="240" w:lineRule="auto"/>
              <w:contextualSpacing/>
              <w:rPr>
                <w:rFonts w:ascii="Arial" w:hAnsi="Arial"/>
                <w:spacing w:val="-1"/>
                <w:sz w:val="22"/>
                <w:szCs w:val="22"/>
                <w:lang w:eastAsia="en-US"/>
              </w:rPr>
            </w:pPr>
            <w:r w:rsidRPr="00095BCB">
              <w:rPr>
                <w:rFonts w:ascii="Arial" w:hAnsi="Arial"/>
                <w:spacing w:val="-1"/>
                <w:sz w:val="22"/>
                <w:szCs w:val="22"/>
                <w:lang w:eastAsia="en-US"/>
              </w:rPr>
              <w:t>Dominguez Channel Estuary</w:t>
            </w:r>
          </w:p>
        </w:tc>
        <w:tc>
          <w:tcPr>
            <w:tcW w:w="1465" w:type="dxa"/>
            <w:vAlign w:val="center"/>
          </w:tcPr>
          <w:p w:rsidRPr="00095BCB" w:rsidR="00A3095D" w:rsidP="00224C1A" w:rsidRDefault="00A3095D" w14:paraId="3F37BBD6" w14:textId="77777777">
            <w:pPr>
              <w:keepNext/>
              <w:keepLines/>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22.4</w:t>
            </w:r>
          </w:p>
        </w:tc>
        <w:tc>
          <w:tcPr>
            <w:tcW w:w="1421" w:type="dxa"/>
            <w:vAlign w:val="center"/>
          </w:tcPr>
          <w:p w:rsidRPr="00095BCB" w:rsidR="00A3095D" w:rsidP="00224C1A" w:rsidRDefault="00A3095D" w14:paraId="582DC42D" w14:textId="77777777">
            <w:pPr>
              <w:keepNext/>
              <w:keepLines/>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54.2</w:t>
            </w:r>
          </w:p>
        </w:tc>
        <w:tc>
          <w:tcPr>
            <w:tcW w:w="1421" w:type="dxa"/>
            <w:vAlign w:val="center"/>
          </w:tcPr>
          <w:p w:rsidRPr="00095BCB" w:rsidR="00A3095D" w:rsidP="00224C1A" w:rsidRDefault="00A3095D" w14:paraId="6ECBDE77" w14:textId="77777777">
            <w:pPr>
              <w:keepNext/>
              <w:keepLines/>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271.8</w:t>
            </w:r>
          </w:p>
        </w:tc>
        <w:tc>
          <w:tcPr>
            <w:tcW w:w="1465" w:type="dxa"/>
            <w:vAlign w:val="center"/>
          </w:tcPr>
          <w:p w:rsidRPr="00095BCB" w:rsidR="00A3095D" w:rsidP="00224C1A" w:rsidRDefault="00A3095D" w14:paraId="1E227F8E" w14:textId="77777777">
            <w:pPr>
              <w:keepNext/>
              <w:keepLines/>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0.134</w:t>
            </w:r>
          </w:p>
        </w:tc>
      </w:tr>
      <w:tr w:rsidRPr="00095BCB" w:rsidR="00A3095D" w:rsidTr="00BA05DE" w14:paraId="0BE33598" w14:textId="77777777">
        <w:trPr>
          <w:cantSplit/>
          <w:trHeight w:val="471"/>
        </w:trPr>
        <w:tc>
          <w:tcPr>
            <w:tcW w:w="2075" w:type="dxa"/>
            <w:vAlign w:val="center"/>
          </w:tcPr>
          <w:p w:rsidRPr="00095BCB" w:rsidR="00A3095D" w:rsidP="00A3095D" w:rsidRDefault="00A3095D" w14:paraId="67FFE9C0" w14:textId="77777777">
            <w:pPr>
              <w:spacing w:line="240" w:lineRule="auto"/>
              <w:contextualSpacing/>
              <w:rPr>
                <w:rFonts w:ascii="Arial" w:hAnsi="Arial"/>
                <w:spacing w:val="-1"/>
                <w:sz w:val="22"/>
                <w:szCs w:val="22"/>
                <w:lang w:eastAsia="en-US"/>
              </w:rPr>
            </w:pPr>
            <w:r w:rsidRPr="00095BCB">
              <w:rPr>
                <w:rFonts w:ascii="Arial" w:hAnsi="Arial"/>
                <w:spacing w:val="-1"/>
                <w:sz w:val="22"/>
                <w:szCs w:val="22"/>
                <w:lang w:eastAsia="en-US"/>
              </w:rPr>
              <w:t>Consolidated Slip</w:t>
            </w:r>
          </w:p>
        </w:tc>
        <w:tc>
          <w:tcPr>
            <w:tcW w:w="1465" w:type="dxa"/>
            <w:vAlign w:val="center"/>
          </w:tcPr>
          <w:p w:rsidRPr="00095BCB" w:rsidR="00A3095D" w:rsidP="00A3095D" w:rsidRDefault="00A3095D" w14:paraId="5FB76BB3"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2.73</w:t>
            </w:r>
          </w:p>
        </w:tc>
        <w:tc>
          <w:tcPr>
            <w:tcW w:w="1421" w:type="dxa"/>
            <w:vAlign w:val="center"/>
          </w:tcPr>
          <w:p w:rsidRPr="00095BCB" w:rsidR="00A3095D" w:rsidP="00A3095D" w:rsidRDefault="00A3095D" w14:paraId="1AABA306"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3.63</w:t>
            </w:r>
          </w:p>
        </w:tc>
        <w:tc>
          <w:tcPr>
            <w:tcW w:w="1421" w:type="dxa"/>
            <w:vAlign w:val="center"/>
          </w:tcPr>
          <w:p w:rsidRPr="00095BCB" w:rsidR="00A3095D" w:rsidP="00A3095D" w:rsidRDefault="00A3095D" w14:paraId="4599CD5C"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28.7</w:t>
            </w:r>
          </w:p>
        </w:tc>
        <w:tc>
          <w:tcPr>
            <w:tcW w:w="1465" w:type="dxa"/>
            <w:vAlign w:val="center"/>
          </w:tcPr>
          <w:p w:rsidRPr="00095BCB" w:rsidR="00A3095D" w:rsidP="00A3095D" w:rsidRDefault="00A3095D" w14:paraId="38681465"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0.0058</w:t>
            </w:r>
          </w:p>
        </w:tc>
      </w:tr>
      <w:tr w:rsidRPr="00095BCB" w:rsidR="00A3095D" w:rsidTr="00BA05DE" w14:paraId="2E453EFA" w14:textId="77777777">
        <w:trPr>
          <w:cantSplit/>
          <w:trHeight w:val="240"/>
        </w:trPr>
        <w:tc>
          <w:tcPr>
            <w:tcW w:w="2075" w:type="dxa"/>
            <w:vAlign w:val="center"/>
          </w:tcPr>
          <w:p w:rsidRPr="00095BCB" w:rsidR="00A3095D" w:rsidP="00A3095D" w:rsidRDefault="00A3095D" w14:paraId="268BC5F6" w14:textId="77777777">
            <w:pPr>
              <w:spacing w:line="240" w:lineRule="auto"/>
              <w:contextualSpacing/>
              <w:rPr>
                <w:rFonts w:ascii="Arial" w:hAnsi="Arial"/>
                <w:spacing w:val="-1"/>
                <w:sz w:val="22"/>
                <w:szCs w:val="22"/>
                <w:lang w:eastAsia="en-US"/>
              </w:rPr>
            </w:pPr>
            <w:r w:rsidRPr="00095BCB">
              <w:rPr>
                <w:rFonts w:ascii="Arial" w:hAnsi="Arial"/>
                <w:spacing w:val="-1"/>
                <w:sz w:val="22"/>
                <w:szCs w:val="22"/>
                <w:lang w:eastAsia="en-US"/>
              </w:rPr>
              <w:t>Inner Harbor</w:t>
            </w:r>
          </w:p>
        </w:tc>
        <w:tc>
          <w:tcPr>
            <w:tcW w:w="1465" w:type="dxa"/>
            <w:vAlign w:val="center"/>
          </w:tcPr>
          <w:p w:rsidRPr="00095BCB" w:rsidR="00A3095D" w:rsidP="00A3095D" w:rsidRDefault="00A3095D" w14:paraId="5B363B9E" w14:textId="77777777">
            <w:pPr>
              <w:spacing w:line="240" w:lineRule="auto"/>
              <w:contextualSpacing/>
              <w:jc w:val="center"/>
              <w:rPr>
                <w:rFonts w:ascii="Arial" w:hAnsi="Arial"/>
                <w:spacing w:val="-1"/>
                <w:sz w:val="22"/>
                <w:szCs w:val="22"/>
                <w:vertAlign w:val="superscript"/>
                <w:lang w:eastAsia="en-US"/>
              </w:rPr>
            </w:pPr>
            <w:r w:rsidRPr="00095BCB">
              <w:rPr>
                <w:rFonts w:ascii="Arial" w:hAnsi="Arial"/>
                <w:spacing w:val="-1"/>
                <w:sz w:val="22"/>
                <w:szCs w:val="22"/>
                <w:lang w:eastAsia="en-US"/>
              </w:rPr>
              <w:t>1.7</w:t>
            </w:r>
          </w:p>
        </w:tc>
        <w:tc>
          <w:tcPr>
            <w:tcW w:w="1421" w:type="dxa"/>
            <w:vAlign w:val="center"/>
          </w:tcPr>
          <w:p w:rsidRPr="00095BCB" w:rsidR="00A3095D" w:rsidP="00A3095D" w:rsidRDefault="00A3095D" w14:paraId="4A9A00A7"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34.0</w:t>
            </w:r>
          </w:p>
        </w:tc>
        <w:tc>
          <w:tcPr>
            <w:tcW w:w="1421" w:type="dxa"/>
            <w:vAlign w:val="center"/>
          </w:tcPr>
          <w:p w:rsidRPr="00095BCB" w:rsidR="00A3095D" w:rsidP="00A3095D" w:rsidRDefault="00A3095D" w14:paraId="1117E1DC" w14:textId="77777777">
            <w:pPr>
              <w:spacing w:line="240" w:lineRule="auto"/>
              <w:contextualSpacing/>
              <w:jc w:val="center"/>
              <w:rPr>
                <w:rFonts w:ascii="Arial" w:hAnsi="Arial"/>
                <w:spacing w:val="-1"/>
                <w:sz w:val="22"/>
                <w:szCs w:val="22"/>
                <w:vertAlign w:val="superscript"/>
                <w:lang w:eastAsia="en-US"/>
              </w:rPr>
            </w:pPr>
            <w:r w:rsidRPr="00095BCB">
              <w:rPr>
                <w:rFonts w:ascii="Arial" w:hAnsi="Arial"/>
                <w:spacing w:val="-1"/>
                <w:sz w:val="22"/>
                <w:szCs w:val="22"/>
                <w:lang w:eastAsia="en-US"/>
              </w:rPr>
              <w:t>115.9</w:t>
            </w:r>
          </w:p>
        </w:tc>
        <w:tc>
          <w:tcPr>
            <w:tcW w:w="1465" w:type="dxa"/>
            <w:vAlign w:val="center"/>
          </w:tcPr>
          <w:p w:rsidRPr="00095BCB" w:rsidR="00A3095D" w:rsidP="00A3095D" w:rsidRDefault="00A3095D" w14:paraId="5C406A92" w14:textId="77777777">
            <w:pPr>
              <w:spacing w:line="240" w:lineRule="auto"/>
              <w:contextualSpacing/>
              <w:jc w:val="center"/>
              <w:rPr>
                <w:rFonts w:ascii="Arial" w:hAnsi="Arial"/>
                <w:spacing w:val="-1"/>
                <w:sz w:val="22"/>
                <w:szCs w:val="22"/>
                <w:vertAlign w:val="superscript"/>
                <w:lang w:eastAsia="en-US"/>
              </w:rPr>
            </w:pPr>
            <w:r w:rsidRPr="00095BCB">
              <w:rPr>
                <w:rFonts w:ascii="Arial" w:hAnsi="Arial"/>
                <w:spacing w:val="-1"/>
                <w:sz w:val="22"/>
                <w:szCs w:val="22"/>
                <w:lang w:eastAsia="en-US"/>
              </w:rPr>
              <w:t>0.088</w:t>
            </w:r>
          </w:p>
        </w:tc>
      </w:tr>
      <w:tr w:rsidRPr="00095BCB" w:rsidR="00A3095D" w:rsidTr="00BA05DE" w14:paraId="5539AE6A" w14:textId="77777777">
        <w:trPr>
          <w:cantSplit/>
          <w:trHeight w:val="228"/>
        </w:trPr>
        <w:tc>
          <w:tcPr>
            <w:tcW w:w="2075" w:type="dxa"/>
            <w:vAlign w:val="center"/>
          </w:tcPr>
          <w:p w:rsidRPr="00095BCB" w:rsidR="00A3095D" w:rsidP="00A3095D" w:rsidRDefault="00A3095D" w14:paraId="318DD1CA" w14:textId="77777777">
            <w:pPr>
              <w:spacing w:line="240" w:lineRule="auto"/>
              <w:contextualSpacing/>
              <w:rPr>
                <w:rFonts w:ascii="Arial" w:hAnsi="Arial"/>
                <w:spacing w:val="-1"/>
                <w:sz w:val="22"/>
                <w:szCs w:val="22"/>
                <w:lang w:eastAsia="en-US"/>
              </w:rPr>
            </w:pPr>
            <w:r w:rsidRPr="00095BCB">
              <w:rPr>
                <w:rFonts w:ascii="Arial" w:hAnsi="Arial"/>
                <w:spacing w:val="-1"/>
                <w:sz w:val="22"/>
                <w:szCs w:val="22"/>
                <w:lang w:eastAsia="en-US"/>
              </w:rPr>
              <w:t>Outer Harbor</w:t>
            </w:r>
          </w:p>
        </w:tc>
        <w:tc>
          <w:tcPr>
            <w:tcW w:w="1465" w:type="dxa"/>
            <w:vAlign w:val="center"/>
          </w:tcPr>
          <w:p w:rsidRPr="00095BCB" w:rsidR="00A3095D" w:rsidP="00A3095D" w:rsidRDefault="00A3095D" w14:paraId="28B60B79"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0.91</w:t>
            </w:r>
          </w:p>
        </w:tc>
        <w:tc>
          <w:tcPr>
            <w:tcW w:w="1421" w:type="dxa"/>
            <w:vAlign w:val="center"/>
          </w:tcPr>
          <w:p w:rsidRPr="00095BCB" w:rsidR="00A3095D" w:rsidP="00A3095D" w:rsidRDefault="00A3095D" w14:paraId="6AE2F9AB"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26.1</w:t>
            </w:r>
          </w:p>
        </w:tc>
        <w:tc>
          <w:tcPr>
            <w:tcW w:w="1421" w:type="dxa"/>
            <w:vAlign w:val="center"/>
          </w:tcPr>
          <w:p w:rsidRPr="00095BCB" w:rsidR="00A3095D" w:rsidP="00A3095D" w:rsidRDefault="00A3095D" w14:paraId="209117B9"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81.5</w:t>
            </w:r>
          </w:p>
        </w:tc>
        <w:tc>
          <w:tcPr>
            <w:tcW w:w="1465" w:type="dxa"/>
            <w:vAlign w:val="center"/>
          </w:tcPr>
          <w:p w:rsidRPr="00095BCB" w:rsidR="00A3095D" w:rsidP="00A3095D" w:rsidRDefault="00A3095D" w14:paraId="7947DEC2"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0.105</w:t>
            </w:r>
          </w:p>
        </w:tc>
      </w:tr>
      <w:tr w:rsidRPr="00095BCB" w:rsidR="00A3095D" w:rsidTr="00BA05DE" w14:paraId="319B21E4" w14:textId="77777777">
        <w:trPr>
          <w:cantSplit/>
          <w:trHeight w:val="240"/>
        </w:trPr>
        <w:tc>
          <w:tcPr>
            <w:tcW w:w="2075" w:type="dxa"/>
            <w:vAlign w:val="center"/>
          </w:tcPr>
          <w:p w:rsidRPr="00095BCB" w:rsidR="00A3095D" w:rsidP="00A3095D" w:rsidRDefault="00A3095D" w14:paraId="20E4EEC1" w14:textId="77777777">
            <w:pPr>
              <w:spacing w:line="240" w:lineRule="auto"/>
              <w:contextualSpacing/>
              <w:rPr>
                <w:rFonts w:ascii="Arial" w:hAnsi="Arial"/>
                <w:spacing w:val="-1"/>
                <w:sz w:val="22"/>
                <w:szCs w:val="22"/>
                <w:lang w:eastAsia="en-US"/>
              </w:rPr>
            </w:pPr>
            <w:r w:rsidRPr="00095BCB">
              <w:rPr>
                <w:rFonts w:ascii="Arial" w:hAnsi="Arial"/>
                <w:spacing w:val="-1"/>
                <w:sz w:val="22"/>
                <w:szCs w:val="22"/>
                <w:lang w:eastAsia="en-US"/>
              </w:rPr>
              <w:t>Fish Harbor</w:t>
            </w:r>
          </w:p>
        </w:tc>
        <w:tc>
          <w:tcPr>
            <w:tcW w:w="1465" w:type="dxa"/>
            <w:vAlign w:val="center"/>
          </w:tcPr>
          <w:p w:rsidRPr="00095BCB" w:rsidR="00A3095D" w:rsidP="00A3095D" w:rsidRDefault="00A3095D" w14:paraId="09A81837"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0.00017</w:t>
            </w:r>
          </w:p>
        </w:tc>
        <w:tc>
          <w:tcPr>
            <w:tcW w:w="1421" w:type="dxa"/>
            <w:vAlign w:val="center"/>
          </w:tcPr>
          <w:p w:rsidRPr="00095BCB" w:rsidR="00A3095D" w:rsidP="00A3095D" w:rsidRDefault="00A3095D" w14:paraId="10B5AF01"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0.54</w:t>
            </w:r>
          </w:p>
        </w:tc>
        <w:tc>
          <w:tcPr>
            <w:tcW w:w="1421" w:type="dxa"/>
            <w:vAlign w:val="center"/>
          </w:tcPr>
          <w:p w:rsidRPr="00095BCB" w:rsidR="00A3095D" w:rsidP="00A3095D" w:rsidRDefault="00A3095D" w14:paraId="2507759C"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1.62</w:t>
            </w:r>
          </w:p>
        </w:tc>
        <w:tc>
          <w:tcPr>
            <w:tcW w:w="1465" w:type="dxa"/>
            <w:vAlign w:val="center"/>
          </w:tcPr>
          <w:p w:rsidRPr="00095BCB" w:rsidR="00A3095D" w:rsidP="00A3095D" w:rsidRDefault="00A3095D" w14:paraId="2A3796A6"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0.007</w:t>
            </w:r>
          </w:p>
        </w:tc>
      </w:tr>
      <w:tr w:rsidRPr="00095BCB" w:rsidR="00A3095D" w:rsidTr="00BA05DE" w14:paraId="7DBFA60E" w14:textId="77777777">
        <w:trPr>
          <w:cantSplit/>
          <w:trHeight w:val="228"/>
        </w:trPr>
        <w:tc>
          <w:tcPr>
            <w:tcW w:w="2075" w:type="dxa"/>
            <w:vAlign w:val="center"/>
          </w:tcPr>
          <w:p w:rsidRPr="00095BCB" w:rsidR="00A3095D" w:rsidP="00A3095D" w:rsidRDefault="00A3095D" w14:paraId="276FFB86" w14:textId="77777777">
            <w:pPr>
              <w:spacing w:line="240" w:lineRule="auto"/>
              <w:contextualSpacing/>
              <w:rPr>
                <w:rFonts w:ascii="Arial" w:hAnsi="Arial"/>
                <w:spacing w:val="-1"/>
                <w:sz w:val="22"/>
                <w:szCs w:val="22"/>
                <w:lang w:eastAsia="en-US"/>
              </w:rPr>
            </w:pPr>
            <w:r w:rsidRPr="00095BCB">
              <w:rPr>
                <w:rFonts w:ascii="Arial" w:hAnsi="Arial"/>
                <w:spacing w:val="-1"/>
                <w:sz w:val="22"/>
                <w:szCs w:val="22"/>
                <w:lang w:eastAsia="en-US"/>
              </w:rPr>
              <w:t>Cabrillo Marina</w:t>
            </w:r>
          </w:p>
        </w:tc>
        <w:tc>
          <w:tcPr>
            <w:tcW w:w="1465" w:type="dxa"/>
            <w:vAlign w:val="center"/>
          </w:tcPr>
          <w:p w:rsidRPr="00095BCB" w:rsidR="00A3095D" w:rsidP="00A3095D" w:rsidRDefault="00A3095D" w14:paraId="0E111967"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0.0196</w:t>
            </w:r>
          </w:p>
        </w:tc>
        <w:tc>
          <w:tcPr>
            <w:tcW w:w="1421" w:type="dxa"/>
            <w:vAlign w:val="center"/>
          </w:tcPr>
          <w:p w:rsidRPr="00095BCB" w:rsidR="00A3095D" w:rsidP="00A3095D" w:rsidRDefault="00A3095D" w14:paraId="4108301A"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0.289</w:t>
            </w:r>
          </w:p>
        </w:tc>
        <w:tc>
          <w:tcPr>
            <w:tcW w:w="1421" w:type="dxa"/>
            <w:vAlign w:val="center"/>
          </w:tcPr>
          <w:p w:rsidRPr="00095BCB" w:rsidR="00A3095D" w:rsidP="00A3095D" w:rsidRDefault="00A3095D" w14:paraId="722A2B4F"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0.74</w:t>
            </w:r>
          </w:p>
        </w:tc>
        <w:tc>
          <w:tcPr>
            <w:tcW w:w="1465" w:type="dxa"/>
            <w:vAlign w:val="center"/>
          </w:tcPr>
          <w:p w:rsidRPr="00095BCB" w:rsidR="00A3095D" w:rsidP="00A3095D" w:rsidRDefault="00A3095D" w14:paraId="56CC7C0B"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0.00016</w:t>
            </w:r>
          </w:p>
        </w:tc>
      </w:tr>
      <w:tr w:rsidRPr="00095BCB" w:rsidR="00A3095D" w:rsidTr="00BA05DE" w14:paraId="09B24635" w14:textId="77777777">
        <w:trPr>
          <w:cantSplit/>
          <w:trHeight w:val="240"/>
        </w:trPr>
        <w:tc>
          <w:tcPr>
            <w:tcW w:w="2075" w:type="dxa"/>
            <w:vAlign w:val="center"/>
          </w:tcPr>
          <w:p w:rsidRPr="00095BCB" w:rsidR="00A3095D" w:rsidP="00A3095D" w:rsidRDefault="00A3095D" w14:paraId="3C527527" w14:textId="77777777">
            <w:pPr>
              <w:spacing w:line="240" w:lineRule="auto"/>
              <w:contextualSpacing/>
              <w:rPr>
                <w:rFonts w:ascii="Arial" w:hAnsi="Arial"/>
                <w:spacing w:val="-1"/>
                <w:sz w:val="22"/>
                <w:szCs w:val="22"/>
                <w:lang w:eastAsia="en-US"/>
              </w:rPr>
            </w:pPr>
            <w:r w:rsidRPr="00095BCB">
              <w:rPr>
                <w:rFonts w:ascii="Arial" w:hAnsi="Arial"/>
                <w:spacing w:val="-1"/>
                <w:sz w:val="22"/>
                <w:szCs w:val="22"/>
                <w:lang w:eastAsia="en-US"/>
              </w:rPr>
              <w:t>San Pedro Bay</w:t>
            </w:r>
          </w:p>
        </w:tc>
        <w:tc>
          <w:tcPr>
            <w:tcW w:w="1465" w:type="dxa"/>
            <w:vAlign w:val="center"/>
          </w:tcPr>
          <w:p w:rsidRPr="00095BCB" w:rsidR="00A3095D" w:rsidP="00A3095D" w:rsidRDefault="00A3095D" w14:paraId="42651BA1"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20.3</w:t>
            </w:r>
          </w:p>
        </w:tc>
        <w:tc>
          <w:tcPr>
            <w:tcW w:w="1421" w:type="dxa"/>
            <w:vAlign w:val="center"/>
          </w:tcPr>
          <w:p w:rsidRPr="00095BCB" w:rsidR="00A3095D" w:rsidP="00A3095D" w:rsidRDefault="00A3095D" w14:paraId="3BE1CDC0"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54.7</w:t>
            </w:r>
          </w:p>
        </w:tc>
        <w:tc>
          <w:tcPr>
            <w:tcW w:w="1421" w:type="dxa"/>
            <w:vAlign w:val="center"/>
          </w:tcPr>
          <w:p w:rsidRPr="00095BCB" w:rsidR="00A3095D" w:rsidP="00A3095D" w:rsidRDefault="00A3095D" w14:paraId="609F058E"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213.1</w:t>
            </w:r>
          </w:p>
        </w:tc>
        <w:tc>
          <w:tcPr>
            <w:tcW w:w="1465" w:type="dxa"/>
            <w:vAlign w:val="center"/>
          </w:tcPr>
          <w:p w:rsidRPr="00095BCB" w:rsidR="00A3095D" w:rsidP="00A3095D" w:rsidRDefault="00A3095D" w14:paraId="4FA50B60"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1.76</w:t>
            </w:r>
          </w:p>
        </w:tc>
      </w:tr>
      <w:tr w:rsidRPr="00095BCB" w:rsidR="00A3095D" w:rsidTr="00BA05DE" w14:paraId="182BA2BE" w14:textId="77777777">
        <w:trPr>
          <w:cantSplit/>
          <w:trHeight w:val="471"/>
        </w:trPr>
        <w:tc>
          <w:tcPr>
            <w:tcW w:w="2075" w:type="dxa"/>
            <w:vAlign w:val="center"/>
          </w:tcPr>
          <w:p w:rsidRPr="00095BCB" w:rsidR="00A3095D" w:rsidP="00A3095D" w:rsidRDefault="00A3095D" w14:paraId="173C1B0D" w14:textId="77777777">
            <w:pPr>
              <w:spacing w:line="240" w:lineRule="auto"/>
              <w:contextualSpacing/>
              <w:rPr>
                <w:rFonts w:ascii="Arial" w:hAnsi="Arial"/>
                <w:spacing w:val="-1"/>
                <w:sz w:val="22"/>
                <w:szCs w:val="22"/>
                <w:lang w:eastAsia="en-US"/>
              </w:rPr>
            </w:pPr>
            <w:r w:rsidRPr="00095BCB">
              <w:rPr>
                <w:rFonts w:ascii="Arial" w:hAnsi="Arial"/>
                <w:spacing w:val="-1"/>
                <w:sz w:val="22"/>
                <w:szCs w:val="22"/>
                <w:lang w:eastAsia="en-US"/>
              </w:rPr>
              <w:t>Los Angeles River Estuary</w:t>
            </w:r>
          </w:p>
        </w:tc>
        <w:tc>
          <w:tcPr>
            <w:tcW w:w="1465" w:type="dxa"/>
            <w:vAlign w:val="center"/>
          </w:tcPr>
          <w:p w:rsidRPr="00095BCB" w:rsidR="00A3095D" w:rsidP="00A3095D" w:rsidRDefault="00A3095D" w14:paraId="77E6733F"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35.3</w:t>
            </w:r>
          </w:p>
        </w:tc>
        <w:tc>
          <w:tcPr>
            <w:tcW w:w="1421" w:type="dxa"/>
            <w:vAlign w:val="center"/>
          </w:tcPr>
          <w:p w:rsidRPr="00095BCB" w:rsidR="00A3095D" w:rsidP="00A3095D" w:rsidRDefault="00A3095D" w14:paraId="5EE03A8F"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65.7</w:t>
            </w:r>
          </w:p>
        </w:tc>
        <w:tc>
          <w:tcPr>
            <w:tcW w:w="1421" w:type="dxa"/>
            <w:vAlign w:val="center"/>
          </w:tcPr>
          <w:p w:rsidRPr="00095BCB" w:rsidR="00A3095D" w:rsidP="00A3095D" w:rsidRDefault="00A3095D" w14:paraId="5B3377C2"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242.0</w:t>
            </w:r>
          </w:p>
        </w:tc>
        <w:tc>
          <w:tcPr>
            <w:tcW w:w="1465" w:type="dxa"/>
            <w:vAlign w:val="center"/>
          </w:tcPr>
          <w:p w:rsidRPr="00095BCB" w:rsidR="00A3095D" w:rsidP="00A3095D" w:rsidRDefault="00A3095D" w14:paraId="60863853" w14:textId="77777777">
            <w:pPr>
              <w:spacing w:line="240" w:lineRule="auto"/>
              <w:contextualSpacing/>
              <w:jc w:val="center"/>
              <w:rPr>
                <w:rFonts w:ascii="Arial" w:hAnsi="Arial"/>
                <w:spacing w:val="-1"/>
                <w:sz w:val="22"/>
                <w:szCs w:val="22"/>
                <w:lang w:eastAsia="en-US"/>
              </w:rPr>
            </w:pPr>
            <w:r w:rsidRPr="00095BCB">
              <w:rPr>
                <w:rFonts w:ascii="Arial" w:hAnsi="Arial"/>
                <w:spacing w:val="-1"/>
                <w:sz w:val="22"/>
                <w:szCs w:val="22"/>
                <w:lang w:eastAsia="en-US"/>
              </w:rPr>
              <w:t>2.31</w:t>
            </w:r>
          </w:p>
        </w:tc>
      </w:tr>
    </w:tbl>
    <w:p w:rsidRPr="00A3095D" w:rsidR="00A3095D" w:rsidP="00E8254E" w:rsidRDefault="00A3095D" w14:paraId="5D0F1DA7" w14:textId="77777777">
      <w:pPr>
        <w:numPr>
          <w:ilvl w:val="0"/>
          <w:numId w:val="52"/>
        </w:numPr>
        <w:autoSpaceDE w:val="0"/>
        <w:autoSpaceDN w:val="0"/>
        <w:adjustRightInd w:val="0"/>
        <w:spacing w:before="240" w:line="240" w:lineRule="auto"/>
        <w:ind w:left="1627"/>
        <w:rPr>
          <w:rFonts w:eastAsia="Calibri" w:cs="Arial"/>
          <w:color w:val="000000"/>
          <w:lang w:eastAsia="en-US"/>
        </w:rPr>
      </w:pPr>
      <w:r w:rsidRPr="00A3095D">
        <w:rPr>
          <w:rFonts w:eastAsia="Calibri" w:cs="Arial"/>
          <w:color w:val="000000"/>
          <w:lang w:eastAsia="en-US"/>
        </w:rPr>
        <w:t>Sediment Wasteload Allocations for Dominguez Channel Estuary, Consolidated Slip and Fish Harbor (milligrams per kilogram dry sediment):</w:t>
      </w:r>
    </w:p>
    <w:p w:rsidRPr="00A3095D" w:rsidR="00A3095D" w:rsidP="003C6A8D" w:rsidRDefault="00A3095D" w14:paraId="27F16636" w14:textId="77777777">
      <w:pPr>
        <w:tabs>
          <w:tab w:val="left" w:pos="3870"/>
        </w:tabs>
        <w:ind w:left="2880" w:hanging="630"/>
        <w:rPr>
          <w:szCs w:val="20"/>
          <w:lang w:eastAsia="en-US"/>
        </w:rPr>
      </w:pPr>
      <w:r w:rsidRPr="00A3095D">
        <w:rPr>
          <w:szCs w:val="20"/>
          <w:lang w:eastAsia="en-US"/>
        </w:rPr>
        <w:t>Cadmium: 1.2 milligrams per kilogram dry sediment</w:t>
      </w:r>
    </w:p>
    <w:p w:rsidRPr="00A3095D" w:rsidR="00A3095D" w:rsidP="003C6A8D" w:rsidRDefault="00A3095D" w14:paraId="72EAF796" w14:textId="77777777">
      <w:pPr>
        <w:tabs>
          <w:tab w:val="left" w:pos="3870"/>
        </w:tabs>
        <w:ind w:left="2880" w:hanging="630"/>
        <w:rPr>
          <w:szCs w:val="20"/>
          <w:lang w:eastAsia="en-US"/>
        </w:rPr>
      </w:pPr>
      <w:r w:rsidRPr="00A3095D">
        <w:rPr>
          <w:szCs w:val="20"/>
          <w:lang w:eastAsia="en-US"/>
        </w:rPr>
        <w:t>Chromium: 81</w:t>
      </w:r>
    </w:p>
    <w:p w:rsidRPr="00A3095D" w:rsidR="00A3095D" w:rsidP="003C6A8D" w:rsidRDefault="00A3095D" w14:paraId="3B292AC1" w14:textId="77777777">
      <w:pPr>
        <w:tabs>
          <w:tab w:val="left" w:pos="3870"/>
        </w:tabs>
        <w:ind w:left="2880" w:hanging="630"/>
        <w:rPr>
          <w:szCs w:val="20"/>
          <w:lang w:eastAsia="en-US"/>
        </w:rPr>
      </w:pPr>
      <w:r w:rsidRPr="00A3095D">
        <w:rPr>
          <w:szCs w:val="20"/>
          <w:lang w:eastAsia="en-US"/>
        </w:rPr>
        <w:t>Mercury: 0.15</w:t>
      </w:r>
    </w:p>
    <w:p w:rsidRPr="00A3095D" w:rsidR="00A3095D" w:rsidP="00E8254E" w:rsidRDefault="00A3095D" w14:paraId="355A124B" w14:textId="77777777">
      <w:pPr>
        <w:numPr>
          <w:ilvl w:val="0"/>
          <w:numId w:val="52"/>
        </w:numPr>
        <w:autoSpaceDE w:val="0"/>
        <w:autoSpaceDN w:val="0"/>
        <w:adjustRightInd w:val="0"/>
        <w:spacing w:before="240"/>
        <w:ind w:left="1627"/>
        <w:rPr>
          <w:rFonts w:eastAsia="Calibri" w:cs="Arial"/>
          <w:color w:val="000000"/>
          <w:lang w:eastAsia="en-US"/>
        </w:rPr>
      </w:pPr>
      <w:r w:rsidRPr="00A3095D">
        <w:rPr>
          <w:rFonts w:eastAsia="Calibri" w:cs="Arial"/>
          <w:color w:val="000000"/>
          <w:lang w:eastAsia="en-US"/>
        </w:rPr>
        <w:t>Mass-Based Allocations for Total DDT and Total PCBs (grams per year)</w:t>
      </w:r>
    </w:p>
    <w:tbl>
      <w:tblPr>
        <w:tblStyle w:val="TableGrid36"/>
        <w:tblW w:w="0" w:type="auto"/>
        <w:tblInd w:w="1615" w:type="dxa"/>
        <w:tblCellMar>
          <w:top w:w="29" w:type="dxa"/>
          <w:left w:w="58" w:type="dxa"/>
          <w:bottom w:w="29" w:type="dxa"/>
          <w:right w:w="58" w:type="dxa"/>
        </w:tblCellMar>
        <w:tblLook w:val="0620" w:firstRow="1" w:lastRow="0" w:firstColumn="0" w:lastColumn="0" w:noHBand="1" w:noVBand="1"/>
        <w:tblCaption w:val="Bioaccumulative Compounds Wasteload Allocations Table"/>
      </w:tblPr>
      <w:tblGrid>
        <w:gridCol w:w="3502"/>
        <w:gridCol w:w="2016"/>
        <w:gridCol w:w="2016"/>
      </w:tblGrid>
      <w:tr w:rsidRPr="00E93A1E" w:rsidR="00A3095D" w:rsidTr="00CF69C4" w14:paraId="533C11D2" w14:textId="77777777">
        <w:trPr>
          <w:cantSplit/>
          <w:tblHeader/>
        </w:trPr>
        <w:tc>
          <w:tcPr>
            <w:tcW w:w="3502" w:type="dxa"/>
            <w:shd w:val="clear" w:color="auto" w:fill="C5E0B3"/>
            <w:vAlign w:val="center"/>
          </w:tcPr>
          <w:p w:rsidRPr="00E93A1E" w:rsidR="00A3095D" w:rsidP="00BA05DE" w:rsidRDefault="00A3095D" w14:paraId="5B7C9B77" w14:textId="77777777">
            <w:pPr>
              <w:spacing w:before="40" w:after="40" w:line="240" w:lineRule="auto"/>
              <w:jc w:val="center"/>
              <w:rPr>
                <w:rFonts w:ascii="Arial" w:hAnsi="Arial"/>
                <w:b/>
                <w:bCs/>
                <w:spacing w:val="-1"/>
                <w:sz w:val="22"/>
                <w:szCs w:val="22"/>
                <w:lang w:eastAsia="en-US"/>
              </w:rPr>
            </w:pPr>
            <w:r w:rsidRPr="00E93A1E">
              <w:rPr>
                <w:rFonts w:ascii="Arial" w:hAnsi="Arial"/>
                <w:b/>
                <w:bCs/>
                <w:spacing w:val="-1"/>
                <w:sz w:val="22"/>
                <w:szCs w:val="22"/>
                <w:lang w:eastAsia="en-US"/>
              </w:rPr>
              <w:t>Waterbodies</w:t>
            </w:r>
          </w:p>
        </w:tc>
        <w:tc>
          <w:tcPr>
            <w:tcW w:w="2016" w:type="dxa"/>
            <w:shd w:val="clear" w:color="auto" w:fill="C5E0B3"/>
            <w:vAlign w:val="center"/>
          </w:tcPr>
          <w:p w:rsidRPr="00E93A1E" w:rsidR="00A3095D" w:rsidP="00BA05DE" w:rsidRDefault="00A3095D" w14:paraId="5665045D" w14:textId="77777777">
            <w:pPr>
              <w:spacing w:before="40" w:after="40" w:line="240" w:lineRule="auto"/>
              <w:jc w:val="center"/>
              <w:rPr>
                <w:rFonts w:ascii="Arial" w:hAnsi="Arial"/>
                <w:b/>
                <w:bCs/>
                <w:spacing w:val="-1"/>
                <w:sz w:val="22"/>
                <w:szCs w:val="22"/>
                <w:lang w:eastAsia="en-US"/>
              </w:rPr>
            </w:pPr>
            <w:r w:rsidRPr="00E93A1E">
              <w:rPr>
                <w:rFonts w:ascii="Arial" w:hAnsi="Arial"/>
                <w:b/>
                <w:bCs/>
                <w:spacing w:val="-1"/>
                <w:sz w:val="22"/>
                <w:szCs w:val="22"/>
                <w:lang w:eastAsia="en-US"/>
              </w:rPr>
              <w:t xml:space="preserve">Total DDT </w:t>
            </w:r>
          </w:p>
        </w:tc>
        <w:tc>
          <w:tcPr>
            <w:tcW w:w="2016" w:type="dxa"/>
            <w:shd w:val="clear" w:color="auto" w:fill="C5E0B3"/>
            <w:vAlign w:val="center"/>
          </w:tcPr>
          <w:p w:rsidRPr="00E93A1E" w:rsidR="00A3095D" w:rsidP="00BA05DE" w:rsidRDefault="00A3095D" w14:paraId="7C653F58" w14:textId="77777777">
            <w:pPr>
              <w:spacing w:before="40" w:after="40" w:line="240" w:lineRule="auto"/>
              <w:jc w:val="center"/>
              <w:rPr>
                <w:rFonts w:ascii="Arial" w:hAnsi="Arial"/>
                <w:b/>
                <w:bCs/>
                <w:spacing w:val="-1"/>
                <w:sz w:val="22"/>
                <w:szCs w:val="22"/>
                <w:lang w:eastAsia="en-US"/>
              </w:rPr>
            </w:pPr>
            <w:r w:rsidRPr="00E93A1E">
              <w:rPr>
                <w:rFonts w:ascii="Arial" w:hAnsi="Arial"/>
                <w:b/>
                <w:bCs/>
                <w:spacing w:val="-1"/>
                <w:sz w:val="22"/>
                <w:szCs w:val="22"/>
                <w:lang w:eastAsia="en-US"/>
              </w:rPr>
              <w:t xml:space="preserve">Total PCBs </w:t>
            </w:r>
          </w:p>
        </w:tc>
      </w:tr>
      <w:tr w:rsidRPr="00E93A1E" w:rsidR="00A3095D" w:rsidTr="00CF69C4" w14:paraId="6793D541" w14:textId="77777777">
        <w:trPr>
          <w:cantSplit/>
        </w:trPr>
        <w:tc>
          <w:tcPr>
            <w:tcW w:w="3502" w:type="dxa"/>
            <w:vAlign w:val="center"/>
          </w:tcPr>
          <w:p w:rsidRPr="00E93A1E" w:rsidR="00A3095D" w:rsidP="00BA05DE" w:rsidRDefault="00A3095D" w14:paraId="4284930F"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Dominguez Channel Estuary</w:t>
            </w:r>
          </w:p>
        </w:tc>
        <w:tc>
          <w:tcPr>
            <w:tcW w:w="2016" w:type="dxa"/>
            <w:vAlign w:val="center"/>
          </w:tcPr>
          <w:p w:rsidRPr="00E93A1E" w:rsidR="00A3095D" w:rsidP="00BA05DE" w:rsidRDefault="00A3095D" w14:paraId="730A8442"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0.250</w:t>
            </w:r>
          </w:p>
        </w:tc>
        <w:tc>
          <w:tcPr>
            <w:tcW w:w="2016" w:type="dxa"/>
            <w:vAlign w:val="center"/>
          </w:tcPr>
          <w:p w:rsidRPr="00E93A1E" w:rsidR="00A3095D" w:rsidP="00BA05DE" w:rsidRDefault="00A3095D" w14:paraId="7580C1B3"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0.207</w:t>
            </w:r>
          </w:p>
        </w:tc>
      </w:tr>
      <w:tr w:rsidRPr="00E93A1E" w:rsidR="00A3095D" w:rsidTr="00CF69C4" w14:paraId="13C09F3C" w14:textId="77777777">
        <w:trPr>
          <w:cantSplit/>
        </w:trPr>
        <w:tc>
          <w:tcPr>
            <w:tcW w:w="3502" w:type="dxa"/>
            <w:vAlign w:val="center"/>
          </w:tcPr>
          <w:p w:rsidRPr="00E93A1E" w:rsidR="00A3095D" w:rsidP="00BA05DE" w:rsidRDefault="00A3095D" w14:paraId="2D6907BD"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Consolidated Slip</w:t>
            </w:r>
          </w:p>
        </w:tc>
        <w:tc>
          <w:tcPr>
            <w:tcW w:w="2016" w:type="dxa"/>
            <w:vAlign w:val="center"/>
          </w:tcPr>
          <w:p w:rsidRPr="00E93A1E" w:rsidR="00A3095D" w:rsidP="00BA05DE" w:rsidRDefault="00A3095D" w14:paraId="315AB16E"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0.009</w:t>
            </w:r>
          </w:p>
        </w:tc>
        <w:tc>
          <w:tcPr>
            <w:tcW w:w="2016" w:type="dxa"/>
            <w:vAlign w:val="center"/>
          </w:tcPr>
          <w:p w:rsidRPr="00E93A1E" w:rsidR="00A3095D" w:rsidP="00BA05DE" w:rsidRDefault="00A3095D" w14:paraId="7F55A5A5"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0.004</w:t>
            </w:r>
          </w:p>
        </w:tc>
      </w:tr>
      <w:tr w:rsidRPr="00E93A1E" w:rsidR="00A3095D" w:rsidTr="00CF69C4" w14:paraId="16B6273D" w14:textId="77777777">
        <w:trPr>
          <w:cantSplit/>
        </w:trPr>
        <w:tc>
          <w:tcPr>
            <w:tcW w:w="3502" w:type="dxa"/>
            <w:vAlign w:val="center"/>
          </w:tcPr>
          <w:p w:rsidRPr="00E93A1E" w:rsidR="00A3095D" w:rsidP="00BA05DE" w:rsidRDefault="00A3095D" w14:paraId="5FA970AD"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Inner Harbor</w:t>
            </w:r>
          </w:p>
        </w:tc>
        <w:tc>
          <w:tcPr>
            <w:tcW w:w="2016" w:type="dxa"/>
            <w:vAlign w:val="center"/>
          </w:tcPr>
          <w:p w:rsidRPr="00E93A1E" w:rsidR="00A3095D" w:rsidP="00BA05DE" w:rsidRDefault="00A3095D" w14:paraId="02547950"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0.051</w:t>
            </w:r>
          </w:p>
        </w:tc>
        <w:tc>
          <w:tcPr>
            <w:tcW w:w="2016" w:type="dxa"/>
            <w:vAlign w:val="center"/>
          </w:tcPr>
          <w:p w:rsidRPr="00E93A1E" w:rsidR="00A3095D" w:rsidP="00BA05DE" w:rsidRDefault="00A3095D" w14:paraId="7DBEAB14"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0.059</w:t>
            </w:r>
          </w:p>
        </w:tc>
      </w:tr>
      <w:tr w:rsidRPr="00E93A1E" w:rsidR="00A3095D" w:rsidTr="00CF69C4" w14:paraId="3B98634B" w14:textId="77777777">
        <w:trPr>
          <w:cantSplit/>
        </w:trPr>
        <w:tc>
          <w:tcPr>
            <w:tcW w:w="3502" w:type="dxa"/>
            <w:vAlign w:val="center"/>
          </w:tcPr>
          <w:p w:rsidRPr="00E93A1E" w:rsidR="00A3095D" w:rsidP="00BA05DE" w:rsidRDefault="00A3095D" w14:paraId="650C1B36"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Outer Harbor</w:t>
            </w:r>
          </w:p>
        </w:tc>
        <w:tc>
          <w:tcPr>
            <w:tcW w:w="2016" w:type="dxa"/>
            <w:vAlign w:val="center"/>
          </w:tcPr>
          <w:p w:rsidRPr="00E93A1E" w:rsidR="00A3095D" w:rsidP="00BA05DE" w:rsidRDefault="00A3095D" w14:paraId="1C7CCE78"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0.005</w:t>
            </w:r>
          </w:p>
        </w:tc>
        <w:tc>
          <w:tcPr>
            <w:tcW w:w="2016" w:type="dxa"/>
            <w:vAlign w:val="center"/>
          </w:tcPr>
          <w:p w:rsidRPr="00E93A1E" w:rsidR="00A3095D" w:rsidP="00BA05DE" w:rsidRDefault="00A3095D" w14:paraId="7B09A1FD"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0.020</w:t>
            </w:r>
          </w:p>
        </w:tc>
      </w:tr>
      <w:tr w:rsidRPr="00E93A1E" w:rsidR="00A3095D" w:rsidTr="00CF69C4" w14:paraId="7152408D" w14:textId="77777777">
        <w:trPr>
          <w:cantSplit/>
        </w:trPr>
        <w:tc>
          <w:tcPr>
            <w:tcW w:w="3502" w:type="dxa"/>
            <w:vAlign w:val="center"/>
          </w:tcPr>
          <w:p w:rsidRPr="00E93A1E" w:rsidR="00A3095D" w:rsidP="00BA05DE" w:rsidRDefault="00A3095D" w14:paraId="6025FBCD"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Fish Harbor</w:t>
            </w:r>
          </w:p>
        </w:tc>
        <w:tc>
          <w:tcPr>
            <w:tcW w:w="2016" w:type="dxa"/>
            <w:vAlign w:val="center"/>
          </w:tcPr>
          <w:p w:rsidRPr="00E93A1E" w:rsidR="00A3095D" w:rsidP="00BA05DE" w:rsidRDefault="00A3095D" w14:paraId="2C39D339"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0.0003</w:t>
            </w:r>
          </w:p>
        </w:tc>
        <w:tc>
          <w:tcPr>
            <w:tcW w:w="2016" w:type="dxa"/>
            <w:vAlign w:val="center"/>
          </w:tcPr>
          <w:p w:rsidRPr="00E93A1E" w:rsidR="00A3095D" w:rsidP="00BA05DE" w:rsidRDefault="00A3095D" w14:paraId="4168ECD3"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0.0019</w:t>
            </w:r>
          </w:p>
        </w:tc>
      </w:tr>
      <w:tr w:rsidRPr="00E93A1E" w:rsidR="00A3095D" w:rsidTr="00CF69C4" w14:paraId="6FC097CF" w14:textId="77777777">
        <w:trPr>
          <w:cantSplit/>
        </w:trPr>
        <w:tc>
          <w:tcPr>
            <w:tcW w:w="3502" w:type="dxa"/>
            <w:vAlign w:val="center"/>
          </w:tcPr>
          <w:p w:rsidRPr="00E93A1E" w:rsidR="00A3095D" w:rsidP="00BA05DE" w:rsidRDefault="00A3095D" w14:paraId="7B83629F"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Cabrillo Marina</w:t>
            </w:r>
          </w:p>
        </w:tc>
        <w:tc>
          <w:tcPr>
            <w:tcW w:w="2016" w:type="dxa"/>
            <w:vAlign w:val="center"/>
          </w:tcPr>
          <w:p w:rsidRPr="00E93A1E" w:rsidR="00A3095D" w:rsidP="00BA05DE" w:rsidRDefault="00A3095D" w14:paraId="7A6B6246"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0.000028</w:t>
            </w:r>
          </w:p>
        </w:tc>
        <w:tc>
          <w:tcPr>
            <w:tcW w:w="2016" w:type="dxa"/>
            <w:vAlign w:val="center"/>
          </w:tcPr>
          <w:p w:rsidRPr="00E93A1E" w:rsidR="00A3095D" w:rsidP="00BA05DE" w:rsidRDefault="00A3095D" w14:paraId="04A602A8"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0.000025</w:t>
            </w:r>
          </w:p>
        </w:tc>
      </w:tr>
      <w:tr w:rsidRPr="00E93A1E" w:rsidR="00A3095D" w:rsidTr="00CF69C4" w14:paraId="09EB4B55" w14:textId="77777777">
        <w:trPr>
          <w:cantSplit/>
        </w:trPr>
        <w:tc>
          <w:tcPr>
            <w:tcW w:w="3502" w:type="dxa"/>
            <w:vAlign w:val="center"/>
          </w:tcPr>
          <w:p w:rsidRPr="00E93A1E" w:rsidR="00A3095D" w:rsidP="00BA05DE" w:rsidRDefault="00A3095D" w14:paraId="4A8CC38E"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Inner Cabrillo Beach</w:t>
            </w:r>
          </w:p>
        </w:tc>
        <w:tc>
          <w:tcPr>
            <w:tcW w:w="2016" w:type="dxa"/>
            <w:vAlign w:val="center"/>
          </w:tcPr>
          <w:p w:rsidRPr="00E93A1E" w:rsidR="00A3095D" w:rsidP="00BA05DE" w:rsidRDefault="00A3095D" w14:paraId="1536F308"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0.0001</w:t>
            </w:r>
          </w:p>
        </w:tc>
        <w:tc>
          <w:tcPr>
            <w:tcW w:w="2016" w:type="dxa"/>
            <w:vAlign w:val="center"/>
          </w:tcPr>
          <w:p w:rsidRPr="00E93A1E" w:rsidR="00A3095D" w:rsidP="00BA05DE" w:rsidRDefault="00A3095D" w14:paraId="78164894"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0.0003</w:t>
            </w:r>
          </w:p>
        </w:tc>
      </w:tr>
      <w:tr w:rsidRPr="00E93A1E" w:rsidR="00A3095D" w:rsidTr="00CF69C4" w14:paraId="3A211FF9" w14:textId="77777777">
        <w:trPr>
          <w:cantSplit/>
        </w:trPr>
        <w:tc>
          <w:tcPr>
            <w:tcW w:w="3502" w:type="dxa"/>
            <w:vAlign w:val="center"/>
          </w:tcPr>
          <w:p w:rsidRPr="00E93A1E" w:rsidR="00A3095D" w:rsidP="00BA05DE" w:rsidRDefault="00A3095D" w14:paraId="22B5AF35"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San Pedro Bay</w:t>
            </w:r>
          </w:p>
        </w:tc>
        <w:tc>
          <w:tcPr>
            <w:tcW w:w="2016" w:type="dxa"/>
            <w:vAlign w:val="center"/>
          </w:tcPr>
          <w:p w:rsidRPr="00E93A1E" w:rsidR="00A3095D" w:rsidP="00BA05DE" w:rsidRDefault="00A3095D" w14:paraId="2F0F47FE"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0.049</w:t>
            </w:r>
          </w:p>
        </w:tc>
        <w:tc>
          <w:tcPr>
            <w:tcW w:w="2016" w:type="dxa"/>
            <w:vAlign w:val="center"/>
          </w:tcPr>
          <w:p w:rsidRPr="00E93A1E" w:rsidR="00A3095D" w:rsidP="00BA05DE" w:rsidRDefault="00A3095D" w14:paraId="7849968A"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0.44</w:t>
            </w:r>
          </w:p>
        </w:tc>
      </w:tr>
      <w:tr w:rsidRPr="00E93A1E" w:rsidR="00A3095D" w:rsidTr="00CF69C4" w14:paraId="74EDEB6D" w14:textId="77777777">
        <w:trPr>
          <w:cantSplit/>
        </w:trPr>
        <w:tc>
          <w:tcPr>
            <w:tcW w:w="3502" w:type="dxa"/>
            <w:vAlign w:val="center"/>
          </w:tcPr>
          <w:p w:rsidRPr="00E93A1E" w:rsidR="00A3095D" w:rsidP="00BA05DE" w:rsidRDefault="00A3095D" w14:paraId="23D46668" w14:textId="77777777">
            <w:pPr>
              <w:spacing w:before="40" w:after="40" w:line="240" w:lineRule="auto"/>
              <w:ind w:left="72"/>
              <w:rPr>
                <w:rFonts w:ascii="Arial" w:hAnsi="Arial"/>
                <w:spacing w:val="-1"/>
                <w:sz w:val="22"/>
                <w:szCs w:val="22"/>
                <w:lang w:eastAsia="en-US"/>
              </w:rPr>
            </w:pPr>
            <w:r w:rsidRPr="00E93A1E">
              <w:rPr>
                <w:rFonts w:ascii="Arial" w:hAnsi="Arial"/>
                <w:spacing w:val="-1"/>
                <w:sz w:val="22"/>
                <w:szCs w:val="22"/>
                <w:lang w:eastAsia="en-US"/>
              </w:rPr>
              <w:t>LA River Estuary</w:t>
            </w:r>
          </w:p>
        </w:tc>
        <w:tc>
          <w:tcPr>
            <w:tcW w:w="2016" w:type="dxa"/>
            <w:vAlign w:val="center"/>
          </w:tcPr>
          <w:p w:rsidRPr="00E93A1E" w:rsidR="00A3095D" w:rsidP="00BA05DE" w:rsidRDefault="00A3095D" w14:paraId="26695A2E"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0.100</w:t>
            </w:r>
          </w:p>
        </w:tc>
        <w:tc>
          <w:tcPr>
            <w:tcW w:w="2016" w:type="dxa"/>
            <w:vAlign w:val="center"/>
          </w:tcPr>
          <w:p w:rsidRPr="00E93A1E" w:rsidR="00A3095D" w:rsidP="00BA05DE" w:rsidRDefault="00A3095D" w14:paraId="32B56B9B" w14:textId="77777777">
            <w:pPr>
              <w:spacing w:before="40" w:after="40" w:line="240" w:lineRule="auto"/>
              <w:jc w:val="center"/>
              <w:rPr>
                <w:rFonts w:ascii="Arial" w:hAnsi="Arial"/>
                <w:spacing w:val="-1"/>
                <w:sz w:val="22"/>
                <w:szCs w:val="22"/>
                <w:lang w:eastAsia="en-US"/>
              </w:rPr>
            </w:pPr>
            <w:r w:rsidRPr="00E93A1E">
              <w:rPr>
                <w:rFonts w:ascii="Arial" w:hAnsi="Arial"/>
                <w:spacing w:val="-1"/>
                <w:sz w:val="22"/>
                <w:szCs w:val="22"/>
                <w:lang w:eastAsia="en-US"/>
              </w:rPr>
              <w:t>0.324</w:t>
            </w:r>
          </w:p>
        </w:tc>
      </w:tr>
    </w:tbl>
    <w:p w:rsidRPr="00A3095D" w:rsidR="00A3095D" w:rsidP="00CF69C4" w:rsidRDefault="00A3095D" w14:paraId="666DB7CC" w14:textId="77777777">
      <w:pPr>
        <w:keepNext/>
        <w:keepLines/>
        <w:ind w:left="1267"/>
        <w:rPr>
          <w:szCs w:val="20"/>
          <w:lang w:eastAsia="en-US"/>
        </w:rPr>
      </w:pPr>
      <w:r w:rsidRPr="00A3095D">
        <w:rPr>
          <w:b/>
          <w:bCs/>
          <w:szCs w:val="20"/>
          <w:lang w:eastAsia="en-US"/>
        </w:rPr>
        <w:t>Final Compliance Deadline</w:t>
      </w:r>
      <w:r w:rsidRPr="00A3095D">
        <w:rPr>
          <w:szCs w:val="20"/>
          <w:lang w:eastAsia="en-US"/>
        </w:rPr>
        <w:t>: The TMDL specifies that the final wasteload allocations are to be achieved 20 years after the effective date (March 23, 2012) of the TMDL. Therefore, the final wasteload allocations shall be achieved by March 23, 2032.</w:t>
      </w:r>
    </w:p>
    <w:p w:rsidRPr="000D48DD" w:rsidR="00A3095D" w:rsidP="000D48DD" w:rsidRDefault="00836361" w14:paraId="1A30E90D" w14:textId="0F36485D">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.15</w:t>
      </w:r>
      <w:r w:rsidRPr="000D48DD" w:rsidR="00A3095D">
        <w:rPr>
          <w:i/>
          <w:iCs/>
        </w:rPr>
        <w:tab/>
      </w:r>
      <w:r w:rsidRPr="000D48DD" w:rsidR="00A3095D">
        <w:rPr>
          <w:i/>
          <w:iCs/>
        </w:rPr>
        <w:t>Calleguas Creek Watershed Toxicity TMDL</w:t>
      </w:r>
    </w:p>
    <w:p w:rsidRPr="00A3095D" w:rsidR="00A3095D" w:rsidP="00A3095D" w:rsidRDefault="00A3095D" w14:paraId="61694654" w14:textId="16724231">
      <w:pPr>
        <w:ind w:left="1260"/>
        <w:rPr>
          <w:rFonts w:cs="Arial"/>
          <w:lang w:eastAsia="en-US"/>
        </w:rPr>
      </w:pPr>
      <w:r w:rsidRPr="00A3095D">
        <w:rPr>
          <w:rFonts w:cs="Arial"/>
          <w:b/>
          <w:bCs/>
          <w:lang w:eastAsia="en-US"/>
        </w:rPr>
        <w:t xml:space="preserve">Description: </w:t>
      </w:r>
      <w:r w:rsidR="00766ACF">
        <w:rPr>
          <w:rFonts w:cs="Arial"/>
          <w:lang w:eastAsia="en-US"/>
        </w:rPr>
        <w:t>USEPA</w:t>
      </w:r>
      <w:r w:rsidR="00C56C92">
        <w:rPr>
          <w:rFonts w:cs="Arial"/>
          <w:lang w:eastAsia="en-US"/>
        </w:rPr>
        <w:t xml:space="preserve"> </w:t>
      </w:r>
      <w:r w:rsidRPr="00A3095D">
        <w:rPr>
          <w:rFonts w:cs="Arial"/>
          <w:lang w:eastAsia="en-US"/>
        </w:rPr>
        <w:t>approved the</w:t>
      </w:r>
      <w:r w:rsidRPr="00A3095D">
        <w:rPr>
          <w:rFonts w:cs="Arial"/>
          <w:b/>
          <w:bCs/>
          <w:lang w:eastAsia="en-US"/>
        </w:rPr>
        <w:t xml:space="preserve"> </w:t>
      </w:r>
      <w:r w:rsidRPr="00A3095D">
        <w:rPr>
          <w:lang w:eastAsia="en-US"/>
        </w:rPr>
        <w:t>TMDL on March 14, 2006. Calleguas Creek, its tributaries, and Mugu Lagoon are impaired for chlorpyrifos, diazinon, other pesticides and/or other toxicants, which can cause aquatic life toxicity. Source analysis determined that agricultural and urban uses are the largest sources of chlorpyrifos and diazinon in the watershed. Urban use of diazinon and chlorpyrifos is unlikely to be a long-term source to the Calleguas Creek Watershed as both of these pesticides have been banned for sale for non-agricultural uses on December 31, 2005</w:t>
      </w:r>
      <w:r w:rsidR="00325BAC">
        <w:rPr>
          <w:lang w:eastAsia="en-US"/>
        </w:rPr>
        <w:t>,</w:t>
      </w:r>
      <w:r w:rsidRPr="00A3095D">
        <w:rPr>
          <w:lang w:eastAsia="en-US"/>
        </w:rPr>
        <w:t xml:space="preserve"> by federal regulation</w:t>
      </w:r>
      <w:r w:rsidRPr="00A3095D">
        <w:rPr>
          <w:rFonts w:cs="Arial"/>
          <w:lang w:eastAsia="en-US"/>
        </w:rPr>
        <w:t xml:space="preserve">. The TMDL identifies discharge from the </w:t>
      </w:r>
      <w:r w:rsidR="005060FF">
        <w:rPr>
          <w:rFonts w:cs="Arial"/>
          <w:lang w:eastAsia="en-US"/>
        </w:rPr>
        <w:t>Small MS4</w:t>
      </w:r>
      <w:r w:rsidRPr="00A3095D">
        <w:rPr>
          <w:rFonts w:cs="Arial"/>
          <w:lang w:eastAsia="en-US"/>
        </w:rPr>
        <w:t xml:space="preserve">s as a minor source. </w:t>
      </w:r>
    </w:p>
    <w:p w:rsidRPr="00A3095D" w:rsidR="00A3095D" w:rsidP="00A3095D" w:rsidRDefault="00A3095D" w14:paraId="1EBBDD9C" w14:textId="513115C6">
      <w:pPr>
        <w:ind w:left="1260"/>
        <w:rPr>
          <w:rFonts w:cs="Arial"/>
          <w:lang w:eastAsia="en-US"/>
        </w:rPr>
      </w:pPr>
      <w:r w:rsidRPr="00A3095D">
        <w:rPr>
          <w:b/>
          <w:szCs w:val="20"/>
          <w:lang w:eastAsia="en-US"/>
        </w:rPr>
        <w:t>Responsible Permit</w:t>
      </w:r>
      <w:r w:rsidR="0091593F">
        <w:rPr>
          <w:b/>
          <w:szCs w:val="20"/>
          <w:lang w:eastAsia="en-US"/>
        </w:rPr>
        <w:t>t</w:t>
      </w:r>
      <w:r w:rsidRPr="00A3095D">
        <w:rPr>
          <w:b/>
          <w:szCs w:val="20"/>
          <w:lang w:eastAsia="en-US"/>
        </w:rPr>
        <w:t>ees:</w:t>
      </w:r>
      <w:r w:rsidRPr="00A3095D">
        <w:rPr>
          <w:b/>
          <w:bCs/>
          <w:szCs w:val="20"/>
          <w:lang w:eastAsia="en-US"/>
        </w:rPr>
        <w:t xml:space="preserve"> </w:t>
      </w:r>
      <w:r w:rsidRPr="00727EFC" w:rsidR="00727EFC">
        <w:rPr>
          <w:szCs w:val="20"/>
          <w:lang w:eastAsia="en-US"/>
        </w:rPr>
        <w:t xml:space="preserve">Naval Base Ventura County, </w:t>
      </w:r>
      <w:r w:rsidRPr="00727EFC" w:rsidR="00C45DCF">
        <w:rPr>
          <w:szCs w:val="20"/>
          <w:lang w:eastAsia="en-US"/>
        </w:rPr>
        <w:t>including</w:t>
      </w:r>
      <w:r w:rsidRPr="00727EFC" w:rsidR="00727EFC">
        <w:rPr>
          <w:szCs w:val="20"/>
          <w:lang w:eastAsia="en-US"/>
        </w:rPr>
        <w:t xml:space="preserve"> Port Hueneme and Point Mugu; and California State University, Channel Islands</w:t>
      </w:r>
      <w:r w:rsidRPr="00727EFC">
        <w:rPr>
          <w:szCs w:val="20"/>
          <w:lang w:eastAsia="en-US"/>
        </w:rPr>
        <w:t>.</w:t>
      </w:r>
    </w:p>
    <w:p w:rsidRPr="00A3095D" w:rsidR="00A3095D" w:rsidP="00E93A1E" w:rsidRDefault="00A3095D" w14:paraId="28315C07" w14:textId="77777777">
      <w:pPr>
        <w:ind w:left="1260"/>
        <w:rPr>
          <w:rFonts w:cs="Arial"/>
          <w:lang w:eastAsia="en-US"/>
        </w:rPr>
      </w:pPr>
      <w:r w:rsidRPr="00A3095D">
        <w:rPr>
          <w:b/>
          <w:szCs w:val="20"/>
          <w:lang w:eastAsia="en-US"/>
        </w:rPr>
        <w:t>Final Wasteload Allocations:</w:t>
      </w:r>
      <w:r w:rsidRPr="00A3095D">
        <w:rPr>
          <w:b/>
          <w:bCs/>
          <w:szCs w:val="20"/>
          <w:lang w:eastAsia="en-US"/>
        </w:rPr>
        <w:t xml:space="preserve"> </w:t>
      </w:r>
      <w:r w:rsidRPr="00A3095D">
        <w:rPr>
          <w:rFonts w:cs="Arial"/>
          <w:lang w:eastAsia="en-US"/>
        </w:rPr>
        <w:t>The Calleguas Creek Watershed Toxicity TMDL assigns the following wasteload allocations for minor sources as in-stream receiving water limits at the base of each subwatershed.</w:t>
      </w:r>
    </w:p>
    <w:p w:rsidRPr="00A3095D" w:rsidR="00A3095D" w:rsidP="00E8254E" w:rsidRDefault="00A3095D" w14:paraId="08A42E6C" w14:textId="77777777">
      <w:pPr>
        <w:numPr>
          <w:ilvl w:val="0"/>
          <w:numId w:val="53"/>
        </w:numPr>
        <w:autoSpaceDE w:val="0"/>
        <w:autoSpaceDN w:val="0"/>
        <w:adjustRightInd w:val="0"/>
        <w:ind w:left="1620"/>
        <w:rPr>
          <w:rFonts w:eastAsia="Calibri" w:cs="Arial"/>
          <w:color w:val="000000"/>
          <w:lang w:eastAsia="en-US"/>
        </w:rPr>
      </w:pPr>
      <w:r w:rsidRPr="00A3095D">
        <w:rPr>
          <w:rFonts w:eastAsia="Calibri" w:cs="Arial"/>
          <w:color w:val="000000"/>
          <w:lang w:eastAsia="en-US"/>
        </w:rPr>
        <w:t xml:space="preserve">Wasteload Allocation for Toxicity </w:t>
      </w:r>
    </w:p>
    <w:p w:rsidRPr="00A3095D" w:rsidR="00A3095D" w:rsidP="000C6364" w:rsidRDefault="00A3095D" w14:paraId="1D95895A" w14:textId="34D7C9B0">
      <w:pPr>
        <w:tabs>
          <w:tab w:val="left" w:pos="4860"/>
        </w:tabs>
        <w:ind w:left="1620" w:firstLine="630"/>
        <w:rPr>
          <w:rFonts w:eastAsia="Calibri" w:cs="Arial"/>
          <w:lang w:eastAsia="en-US"/>
        </w:rPr>
      </w:pPr>
      <w:r w:rsidRPr="00A3095D">
        <w:rPr>
          <w:rFonts w:eastAsia="Calibri" w:cs="Arial"/>
          <w:lang w:eastAsia="en-US"/>
        </w:rPr>
        <w:t>Toxicity</w:t>
      </w:r>
      <w:r w:rsidRPr="00A3095D">
        <w:rPr>
          <w:rFonts w:eastAsia="Calibri" w:cs="Arial"/>
          <w:lang w:eastAsia="en-US"/>
        </w:rPr>
        <w:tab/>
      </w:r>
      <w:r w:rsidRPr="00A3095D">
        <w:rPr>
          <w:rFonts w:eastAsia="Calibri" w:cs="Arial"/>
          <w:lang w:eastAsia="en-US"/>
        </w:rPr>
        <w:t>1.0 Chronic Toxicity Units (TUc)</w:t>
      </w:r>
    </w:p>
    <w:p w:rsidRPr="00A3095D" w:rsidR="00A3095D" w:rsidP="00E8254E" w:rsidRDefault="00A3095D" w14:paraId="0CC30A4E" w14:textId="1F3C4673">
      <w:pPr>
        <w:numPr>
          <w:ilvl w:val="0"/>
          <w:numId w:val="53"/>
        </w:numPr>
        <w:autoSpaceDE w:val="0"/>
        <w:autoSpaceDN w:val="0"/>
        <w:adjustRightInd w:val="0"/>
        <w:ind w:left="1620"/>
        <w:rPr>
          <w:rFonts w:eastAsia="Calibri" w:cs="Arial"/>
          <w:color w:val="000000"/>
          <w:lang w:eastAsia="en-US"/>
        </w:rPr>
      </w:pPr>
      <w:r w:rsidRPr="00A3095D">
        <w:rPr>
          <w:rFonts w:eastAsia="Calibri" w:cs="Arial"/>
          <w:color w:val="000000"/>
          <w:lang w:eastAsia="en-US"/>
        </w:rPr>
        <w:t>Final Chronic Wasteload Allocations for Chlorpyrifos and Diazinon</w:t>
      </w:r>
    </w:p>
    <w:p w:rsidRPr="00A3095D" w:rsidR="00A3095D" w:rsidP="000C6364" w:rsidRDefault="00A3095D" w14:paraId="316F0630" w14:textId="68C93079">
      <w:pPr>
        <w:tabs>
          <w:tab w:val="left" w:pos="3060"/>
          <w:tab w:val="left" w:pos="5040"/>
        </w:tabs>
        <w:ind w:left="1620" w:firstLine="630"/>
        <w:rPr>
          <w:rFonts w:eastAsia="Calibri" w:cs="Arial"/>
          <w:lang w:eastAsia="en-US"/>
        </w:rPr>
      </w:pPr>
      <w:r w:rsidRPr="00A3095D">
        <w:rPr>
          <w:rFonts w:eastAsia="Calibri" w:cs="Arial"/>
          <w:lang w:eastAsia="en-US"/>
        </w:rPr>
        <w:t>Chlorpyrifos, chronic</w:t>
      </w:r>
      <w:r w:rsidRPr="00A3095D">
        <w:rPr>
          <w:rFonts w:eastAsia="Calibri" w:cs="Arial"/>
          <w:lang w:eastAsia="en-US"/>
        </w:rPr>
        <w:tab/>
      </w:r>
      <w:r w:rsidRPr="00A3095D">
        <w:rPr>
          <w:rFonts w:eastAsia="Calibri" w:cs="Arial"/>
          <w:lang w:eastAsia="en-US"/>
        </w:rPr>
        <w:t xml:space="preserve">0.014 </w:t>
      </w:r>
      <w:r w:rsidR="00CE3C23">
        <w:rPr>
          <w:rFonts w:eastAsia="Calibri" w:cs="Arial"/>
          <w:lang w:eastAsia="en-US"/>
        </w:rPr>
        <w:t>micrograms/liter</w:t>
      </w:r>
    </w:p>
    <w:p w:rsidRPr="00A3095D" w:rsidR="00A3095D" w:rsidP="00BA12F2" w:rsidRDefault="00A3095D" w14:paraId="0B4D2D97" w14:textId="02082801">
      <w:pPr>
        <w:tabs>
          <w:tab w:val="left" w:pos="3060"/>
          <w:tab w:val="left" w:pos="5040"/>
        </w:tabs>
        <w:ind w:left="1620" w:firstLine="630"/>
        <w:rPr>
          <w:rFonts w:eastAsia="Calibri" w:cs="Arial"/>
          <w:lang w:eastAsia="en-US"/>
        </w:rPr>
      </w:pPr>
      <w:r w:rsidRPr="00A3095D">
        <w:rPr>
          <w:rFonts w:eastAsia="Calibri" w:cs="Arial"/>
          <w:lang w:eastAsia="en-US"/>
        </w:rPr>
        <w:t>Diazinon, acute and chronic</w:t>
      </w:r>
      <w:r w:rsidRPr="00A3095D">
        <w:rPr>
          <w:rFonts w:eastAsia="Calibri" w:cs="Arial"/>
          <w:lang w:eastAsia="en-US"/>
        </w:rPr>
        <w:tab/>
      </w:r>
      <w:r w:rsidRPr="00A3095D">
        <w:rPr>
          <w:rFonts w:eastAsia="Calibri" w:cs="Arial"/>
          <w:lang w:eastAsia="en-US"/>
        </w:rPr>
        <w:t>0.10</w:t>
      </w:r>
      <w:r w:rsidR="00BA12F2">
        <w:rPr>
          <w:rFonts w:eastAsia="Calibri" w:cs="Arial"/>
          <w:lang w:eastAsia="en-US"/>
        </w:rPr>
        <w:t xml:space="preserve"> </w:t>
      </w:r>
      <w:r w:rsidR="00CE3C23">
        <w:rPr>
          <w:rFonts w:eastAsia="Calibri" w:cs="Arial"/>
          <w:lang w:eastAsia="en-US"/>
        </w:rPr>
        <w:t>micrograms/liter</w:t>
      </w:r>
    </w:p>
    <w:p w:rsidRPr="00A3095D" w:rsidR="00A3095D" w:rsidP="00E93A1E" w:rsidRDefault="00A3095D" w14:paraId="2ADABEA4" w14:textId="3A851305">
      <w:pPr>
        <w:ind w:left="1260"/>
        <w:rPr>
          <w:rFonts w:cs="Arial"/>
          <w:lang w:eastAsia="en-US"/>
        </w:rPr>
      </w:pPr>
      <w:r w:rsidRPr="00A3095D">
        <w:rPr>
          <w:rFonts w:cs="Arial"/>
          <w:b/>
          <w:bCs/>
          <w:lang w:eastAsia="en-US"/>
        </w:rPr>
        <w:t>Final Compliance Deadline</w:t>
      </w:r>
      <w:r w:rsidRPr="00A3095D">
        <w:rPr>
          <w:rFonts w:cs="Arial"/>
          <w:lang w:eastAsia="en-US"/>
        </w:rPr>
        <w:t>: The TMDL specifies the final deadline for achievement of final wasteload allocations for stormwater</w:t>
      </w:r>
      <w:r w:rsidR="000E1B01">
        <w:rPr>
          <w:rFonts w:cs="Arial"/>
          <w:lang w:eastAsia="en-US"/>
        </w:rPr>
        <w:t xml:space="preserve"> Permittees </w:t>
      </w:r>
      <w:r w:rsidRPr="00A3095D">
        <w:rPr>
          <w:rFonts w:cs="Arial"/>
          <w:lang w:eastAsia="en-US"/>
        </w:rPr>
        <w:t xml:space="preserve">as two years after the effective date of the TMDL. Therefore, the final compliance date is </w:t>
      </w:r>
      <w:r w:rsidRPr="00A3095D">
        <w:rPr>
          <w:lang w:eastAsia="en-US"/>
        </w:rPr>
        <w:t xml:space="preserve">March 14, 2008. If the deadline has not been met, the Permittee may request a time schedule order from the Los Angeles Water Board Executive Officer, which </w:t>
      </w:r>
      <w:r w:rsidR="005C1C22">
        <w:rPr>
          <w:lang w:eastAsia="en-US"/>
        </w:rPr>
        <w:t xml:space="preserve">may establish an implementation schedule </w:t>
      </w:r>
      <w:r w:rsidRPr="00A3095D">
        <w:rPr>
          <w:lang w:eastAsia="en-US"/>
        </w:rPr>
        <w:t>for the Permittee to comply with the TMDL requirements, and will supersede the deadlines referenced in this Order.</w:t>
      </w:r>
    </w:p>
    <w:p w:rsidRPr="000D48DD" w:rsidR="00A3095D" w:rsidP="000D48DD" w:rsidRDefault="00836361" w14:paraId="24D069AE" w14:textId="6686F219">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.16</w:t>
      </w:r>
      <w:r w:rsidRPr="000D48DD" w:rsidR="00A3095D">
        <w:rPr>
          <w:i/>
          <w:iCs/>
        </w:rPr>
        <w:tab/>
      </w:r>
      <w:r w:rsidRPr="000D48DD" w:rsidR="00A3095D">
        <w:rPr>
          <w:i/>
          <w:iCs/>
        </w:rPr>
        <w:t>Ballona Creek Trash TMDL</w:t>
      </w:r>
    </w:p>
    <w:p w:rsidRPr="00A3095D" w:rsidR="00A3095D" w:rsidP="00A3095D" w:rsidRDefault="00A3095D" w14:paraId="6A72F25A" w14:textId="631D3740">
      <w:pPr>
        <w:ind w:left="1260"/>
        <w:rPr>
          <w:rFonts w:cs="Arial"/>
          <w:lang w:eastAsia="en-US"/>
        </w:rPr>
      </w:pPr>
      <w:r w:rsidRPr="00A3095D">
        <w:rPr>
          <w:rFonts w:cs="Arial"/>
          <w:b/>
          <w:bCs/>
          <w:lang w:eastAsia="en-US"/>
        </w:rPr>
        <w:t>Description:</w:t>
      </w:r>
      <w:r w:rsidRPr="00A3095D">
        <w:rPr>
          <w:rFonts w:cs="Arial"/>
          <w:lang w:eastAsia="en-US"/>
        </w:rPr>
        <w:t xml:space="preserve"> </w:t>
      </w:r>
      <w:r w:rsidR="00766ACF">
        <w:rPr>
          <w:rFonts w:cs="Arial"/>
          <w:lang w:eastAsia="en-US"/>
        </w:rPr>
        <w:t>USEPA</w:t>
      </w:r>
      <w:r w:rsidR="00C56C92">
        <w:rPr>
          <w:rFonts w:cs="Arial"/>
          <w:lang w:eastAsia="en-US"/>
        </w:rPr>
        <w:t xml:space="preserve"> </w:t>
      </w:r>
      <w:r w:rsidRPr="00A3095D">
        <w:rPr>
          <w:rFonts w:cs="Arial"/>
          <w:lang w:eastAsia="en-US"/>
        </w:rPr>
        <w:t>approved the Ballona Creek Trash TMDL on August 1, 2002</w:t>
      </w:r>
      <w:r w:rsidR="00C45DCF">
        <w:rPr>
          <w:rFonts w:cs="Arial"/>
          <w:lang w:eastAsia="en-US"/>
        </w:rPr>
        <w:t>,</w:t>
      </w:r>
      <w:r w:rsidRPr="00A3095D">
        <w:rPr>
          <w:rFonts w:cs="Arial"/>
          <w:lang w:eastAsia="en-US"/>
        </w:rPr>
        <w:t xml:space="preserve"> and the revision on June 30, 2016. Ballona Creek is impaired for trash, which is causing impairment of recreational, habitat, spawning and other beneficial uses. The TMDL specifies that stormwater discharges are a major source of trash in Ballona Creek.</w:t>
      </w:r>
    </w:p>
    <w:p w:rsidRPr="00A3095D" w:rsidR="00A3095D" w:rsidP="00A3095D" w:rsidRDefault="00A3095D" w14:paraId="56C86519" w14:textId="309AFFD9">
      <w:pPr>
        <w:ind w:left="1260"/>
        <w:rPr>
          <w:rFonts w:cs="Arial"/>
          <w:lang w:eastAsia="en-US"/>
        </w:rPr>
      </w:pPr>
      <w:r w:rsidRPr="00A3095D">
        <w:rPr>
          <w:b/>
          <w:szCs w:val="20"/>
          <w:lang w:eastAsia="en-US"/>
        </w:rPr>
        <w:t>Responsible Permittees:</w:t>
      </w:r>
      <w:r w:rsidRPr="00A3095D">
        <w:rPr>
          <w:b/>
          <w:bCs/>
          <w:szCs w:val="20"/>
          <w:lang w:eastAsia="en-US"/>
        </w:rPr>
        <w:t xml:space="preserve"> </w:t>
      </w:r>
      <w:r w:rsidRPr="00A3095D" w:rsidR="00CC74AF">
        <w:rPr>
          <w:rFonts w:cs="Arial"/>
          <w:lang w:eastAsia="en-US"/>
        </w:rPr>
        <w:t>University of California</w:t>
      </w:r>
      <w:r w:rsidRPr="00CC74AF" w:rsidR="00CC74AF">
        <w:rPr>
          <w:szCs w:val="20"/>
          <w:lang w:eastAsia="en-US"/>
        </w:rPr>
        <w:t>,</w:t>
      </w:r>
      <w:r w:rsidRPr="00A3095D" w:rsidR="00CC74AF">
        <w:rPr>
          <w:rFonts w:cs="Arial"/>
          <w:lang w:eastAsia="en-US"/>
        </w:rPr>
        <w:t xml:space="preserve"> Los Angeles</w:t>
      </w:r>
      <w:r w:rsidRPr="00CC74AF" w:rsidR="00CC74AF">
        <w:rPr>
          <w:szCs w:val="20"/>
          <w:lang w:eastAsia="en-US"/>
        </w:rPr>
        <w:t xml:space="preserve">; </w:t>
      </w:r>
      <w:r w:rsidR="00CC74AF">
        <w:rPr>
          <w:szCs w:val="20"/>
          <w:lang w:eastAsia="en-US"/>
        </w:rPr>
        <w:t xml:space="preserve">and </w:t>
      </w:r>
      <w:r w:rsidRPr="00CC74AF" w:rsidR="00CC74AF">
        <w:rPr>
          <w:szCs w:val="20"/>
          <w:lang w:eastAsia="en-US"/>
        </w:rPr>
        <w:t>Veterans Affairs, Greater Los Angeles Healthcare System</w:t>
      </w:r>
      <w:r w:rsidR="00CC74AF">
        <w:rPr>
          <w:szCs w:val="20"/>
          <w:lang w:eastAsia="en-US"/>
        </w:rPr>
        <w:t>.</w:t>
      </w:r>
      <w:r w:rsidRPr="00CC74AF" w:rsidDel="00CC74AF" w:rsidR="00CC74AF">
        <w:rPr>
          <w:szCs w:val="20"/>
          <w:lang w:eastAsia="en-US"/>
        </w:rPr>
        <w:t xml:space="preserve"> </w:t>
      </w:r>
    </w:p>
    <w:p w:rsidRPr="00A3095D" w:rsidR="00A3095D" w:rsidP="00A3095D" w:rsidRDefault="00A3095D" w14:paraId="60DB5A54" w14:textId="77777777">
      <w:pPr>
        <w:ind w:left="1260"/>
        <w:rPr>
          <w:rFonts w:cs="Arial"/>
          <w:lang w:eastAsia="en-US"/>
        </w:rPr>
      </w:pPr>
      <w:r w:rsidRPr="00A3095D">
        <w:rPr>
          <w:rFonts w:cs="Arial"/>
          <w:b/>
          <w:lang w:eastAsia="en-US"/>
        </w:rPr>
        <w:t>Wasteload Allocations:</w:t>
      </w:r>
      <w:r w:rsidRPr="00A3095D">
        <w:rPr>
          <w:rFonts w:cs="Arial"/>
          <w:b/>
          <w:bCs/>
          <w:lang w:eastAsia="en-US"/>
        </w:rPr>
        <w:t xml:space="preserve"> </w:t>
      </w:r>
      <w:r w:rsidRPr="00A3095D">
        <w:rPr>
          <w:rFonts w:cs="Arial"/>
          <w:lang w:eastAsia="en-US"/>
        </w:rPr>
        <w:t>The TMDL requires phased reductions of trash over a period of 10 years to a final wasteload allocation of zero of the baseline load</w:t>
      </w:r>
      <w:r w:rsidRPr="00A3095D">
        <w:rPr>
          <w:rFonts w:cs="Arial"/>
          <w:vertAlign w:val="superscript"/>
          <w:lang w:eastAsia="en-US"/>
        </w:rPr>
        <w:footnoteReference w:id="25"/>
      </w:r>
      <w:r w:rsidRPr="00A3095D">
        <w:rPr>
          <w:rFonts w:cs="Arial"/>
          <w:lang w:eastAsia="en-US"/>
        </w:rPr>
        <w:t>. The allocation is a group or shared allocation for municipal stormwater permittees.</w:t>
      </w:r>
    </w:p>
    <w:p w:rsidRPr="00A3095D" w:rsidR="00A3095D" w:rsidP="00A3095D" w:rsidRDefault="00A3095D" w14:paraId="5A253815" w14:textId="65C0446C">
      <w:pPr>
        <w:ind w:left="1260"/>
        <w:rPr>
          <w:rFonts w:cs="Arial"/>
          <w:lang w:eastAsia="en-US"/>
        </w:rPr>
      </w:pPr>
      <w:r w:rsidRPr="00A3095D">
        <w:rPr>
          <w:rFonts w:cs="Arial"/>
          <w:b/>
          <w:bCs/>
          <w:lang w:eastAsia="en-US"/>
        </w:rPr>
        <w:t xml:space="preserve">Final Compliance Deadline: </w:t>
      </w:r>
      <w:r w:rsidRPr="00A3095D">
        <w:rPr>
          <w:rFonts w:cs="Arial"/>
          <w:lang w:eastAsia="en-US"/>
        </w:rPr>
        <w:t xml:space="preserve">The TMDL specifies that the final wasteload allocation (0% of the baseload discharged) is to be achieved by September 30, 2015. The wasteload allocation is therefore effective immediately. If the deadline has not been met, the Permittee may request a time schedule order from the Los Angeles Water Board Executive Officer, which </w:t>
      </w:r>
      <w:r w:rsidR="005C1C22">
        <w:rPr>
          <w:rFonts w:cs="Arial"/>
          <w:lang w:eastAsia="en-US"/>
        </w:rPr>
        <w:t xml:space="preserve">may establish an implementation schedule </w:t>
      </w:r>
      <w:r w:rsidRPr="00A3095D">
        <w:rPr>
          <w:rFonts w:cs="Arial"/>
          <w:lang w:eastAsia="en-US"/>
        </w:rPr>
        <w:t>for the Permittee to comply with the TMDL requirements, and will supersede the deadlines referenced in this Order.</w:t>
      </w:r>
    </w:p>
    <w:p w:rsidRPr="000D48DD" w:rsidR="00A3095D" w:rsidP="000D48DD" w:rsidRDefault="00836361" w14:paraId="60E56939" w14:textId="0A165F74">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.17</w:t>
      </w:r>
      <w:r w:rsidRPr="000D48DD" w:rsidR="00A3095D">
        <w:rPr>
          <w:i/>
          <w:iCs/>
        </w:rPr>
        <w:tab/>
      </w:r>
      <w:r w:rsidRPr="000D48DD" w:rsidR="00A3095D">
        <w:rPr>
          <w:i/>
          <w:iCs/>
        </w:rPr>
        <w:t>Los Angeles River Trash TMDL</w:t>
      </w:r>
    </w:p>
    <w:p w:rsidRPr="00A3095D" w:rsidR="00A3095D" w:rsidP="00A3095D" w:rsidRDefault="00A3095D" w14:paraId="5C02A99D" w14:textId="72DD88C9">
      <w:pPr>
        <w:ind w:left="1260"/>
        <w:rPr>
          <w:rFonts w:cs="Arial"/>
          <w:lang w:eastAsia="en-US"/>
        </w:rPr>
      </w:pPr>
      <w:r w:rsidRPr="00A3095D">
        <w:rPr>
          <w:rFonts w:cs="Arial"/>
          <w:b/>
          <w:bCs/>
          <w:lang w:eastAsia="en-US"/>
        </w:rPr>
        <w:t>Description:</w:t>
      </w:r>
      <w:r w:rsidRPr="00A3095D">
        <w:rPr>
          <w:rFonts w:cs="Arial"/>
          <w:lang w:eastAsia="en-US"/>
        </w:rPr>
        <w:t xml:space="preserve"> </w:t>
      </w:r>
      <w:r w:rsidR="00766ACF">
        <w:rPr>
          <w:rFonts w:cs="Arial"/>
          <w:lang w:eastAsia="en-US"/>
        </w:rPr>
        <w:t>USEPA</w:t>
      </w:r>
      <w:r w:rsidR="00C56C92">
        <w:rPr>
          <w:rFonts w:cs="Arial"/>
          <w:lang w:eastAsia="en-US"/>
        </w:rPr>
        <w:t xml:space="preserve"> </w:t>
      </w:r>
      <w:r w:rsidRPr="00A3095D">
        <w:rPr>
          <w:rFonts w:cs="Arial"/>
          <w:lang w:eastAsia="en-US"/>
        </w:rPr>
        <w:t>approved the Los Angeles River Trash TMDL on July 24, 2008</w:t>
      </w:r>
      <w:r w:rsidR="00C45DCF">
        <w:rPr>
          <w:rFonts w:cs="Arial"/>
          <w:lang w:eastAsia="en-US"/>
        </w:rPr>
        <w:t>,</w:t>
      </w:r>
      <w:r w:rsidRPr="00A3095D">
        <w:rPr>
          <w:rFonts w:cs="Arial"/>
          <w:lang w:eastAsia="en-US"/>
        </w:rPr>
        <w:t xml:space="preserve"> and the revision on June 30, 2016. The TMDL specifies that stormwater discharges are the major source of trash in the river. </w:t>
      </w:r>
    </w:p>
    <w:p w:rsidRPr="00A3095D" w:rsidR="00A3095D" w:rsidP="00A3095D" w:rsidRDefault="00A3095D" w14:paraId="6D31DA2D" w14:textId="6C26D515">
      <w:pPr>
        <w:ind w:left="1260"/>
        <w:rPr>
          <w:rFonts w:cs="Arial"/>
          <w:lang w:eastAsia="en-US"/>
        </w:rPr>
      </w:pPr>
      <w:r w:rsidRPr="00A3095D">
        <w:rPr>
          <w:b/>
          <w:szCs w:val="20"/>
          <w:lang w:eastAsia="en-US"/>
        </w:rPr>
        <w:t>Responsible Permit</w:t>
      </w:r>
      <w:r w:rsidR="00FF1CBB">
        <w:rPr>
          <w:b/>
          <w:szCs w:val="20"/>
          <w:lang w:eastAsia="en-US"/>
        </w:rPr>
        <w:t>t</w:t>
      </w:r>
      <w:r w:rsidRPr="00A3095D">
        <w:rPr>
          <w:b/>
          <w:szCs w:val="20"/>
          <w:lang w:eastAsia="en-US"/>
        </w:rPr>
        <w:t>ees:</w:t>
      </w:r>
      <w:r w:rsidRPr="00A3095D">
        <w:rPr>
          <w:b/>
          <w:bCs/>
          <w:szCs w:val="20"/>
          <w:lang w:eastAsia="en-US"/>
        </w:rPr>
        <w:t xml:space="preserve"> </w:t>
      </w:r>
      <w:r w:rsidRPr="00A3095D">
        <w:rPr>
          <w:rFonts w:cs="Arial"/>
          <w:lang w:eastAsia="en-US"/>
        </w:rPr>
        <w:t>California State University</w:t>
      </w:r>
      <w:r w:rsidR="004F6F8D">
        <w:rPr>
          <w:rFonts w:cs="Arial"/>
          <w:lang w:eastAsia="en-US"/>
        </w:rPr>
        <w:t>,</w:t>
      </w:r>
      <w:r w:rsidRPr="00A3095D">
        <w:rPr>
          <w:rFonts w:cs="Arial"/>
          <w:lang w:eastAsia="en-US"/>
        </w:rPr>
        <w:t xml:space="preserve"> Los Angeles and California State University</w:t>
      </w:r>
      <w:r w:rsidR="004F6F8D">
        <w:rPr>
          <w:rFonts w:cs="Arial"/>
          <w:lang w:eastAsia="en-US"/>
        </w:rPr>
        <w:t>,</w:t>
      </w:r>
      <w:r w:rsidRPr="00A3095D">
        <w:rPr>
          <w:rFonts w:cs="Arial"/>
          <w:lang w:eastAsia="en-US"/>
        </w:rPr>
        <w:t xml:space="preserve"> Northridge.</w:t>
      </w:r>
    </w:p>
    <w:p w:rsidRPr="00A3095D" w:rsidR="00A3095D" w:rsidP="00A3095D" w:rsidRDefault="00A3095D" w14:paraId="2C8BF100" w14:textId="77777777">
      <w:pPr>
        <w:ind w:left="1260"/>
        <w:rPr>
          <w:rFonts w:cs="Arial"/>
          <w:lang w:eastAsia="en-US"/>
        </w:rPr>
      </w:pPr>
      <w:r w:rsidRPr="00A3095D">
        <w:rPr>
          <w:rFonts w:cs="Arial"/>
          <w:b/>
          <w:bCs/>
          <w:lang w:eastAsia="en-US"/>
        </w:rPr>
        <w:t>Final Wasteload Allocations</w:t>
      </w:r>
      <w:r w:rsidRPr="00A3095D">
        <w:rPr>
          <w:rFonts w:cs="Arial"/>
          <w:lang w:eastAsia="en-US"/>
        </w:rPr>
        <w:t>: The TMDL requires phased reductions over a period of 9 years, from existing baseline loads to zero trash.</w:t>
      </w:r>
      <w:r w:rsidRPr="00A3095D">
        <w:rPr>
          <w:rFonts w:cs="Arial"/>
          <w:vertAlign w:val="superscript"/>
          <w:lang w:eastAsia="en-US"/>
        </w:rPr>
        <w:footnoteReference w:id="26"/>
      </w:r>
    </w:p>
    <w:p w:rsidRPr="00A3095D" w:rsidR="00A3095D" w:rsidP="00A3095D" w:rsidRDefault="00A3095D" w14:paraId="0FA96232" w14:textId="5A234525">
      <w:pPr>
        <w:spacing w:before="240"/>
        <w:ind w:left="1267"/>
        <w:rPr>
          <w:rFonts w:cs="Arial"/>
          <w:lang w:eastAsia="en-US"/>
        </w:rPr>
      </w:pPr>
      <w:r w:rsidRPr="00A3095D">
        <w:rPr>
          <w:rFonts w:cs="Arial"/>
          <w:b/>
          <w:bCs/>
          <w:lang w:eastAsia="en-US"/>
        </w:rPr>
        <w:t xml:space="preserve">Final Compliance Deadline: </w:t>
      </w:r>
      <w:r w:rsidRPr="00A3095D">
        <w:rPr>
          <w:rFonts w:cs="Arial"/>
          <w:lang w:eastAsia="en-US"/>
        </w:rPr>
        <w:t xml:space="preserve">The TMDL specifies that the final wasteload allocation (0% of the baseload discharged) is to be achieved eight years after by September 30, 2016. The wasteload allocation is therefore effective immediately. If the deadline has not been met, the Permittee may request a time schedule order from the Los Angeles Water Board Executive Officer, which </w:t>
      </w:r>
      <w:r w:rsidR="005C1C22">
        <w:rPr>
          <w:rFonts w:cs="Arial"/>
          <w:lang w:eastAsia="en-US"/>
        </w:rPr>
        <w:t xml:space="preserve">may establish an implementation schedule </w:t>
      </w:r>
      <w:r w:rsidRPr="00A3095D">
        <w:rPr>
          <w:rFonts w:cs="Arial"/>
          <w:lang w:eastAsia="en-US"/>
        </w:rPr>
        <w:t>for the Permittee to comply with the TMDL requirements, and will supersede the deadlines referenced in this Order.</w:t>
      </w:r>
    </w:p>
    <w:p w:rsidRPr="000D48DD" w:rsidR="00A3095D" w:rsidP="000D48DD" w:rsidRDefault="00836361" w14:paraId="7028DFCB" w14:textId="572428C2">
      <w:pPr>
        <w:pStyle w:val="Heading3"/>
        <w:tabs>
          <w:tab w:val="clear" w:pos="720"/>
          <w:tab w:val="left" w:pos="1260"/>
        </w:tabs>
        <w:ind w:left="1260" w:hanging="1260"/>
        <w:rPr>
          <w:i/>
          <w:iCs/>
        </w:rPr>
      </w:pPr>
      <w:r>
        <w:rPr>
          <w:i/>
          <w:iCs/>
        </w:rPr>
        <w:t>A13</w:t>
      </w:r>
      <w:r w:rsidRPr="000D48DD" w:rsidR="000432A5">
        <w:rPr>
          <w:i/>
          <w:iCs/>
        </w:rPr>
        <w:t>.4</w:t>
      </w:r>
      <w:r w:rsidRPr="000D48DD" w:rsidR="00A3095D">
        <w:rPr>
          <w:i/>
          <w:iCs/>
        </w:rPr>
        <w:t>.18</w:t>
      </w:r>
      <w:r w:rsidRPr="000D48DD" w:rsidR="00A3095D">
        <w:rPr>
          <w:i/>
          <w:iCs/>
        </w:rPr>
        <w:tab/>
      </w:r>
      <w:r w:rsidRPr="000D48DD" w:rsidR="00A3095D">
        <w:rPr>
          <w:i/>
          <w:iCs/>
        </w:rPr>
        <w:t>Ventura River Estuary Trash TMDL</w:t>
      </w:r>
    </w:p>
    <w:p w:rsidRPr="00A3095D" w:rsidR="00A3095D" w:rsidP="00A3095D" w:rsidRDefault="00A3095D" w14:paraId="6B1E6176" w14:textId="4D80E8F1">
      <w:pPr>
        <w:ind w:left="1260"/>
        <w:rPr>
          <w:rFonts w:cs="Arial"/>
          <w:lang w:eastAsia="en-US"/>
        </w:rPr>
      </w:pPr>
      <w:r w:rsidRPr="00A3095D">
        <w:rPr>
          <w:rFonts w:cs="Arial"/>
          <w:b/>
          <w:bCs/>
          <w:lang w:eastAsia="en-US"/>
        </w:rPr>
        <w:t>Description</w:t>
      </w:r>
      <w:r w:rsidRPr="00A3095D">
        <w:rPr>
          <w:rFonts w:cs="Arial"/>
          <w:lang w:eastAsia="en-US"/>
        </w:rPr>
        <w:t xml:space="preserve">: </w:t>
      </w:r>
      <w:r w:rsidR="00766ACF">
        <w:rPr>
          <w:rFonts w:cs="Arial"/>
          <w:lang w:eastAsia="en-US"/>
        </w:rPr>
        <w:t>USEPA</w:t>
      </w:r>
      <w:r w:rsidR="00C56C92">
        <w:rPr>
          <w:rFonts w:cs="Arial"/>
          <w:lang w:eastAsia="en-US"/>
        </w:rPr>
        <w:t xml:space="preserve"> </w:t>
      </w:r>
      <w:r w:rsidRPr="00A3095D">
        <w:rPr>
          <w:rFonts w:cs="Arial"/>
          <w:lang w:eastAsia="en-US"/>
        </w:rPr>
        <w:t>approved the Ventura River Estuary Trash TMDL on February 27, 2008. The 2008 levels of trash discharges into the Ventura River Estuary violate water quality objectives and are impairing beneficial uses. Relevant water quality objectives include Floating Material and Solid, Suspended, or Settleable Materials. Point sources such as storm drains are sources of trash discharged to the Ventura River Estuary.</w:t>
      </w:r>
    </w:p>
    <w:p w:rsidRPr="00A3095D" w:rsidR="00A3095D" w:rsidP="00A3095D" w:rsidRDefault="00A3095D" w14:paraId="078DC94E" w14:textId="1468B3E9">
      <w:pPr>
        <w:ind w:left="1260"/>
        <w:rPr>
          <w:rFonts w:cs="Arial"/>
          <w:lang w:eastAsia="en-US"/>
        </w:rPr>
      </w:pPr>
      <w:r w:rsidRPr="00A3095D">
        <w:rPr>
          <w:b/>
          <w:szCs w:val="20"/>
          <w:lang w:eastAsia="en-US"/>
        </w:rPr>
        <w:t>Responsible Permi</w:t>
      </w:r>
      <w:r w:rsidR="007E6777">
        <w:rPr>
          <w:b/>
          <w:szCs w:val="20"/>
          <w:lang w:eastAsia="en-US"/>
        </w:rPr>
        <w:t>t</w:t>
      </w:r>
      <w:r w:rsidRPr="00A3095D">
        <w:rPr>
          <w:b/>
          <w:szCs w:val="20"/>
          <w:lang w:eastAsia="en-US"/>
        </w:rPr>
        <w:t>tees:</w:t>
      </w:r>
      <w:r w:rsidRPr="00A3095D">
        <w:rPr>
          <w:b/>
          <w:bCs/>
          <w:szCs w:val="20"/>
          <w:lang w:eastAsia="en-US"/>
        </w:rPr>
        <w:t xml:space="preserve"> </w:t>
      </w:r>
      <w:r w:rsidRPr="00A3095D">
        <w:rPr>
          <w:rFonts w:cs="Arial"/>
          <w:lang w:eastAsia="en-US"/>
        </w:rPr>
        <w:t>Ventura County Fairgrounds (Seaside Park and Ventura County Fairgrounds).</w:t>
      </w:r>
    </w:p>
    <w:p w:rsidRPr="00A3095D" w:rsidR="00A3095D" w:rsidP="00A3095D" w:rsidRDefault="00A3095D" w14:paraId="65707C4B" w14:textId="77777777">
      <w:pPr>
        <w:ind w:left="1260"/>
        <w:rPr>
          <w:rFonts w:cs="Arial"/>
          <w:lang w:eastAsia="en-US"/>
        </w:rPr>
      </w:pPr>
      <w:r w:rsidRPr="00A3095D">
        <w:rPr>
          <w:b/>
          <w:szCs w:val="20"/>
          <w:lang w:eastAsia="en-US"/>
        </w:rPr>
        <w:t>Wasteload Allocations:</w:t>
      </w:r>
      <w:r w:rsidRPr="00A3095D">
        <w:rPr>
          <w:b/>
          <w:bCs/>
          <w:szCs w:val="20"/>
          <w:lang w:eastAsia="en-US"/>
        </w:rPr>
        <w:t xml:space="preserve"> </w:t>
      </w:r>
      <w:r w:rsidRPr="00A3095D">
        <w:rPr>
          <w:szCs w:val="20"/>
          <w:lang w:eastAsia="en-US"/>
        </w:rPr>
        <w:t>Installation of Full Capture Systems or other measures to achieve 100% reduction of trash from baseline wasteload allocations.</w:t>
      </w:r>
    </w:p>
    <w:p w:rsidR="00733D0D" w:rsidP="00A3095D" w:rsidRDefault="00A3095D" w14:paraId="275D239D" w14:textId="2B9FCEEE">
      <w:pPr>
        <w:ind w:left="1260"/>
        <w:rPr>
          <w:rFonts w:cs="Arial"/>
          <w:lang w:eastAsia="en-US"/>
        </w:rPr>
      </w:pPr>
      <w:r w:rsidRPr="00A3095D">
        <w:rPr>
          <w:rFonts w:cs="Arial"/>
          <w:b/>
          <w:bCs/>
          <w:lang w:eastAsia="en-US"/>
        </w:rPr>
        <w:t xml:space="preserve">Final Compliance Deadline: </w:t>
      </w:r>
      <w:r w:rsidRPr="00A3095D">
        <w:rPr>
          <w:rFonts w:cs="Arial"/>
          <w:lang w:eastAsia="en-US"/>
        </w:rPr>
        <w:t>The TMDL specifies that the final wasteload allocation is to be achieved by March 6, 2016. The final wasteload allocation therefore is effective immediately.</w:t>
      </w:r>
      <w:r w:rsidR="00733D0D">
        <w:rPr>
          <w:rFonts w:cs="Arial"/>
          <w:lang w:eastAsia="en-US"/>
        </w:rPr>
        <w:br w:type="page"/>
      </w:r>
    </w:p>
    <w:p w:rsidR="001C4D10" w:rsidP="001A1BAA" w:rsidRDefault="00836361" w14:paraId="2EF1372C" w14:textId="30C95448">
      <w:pPr>
        <w:pStyle w:val="Heading2"/>
      </w:pPr>
      <w:bookmarkStart w:name="_Toc226536095" w:id="91"/>
      <w:r>
        <w:t>A13</w:t>
      </w:r>
      <w:r w:rsidRPr="00FD32A6" w:rsidR="002F7DA1">
        <w:t>.5</w:t>
      </w:r>
      <w:r w:rsidRPr="00FD32A6" w:rsidR="001C4D10">
        <w:tab/>
      </w:r>
      <w:r w:rsidRPr="00FD32A6" w:rsidR="001C4D10">
        <w:t>CENTRAL VALLEY WATER BOARD TMDLS</w:t>
      </w:r>
      <w:bookmarkEnd w:id="91"/>
    </w:p>
    <w:p w:rsidRPr="00204727" w:rsidR="00204727" w:rsidP="00204727" w:rsidRDefault="00CF39B3" w14:paraId="2CAD1362" w14:textId="400FA030">
      <w:pPr>
        <w:rPr>
          <w:lang w:eastAsia="en-US"/>
        </w:rPr>
      </w:pPr>
      <w:bookmarkStart w:name="_Hlk165977649" w:id="92"/>
      <w:r>
        <w:rPr>
          <w:lang w:eastAsia="en-US"/>
        </w:rPr>
        <w:t xml:space="preserve">Information in the following subsections has been summarized from the applicable TMDLs in the </w:t>
      </w:r>
      <w:hyperlink w:history="1" r:id="rId43">
        <w:r w:rsidRPr="000927C2">
          <w:rPr>
            <w:rStyle w:val="Hyperlink"/>
            <w:lang w:eastAsia="en-US"/>
          </w:rPr>
          <w:t>Revised February 2019 Central Valley Water Board’s Basin Plan</w:t>
        </w:r>
      </w:hyperlink>
      <w:r>
        <w:rPr>
          <w:lang w:eastAsia="en-US"/>
        </w:rPr>
        <w:t>.</w:t>
      </w:r>
      <w:bookmarkEnd w:id="92"/>
    </w:p>
    <w:p w:rsidRPr="000D48DD" w:rsidR="001C4D10" w:rsidP="000D48DD" w:rsidRDefault="00836361" w14:paraId="76DE60E8" w14:textId="4D87643B">
      <w:pPr>
        <w:pStyle w:val="Heading3"/>
        <w:tabs>
          <w:tab w:val="clear" w:pos="720"/>
          <w:tab w:val="left" w:pos="1260"/>
        </w:tabs>
        <w:ind w:left="1260" w:hanging="1260"/>
        <w:rPr>
          <w:i/>
          <w:iCs/>
        </w:rPr>
      </w:pPr>
      <w:r>
        <w:rPr>
          <w:i/>
          <w:iCs/>
        </w:rPr>
        <w:t>A13</w:t>
      </w:r>
      <w:r w:rsidRPr="000D48DD" w:rsidR="002F7DA1">
        <w:rPr>
          <w:i/>
          <w:iCs/>
        </w:rPr>
        <w:t>.5</w:t>
      </w:r>
      <w:r w:rsidRPr="000D48DD" w:rsidR="001C4D10">
        <w:rPr>
          <w:i/>
          <w:iCs/>
        </w:rPr>
        <w:t>.1</w:t>
      </w:r>
      <w:r w:rsidRPr="000D48DD" w:rsidR="001C4D10">
        <w:rPr>
          <w:i/>
          <w:iCs/>
        </w:rPr>
        <w:tab/>
      </w:r>
      <w:r w:rsidRPr="000D48DD" w:rsidR="001C4D10">
        <w:rPr>
          <w:i/>
          <w:iCs/>
        </w:rPr>
        <w:t>Lower San Joaquin River Diazinon and Chlorpyrifos TMDL</w:t>
      </w:r>
    </w:p>
    <w:p w:rsidR="00E411BF" w:rsidP="001C4D10" w:rsidRDefault="00E411BF" w14:paraId="6C271618" w14:textId="65754B60">
      <w:pPr>
        <w:ind w:left="1260"/>
        <w:rPr>
          <w:rFonts w:cs="Arial"/>
          <w:lang w:eastAsia="en-US"/>
        </w:rPr>
      </w:pPr>
      <w:r w:rsidRPr="009D49A7">
        <w:rPr>
          <w:rFonts w:cs="Arial"/>
          <w:b/>
          <w:bCs/>
          <w:lang w:eastAsia="en-US"/>
        </w:rPr>
        <w:t>Description:</w:t>
      </w:r>
      <w:r w:rsidRPr="00E411BF">
        <w:rPr>
          <w:rFonts w:cs="Arial"/>
          <w:lang w:eastAsia="en-US"/>
        </w:rPr>
        <w:t xml:space="preserve"> </w:t>
      </w:r>
      <w:r w:rsidR="00766ACF">
        <w:rPr>
          <w:rFonts w:cs="Arial"/>
          <w:lang w:eastAsia="en-US"/>
        </w:rPr>
        <w:t>USEPA</w:t>
      </w:r>
      <w:r w:rsidR="00C56C92">
        <w:rPr>
          <w:rFonts w:cs="Arial"/>
          <w:lang w:eastAsia="en-US"/>
        </w:rPr>
        <w:t xml:space="preserve"> </w:t>
      </w:r>
      <w:r w:rsidRPr="00E411BF">
        <w:rPr>
          <w:rFonts w:cs="Arial"/>
          <w:lang w:eastAsia="en-US"/>
        </w:rPr>
        <w:t>approved the TMDL for Lower San Joaquin River Diazinon and Chlorpyrifos on December 20, 2006. The Lower San Joaquin River is impaired by organophosphate pesticides (diazinon and chlorpyrifos) used on crops in the San Joaquin Valley. The level of pesticides found in the Lower San Joaquin River is toxic to aquatic life.</w:t>
      </w:r>
    </w:p>
    <w:p w:rsidRPr="001C4D10" w:rsidR="001C4D10" w:rsidP="001C4D10" w:rsidRDefault="00E0169D" w14:paraId="77104359" w14:textId="78D6CC17">
      <w:pPr>
        <w:ind w:left="1260"/>
        <w:rPr>
          <w:rFonts w:cs="Arial"/>
          <w:lang w:eastAsia="en-US"/>
        </w:rPr>
      </w:pPr>
      <w:r w:rsidRPr="00E0169D">
        <w:rPr>
          <w:b/>
          <w:szCs w:val="20"/>
          <w:lang w:eastAsia="en-US"/>
        </w:rPr>
        <w:t>Responsible Permittees:</w:t>
      </w:r>
      <w:r w:rsidRPr="00E0169D">
        <w:rPr>
          <w:bCs/>
          <w:szCs w:val="20"/>
          <w:lang w:eastAsia="en-US"/>
        </w:rPr>
        <w:t xml:space="preserve"> City of Patterson</w:t>
      </w:r>
    </w:p>
    <w:p w:rsidRPr="001C4D10" w:rsidR="001C4D10" w:rsidP="001C4D10" w:rsidRDefault="001C4D10" w14:paraId="45F4B22E" w14:textId="164CB046">
      <w:pPr>
        <w:ind w:left="1260"/>
        <w:rPr>
          <w:rFonts w:cs="Arial"/>
          <w:lang w:eastAsia="en-US"/>
        </w:rPr>
      </w:pPr>
      <w:r w:rsidRPr="001C4D10">
        <w:rPr>
          <w:b/>
          <w:szCs w:val="20"/>
          <w:lang w:eastAsia="en-US"/>
        </w:rPr>
        <w:t>Wasteload Allocations:</w:t>
      </w:r>
      <w:r w:rsidRPr="001C4D10">
        <w:rPr>
          <w:b/>
          <w:bCs/>
          <w:szCs w:val="20"/>
          <w:lang w:eastAsia="en-US"/>
        </w:rPr>
        <w:t xml:space="preserve"> </w:t>
      </w:r>
      <w:r w:rsidRPr="00390D69" w:rsidR="00390D69">
        <w:rPr>
          <w:rFonts w:cs="Arial"/>
          <w:lang w:eastAsia="en-US"/>
        </w:rPr>
        <w:t>Permittees shall not exceed the sum (S) of one (1) as defined below</w:t>
      </w:r>
      <w:r w:rsidRPr="001C4D10">
        <w:rPr>
          <w:rFonts w:cs="Arial"/>
          <w:lang w:eastAsia="en-US"/>
        </w:rPr>
        <w:t>:</w:t>
      </w:r>
    </w:p>
    <w:p w:rsidRPr="001C4D10" w:rsidR="001C4D10" w:rsidP="00CB7EB6" w:rsidRDefault="001C4D10" w14:paraId="57646A7F" w14:textId="77777777">
      <w:pPr>
        <w:jc w:val="center"/>
        <w:rPr>
          <w:rFonts w:cs="Arial"/>
          <w:lang w:eastAsia="en-US"/>
        </w:rPr>
      </w:pPr>
      <w:r w:rsidRPr="001C4D10">
        <w:rPr>
          <w:rFonts w:cs="Arial"/>
          <w:noProof/>
          <w:lang w:eastAsia="en-US"/>
        </w:rPr>
        <w:drawing>
          <wp:inline distT="0" distB="0" distL="0" distR="0" wp14:anchorId="38E4BE78" wp14:editId="3A6BE1BA">
            <wp:extent cx="2648284" cy="576072"/>
            <wp:effectExtent l="0" t="0" r="0" b="0"/>
            <wp:docPr id="3" name="Picture 3" descr="Lower San Joaquin River Diazinon &amp; Chlorpyrifos WLA Equation. Sum, S, equals begin fraction C sub D divided by W Q O sub D end fraction plus open fraction, C sub C divided by W Q O sub C end fraction is less than or equal to 1.0&#10;&#10;Where, &#10;C sub D represents the diazinon concentration in micrograms per liter of point source discharge,&#10;C sub C represents the chlorpyrifos concentration in micrograms per liter of point source discharge,&#10;W Q O sub D represents the acute or chronic diazinon water quality objective (0.160 and 0.100 micrograms per liter, respectively),&#10;W Q O sub C represents the acute or chronic chlorpyrifos water quality objective (0.025 and 0.015 micrograms per liter,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231" t="10001" r="2701" b="4915"/>
                    <a:stretch/>
                  </pic:blipFill>
                  <pic:spPr bwMode="auto">
                    <a:xfrm>
                      <a:off x="0" y="0"/>
                      <a:ext cx="2844119" cy="618671"/>
                    </a:xfrm>
                    <a:prstGeom prst="rect">
                      <a:avLst/>
                    </a:prstGeom>
                    <a:noFill/>
                    <a:ln>
                      <a:noFill/>
                    </a:ln>
                    <a:extLst>
                      <a:ext uri="{53640926-AAD7-44D8-BBD7-CCE9431645EC}">
                        <a14:shadowObscured xmlns:a14="http://schemas.microsoft.com/office/drawing/2010/main"/>
                      </a:ext>
                    </a:extLst>
                  </pic:spPr>
                </pic:pic>
              </a:graphicData>
            </a:graphic>
          </wp:inline>
        </w:drawing>
      </w:r>
    </w:p>
    <w:p w:rsidRPr="001C4D10" w:rsidR="001C4D10" w:rsidP="001C4D10" w:rsidRDefault="001C4D10" w14:paraId="42567788" w14:textId="77777777">
      <w:pPr>
        <w:ind w:left="1260"/>
        <w:rPr>
          <w:rFonts w:cs="Arial"/>
          <w:lang w:eastAsia="en-US"/>
        </w:rPr>
      </w:pPr>
      <w:r w:rsidRPr="001C4D10">
        <w:rPr>
          <w:rFonts w:cs="Arial"/>
          <w:lang w:eastAsia="en-US"/>
        </w:rPr>
        <w:t>Where:</w:t>
      </w:r>
    </w:p>
    <w:p w:rsidRPr="001C4D10" w:rsidR="001C4D10" w:rsidP="00040117" w:rsidRDefault="001C4D10" w14:paraId="0A347DBE" w14:textId="22C22AB3">
      <w:pPr>
        <w:tabs>
          <w:tab w:val="left" w:pos="3060"/>
        </w:tabs>
        <w:ind w:left="3060" w:hanging="1260"/>
        <w:contextualSpacing/>
        <w:rPr>
          <w:rFonts w:cs="Arial"/>
          <w:lang w:eastAsia="en-US"/>
        </w:rPr>
      </w:pPr>
      <w:r w:rsidRPr="001C4D10">
        <w:rPr>
          <w:rFonts w:cs="Arial"/>
          <w:lang w:eastAsia="en-US"/>
        </w:rPr>
        <w:t>C</w:t>
      </w:r>
      <w:r w:rsidRPr="00390D69">
        <w:rPr>
          <w:rFonts w:cs="Arial"/>
          <w:vertAlign w:val="subscript"/>
          <w:lang w:eastAsia="en-US"/>
        </w:rPr>
        <w:t>D</w:t>
      </w:r>
      <w:r w:rsidRPr="001C4D10">
        <w:rPr>
          <w:rFonts w:cs="Arial"/>
          <w:lang w:eastAsia="en-US"/>
        </w:rPr>
        <w:t xml:space="preserve"> = </w:t>
      </w:r>
      <w:r w:rsidR="00EF0918">
        <w:rPr>
          <w:rFonts w:cs="Arial"/>
          <w:lang w:eastAsia="en-US"/>
        </w:rPr>
        <w:tab/>
      </w:r>
      <w:r w:rsidRPr="001C4D10">
        <w:rPr>
          <w:rFonts w:cs="Arial"/>
          <w:lang w:eastAsia="en-US"/>
        </w:rPr>
        <w:t>diazinon concentration in micrograms per liter of point source discharge</w:t>
      </w:r>
    </w:p>
    <w:p w:rsidRPr="001C4D10" w:rsidR="001C4D10" w:rsidP="00040117" w:rsidRDefault="001C4D10" w14:paraId="1AC893A1" w14:textId="0DECD0E6">
      <w:pPr>
        <w:ind w:left="3060" w:hanging="1260"/>
        <w:contextualSpacing/>
        <w:rPr>
          <w:rFonts w:eastAsia="Calibri" w:cs="Arial"/>
          <w:lang w:eastAsia="en-US"/>
        </w:rPr>
      </w:pPr>
      <w:r w:rsidRPr="001C4D10">
        <w:rPr>
          <w:rFonts w:cs="Arial"/>
          <w:lang w:eastAsia="en-US"/>
        </w:rPr>
        <w:t>C</w:t>
      </w:r>
      <w:r w:rsidRPr="00390D69">
        <w:rPr>
          <w:rFonts w:cs="Arial"/>
          <w:vertAlign w:val="subscript"/>
          <w:lang w:eastAsia="en-US"/>
        </w:rPr>
        <w:t>C</w:t>
      </w:r>
      <w:r w:rsidRPr="001C4D10">
        <w:rPr>
          <w:rFonts w:cs="Arial"/>
          <w:lang w:eastAsia="en-US"/>
        </w:rPr>
        <w:t xml:space="preserve"> = </w:t>
      </w:r>
      <w:r w:rsidR="00EF0918">
        <w:rPr>
          <w:rFonts w:cs="Arial"/>
          <w:lang w:eastAsia="en-US"/>
        </w:rPr>
        <w:tab/>
      </w:r>
      <w:r w:rsidRPr="001C4D10">
        <w:rPr>
          <w:rFonts w:cs="Arial"/>
          <w:lang w:eastAsia="en-US"/>
        </w:rPr>
        <w:t>chlorpyrifos concentration in micrograms p</w:t>
      </w:r>
      <w:r w:rsidRPr="001C4D10">
        <w:rPr>
          <w:rFonts w:eastAsia="Calibri" w:cs="Arial"/>
          <w:lang w:eastAsia="en-US"/>
        </w:rPr>
        <w:t>er liter of point source discharge</w:t>
      </w:r>
    </w:p>
    <w:p w:rsidRPr="001C4D10" w:rsidR="001C4D10" w:rsidP="00040117" w:rsidRDefault="001C4D10" w14:paraId="1BD44468" w14:textId="582804D4">
      <w:pPr>
        <w:tabs>
          <w:tab w:val="left" w:pos="3060"/>
        </w:tabs>
        <w:ind w:left="3060" w:hanging="1260"/>
        <w:contextualSpacing/>
        <w:rPr>
          <w:rFonts w:eastAsia="Calibri" w:cs="Arial"/>
          <w:lang w:eastAsia="en-US"/>
        </w:rPr>
      </w:pPr>
      <w:r w:rsidRPr="001C4D10">
        <w:rPr>
          <w:rFonts w:eastAsia="Calibri" w:cs="Arial"/>
          <w:lang w:eastAsia="en-US"/>
        </w:rPr>
        <w:t>WQO</w:t>
      </w:r>
      <w:r w:rsidRPr="00390D69">
        <w:rPr>
          <w:rFonts w:eastAsia="Calibri" w:cs="Arial"/>
          <w:vertAlign w:val="subscript"/>
          <w:lang w:eastAsia="en-US"/>
        </w:rPr>
        <w:t>D</w:t>
      </w:r>
      <w:r w:rsidRPr="001C4D10">
        <w:rPr>
          <w:rFonts w:eastAsia="Calibri" w:cs="Arial"/>
          <w:lang w:eastAsia="en-US"/>
        </w:rPr>
        <w:t xml:space="preserve"> = </w:t>
      </w:r>
      <w:r w:rsidR="00EF0918">
        <w:rPr>
          <w:rFonts w:eastAsia="Calibri" w:cs="Arial"/>
          <w:lang w:eastAsia="en-US"/>
        </w:rPr>
        <w:tab/>
      </w:r>
      <w:r w:rsidRPr="001C4D10">
        <w:rPr>
          <w:rFonts w:eastAsia="Calibri" w:cs="Arial"/>
          <w:lang w:eastAsia="en-US"/>
        </w:rPr>
        <w:t>acute or chronic diazinon water quality objective (0.160 and 0.100 micrograms per liter, respectively)</w:t>
      </w:r>
    </w:p>
    <w:p w:rsidRPr="001C4D10" w:rsidR="001C4D10" w:rsidP="00040117" w:rsidRDefault="001C4D10" w14:paraId="3951171C" w14:textId="124E2058">
      <w:pPr>
        <w:tabs>
          <w:tab w:val="left" w:pos="3060"/>
        </w:tabs>
        <w:ind w:left="3060" w:hanging="1260"/>
        <w:rPr>
          <w:rFonts w:eastAsia="Calibri" w:cs="Arial"/>
          <w:lang w:eastAsia="en-US"/>
        </w:rPr>
      </w:pPr>
      <w:r w:rsidRPr="001C4D10">
        <w:rPr>
          <w:rFonts w:eastAsia="Calibri" w:cs="Arial"/>
          <w:lang w:eastAsia="en-US"/>
        </w:rPr>
        <w:t>WQO</w:t>
      </w:r>
      <w:r w:rsidRPr="00390D69">
        <w:rPr>
          <w:rFonts w:eastAsia="Calibri" w:cs="Arial"/>
          <w:vertAlign w:val="subscript"/>
          <w:lang w:eastAsia="en-US"/>
        </w:rPr>
        <w:t>C</w:t>
      </w:r>
      <w:r w:rsidRPr="001C4D10">
        <w:rPr>
          <w:rFonts w:eastAsia="Calibri" w:cs="Arial"/>
          <w:lang w:eastAsia="en-US"/>
        </w:rPr>
        <w:t xml:space="preserve"> = </w:t>
      </w:r>
      <w:r w:rsidR="00EF0918">
        <w:rPr>
          <w:rFonts w:eastAsia="Calibri" w:cs="Arial"/>
          <w:lang w:eastAsia="en-US"/>
        </w:rPr>
        <w:tab/>
      </w:r>
      <w:r w:rsidRPr="001C4D10">
        <w:rPr>
          <w:rFonts w:eastAsia="Calibri" w:cs="Arial"/>
          <w:lang w:eastAsia="en-US"/>
        </w:rPr>
        <w:t>acute or chronic chlorpyrifos water quality objective. (0.025 and 0.015 micrograms per liter, respectively)</w:t>
      </w:r>
    </w:p>
    <w:p w:rsidRPr="001C4D10" w:rsidR="001C4D10" w:rsidP="001C4D10" w:rsidRDefault="001C4D10" w14:paraId="76F05207" w14:textId="4DA0DBAF">
      <w:pPr>
        <w:ind w:left="1260"/>
        <w:rPr>
          <w:rFonts w:cs="Arial"/>
          <w:lang w:eastAsia="en-US"/>
        </w:rPr>
      </w:pPr>
      <w:r w:rsidRPr="001C4D10">
        <w:rPr>
          <w:rFonts w:cs="Arial"/>
          <w:lang w:eastAsia="en-US"/>
        </w:rPr>
        <w:t xml:space="preserve">For the purpose of calculating the sum (S) above, non-detectable concentrations are considered to be zero. In determining compliance with the effluent limitations related to the attainment of these wasteload allocations, the Central Valley Water Board will consider data or information submitted by the Permittee regarding diazinon and chlorpyrifos inputs from sources that are outside of the jurisdiction of the permitted discharge, and any applicable provisions in this Order requiring the Permittee to reduce the discharge of pollutants to the </w:t>
      </w:r>
      <w:r w:rsidR="00DF7CA1">
        <w:rPr>
          <w:rFonts w:cs="Arial"/>
          <w:lang w:eastAsia="en-US"/>
        </w:rPr>
        <w:t>Maximum Extent Practicable</w:t>
      </w:r>
      <w:r w:rsidRPr="001C4D10">
        <w:rPr>
          <w:rFonts w:cs="Arial"/>
          <w:lang w:eastAsia="en-US"/>
        </w:rPr>
        <w:t>.</w:t>
      </w:r>
    </w:p>
    <w:p w:rsidR="001C4D10" w:rsidP="001C4D10" w:rsidRDefault="00390D69" w14:paraId="7C87D3F8" w14:textId="78D63DC3">
      <w:pPr>
        <w:ind w:left="1260"/>
        <w:rPr>
          <w:bCs/>
          <w:szCs w:val="20"/>
          <w:lang w:eastAsia="en-US"/>
        </w:rPr>
      </w:pPr>
      <w:r>
        <w:rPr>
          <w:b/>
          <w:szCs w:val="20"/>
          <w:lang w:eastAsia="en-US"/>
        </w:rPr>
        <w:t xml:space="preserve">Final Compliance Deadline: </w:t>
      </w:r>
      <w:r w:rsidRPr="00216235" w:rsidR="00216235">
        <w:rPr>
          <w:bCs/>
          <w:szCs w:val="20"/>
          <w:lang w:eastAsia="en-US"/>
        </w:rPr>
        <w:t xml:space="preserve">The final compliance was December 1, 2010. If the deadline has not been met, the Permittee may request a time schedule order from the Central Valley Water Board Executive Officer, which </w:t>
      </w:r>
      <w:r w:rsidR="005C1C22">
        <w:rPr>
          <w:bCs/>
          <w:szCs w:val="20"/>
          <w:lang w:eastAsia="en-US"/>
        </w:rPr>
        <w:t xml:space="preserve">may establish an implementation schedule </w:t>
      </w:r>
      <w:r w:rsidRPr="00216235" w:rsidR="00216235">
        <w:rPr>
          <w:bCs/>
          <w:szCs w:val="20"/>
          <w:lang w:eastAsia="en-US"/>
        </w:rPr>
        <w:t>for the Permittee to comply with the TMDL requirements, and will supersede the deadlines referenced in this Order.</w:t>
      </w:r>
    </w:p>
    <w:p w:rsidRPr="001C4D10" w:rsidR="0021155B" w:rsidP="001C4D10" w:rsidRDefault="0021155B" w14:paraId="5CBA7CCC" w14:textId="019AD88A">
      <w:pPr>
        <w:ind w:left="1260"/>
        <w:rPr>
          <w:rFonts w:cs="Arial"/>
          <w:lang w:eastAsia="en-US"/>
        </w:rPr>
      </w:pPr>
      <w:r w:rsidRPr="0021155B">
        <w:rPr>
          <w:rFonts w:cs="Arial"/>
          <w:lang w:eastAsia="en-US"/>
        </w:rPr>
        <w:t>On August 31, 2020, the Central Valley Water Board determined that the Permittee has demonstrated attainment of the diazinon and chlorpyrifos wasteload allocations.</w:t>
      </w:r>
      <w:r w:rsidR="006161CE">
        <w:rPr>
          <w:rFonts w:cs="Arial"/>
          <w:lang w:eastAsia="en-US"/>
        </w:rPr>
        <w:t xml:space="preserve"> </w:t>
      </w:r>
      <w:r w:rsidRPr="0021155B">
        <w:rPr>
          <w:rFonts w:cs="Arial"/>
          <w:lang w:eastAsia="en-US"/>
        </w:rPr>
        <w:t xml:space="preserve">Further monitoring and reporting by the Permittee is no longer required. The Permittee must continue to implement existing and appropriate </w:t>
      </w:r>
      <w:r w:rsidR="000A2877">
        <w:rPr>
          <w:rFonts w:cs="Arial"/>
          <w:lang w:eastAsia="en-US"/>
        </w:rPr>
        <w:t>BMPs</w:t>
      </w:r>
      <w:r w:rsidRPr="0021155B">
        <w:rPr>
          <w:rFonts w:cs="Arial"/>
          <w:lang w:eastAsia="en-US"/>
        </w:rPr>
        <w:t xml:space="preserve"> in their </w:t>
      </w:r>
      <w:r w:rsidR="00977F06">
        <w:rPr>
          <w:rFonts w:cs="Arial"/>
          <w:lang w:eastAsia="en-US"/>
        </w:rPr>
        <w:t>stormwater</w:t>
      </w:r>
      <w:r w:rsidRPr="0021155B">
        <w:rPr>
          <w:rFonts w:cs="Arial"/>
          <w:lang w:eastAsia="en-US"/>
        </w:rPr>
        <w:t xml:space="preserve"> programs to eliminate diazinon and chlorpyrifos in municipal </w:t>
      </w:r>
      <w:r w:rsidR="00977F06">
        <w:rPr>
          <w:rFonts w:cs="Arial"/>
          <w:lang w:eastAsia="en-US"/>
        </w:rPr>
        <w:t>stormwater</w:t>
      </w:r>
      <w:r w:rsidRPr="0021155B">
        <w:rPr>
          <w:rFonts w:cs="Arial"/>
          <w:lang w:eastAsia="en-US"/>
        </w:rPr>
        <w:t xml:space="preserve"> discharges</w:t>
      </w:r>
      <w:r w:rsidR="00BF2EA6">
        <w:rPr>
          <w:rFonts w:cs="Arial"/>
          <w:lang w:eastAsia="en-US"/>
        </w:rPr>
        <w:t>.</w:t>
      </w:r>
      <w:r w:rsidRPr="0021155B">
        <w:rPr>
          <w:rFonts w:cs="Arial"/>
          <w:lang w:eastAsia="en-US"/>
        </w:rPr>
        <w:t xml:space="preserve"> and comply with Section 6</w:t>
      </w:r>
      <w:r w:rsidR="0024609E">
        <w:rPr>
          <w:rFonts w:cs="Arial"/>
          <w:lang w:eastAsia="en-US"/>
        </w:rPr>
        <w:t>, Effluent Limits,</w:t>
      </w:r>
      <w:r w:rsidRPr="0021155B">
        <w:rPr>
          <w:rFonts w:cs="Arial"/>
          <w:lang w:eastAsia="en-US"/>
        </w:rPr>
        <w:t xml:space="preserve"> of the Order.</w:t>
      </w:r>
    </w:p>
    <w:p w:rsidRPr="000D48DD" w:rsidR="001C4D10" w:rsidP="000D48DD" w:rsidRDefault="00836361" w14:paraId="69609DB3" w14:textId="11984753">
      <w:pPr>
        <w:pStyle w:val="Heading3"/>
        <w:tabs>
          <w:tab w:val="clear" w:pos="720"/>
          <w:tab w:val="left" w:pos="1260"/>
        </w:tabs>
        <w:ind w:left="1260" w:hanging="1260"/>
        <w:rPr>
          <w:i/>
          <w:iCs/>
        </w:rPr>
      </w:pPr>
      <w:r>
        <w:rPr>
          <w:i/>
          <w:iCs/>
        </w:rPr>
        <w:t>A13</w:t>
      </w:r>
      <w:r w:rsidRPr="000D48DD" w:rsidR="00852145">
        <w:rPr>
          <w:i/>
          <w:iCs/>
        </w:rPr>
        <w:t>.5.</w:t>
      </w:r>
      <w:r w:rsidRPr="000D48DD" w:rsidR="001C4D10">
        <w:rPr>
          <w:i/>
          <w:iCs/>
        </w:rPr>
        <w:t>2</w:t>
      </w:r>
      <w:r w:rsidRPr="000D48DD" w:rsidR="001C4D10">
        <w:rPr>
          <w:i/>
          <w:iCs/>
        </w:rPr>
        <w:tab/>
      </w:r>
      <w:r w:rsidRPr="000D48DD" w:rsidR="001C4D10">
        <w:rPr>
          <w:i/>
          <w:iCs/>
        </w:rPr>
        <w:t>Sacramento</w:t>
      </w:r>
      <w:r w:rsidR="00205DD7">
        <w:rPr>
          <w:i/>
          <w:iCs/>
        </w:rPr>
        <w:t>-</w:t>
      </w:r>
      <w:r w:rsidRPr="000D48DD" w:rsidR="001C4D10">
        <w:rPr>
          <w:i/>
          <w:iCs/>
        </w:rPr>
        <w:t>San Joaquin Delta Diazinon and Chlorpyrifos TMDL</w:t>
      </w:r>
    </w:p>
    <w:p w:rsidRPr="001C4D10" w:rsidR="001C4D10" w:rsidP="001C4D10" w:rsidRDefault="00F17D8D" w14:paraId="3A8EC17C" w14:textId="5FD99C4E">
      <w:pPr>
        <w:ind w:left="1260"/>
        <w:rPr>
          <w:rFonts w:cs="Arial"/>
          <w:lang w:eastAsia="en-US"/>
        </w:rPr>
      </w:pPr>
      <w:r w:rsidRPr="004034F8">
        <w:rPr>
          <w:rFonts w:cs="Arial"/>
          <w:b/>
          <w:bCs/>
          <w:lang w:eastAsia="en-US"/>
        </w:rPr>
        <w:t xml:space="preserve">Description: </w:t>
      </w:r>
      <w:r w:rsidR="00766ACF">
        <w:rPr>
          <w:rFonts w:cs="Arial"/>
          <w:lang w:eastAsia="en-US"/>
        </w:rPr>
        <w:t>USEPA</w:t>
      </w:r>
      <w:r w:rsidR="00C56C92">
        <w:rPr>
          <w:rFonts w:cs="Arial"/>
          <w:lang w:eastAsia="en-US"/>
        </w:rPr>
        <w:t xml:space="preserve"> </w:t>
      </w:r>
      <w:r w:rsidRPr="00F17D8D">
        <w:rPr>
          <w:rFonts w:cs="Arial"/>
          <w:lang w:eastAsia="en-US"/>
        </w:rPr>
        <w:t>approved the Sacramento and San Joaquin Delta Diazinon and Chlorpyrifos TMDL on October 10, 2007. The Sacramento-San Joaquin Delta Waterways is impaired by pesticides (diazinon and chlorpyrifos) runoff from orchards and fields.</w:t>
      </w:r>
    </w:p>
    <w:p w:rsidRPr="001C4D10" w:rsidR="001C4D10" w:rsidP="001C4D10" w:rsidRDefault="001C4D10" w14:paraId="11A17A48" w14:textId="5073204F">
      <w:pPr>
        <w:ind w:left="1260"/>
        <w:rPr>
          <w:rFonts w:cs="Arial"/>
          <w:lang w:eastAsia="en-US"/>
        </w:rPr>
      </w:pPr>
      <w:r w:rsidRPr="001C4D10">
        <w:rPr>
          <w:b/>
          <w:szCs w:val="20"/>
          <w:lang w:eastAsia="en-US"/>
        </w:rPr>
        <w:t>Responsible Permit</w:t>
      </w:r>
      <w:r w:rsidR="00325E0F">
        <w:rPr>
          <w:b/>
          <w:szCs w:val="20"/>
          <w:lang w:eastAsia="en-US"/>
        </w:rPr>
        <w:t>t</w:t>
      </w:r>
      <w:r w:rsidRPr="001C4D10">
        <w:rPr>
          <w:b/>
          <w:szCs w:val="20"/>
          <w:lang w:eastAsia="en-US"/>
        </w:rPr>
        <w:t>ees:</w:t>
      </w:r>
      <w:r w:rsidRPr="001C4D10">
        <w:rPr>
          <w:b/>
          <w:bCs/>
          <w:szCs w:val="20"/>
          <w:lang w:eastAsia="en-US"/>
        </w:rPr>
        <w:t xml:space="preserve"> </w:t>
      </w:r>
      <w:r w:rsidRPr="00325E0F" w:rsidR="00325E0F">
        <w:rPr>
          <w:rFonts w:cs="Arial"/>
          <w:lang w:eastAsia="en-US"/>
        </w:rPr>
        <w:t>City of Lathrop, City of Lodi, City of Manteca, City of Rio Vista, City of Tracy, City of West Sacramento</w:t>
      </w:r>
    </w:p>
    <w:p w:rsidRPr="001C4D10" w:rsidR="001C4D10" w:rsidP="00FA296C" w:rsidRDefault="001C4D10" w14:paraId="4CA9AF88" w14:textId="62E8D2FA">
      <w:pPr>
        <w:ind w:left="1260"/>
        <w:rPr>
          <w:rFonts w:cs="Arial"/>
          <w:lang w:eastAsia="en-US"/>
        </w:rPr>
      </w:pPr>
      <w:r w:rsidRPr="004034F8">
        <w:rPr>
          <w:rFonts w:cs="Arial"/>
          <w:b/>
          <w:bCs/>
          <w:lang w:eastAsia="en-US"/>
        </w:rPr>
        <w:t>Wasteload Allocations:</w:t>
      </w:r>
      <w:r w:rsidRPr="004034F8" w:rsidR="00FA296C">
        <w:rPr>
          <w:b/>
          <w:bCs/>
        </w:rPr>
        <w:t xml:space="preserve"> </w:t>
      </w:r>
      <w:r w:rsidRPr="00FA296C" w:rsidR="00FA296C">
        <w:rPr>
          <w:rFonts w:cs="Arial"/>
          <w:lang w:eastAsia="en-US"/>
        </w:rPr>
        <w:t>Permittees shall not exceed the sum (S) of one (1) as defined below:</w:t>
      </w:r>
    </w:p>
    <w:p w:rsidRPr="001C4D10" w:rsidR="001C4D10" w:rsidP="00CB7EB6" w:rsidRDefault="001C4D10" w14:paraId="24BFE40D" w14:textId="77777777">
      <w:pPr>
        <w:jc w:val="center"/>
        <w:rPr>
          <w:rFonts w:cs="Arial"/>
          <w:lang w:eastAsia="en-US"/>
        </w:rPr>
      </w:pPr>
      <w:r w:rsidRPr="001C4D10">
        <w:rPr>
          <w:rFonts w:cs="Arial"/>
          <w:noProof/>
          <w:lang w:eastAsia="en-US"/>
        </w:rPr>
        <w:drawing>
          <wp:inline distT="0" distB="0" distL="0" distR="0" wp14:anchorId="57BF7822" wp14:editId="677088D7">
            <wp:extent cx="2648284" cy="576072"/>
            <wp:effectExtent l="0" t="0" r="0" b="0"/>
            <wp:docPr id="5" name="Picture 5" descr="Lower San Joaquin River Diazinon &amp; Chlorpyrifos WLA Equation. Sum, S, equals begin fraction C sub D divided by W Q O sub D end fraction plus open fraction, C sub C divided by W Q O sub C end fraction is less than or equal to 1.0&#10;&#10;Where, &#10;C sub D represents the diazinon concentration in micrograms per liter of point source discharge,&#10;C sub C represents the chlorpyrifos concentration in micrograms per liter of point source discharge,&#10;W Q O sub D represents the acute or chronic diazinon water quality objective (0.160 and 0.100 micrograms per liter, respectively),&#10;W Q O sub C represents the acute or chronic chlorpyrifos water quality objective (0.025 and 0.015 micrograms per liter,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231" t="10001" r="2701" b="4915"/>
                    <a:stretch/>
                  </pic:blipFill>
                  <pic:spPr bwMode="auto">
                    <a:xfrm>
                      <a:off x="0" y="0"/>
                      <a:ext cx="2844119" cy="618671"/>
                    </a:xfrm>
                    <a:prstGeom prst="rect">
                      <a:avLst/>
                    </a:prstGeom>
                    <a:noFill/>
                    <a:ln>
                      <a:noFill/>
                    </a:ln>
                    <a:extLst>
                      <a:ext uri="{53640926-AAD7-44D8-BBD7-CCE9431645EC}">
                        <a14:shadowObscured xmlns:a14="http://schemas.microsoft.com/office/drawing/2010/main"/>
                      </a:ext>
                    </a:extLst>
                  </pic:spPr>
                </pic:pic>
              </a:graphicData>
            </a:graphic>
          </wp:inline>
        </w:drawing>
      </w:r>
    </w:p>
    <w:p w:rsidRPr="001C4D10" w:rsidR="001C4D10" w:rsidP="001C4D10" w:rsidRDefault="001C4D10" w14:paraId="709C92EC" w14:textId="77777777">
      <w:pPr>
        <w:ind w:left="1260"/>
        <w:rPr>
          <w:rFonts w:cs="Arial"/>
          <w:lang w:eastAsia="en-US"/>
        </w:rPr>
      </w:pPr>
      <w:r w:rsidRPr="001C4D10">
        <w:rPr>
          <w:rFonts w:cs="Arial"/>
          <w:lang w:eastAsia="en-US"/>
        </w:rPr>
        <w:t>Where:</w:t>
      </w:r>
    </w:p>
    <w:p w:rsidRPr="001C4D10" w:rsidR="001C4D10" w:rsidP="00040117" w:rsidRDefault="001C4D10" w14:paraId="41BD5D86" w14:textId="5D8154D7">
      <w:pPr>
        <w:tabs>
          <w:tab w:val="left" w:pos="2970"/>
        </w:tabs>
        <w:ind w:left="2970" w:hanging="1170"/>
        <w:contextualSpacing/>
        <w:rPr>
          <w:rFonts w:cs="Arial"/>
          <w:lang w:eastAsia="en-US"/>
        </w:rPr>
      </w:pPr>
      <w:r w:rsidRPr="001C4D10">
        <w:rPr>
          <w:rFonts w:cs="Arial"/>
          <w:lang w:eastAsia="en-US"/>
        </w:rPr>
        <w:t>C</w:t>
      </w:r>
      <w:r w:rsidRPr="00671B03">
        <w:rPr>
          <w:rFonts w:cs="Arial"/>
          <w:lang w:eastAsia="en-US"/>
        </w:rPr>
        <w:t>D</w:t>
      </w:r>
      <w:r w:rsidRPr="001C4D10">
        <w:rPr>
          <w:rFonts w:cs="Arial"/>
          <w:lang w:eastAsia="en-US"/>
        </w:rPr>
        <w:t xml:space="preserve"> = </w:t>
      </w:r>
      <w:r w:rsidR="003B2AC8">
        <w:rPr>
          <w:rFonts w:cs="Arial"/>
          <w:lang w:eastAsia="en-US"/>
        </w:rPr>
        <w:tab/>
      </w:r>
      <w:r w:rsidRPr="001C4D10">
        <w:rPr>
          <w:rFonts w:cs="Arial"/>
          <w:lang w:eastAsia="en-US"/>
        </w:rPr>
        <w:t xml:space="preserve">diazinon </w:t>
      </w:r>
      <w:r w:rsidRPr="00671B03">
        <w:rPr>
          <w:rFonts w:cs="Arial"/>
          <w:lang w:eastAsia="en-US"/>
        </w:rPr>
        <w:t>concentration</w:t>
      </w:r>
      <w:r w:rsidRPr="001C4D10">
        <w:rPr>
          <w:rFonts w:cs="Arial"/>
          <w:lang w:eastAsia="en-US"/>
        </w:rPr>
        <w:t xml:space="preserve"> in micrograms per liter of point source discharge</w:t>
      </w:r>
    </w:p>
    <w:p w:rsidRPr="001C4D10" w:rsidR="001C4D10" w:rsidP="00040117" w:rsidRDefault="001C4D10" w14:paraId="18B9A5D7" w14:textId="45A0A53B">
      <w:pPr>
        <w:tabs>
          <w:tab w:val="left" w:pos="2970"/>
          <w:tab w:val="left" w:pos="3240"/>
        </w:tabs>
        <w:ind w:left="2970" w:hanging="1170"/>
        <w:contextualSpacing/>
        <w:rPr>
          <w:rFonts w:cs="Arial"/>
          <w:lang w:eastAsia="en-US"/>
        </w:rPr>
      </w:pPr>
      <w:r w:rsidRPr="001C4D10">
        <w:rPr>
          <w:rFonts w:cs="Arial"/>
          <w:lang w:eastAsia="en-US"/>
        </w:rPr>
        <w:t>C</w:t>
      </w:r>
      <w:r w:rsidRPr="00671B03">
        <w:rPr>
          <w:rFonts w:cs="Arial"/>
          <w:lang w:eastAsia="en-US"/>
        </w:rPr>
        <w:t>C</w:t>
      </w:r>
      <w:r w:rsidRPr="001C4D10">
        <w:rPr>
          <w:rFonts w:cs="Arial"/>
          <w:lang w:eastAsia="en-US"/>
        </w:rPr>
        <w:t xml:space="preserve"> = </w:t>
      </w:r>
      <w:r w:rsidR="003B2AC8">
        <w:rPr>
          <w:rFonts w:cs="Arial"/>
          <w:lang w:eastAsia="en-US"/>
        </w:rPr>
        <w:tab/>
      </w:r>
      <w:r w:rsidRPr="001C4D10">
        <w:rPr>
          <w:rFonts w:cs="Arial"/>
          <w:lang w:eastAsia="en-US"/>
        </w:rPr>
        <w:t xml:space="preserve">chlorpyrifos </w:t>
      </w:r>
      <w:r w:rsidRPr="00671B03">
        <w:rPr>
          <w:rFonts w:cs="Arial"/>
          <w:lang w:eastAsia="en-US"/>
        </w:rPr>
        <w:t>concentration</w:t>
      </w:r>
      <w:r w:rsidRPr="001C4D10">
        <w:rPr>
          <w:rFonts w:cs="Arial"/>
          <w:lang w:eastAsia="en-US"/>
        </w:rPr>
        <w:t xml:space="preserve"> in micrograms per liter of point source discharge</w:t>
      </w:r>
    </w:p>
    <w:p w:rsidRPr="00671B03" w:rsidR="001C4D10" w:rsidP="00B61157" w:rsidRDefault="001C4D10" w14:paraId="251BD983" w14:textId="3EEF9C34">
      <w:pPr>
        <w:ind w:left="2970" w:hanging="1170"/>
        <w:contextualSpacing/>
        <w:rPr>
          <w:rFonts w:cs="Arial"/>
          <w:lang w:eastAsia="en-US"/>
        </w:rPr>
      </w:pPr>
      <w:r w:rsidRPr="001C4D10">
        <w:rPr>
          <w:rFonts w:cs="Arial"/>
          <w:lang w:eastAsia="en-US"/>
        </w:rPr>
        <w:t>WQO</w:t>
      </w:r>
      <w:r w:rsidRPr="0095219C">
        <w:rPr>
          <w:rFonts w:cs="Arial"/>
          <w:vertAlign w:val="subscript"/>
          <w:lang w:eastAsia="en-US"/>
        </w:rPr>
        <w:t>D</w:t>
      </w:r>
      <w:r w:rsidRPr="001C4D10">
        <w:rPr>
          <w:rFonts w:cs="Arial"/>
          <w:lang w:eastAsia="en-US"/>
        </w:rPr>
        <w:t xml:space="preserve"> = </w:t>
      </w:r>
      <w:r w:rsidR="003B2AC8">
        <w:rPr>
          <w:rFonts w:cs="Arial"/>
          <w:lang w:eastAsia="en-US"/>
        </w:rPr>
        <w:tab/>
      </w:r>
      <w:r w:rsidRPr="001C4D10">
        <w:rPr>
          <w:rFonts w:cs="Arial"/>
          <w:lang w:eastAsia="en-US"/>
        </w:rPr>
        <w:t>acute or chronic</w:t>
      </w:r>
      <w:r w:rsidRPr="00671B03">
        <w:rPr>
          <w:rFonts w:cs="Arial"/>
          <w:lang w:eastAsia="en-US"/>
        </w:rPr>
        <w:t xml:space="preserve"> diazinon water quality objective (0.160 and 0.100 micrograms per liter, respectively)</w:t>
      </w:r>
    </w:p>
    <w:p w:rsidRPr="00671B03" w:rsidR="001C4D10" w:rsidP="00B61157" w:rsidRDefault="001C4D10" w14:paraId="3874371B" w14:textId="09485395">
      <w:pPr>
        <w:ind w:left="2970" w:hanging="1170"/>
        <w:rPr>
          <w:rFonts w:cs="Arial"/>
          <w:lang w:eastAsia="en-US"/>
        </w:rPr>
      </w:pPr>
      <w:r w:rsidRPr="00671B03">
        <w:rPr>
          <w:rFonts w:cs="Arial"/>
          <w:lang w:eastAsia="en-US"/>
        </w:rPr>
        <w:t>WQO</w:t>
      </w:r>
      <w:r w:rsidRPr="0095219C">
        <w:rPr>
          <w:rFonts w:cs="Arial"/>
          <w:vertAlign w:val="subscript"/>
          <w:lang w:eastAsia="en-US"/>
        </w:rPr>
        <w:t>C</w:t>
      </w:r>
      <w:r w:rsidRPr="00671B03">
        <w:rPr>
          <w:rFonts w:cs="Arial"/>
          <w:lang w:eastAsia="en-US"/>
        </w:rPr>
        <w:t xml:space="preserve"> = </w:t>
      </w:r>
      <w:r w:rsidR="003B2AC8">
        <w:rPr>
          <w:rFonts w:cs="Arial"/>
          <w:lang w:eastAsia="en-US"/>
        </w:rPr>
        <w:tab/>
      </w:r>
      <w:r w:rsidRPr="00671B03">
        <w:rPr>
          <w:rFonts w:cs="Arial"/>
          <w:lang w:eastAsia="en-US"/>
        </w:rPr>
        <w:t>acute or chronic chlorpyrifos water quality objective. (0.025 and 0.015 micrograms per liter, respectively)</w:t>
      </w:r>
      <w:r w:rsidR="000A09FF">
        <w:rPr>
          <w:rFonts w:cs="Arial"/>
          <w:lang w:eastAsia="en-US"/>
        </w:rPr>
        <w:t>.</w:t>
      </w:r>
    </w:p>
    <w:p w:rsidR="00A35E58" w:rsidP="00412A8D" w:rsidRDefault="001C4D10" w14:paraId="74EF9BA6" w14:textId="46E31B72">
      <w:pPr>
        <w:ind w:left="1267"/>
        <w:rPr>
          <w:rFonts w:cs="Arial"/>
          <w:lang w:eastAsia="en-US"/>
        </w:rPr>
      </w:pPr>
      <w:r w:rsidRPr="001C4D10">
        <w:rPr>
          <w:rFonts w:cs="Arial"/>
          <w:lang w:eastAsia="en-US"/>
        </w:rPr>
        <w:t xml:space="preserve">For the purpose of calculating the sum (S) above, non-detectable concentrations are considered to be zero. In determining compliance with the effluent limitations in Section </w:t>
      </w:r>
      <w:r w:rsidR="008F31D0">
        <w:rPr>
          <w:rFonts w:cs="Arial"/>
          <w:lang w:eastAsia="en-US"/>
        </w:rPr>
        <w:t>6</w:t>
      </w:r>
      <w:r w:rsidR="0024609E">
        <w:rPr>
          <w:rFonts w:cs="Arial"/>
          <w:lang w:eastAsia="en-US"/>
        </w:rPr>
        <w:t>, Effluent Limits,</w:t>
      </w:r>
      <w:r w:rsidRPr="001C4D10">
        <w:rPr>
          <w:rFonts w:cs="Arial"/>
          <w:lang w:eastAsia="en-US"/>
        </w:rPr>
        <w:t xml:space="preserve"> of this Order related to the attainment of these wasteload allocations, the Central Valley Regional Water Board will consider data or information submitted by the Permittee regarding diazinon and chlorpyrifos inputs from sources that are outside of the jurisdiction of the permitted discharge, and any applicable provisions in this Order requiring the Permittee to reduce the discharge of pollutants to the </w:t>
      </w:r>
      <w:r w:rsidR="00DF7CA1">
        <w:rPr>
          <w:rFonts w:cs="Arial"/>
          <w:lang w:eastAsia="en-US"/>
        </w:rPr>
        <w:t>Maximum Extent Practicable</w:t>
      </w:r>
      <w:r w:rsidRPr="001C4D10">
        <w:rPr>
          <w:rFonts w:cs="Arial"/>
          <w:lang w:eastAsia="en-US"/>
        </w:rPr>
        <w:t>.</w:t>
      </w:r>
    </w:p>
    <w:p w:rsidR="00A35E58" w:rsidP="00C71A93" w:rsidRDefault="00A35E58" w14:paraId="19CA47B7" w14:textId="03DE2DB2">
      <w:pPr>
        <w:ind w:left="1267"/>
        <w:rPr>
          <w:bCs/>
          <w:szCs w:val="20"/>
          <w:lang w:eastAsia="en-US"/>
        </w:rPr>
      </w:pPr>
      <w:r>
        <w:rPr>
          <w:rFonts w:cs="Arial"/>
          <w:b/>
          <w:bCs/>
        </w:rPr>
        <w:t xml:space="preserve">Final Compliance Deadline: </w:t>
      </w:r>
      <w:r w:rsidRPr="00D52F4F">
        <w:rPr>
          <w:rFonts w:cs="Arial"/>
        </w:rPr>
        <w:t xml:space="preserve">The </w:t>
      </w:r>
      <w:r>
        <w:rPr>
          <w:rFonts w:cs="Arial"/>
        </w:rPr>
        <w:t>final compliance deadline was</w:t>
      </w:r>
      <w:r w:rsidRPr="00D52F4F">
        <w:rPr>
          <w:rFonts w:cs="Arial"/>
        </w:rPr>
        <w:t xml:space="preserve"> December</w:t>
      </w:r>
      <w:r w:rsidR="000A09FF">
        <w:rPr>
          <w:rFonts w:cs="Arial"/>
        </w:rPr>
        <w:t> </w:t>
      </w:r>
      <w:r w:rsidRPr="00D52F4F">
        <w:rPr>
          <w:rFonts w:cs="Arial"/>
        </w:rPr>
        <w:t xml:space="preserve">1, 2011. </w:t>
      </w:r>
      <w:r w:rsidRPr="00216235" w:rsidR="0021155B">
        <w:rPr>
          <w:bCs/>
          <w:szCs w:val="20"/>
          <w:lang w:eastAsia="en-US"/>
        </w:rPr>
        <w:t xml:space="preserve">If the deadline has not been met, the Permittee may </w:t>
      </w:r>
      <w:r w:rsidRPr="00216235" w:rsidR="0021155B">
        <w:rPr>
          <w:bCs/>
          <w:szCs w:val="20"/>
          <w:lang w:eastAsia="en-US"/>
        </w:rPr>
        <w:t xml:space="preserve">request a time schedule order from the Central Valley Water Board Executive Officer, which </w:t>
      </w:r>
      <w:r w:rsidR="005C1C22">
        <w:rPr>
          <w:bCs/>
          <w:szCs w:val="20"/>
          <w:lang w:eastAsia="en-US"/>
        </w:rPr>
        <w:t xml:space="preserve">may establish an implementation schedule </w:t>
      </w:r>
      <w:r w:rsidRPr="00216235" w:rsidR="0021155B">
        <w:rPr>
          <w:bCs/>
          <w:szCs w:val="20"/>
          <w:lang w:eastAsia="en-US"/>
        </w:rPr>
        <w:t>for the Permittee to comply with the TMDL requirements, and will supersede the deadlines referenced in this Order.</w:t>
      </w:r>
    </w:p>
    <w:p w:rsidRPr="00D52F4F" w:rsidR="0021155B" w:rsidP="00C71A93" w:rsidRDefault="00C257CC" w14:paraId="74792AC0" w14:textId="122D6B68">
      <w:pPr>
        <w:ind w:left="1267"/>
        <w:rPr>
          <w:rFonts w:cs="Arial"/>
        </w:rPr>
      </w:pPr>
      <w:r w:rsidRPr="00C257CC">
        <w:rPr>
          <w:rFonts w:cs="Arial"/>
        </w:rPr>
        <w:t xml:space="preserve">On September 10, 2020, the Central Valley Water Board determined that the Permittees have demonstrated attainment of the diazinon and chlorpyrifos wasteload allocations. Further monitoring and reporting by the Permittee are no longer required. The Permittees must continue to implement existing and appropriate </w:t>
      </w:r>
      <w:r w:rsidR="000A2877">
        <w:rPr>
          <w:rFonts w:cs="Arial"/>
        </w:rPr>
        <w:t>BMPs</w:t>
      </w:r>
      <w:r w:rsidRPr="00C257CC">
        <w:rPr>
          <w:rFonts w:cs="Arial"/>
        </w:rPr>
        <w:t xml:space="preserve"> in their </w:t>
      </w:r>
      <w:r w:rsidR="00977F06">
        <w:rPr>
          <w:rFonts w:cs="Arial"/>
        </w:rPr>
        <w:t>stormwater</w:t>
      </w:r>
      <w:r w:rsidRPr="00C257CC">
        <w:rPr>
          <w:rFonts w:cs="Arial"/>
        </w:rPr>
        <w:t xml:space="preserve"> programs to eliminate diazinon and chlorpyrifos in municipal </w:t>
      </w:r>
      <w:r w:rsidR="00977F06">
        <w:rPr>
          <w:rFonts w:cs="Arial"/>
        </w:rPr>
        <w:t>stormwater</w:t>
      </w:r>
      <w:r w:rsidRPr="00C257CC">
        <w:rPr>
          <w:rFonts w:cs="Arial"/>
        </w:rPr>
        <w:t xml:space="preserve"> discharges and comply with Section 6</w:t>
      </w:r>
      <w:r w:rsidR="0024609E">
        <w:rPr>
          <w:rFonts w:cs="Arial"/>
        </w:rPr>
        <w:t>, Effluent Limits,</w:t>
      </w:r>
      <w:r w:rsidRPr="00C257CC">
        <w:rPr>
          <w:rFonts w:cs="Arial"/>
        </w:rPr>
        <w:t xml:space="preserve"> of the Order.</w:t>
      </w:r>
    </w:p>
    <w:p w:rsidRPr="000D48DD" w:rsidR="001C4D10" w:rsidP="000D48DD" w:rsidRDefault="00836361" w14:paraId="5809DFC8" w14:textId="69A753CD">
      <w:pPr>
        <w:pStyle w:val="Heading3"/>
        <w:tabs>
          <w:tab w:val="clear" w:pos="720"/>
          <w:tab w:val="left" w:pos="1260"/>
        </w:tabs>
        <w:ind w:left="1260" w:hanging="1260"/>
        <w:rPr>
          <w:i/>
          <w:iCs/>
        </w:rPr>
      </w:pPr>
      <w:r>
        <w:rPr>
          <w:i/>
          <w:iCs/>
        </w:rPr>
        <w:t>A13</w:t>
      </w:r>
      <w:r w:rsidRPr="000D48DD" w:rsidR="00852145">
        <w:rPr>
          <w:i/>
          <w:iCs/>
        </w:rPr>
        <w:t>.5.</w:t>
      </w:r>
      <w:r w:rsidRPr="000D48DD" w:rsidR="001C4D10">
        <w:rPr>
          <w:i/>
          <w:iCs/>
        </w:rPr>
        <w:t>3</w:t>
      </w:r>
      <w:r w:rsidRPr="000D48DD" w:rsidR="001C4D10">
        <w:rPr>
          <w:i/>
          <w:iCs/>
        </w:rPr>
        <w:tab/>
      </w:r>
      <w:r w:rsidRPr="000D48DD" w:rsidR="00470ABA">
        <w:rPr>
          <w:i/>
          <w:iCs/>
        </w:rPr>
        <w:t>TMDL for Diazinon and Chlorpyrifos in the Sacramento and Feather Rivers</w:t>
      </w:r>
    </w:p>
    <w:p w:rsidRPr="00382939" w:rsidR="000B076C" w:rsidP="000B076C" w:rsidRDefault="000B076C" w14:paraId="67AEC5C9" w14:textId="3A4E54E5">
      <w:pPr>
        <w:ind w:left="1260"/>
        <w:rPr>
          <w:rFonts w:cs="Arial"/>
        </w:rPr>
      </w:pPr>
      <w:r>
        <w:rPr>
          <w:rFonts w:cs="Arial"/>
          <w:b/>
          <w:bCs/>
        </w:rPr>
        <w:t xml:space="preserve">Description: </w:t>
      </w:r>
      <w:r w:rsidR="00766ACF">
        <w:rPr>
          <w:rFonts w:cs="Arial"/>
        </w:rPr>
        <w:t>USEPA</w:t>
      </w:r>
      <w:r w:rsidR="00C56C92">
        <w:rPr>
          <w:rFonts w:cs="Arial"/>
        </w:rPr>
        <w:t xml:space="preserve"> </w:t>
      </w:r>
      <w:r>
        <w:rPr>
          <w:rFonts w:cs="Arial"/>
        </w:rPr>
        <w:t xml:space="preserve">approved the TMDL for Diazinon and Chlorpyrifos in the Sacramento and Feather Rivers on August 11, 2008. The Sacramento and Feather Rivers are impaired by pesticides (diazinon and chlorpyrifos). </w:t>
      </w:r>
    </w:p>
    <w:p w:rsidRPr="001C4D10" w:rsidR="001C4D10" w:rsidP="008966B8" w:rsidRDefault="001C4D10" w14:paraId="1A9A686C" w14:textId="64538F4A">
      <w:pPr>
        <w:ind w:left="1260"/>
        <w:rPr>
          <w:rFonts w:cs="Arial"/>
          <w:lang w:eastAsia="en-US"/>
        </w:rPr>
      </w:pPr>
      <w:r w:rsidRPr="001C4D10">
        <w:rPr>
          <w:b/>
          <w:szCs w:val="20"/>
          <w:lang w:eastAsia="en-US"/>
        </w:rPr>
        <w:t>Responsible Permit</w:t>
      </w:r>
      <w:r w:rsidR="00AC4709">
        <w:rPr>
          <w:b/>
          <w:szCs w:val="20"/>
          <w:lang w:eastAsia="en-US"/>
        </w:rPr>
        <w:t>t</w:t>
      </w:r>
      <w:r w:rsidRPr="001C4D10">
        <w:rPr>
          <w:b/>
          <w:szCs w:val="20"/>
          <w:lang w:eastAsia="en-US"/>
        </w:rPr>
        <w:t>ees:</w:t>
      </w:r>
      <w:r w:rsidRPr="001C4D10">
        <w:rPr>
          <w:b/>
          <w:bCs/>
          <w:szCs w:val="20"/>
          <w:lang w:eastAsia="en-US"/>
        </w:rPr>
        <w:t xml:space="preserve"> </w:t>
      </w:r>
      <w:r w:rsidRPr="00987AB5" w:rsidR="008966B8">
        <w:rPr>
          <w:rFonts w:cs="Arial"/>
        </w:rPr>
        <w:t>City of Anderson, County of Colusa, City of Marysville, City of Red Bluff, City of Redding, County of Shasta, County of Sutter, City of Yuba City, County of Yuba</w:t>
      </w:r>
    </w:p>
    <w:p w:rsidRPr="001C4D10" w:rsidR="001C4D10" w:rsidP="001C4D10" w:rsidRDefault="001C4D10" w14:paraId="30A4C1F0" w14:textId="74ACF660">
      <w:pPr>
        <w:ind w:left="1260"/>
        <w:rPr>
          <w:rFonts w:cs="Arial"/>
          <w:lang w:eastAsia="en-US"/>
        </w:rPr>
      </w:pPr>
      <w:r w:rsidRPr="001C4D10">
        <w:rPr>
          <w:b/>
          <w:szCs w:val="20"/>
          <w:lang w:eastAsia="en-US"/>
        </w:rPr>
        <w:t>Wasteload Allocations:</w:t>
      </w:r>
      <w:r w:rsidRPr="001C4D10">
        <w:rPr>
          <w:b/>
          <w:bCs/>
          <w:szCs w:val="20"/>
          <w:lang w:eastAsia="en-US"/>
        </w:rPr>
        <w:t xml:space="preserve"> </w:t>
      </w:r>
      <w:r w:rsidRPr="001C4D10">
        <w:rPr>
          <w:rFonts w:cs="Arial"/>
          <w:lang w:eastAsia="en-US"/>
        </w:rPr>
        <w:t>Permittees shall not exceed the sum (S) of one (1) as defined below:</w:t>
      </w:r>
    </w:p>
    <w:p w:rsidRPr="001C4D10" w:rsidR="001C4D10" w:rsidP="00CB7EB6" w:rsidRDefault="001C4D10" w14:paraId="3BB0F1B3" w14:textId="77777777">
      <w:pPr>
        <w:ind w:left="360"/>
        <w:jc w:val="center"/>
        <w:rPr>
          <w:rFonts w:cs="Arial"/>
          <w:lang w:eastAsia="en-US"/>
        </w:rPr>
      </w:pPr>
      <w:r w:rsidRPr="001C4D10">
        <w:rPr>
          <w:rFonts w:cs="Arial"/>
          <w:noProof/>
          <w:lang w:eastAsia="en-US"/>
        </w:rPr>
        <w:drawing>
          <wp:inline distT="0" distB="0" distL="0" distR="0" wp14:anchorId="633E8DCC" wp14:editId="71D2C850">
            <wp:extent cx="2648284" cy="576072"/>
            <wp:effectExtent l="0" t="0" r="0" b="0"/>
            <wp:docPr id="6" name="Picture 6" descr="Lower San Joaquin River Diazinon &amp; Chlorpyrifos WLA Equation. Sum, S, equals begin fraction C sub D divided by W Q O sub D end fraction plus open fraction, C sub C divided by W Q O sub C end fraction is less than or equal to 1.0&#10;&#10;Where, &#10;C sub D represents the diazinon concentration in micrograms per liter of point source discharge,&#10;C sub C represents the chlorpyrifos concentration in micrograms per liter of point source discharge,&#10;W Q O sub D represents the acute or chronic diazinon water quality objective (0.160 and 0.100 micrograms per liter, respectively),&#10;W Q O sub C represents the acute or chronic chlorpyrifos water quality objective (0.025 and 0.015 micrograms per liter,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231" t="10001" r="2701" b="4915"/>
                    <a:stretch/>
                  </pic:blipFill>
                  <pic:spPr bwMode="auto">
                    <a:xfrm>
                      <a:off x="0" y="0"/>
                      <a:ext cx="2844119" cy="618671"/>
                    </a:xfrm>
                    <a:prstGeom prst="rect">
                      <a:avLst/>
                    </a:prstGeom>
                    <a:noFill/>
                    <a:ln>
                      <a:noFill/>
                    </a:ln>
                    <a:extLst>
                      <a:ext uri="{53640926-AAD7-44D8-BBD7-CCE9431645EC}">
                        <a14:shadowObscured xmlns:a14="http://schemas.microsoft.com/office/drawing/2010/main"/>
                      </a:ext>
                    </a:extLst>
                  </pic:spPr>
                </pic:pic>
              </a:graphicData>
            </a:graphic>
          </wp:inline>
        </w:drawing>
      </w:r>
    </w:p>
    <w:p w:rsidRPr="001C4D10" w:rsidR="001C4D10" w:rsidP="001C4D10" w:rsidRDefault="001C4D10" w14:paraId="0E352DE2" w14:textId="77777777">
      <w:pPr>
        <w:ind w:left="1260"/>
        <w:rPr>
          <w:rFonts w:cs="Arial"/>
          <w:lang w:eastAsia="en-US"/>
        </w:rPr>
      </w:pPr>
      <w:r w:rsidRPr="001C4D10">
        <w:rPr>
          <w:rFonts w:cs="Arial"/>
          <w:lang w:eastAsia="en-US"/>
        </w:rPr>
        <w:t>Where:</w:t>
      </w:r>
    </w:p>
    <w:p w:rsidRPr="001C4D10" w:rsidR="001C4D10" w:rsidP="00B61157" w:rsidRDefault="001C4D10" w14:paraId="292DE004" w14:textId="019391A8">
      <w:pPr>
        <w:ind w:left="2790" w:hanging="1170"/>
        <w:contextualSpacing/>
        <w:rPr>
          <w:rFonts w:cs="Arial"/>
          <w:lang w:eastAsia="en-US"/>
        </w:rPr>
      </w:pPr>
      <w:r w:rsidRPr="001C4D10">
        <w:rPr>
          <w:rFonts w:cs="Arial"/>
          <w:lang w:eastAsia="en-US"/>
        </w:rPr>
        <w:t>C</w:t>
      </w:r>
      <w:r w:rsidRPr="00671B03">
        <w:rPr>
          <w:rFonts w:cs="Arial"/>
          <w:lang w:eastAsia="en-US"/>
        </w:rPr>
        <w:t>D</w:t>
      </w:r>
      <w:r w:rsidRPr="001C4D10">
        <w:rPr>
          <w:rFonts w:cs="Arial"/>
          <w:lang w:eastAsia="en-US"/>
        </w:rPr>
        <w:t xml:space="preserve"> = </w:t>
      </w:r>
      <w:r w:rsidR="00F8517C">
        <w:rPr>
          <w:rFonts w:cs="Arial"/>
          <w:lang w:eastAsia="en-US"/>
        </w:rPr>
        <w:tab/>
      </w:r>
      <w:r w:rsidRPr="001C4D10">
        <w:rPr>
          <w:rFonts w:cs="Arial"/>
          <w:lang w:eastAsia="en-US"/>
        </w:rPr>
        <w:t>diazinon concentration in micrograms per liter of point source discharge</w:t>
      </w:r>
    </w:p>
    <w:p w:rsidRPr="001C4D10" w:rsidR="001C4D10" w:rsidP="00B61157" w:rsidRDefault="001C4D10" w14:paraId="5FF7B3AC" w14:textId="15479AC6">
      <w:pPr>
        <w:ind w:left="2790" w:hanging="1170"/>
        <w:contextualSpacing/>
        <w:rPr>
          <w:rFonts w:cs="Arial"/>
          <w:lang w:eastAsia="en-US"/>
        </w:rPr>
      </w:pPr>
      <w:r w:rsidRPr="001C4D10">
        <w:rPr>
          <w:rFonts w:cs="Arial"/>
          <w:lang w:eastAsia="en-US"/>
        </w:rPr>
        <w:t>C</w:t>
      </w:r>
      <w:r w:rsidRPr="00671B03">
        <w:rPr>
          <w:rFonts w:cs="Arial"/>
          <w:lang w:eastAsia="en-US"/>
        </w:rPr>
        <w:t>C</w:t>
      </w:r>
      <w:r w:rsidRPr="001C4D10">
        <w:rPr>
          <w:rFonts w:cs="Arial"/>
          <w:lang w:eastAsia="en-US"/>
        </w:rPr>
        <w:t xml:space="preserve"> = </w:t>
      </w:r>
      <w:r w:rsidR="00F8517C">
        <w:rPr>
          <w:rFonts w:cs="Arial"/>
          <w:lang w:eastAsia="en-US"/>
        </w:rPr>
        <w:tab/>
      </w:r>
      <w:r w:rsidRPr="00671B03">
        <w:rPr>
          <w:rFonts w:cs="Arial"/>
          <w:lang w:eastAsia="en-US"/>
        </w:rPr>
        <w:t>chlorpyrifos</w:t>
      </w:r>
      <w:r w:rsidRPr="001C4D10">
        <w:rPr>
          <w:rFonts w:cs="Arial"/>
          <w:lang w:eastAsia="en-US"/>
        </w:rPr>
        <w:t xml:space="preserve"> concentration in micrograms per liter of point source discharge</w:t>
      </w:r>
    </w:p>
    <w:p w:rsidRPr="00671B03" w:rsidR="001C4D10" w:rsidP="00B61157" w:rsidRDefault="001C4D10" w14:paraId="3CB4AC7E" w14:textId="2548235D">
      <w:pPr>
        <w:tabs>
          <w:tab w:val="left" w:pos="2880"/>
        </w:tabs>
        <w:ind w:left="2790" w:hanging="1170"/>
        <w:contextualSpacing/>
        <w:rPr>
          <w:rFonts w:cs="Arial"/>
          <w:lang w:eastAsia="en-US"/>
        </w:rPr>
      </w:pPr>
      <w:r w:rsidRPr="001C4D10">
        <w:rPr>
          <w:rFonts w:cs="Arial"/>
          <w:lang w:eastAsia="en-US"/>
        </w:rPr>
        <w:t>WQO</w:t>
      </w:r>
      <w:r w:rsidRPr="00F8517C">
        <w:rPr>
          <w:rFonts w:cs="Arial"/>
          <w:vertAlign w:val="subscript"/>
          <w:lang w:eastAsia="en-US"/>
        </w:rPr>
        <w:t>D</w:t>
      </w:r>
      <w:r w:rsidRPr="001C4D10">
        <w:rPr>
          <w:rFonts w:cs="Arial"/>
          <w:lang w:eastAsia="en-US"/>
        </w:rPr>
        <w:t xml:space="preserve"> = </w:t>
      </w:r>
      <w:r w:rsidR="00726DA2">
        <w:rPr>
          <w:rFonts w:cs="Arial"/>
          <w:lang w:eastAsia="en-US"/>
        </w:rPr>
        <w:tab/>
      </w:r>
      <w:r w:rsidRPr="001C4D10">
        <w:rPr>
          <w:rFonts w:cs="Arial"/>
          <w:lang w:eastAsia="en-US"/>
        </w:rPr>
        <w:t>acute or chronic diazinon water quality objective (0.160 and 0.100 micr</w:t>
      </w:r>
      <w:r w:rsidRPr="00671B03">
        <w:rPr>
          <w:rFonts w:cs="Arial"/>
          <w:lang w:eastAsia="en-US"/>
        </w:rPr>
        <w:t>ograms per liter, respectively)</w:t>
      </w:r>
    </w:p>
    <w:p w:rsidRPr="00671B03" w:rsidR="001C4D10" w:rsidP="00B61157" w:rsidRDefault="001C4D10" w14:paraId="7A4A43E6" w14:textId="4B58D6CA">
      <w:pPr>
        <w:tabs>
          <w:tab w:val="left" w:pos="2880"/>
        </w:tabs>
        <w:ind w:left="2790" w:hanging="1170"/>
        <w:rPr>
          <w:rFonts w:cs="Arial"/>
          <w:lang w:eastAsia="en-US"/>
        </w:rPr>
      </w:pPr>
      <w:r w:rsidRPr="00671B03">
        <w:rPr>
          <w:rFonts w:cs="Arial"/>
          <w:lang w:eastAsia="en-US"/>
        </w:rPr>
        <w:t>WQO</w:t>
      </w:r>
      <w:r w:rsidRPr="00F8517C">
        <w:rPr>
          <w:rFonts w:cs="Arial"/>
          <w:vertAlign w:val="subscript"/>
          <w:lang w:eastAsia="en-US"/>
        </w:rPr>
        <w:t>C</w:t>
      </w:r>
      <w:r w:rsidRPr="00671B03">
        <w:rPr>
          <w:rFonts w:cs="Arial"/>
          <w:lang w:eastAsia="en-US"/>
        </w:rPr>
        <w:t xml:space="preserve"> = </w:t>
      </w:r>
      <w:r w:rsidR="00726DA2">
        <w:rPr>
          <w:rFonts w:cs="Arial"/>
          <w:lang w:eastAsia="en-US"/>
        </w:rPr>
        <w:tab/>
      </w:r>
      <w:r w:rsidRPr="00671B03">
        <w:rPr>
          <w:rFonts w:cs="Arial"/>
          <w:lang w:eastAsia="en-US"/>
        </w:rPr>
        <w:t>acute or chronic chlorpyrifos water quality objective. (0.025 and 0.015 micrograms per liter, respectively)</w:t>
      </w:r>
    </w:p>
    <w:p w:rsidR="001C4D10" w:rsidP="001C4D10" w:rsidRDefault="001C4D10" w14:paraId="0E1BBE80" w14:textId="1F6F4117">
      <w:pPr>
        <w:ind w:left="1260"/>
        <w:rPr>
          <w:rFonts w:cs="Arial"/>
          <w:lang w:eastAsia="en-US"/>
        </w:rPr>
      </w:pPr>
      <w:r w:rsidRPr="001C4D10">
        <w:rPr>
          <w:rFonts w:cs="Arial"/>
          <w:lang w:eastAsia="en-US"/>
        </w:rPr>
        <w:t xml:space="preserve">For the purpose of calculating the sum (S) above, non-detectable concentrations are considered to be zero. In determining compliance with the effluent limitations in Section </w:t>
      </w:r>
      <w:r w:rsidR="008966B8">
        <w:rPr>
          <w:rFonts w:cs="Arial"/>
          <w:lang w:eastAsia="en-US"/>
        </w:rPr>
        <w:t>6</w:t>
      </w:r>
      <w:r w:rsidR="0024609E">
        <w:rPr>
          <w:rFonts w:cs="Arial"/>
          <w:lang w:eastAsia="en-US"/>
        </w:rPr>
        <w:t>, Effluent Limits,</w:t>
      </w:r>
      <w:r w:rsidRPr="001C4D10">
        <w:rPr>
          <w:rFonts w:cs="Arial"/>
          <w:lang w:eastAsia="en-US"/>
        </w:rPr>
        <w:t xml:space="preserve"> of this Order related to the attainment of these wasteload allocations, the Central Valley Regional Water Board will consider data or information submitted by the Permittee regarding diazinon and chlorpyrifos inputs from sources that are outside of </w:t>
      </w:r>
      <w:r w:rsidRPr="001C4D10">
        <w:rPr>
          <w:rFonts w:cs="Arial"/>
          <w:lang w:eastAsia="en-US"/>
        </w:rPr>
        <w:t xml:space="preserve">the jurisdiction of the permitted discharge, and any applicable provisions in this Order requiring the Permittee to reduce the discharge of pollutants to the </w:t>
      </w:r>
      <w:r w:rsidR="00DF7CA1">
        <w:rPr>
          <w:rFonts w:cs="Arial"/>
          <w:lang w:eastAsia="en-US"/>
        </w:rPr>
        <w:t>Maximum Extent Practicable</w:t>
      </w:r>
      <w:r w:rsidRPr="001C4D10">
        <w:rPr>
          <w:rFonts w:cs="Arial"/>
          <w:lang w:eastAsia="en-US"/>
        </w:rPr>
        <w:t>.</w:t>
      </w:r>
    </w:p>
    <w:p w:rsidRPr="005306CB" w:rsidR="005127AA" w:rsidP="00AC0994" w:rsidRDefault="005127AA" w14:paraId="2CF23918" w14:textId="691BF593">
      <w:pPr>
        <w:ind w:left="1260"/>
        <w:rPr>
          <w:rFonts w:cs="Arial"/>
          <w:u w:val="single"/>
        </w:rPr>
      </w:pPr>
      <w:r w:rsidRPr="005306CB">
        <w:rPr>
          <w:rFonts w:cs="Arial"/>
          <w:u w:val="single"/>
        </w:rPr>
        <w:t>Demonstration of Attainment of Diazinon and Chlorpyrifos Wasteload Allocations for Diazinon and Chlorpyrifos TMDLs</w:t>
      </w:r>
      <w:r w:rsidR="008A7240">
        <w:rPr>
          <w:rFonts w:cs="Arial"/>
          <w:u w:val="single"/>
        </w:rPr>
        <w:t>:</w:t>
      </w:r>
    </w:p>
    <w:p w:rsidRPr="005306CB" w:rsidR="005127AA" w:rsidP="00AC0994" w:rsidRDefault="005127AA" w14:paraId="63850D7B" w14:textId="77777777">
      <w:pPr>
        <w:ind w:left="1260"/>
        <w:rPr>
          <w:rFonts w:cs="Arial"/>
        </w:rPr>
      </w:pPr>
      <w:r w:rsidRPr="005306CB">
        <w:rPr>
          <w:rFonts w:cs="Arial"/>
        </w:rPr>
        <w:t>Attainment of the diazinon and chlorpyrifos wasteload allocations may be demonstrated by any one of the following methods:</w:t>
      </w:r>
    </w:p>
    <w:p w:rsidRPr="005306CB" w:rsidR="005127AA" w:rsidP="00E8254E" w:rsidRDefault="005127AA" w14:paraId="026317A1" w14:textId="6A410585">
      <w:pPr>
        <w:numPr>
          <w:ilvl w:val="0"/>
          <w:numId w:val="56"/>
        </w:numPr>
        <w:ind w:left="1627"/>
        <w:rPr>
          <w:rFonts w:cs="Arial"/>
        </w:rPr>
      </w:pPr>
      <w:r w:rsidRPr="005306CB">
        <w:rPr>
          <w:rFonts w:cs="Arial"/>
        </w:rPr>
        <w:t>Submission of receiving water monitoring and/or other information, as authorized by the Executive Officer, that reasonably demonstrates attainment with the</w:t>
      </w:r>
      <w:r w:rsidR="005A0069">
        <w:rPr>
          <w:rFonts w:cs="Arial"/>
        </w:rPr>
        <w:t xml:space="preserve"> </w:t>
      </w:r>
      <w:r w:rsidR="002D1420">
        <w:rPr>
          <w:rFonts w:cs="Arial"/>
        </w:rPr>
        <w:t xml:space="preserve">wasteload allocation </w:t>
      </w:r>
      <w:r w:rsidRPr="005306CB">
        <w:rPr>
          <w:rFonts w:cs="Arial"/>
        </w:rPr>
        <w:t>.</w:t>
      </w:r>
    </w:p>
    <w:p w:rsidRPr="005306CB" w:rsidR="005127AA" w:rsidP="00E8254E" w:rsidRDefault="005127AA" w14:paraId="2E8E3D34" w14:textId="7E383061">
      <w:pPr>
        <w:numPr>
          <w:ilvl w:val="0"/>
          <w:numId w:val="56"/>
        </w:numPr>
        <w:ind w:left="1627"/>
        <w:rPr>
          <w:rFonts w:cs="Arial"/>
        </w:rPr>
      </w:pPr>
      <w:r w:rsidRPr="005306CB">
        <w:rPr>
          <w:rFonts w:cs="Arial"/>
        </w:rPr>
        <w:t>Attainment of</w:t>
      </w:r>
      <w:r w:rsidR="005A0069">
        <w:rPr>
          <w:rFonts w:cs="Arial"/>
        </w:rPr>
        <w:t xml:space="preserve"> </w:t>
      </w:r>
      <w:r w:rsidR="002D1420">
        <w:rPr>
          <w:rFonts w:cs="Arial"/>
        </w:rPr>
        <w:t>wasteload allocation</w:t>
      </w:r>
      <w:r w:rsidRPr="005306CB">
        <w:rPr>
          <w:rFonts w:cs="Arial"/>
        </w:rPr>
        <w:t>s within the discharge (monitoring representative of the MS4 discharge may be used with Executive Officer approval).</w:t>
      </w:r>
    </w:p>
    <w:p w:rsidRPr="005306CB" w:rsidR="005127AA" w:rsidP="00E8254E" w:rsidRDefault="005127AA" w14:paraId="21CEB2D6" w14:textId="77777777">
      <w:pPr>
        <w:numPr>
          <w:ilvl w:val="0"/>
          <w:numId w:val="56"/>
        </w:numPr>
        <w:ind w:left="1627"/>
        <w:rPr>
          <w:rFonts w:cs="Arial"/>
        </w:rPr>
      </w:pPr>
      <w:r w:rsidRPr="005306CB">
        <w:rPr>
          <w:rFonts w:cs="Arial"/>
        </w:rPr>
        <w:t xml:space="preserve">Permanent cessation of discharges from the Permittee’s MS4 to receiving waters. </w:t>
      </w:r>
    </w:p>
    <w:p w:rsidRPr="001C4D10" w:rsidR="005127AA" w:rsidP="00AC0994" w:rsidRDefault="005127AA" w14:paraId="778E6629" w14:textId="4A535EE3">
      <w:pPr>
        <w:ind w:left="1260"/>
        <w:rPr>
          <w:rFonts w:cs="Arial"/>
          <w:lang w:eastAsia="en-US"/>
        </w:rPr>
      </w:pPr>
      <w:r w:rsidRPr="005306CB">
        <w:rPr>
          <w:rFonts w:cs="Arial"/>
        </w:rPr>
        <w:t>Permittees that have not demonstrated achievement of the</w:t>
      </w:r>
      <w:r w:rsidR="005A0069">
        <w:rPr>
          <w:rFonts w:cs="Arial"/>
        </w:rPr>
        <w:t xml:space="preserve"> </w:t>
      </w:r>
      <w:r w:rsidR="002D1420">
        <w:rPr>
          <w:rFonts w:cs="Arial"/>
        </w:rPr>
        <w:t>wasteload allocations</w:t>
      </w:r>
      <w:r w:rsidR="005A0069">
        <w:rPr>
          <w:rFonts w:cs="Arial"/>
        </w:rPr>
        <w:t xml:space="preserve"> </w:t>
      </w:r>
      <w:r w:rsidRPr="005306CB">
        <w:rPr>
          <w:rFonts w:cs="Arial"/>
        </w:rPr>
        <w:t>by the attainment date (</w:t>
      </w:r>
      <w:r>
        <w:rPr>
          <w:rFonts w:cs="Arial"/>
        </w:rPr>
        <w:t>August 11, 2008</w:t>
      </w:r>
      <w:r w:rsidRPr="005306CB">
        <w:rPr>
          <w:rFonts w:cs="Arial"/>
        </w:rPr>
        <w:t>) may request a Time Schedule Order from the Central Valley Water Board.</w:t>
      </w:r>
      <w:r w:rsidR="006161CE">
        <w:rPr>
          <w:rFonts w:cs="Arial"/>
        </w:rPr>
        <w:t xml:space="preserve"> </w:t>
      </w:r>
      <w:r w:rsidRPr="005306CB">
        <w:rPr>
          <w:rFonts w:cs="Arial"/>
        </w:rPr>
        <w:t>The request for a Time Schedule Order must include implementation of BMPs consistent with a Central Valley Water Board Executive Officer-approved Management Plan that outlines BMPs and a schedule to reduce discharges of diazinon and chlorpyrifos and that are capable of ultimately attaining the</w:t>
      </w:r>
      <w:r w:rsidR="005A0069">
        <w:rPr>
          <w:rFonts w:cs="Arial"/>
        </w:rPr>
        <w:t xml:space="preserve"> </w:t>
      </w:r>
      <w:r w:rsidR="002D1420">
        <w:rPr>
          <w:rFonts w:cs="Arial"/>
        </w:rPr>
        <w:t>wasteload allocations</w:t>
      </w:r>
      <w:r w:rsidR="005A0069">
        <w:rPr>
          <w:rFonts w:cs="Arial"/>
        </w:rPr>
        <w:t xml:space="preserve"> </w:t>
      </w:r>
      <w:r w:rsidRPr="005306CB">
        <w:rPr>
          <w:rFonts w:cs="Arial"/>
        </w:rPr>
        <w:t xml:space="preserve">is required. The Central Valley Water Board’s issuance of a Time Schedule Order </w:t>
      </w:r>
      <w:r w:rsidR="005C1C22">
        <w:rPr>
          <w:rFonts w:cs="Arial"/>
        </w:rPr>
        <w:t xml:space="preserve">may establish an implementation schedule </w:t>
      </w:r>
      <w:r w:rsidRPr="005306CB">
        <w:rPr>
          <w:rFonts w:cs="Arial"/>
        </w:rPr>
        <w:t>for the Permittee to comply with the TMDL requirements and will supersede the deadlines referenced in this Order.</w:t>
      </w:r>
    </w:p>
    <w:p w:rsidR="000F006D" w:rsidP="000F006D" w:rsidRDefault="000F006D" w14:paraId="53D6B8C5" w14:textId="08A55C5E">
      <w:pPr>
        <w:ind w:left="1260"/>
        <w:rPr>
          <w:rFonts w:cs="Arial"/>
        </w:rPr>
      </w:pPr>
      <w:r>
        <w:rPr>
          <w:rFonts w:cs="Arial"/>
          <w:b/>
          <w:bCs/>
        </w:rPr>
        <w:t xml:space="preserve">Final Compliance Deadline: </w:t>
      </w:r>
      <w:r w:rsidRPr="00D52F4F">
        <w:rPr>
          <w:rFonts w:cs="Arial"/>
        </w:rPr>
        <w:t xml:space="preserve">The </w:t>
      </w:r>
      <w:r>
        <w:rPr>
          <w:rFonts w:cs="Arial"/>
        </w:rPr>
        <w:t xml:space="preserve">final compliance </w:t>
      </w:r>
      <w:r w:rsidRPr="00D52F4F">
        <w:rPr>
          <w:rFonts w:cs="Arial"/>
        </w:rPr>
        <w:t xml:space="preserve">deadline was August 11, 2008. </w:t>
      </w:r>
      <w:r w:rsidRPr="00987AB5">
        <w:rPr>
          <w:rFonts w:cs="Arial"/>
        </w:rPr>
        <w:t>If the deadline has not been met, the Permittee</w:t>
      </w:r>
      <w:r>
        <w:rPr>
          <w:rFonts w:cs="Arial"/>
        </w:rPr>
        <w:t>s</w:t>
      </w:r>
      <w:r w:rsidRPr="00987AB5">
        <w:rPr>
          <w:rFonts w:cs="Arial"/>
        </w:rPr>
        <w:t xml:space="preserve"> may request a time schedule order from the </w:t>
      </w:r>
      <w:r>
        <w:rPr>
          <w:rFonts w:cs="Arial"/>
        </w:rPr>
        <w:t>Central Valley</w:t>
      </w:r>
      <w:r w:rsidRPr="00987AB5">
        <w:rPr>
          <w:rFonts w:cs="Arial"/>
        </w:rPr>
        <w:t xml:space="preserve"> Water Board Executive Officer, which </w:t>
      </w:r>
      <w:r w:rsidR="005C1C22">
        <w:rPr>
          <w:rFonts w:cs="Arial"/>
        </w:rPr>
        <w:t xml:space="preserve">may establish an implementation schedule </w:t>
      </w:r>
      <w:r w:rsidRPr="00987AB5">
        <w:rPr>
          <w:rFonts w:cs="Arial"/>
        </w:rPr>
        <w:t>for the Permittee to comply with the TMDL requirements, and will supersede the deadlines referenced in this Order.</w:t>
      </w:r>
    </w:p>
    <w:p w:rsidRPr="00D52F4F" w:rsidR="005127AA" w:rsidP="000F006D" w:rsidRDefault="00422B42" w14:paraId="3C820431" w14:textId="0EE758CD">
      <w:pPr>
        <w:ind w:left="1260"/>
        <w:rPr>
          <w:rFonts w:cs="Arial"/>
        </w:rPr>
      </w:pPr>
      <w:r w:rsidRPr="00422B42">
        <w:rPr>
          <w:rFonts w:cs="Arial"/>
        </w:rPr>
        <w:t>On September 10, 2020, the Central Valley Water Board determined that the Permittees have demonstrated attainment of the diazinon and chlorpyrifos wasteload allocations.</w:t>
      </w:r>
      <w:r w:rsidR="006161CE">
        <w:rPr>
          <w:rFonts w:cs="Arial"/>
        </w:rPr>
        <w:t xml:space="preserve"> </w:t>
      </w:r>
      <w:r w:rsidRPr="00422B42">
        <w:rPr>
          <w:rFonts w:cs="Arial"/>
        </w:rPr>
        <w:t>Further monitoring and reporting by the Permittees are no longer required.</w:t>
      </w:r>
      <w:r w:rsidR="006161CE">
        <w:rPr>
          <w:rFonts w:cs="Arial"/>
        </w:rPr>
        <w:t xml:space="preserve"> </w:t>
      </w:r>
      <w:r w:rsidRPr="00422B42">
        <w:rPr>
          <w:rFonts w:cs="Arial"/>
        </w:rPr>
        <w:t xml:space="preserve">The Permittees must continue to implement existing and appropriate </w:t>
      </w:r>
      <w:r w:rsidR="000A2877">
        <w:rPr>
          <w:rFonts w:cs="Arial"/>
        </w:rPr>
        <w:t>BMPs</w:t>
      </w:r>
      <w:r w:rsidRPr="00422B42">
        <w:rPr>
          <w:rFonts w:cs="Arial"/>
        </w:rPr>
        <w:t xml:space="preserve"> in their </w:t>
      </w:r>
      <w:r w:rsidR="00977F06">
        <w:rPr>
          <w:rFonts w:cs="Arial"/>
        </w:rPr>
        <w:t>stormwater</w:t>
      </w:r>
      <w:r w:rsidRPr="00422B42">
        <w:rPr>
          <w:rFonts w:cs="Arial"/>
        </w:rPr>
        <w:t xml:space="preserve"> programs to eliminate diazinon and chlorpyrifos in municipal </w:t>
      </w:r>
      <w:r w:rsidR="00977F06">
        <w:rPr>
          <w:rFonts w:cs="Arial"/>
        </w:rPr>
        <w:t>stormwater</w:t>
      </w:r>
      <w:r w:rsidRPr="00422B42">
        <w:rPr>
          <w:rFonts w:cs="Arial"/>
        </w:rPr>
        <w:t xml:space="preserve"> discharges and comply with Section 6</w:t>
      </w:r>
      <w:r w:rsidR="003147C2">
        <w:rPr>
          <w:rFonts w:cs="Arial"/>
        </w:rPr>
        <w:t>, Effluent Limits,</w:t>
      </w:r>
      <w:r w:rsidRPr="00422B42">
        <w:rPr>
          <w:rFonts w:cs="Arial"/>
        </w:rPr>
        <w:t xml:space="preserve"> of the Order.</w:t>
      </w:r>
      <w:r w:rsidR="006161CE">
        <w:rPr>
          <w:rFonts w:cs="Arial"/>
        </w:rPr>
        <w:t xml:space="preserve"> </w:t>
      </w:r>
    </w:p>
    <w:p w:rsidRPr="000D48DD" w:rsidR="001C4D10" w:rsidP="000D48DD" w:rsidRDefault="00836361" w14:paraId="05B4F1D6" w14:textId="31398448">
      <w:pPr>
        <w:pStyle w:val="Heading3"/>
        <w:tabs>
          <w:tab w:val="clear" w:pos="720"/>
          <w:tab w:val="left" w:pos="1260"/>
        </w:tabs>
        <w:ind w:left="1260" w:hanging="1260"/>
        <w:rPr>
          <w:i/>
          <w:iCs/>
        </w:rPr>
      </w:pPr>
      <w:r>
        <w:rPr>
          <w:i/>
          <w:iCs/>
        </w:rPr>
        <w:t>A13</w:t>
      </w:r>
      <w:r w:rsidRPr="000D48DD" w:rsidR="00852145">
        <w:rPr>
          <w:i/>
          <w:iCs/>
        </w:rPr>
        <w:t>.5.</w:t>
      </w:r>
      <w:r w:rsidRPr="000D48DD" w:rsidR="001C4D10">
        <w:rPr>
          <w:i/>
          <w:iCs/>
        </w:rPr>
        <w:t>4</w:t>
      </w:r>
      <w:r w:rsidRPr="000D48DD" w:rsidR="001C4D10">
        <w:rPr>
          <w:i/>
          <w:iCs/>
        </w:rPr>
        <w:tab/>
      </w:r>
      <w:r w:rsidRPr="000D48DD" w:rsidR="00196E82">
        <w:rPr>
          <w:i/>
          <w:iCs/>
        </w:rPr>
        <w:t xml:space="preserve">TMDL for Low Dissolved Oxygen in the </w:t>
      </w:r>
      <w:r w:rsidR="00661D71">
        <w:rPr>
          <w:i/>
          <w:iCs/>
        </w:rPr>
        <w:t xml:space="preserve">San Joaquin River </w:t>
      </w:r>
      <w:r w:rsidR="00125BD6">
        <w:rPr>
          <w:i/>
          <w:iCs/>
        </w:rPr>
        <w:t xml:space="preserve">Stockton Deep Water </w:t>
      </w:r>
      <w:r w:rsidR="00510A0D">
        <w:rPr>
          <w:i/>
          <w:iCs/>
        </w:rPr>
        <w:t>Ship Channel</w:t>
      </w:r>
    </w:p>
    <w:p w:rsidRPr="00935C00" w:rsidR="005B5A46" w:rsidP="005B5A46" w:rsidRDefault="005B5A46" w14:paraId="18CB4E94" w14:textId="6A1BB8FE">
      <w:pPr>
        <w:ind w:left="1260"/>
        <w:rPr>
          <w:rFonts w:cs="Arial"/>
        </w:rPr>
      </w:pPr>
      <w:r>
        <w:rPr>
          <w:rFonts w:cs="Arial"/>
          <w:b/>
          <w:bCs/>
        </w:rPr>
        <w:t xml:space="preserve">Description: </w:t>
      </w:r>
      <w:r w:rsidR="00766ACF">
        <w:rPr>
          <w:rFonts w:cs="Arial"/>
        </w:rPr>
        <w:t>USEPA</w:t>
      </w:r>
      <w:r w:rsidR="00C56C92">
        <w:rPr>
          <w:rFonts w:cs="Arial"/>
        </w:rPr>
        <w:t xml:space="preserve"> </w:t>
      </w:r>
      <w:r>
        <w:rPr>
          <w:rFonts w:cs="Arial"/>
        </w:rPr>
        <w:t>approved the TMDL for Low Dissolved Oxygen in the San Joaquin River on February 27, 2007. The Stockton Deep Water Ship Channel portion of the San Joaquin River is impaired by low dissolved oxygen, which can affect aquatic life.</w:t>
      </w:r>
      <w:r w:rsidR="006161CE">
        <w:rPr>
          <w:rFonts w:cs="Arial"/>
        </w:rPr>
        <w:t xml:space="preserve"> </w:t>
      </w:r>
    </w:p>
    <w:p w:rsidRPr="00D52F4F" w:rsidR="005B5A46" w:rsidP="005B5A46" w:rsidRDefault="005B5A46" w14:paraId="4A924EFE" w14:textId="565F4CA8">
      <w:pPr>
        <w:ind w:left="1260"/>
        <w:rPr>
          <w:rFonts w:cs="Arial"/>
        </w:rPr>
      </w:pPr>
      <w:r w:rsidRPr="006A53D3">
        <w:rPr>
          <w:b/>
        </w:rPr>
        <w:t>Responsible Permit</w:t>
      </w:r>
      <w:r>
        <w:rPr>
          <w:b/>
        </w:rPr>
        <w:t>t</w:t>
      </w:r>
      <w:r w:rsidRPr="006A53D3">
        <w:rPr>
          <w:b/>
        </w:rPr>
        <w:t>ees</w:t>
      </w:r>
      <w:r w:rsidRPr="00315677">
        <w:rPr>
          <w:b/>
        </w:rPr>
        <w:t>:</w:t>
      </w:r>
      <w:r w:rsidRPr="00D52F4F">
        <w:rPr>
          <w:b/>
          <w:bCs/>
        </w:rPr>
        <w:t xml:space="preserve"> </w:t>
      </w:r>
      <w:r w:rsidRPr="00F711E3" w:rsidR="00707145">
        <w:rPr>
          <w:rFonts w:cs="Arial"/>
        </w:rPr>
        <w:t>City of Atwater</w:t>
      </w:r>
      <w:r w:rsidR="00707145">
        <w:rPr>
          <w:rFonts w:cs="Arial"/>
        </w:rPr>
        <w:t>,</w:t>
      </w:r>
      <w:r w:rsidRPr="00F711E3" w:rsidR="00707145">
        <w:rPr>
          <w:rFonts w:cs="Arial"/>
        </w:rPr>
        <w:t xml:space="preserve"> City of Ceres</w:t>
      </w:r>
      <w:r w:rsidR="00707145">
        <w:rPr>
          <w:rFonts w:cs="Arial"/>
        </w:rPr>
        <w:t>,</w:t>
      </w:r>
      <w:r w:rsidRPr="00F711E3" w:rsidR="00707145">
        <w:rPr>
          <w:rFonts w:cs="Arial"/>
        </w:rPr>
        <w:t xml:space="preserve"> City of Escalon</w:t>
      </w:r>
      <w:r w:rsidR="00707145">
        <w:rPr>
          <w:rFonts w:cs="Arial"/>
        </w:rPr>
        <w:t>,</w:t>
      </w:r>
      <w:r w:rsidRPr="00F711E3" w:rsidR="00707145">
        <w:rPr>
          <w:rFonts w:cs="Arial"/>
        </w:rPr>
        <w:t xml:space="preserve"> City of Hughson</w:t>
      </w:r>
      <w:r w:rsidR="00707145">
        <w:rPr>
          <w:rFonts w:cs="Arial"/>
        </w:rPr>
        <w:t>,</w:t>
      </w:r>
      <w:r w:rsidRPr="00F711E3" w:rsidR="00707145">
        <w:rPr>
          <w:rFonts w:cs="Arial"/>
        </w:rPr>
        <w:t xml:space="preserve"> City of Lathrop</w:t>
      </w:r>
      <w:r w:rsidR="00707145">
        <w:rPr>
          <w:rFonts w:cs="Arial"/>
        </w:rPr>
        <w:t>,</w:t>
      </w:r>
      <w:r w:rsidRPr="00F711E3" w:rsidR="00707145">
        <w:rPr>
          <w:rFonts w:cs="Arial"/>
        </w:rPr>
        <w:t xml:space="preserve"> City of Livingston</w:t>
      </w:r>
      <w:r w:rsidR="00707145">
        <w:rPr>
          <w:rFonts w:cs="Arial"/>
        </w:rPr>
        <w:t>,</w:t>
      </w:r>
      <w:r w:rsidRPr="00F711E3" w:rsidR="00707145">
        <w:rPr>
          <w:rFonts w:cs="Arial"/>
        </w:rPr>
        <w:t xml:space="preserve"> City of Los Banos</w:t>
      </w:r>
      <w:r w:rsidR="00707145">
        <w:rPr>
          <w:rFonts w:cs="Arial"/>
        </w:rPr>
        <w:t>,</w:t>
      </w:r>
      <w:r w:rsidRPr="00F711E3" w:rsidR="00707145">
        <w:rPr>
          <w:rFonts w:cs="Arial"/>
        </w:rPr>
        <w:t xml:space="preserve"> City of Manteca</w:t>
      </w:r>
      <w:r w:rsidR="00707145">
        <w:rPr>
          <w:rFonts w:cs="Arial"/>
        </w:rPr>
        <w:t>,</w:t>
      </w:r>
      <w:r w:rsidRPr="00F711E3" w:rsidR="00707145">
        <w:rPr>
          <w:rFonts w:cs="Arial"/>
        </w:rPr>
        <w:t xml:space="preserve"> City of Merced</w:t>
      </w:r>
      <w:r w:rsidR="00707145">
        <w:rPr>
          <w:rFonts w:cs="Arial"/>
        </w:rPr>
        <w:t>,</w:t>
      </w:r>
      <w:r w:rsidRPr="00F711E3" w:rsidR="00707145">
        <w:rPr>
          <w:rFonts w:cs="Arial"/>
        </w:rPr>
        <w:t xml:space="preserve"> City of Newman</w:t>
      </w:r>
      <w:r w:rsidR="00707145">
        <w:rPr>
          <w:rFonts w:cs="Arial"/>
        </w:rPr>
        <w:t>,</w:t>
      </w:r>
      <w:r w:rsidRPr="00F711E3" w:rsidR="00707145">
        <w:rPr>
          <w:rFonts w:cs="Arial"/>
        </w:rPr>
        <w:t xml:space="preserve"> City of Oakdale</w:t>
      </w:r>
      <w:r w:rsidR="00707145">
        <w:rPr>
          <w:rFonts w:cs="Arial"/>
        </w:rPr>
        <w:t>,</w:t>
      </w:r>
      <w:r w:rsidRPr="00F711E3" w:rsidR="00707145">
        <w:rPr>
          <w:rFonts w:cs="Arial"/>
        </w:rPr>
        <w:t xml:space="preserve"> City of Patterson</w:t>
      </w:r>
      <w:r w:rsidR="00707145">
        <w:rPr>
          <w:rFonts w:cs="Arial"/>
        </w:rPr>
        <w:t>,</w:t>
      </w:r>
      <w:r w:rsidRPr="00F711E3" w:rsidR="00707145">
        <w:rPr>
          <w:rFonts w:cs="Arial"/>
        </w:rPr>
        <w:t xml:space="preserve"> City of Ripon</w:t>
      </w:r>
      <w:r w:rsidR="00707145">
        <w:rPr>
          <w:rFonts w:cs="Arial"/>
        </w:rPr>
        <w:t xml:space="preserve">, </w:t>
      </w:r>
      <w:r w:rsidRPr="00F711E3" w:rsidR="00707145">
        <w:rPr>
          <w:rFonts w:cs="Arial"/>
        </w:rPr>
        <w:t>City of Riverbank</w:t>
      </w:r>
      <w:r w:rsidR="00707145">
        <w:rPr>
          <w:rFonts w:cs="Arial"/>
        </w:rPr>
        <w:t xml:space="preserve">, </w:t>
      </w:r>
      <w:r w:rsidRPr="00F711E3" w:rsidR="00707145">
        <w:rPr>
          <w:rFonts w:cs="Arial"/>
        </w:rPr>
        <w:t>City of Turlock</w:t>
      </w:r>
      <w:r w:rsidR="00707145">
        <w:rPr>
          <w:rFonts w:cs="Arial"/>
        </w:rPr>
        <w:t xml:space="preserve">, County of </w:t>
      </w:r>
      <w:r w:rsidRPr="00F711E3" w:rsidR="00707145">
        <w:rPr>
          <w:rFonts w:cs="Arial"/>
        </w:rPr>
        <w:t>Merced</w:t>
      </w:r>
      <w:r w:rsidR="00707145">
        <w:rPr>
          <w:rFonts w:cs="Arial"/>
        </w:rPr>
        <w:t>,</w:t>
      </w:r>
      <w:r w:rsidRPr="00F711E3" w:rsidR="00707145">
        <w:rPr>
          <w:rFonts w:cs="Arial"/>
        </w:rPr>
        <w:t xml:space="preserve"> </w:t>
      </w:r>
      <w:r w:rsidR="00707145">
        <w:rPr>
          <w:rFonts w:cs="Arial"/>
        </w:rPr>
        <w:t xml:space="preserve">County of </w:t>
      </w:r>
      <w:r w:rsidRPr="00F711E3" w:rsidR="00707145">
        <w:rPr>
          <w:rFonts w:cs="Arial"/>
        </w:rPr>
        <w:t>Stanislaus</w:t>
      </w:r>
    </w:p>
    <w:p w:rsidRPr="001C4D10" w:rsidR="001C4D10" w:rsidP="001C4D10" w:rsidRDefault="001C4D10" w14:paraId="56CB3997" w14:textId="172FDD74">
      <w:pPr>
        <w:ind w:left="1260"/>
        <w:rPr>
          <w:rFonts w:cs="Arial"/>
          <w:lang w:eastAsia="en-US"/>
        </w:rPr>
      </w:pPr>
      <w:r w:rsidRPr="001C4D10">
        <w:rPr>
          <w:b/>
          <w:szCs w:val="20"/>
          <w:lang w:eastAsia="en-US"/>
        </w:rPr>
        <w:t>Wasteload Allocations:</w:t>
      </w:r>
      <w:r w:rsidRPr="001C4D10">
        <w:rPr>
          <w:b/>
          <w:bCs/>
          <w:szCs w:val="20"/>
          <w:lang w:eastAsia="en-US"/>
        </w:rPr>
        <w:t xml:space="preserve"> </w:t>
      </w:r>
      <w:r w:rsidRPr="002751AB" w:rsidR="002751AB">
        <w:rPr>
          <w:rFonts w:cs="Arial"/>
          <w:lang w:eastAsia="en-US"/>
        </w:rPr>
        <w:t xml:space="preserve">The San Joaquin River Dissolved Oxygen Control Program set the wasteload allocations for NPDES-permitted discharges of oxygen demanding substances and their precursors as the effluent limitations that were applicable on January 28, 2005. On January 28, 2005, the 2003 Phase II Small MS4 permit stated the following for effluent limitations in Section 6 of the Order. Effluent Limitations: Permittees must implement BMPs that reduce pollutants in stormwater to the technology-based standard of </w:t>
      </w:r>
      <w:r w:rsidR="00DF7CA1">
        <w:rPr>
          <w:rFonts w:cs="Arial"/>
          <w:lang w:eastAsia="en-US"/>
        </w:rPr>
        <w:t>Maximum Extent Practicable</w:t>
      </w:r>
      <w:r w:rsidRPr="002751AB" w:rsidR="002751AB">
        <w:rPr>
          <w:rFonts w:cs="Arial"/>
          <w:lang w:eastAsia="en-US"/>
        </w:rPr>
        <w:t xml:space="preserve">. This Order applies these limitations to discharges from MS4s maintained by the Identified Phase II Permittees listed above. In determining compliance with permit requirements related to attainment of these </w:t>
      </w:r>
      <w:r w:rsidR="00F90EEA">
        <w:rPr>
          <w:rFonts w:cs="Arial"/>
          <w:lang w:eastAsia="en-US"/>
        </w:rPr>
        <w:t>wasteload</w:t>
      </w:r>
      <w:r w:rsidRPr="002751AB" w:rsidR="002751AB">
        <w:rPr>
          <w:rFonts w:cs="Arial"/>
          <w:lang w:eastAsia="en-US"/>
        </w:rPr>
        <w:t xml:space="preserve"> allocations, credit will be given for control measures implemented after July 12, 2004.</w:t>
      </w:r>
    </w:p>
    <w:p w:rsidR="001C4D10" w:rsidP="001C4D10" w:rsidRDefault="001C4D10" w14:paraId="4D6D3709" w14:textId="77777777">
      <w:pPr>
        <w:ind w:left="1260"/>
        <w:rPr>
          <w:rFonts w:cs="Arial"/>
          <w:lang w:eastAsia="en-US"/>
        </w:rPr>
      </w:pPr>
      <w:r w:rsidRPr="001C4D10">
        <w:rPr>
          <w:rFonts w:cs="Arial"/>
          <w:lang w:eastAsia="en-US"/>
        </w:rPr>
        <w:t>The San Joaquin River Dissolved Oxygen Control Program defines oxygen demanding substances and their precursors as any substance or substances that consume, have the potential to consume, or contribute to the growth or formation of substances that consume or have the potential to consume oxygen from the water column.</w:t>
      </w:r>
    </w:p>
    <w:p w:rsidRPr="005306CB" w:rsidR="00942733" w:rsidP="00942733" w:rsidRDefault="00942733" w14:paraId="4138E6F1" w14:textId="451C20FC">
      <w:pPr>
        <w:ind w:left="1260"/>
        <w:rPr>
          <w:rFonts w:cs="Arial"/>
          <w:u w:val="single"/>
        </w:rPr>
      </w:pPr>
      <w:r w:rsidRPr="005306CB">
        <w:rPr>
          <w:rFonts w:cs="Arial"/>
          <w:u w:val="single"/>
        </w:rPr>
        <w:t>Demonstration of Compliance with Effluent Limitations Associated with Wasteload Allocations for Oxygen Demanding Substances and Their Precursors</w:t>
      </w:r>
      <w:r w:rsidR="008A7240">
        <w:rPr>
          <w:rFonts w:cs="Arial"/>
          <w:u w:val="single"/>
        </w:rPr>
        <w:t>:</w:t>
      </w:r>
    </w:p>
    <w:p w:rsidR="00942733" w:rsidP="00FC5A14" w:rsidRDefault="00942733" w14:paraId="3F007E32" w14:textId="77777777">
      <w:pPr>
        <w:ind w:left="1260"/>
        <w:rPr>
          <w:rFonts w:cs="Arial"/>
        </w:rPr>
      </w:pPr>
      <w:r w:rsidRPr="005306CB">
        <w:rPr>
          <w:rFonts w:cs="Arial"/>
        </w:rPr>
        <w:t xml:space="preserve">Compliance with the effluent limitations in Section </w:t>
      </w:r>
      <w:r>
        <w:rPr>
          <w:rFonts w:cs="Arial"/>
        </w:rPr>
        <w:t>6</w:t>
      </w:r>
      <w:r w:rsidRPr="005306CB">
        <w:rPr>
          <w:rFonts w:cs="Arial"/>
        </w:rPr>
        <w:t xml:space="preserve"> of th</w:t>
      </w:r>
      <w:r>
        <w:rPr>
          <w:rFonts w:cs="Arial"/>
        </w:rPr>
        <w:t>e</w:t>
      </w:r>
      <w:r w:rsidRPr="005306CB">
        <w:rPr>
          <w:rFonts w:cs="Arial"/>
        </w:rPr>
        <w:t xml:space="preserve"> Order associated with the wasteload allocations for oxygen demanding substances and their precursors may be demonstrated by any one of the following methods:</w:t>
      </w:r>
    </w:p>
    <w:p w:rsidR="00942733" w:rsidP="00E8254E" w:rsidRDefault="00942733" w14:paraId="10F62B6B" w14:textId="7C803864">
      <w:pPr>
        <w:pStyle w:val="ListParagraph"/>
        <w:numPr>
          <w:ilvl w:val="0"/>
          <w:numId w:val="80"/>
        </w:numPr>
        <w:ind w:left="1620"/>
        <w:contextualSpacing w:val="0"/>
        <w:rPr>
          <w:rFonts w:cs="Arial"/>
          <w:szCs w:val="24"/>
        </w:rPr>
      </w:pPr>
      <w:r w:rsidRPr="005306CB">
        <w:rPr>
          <w:rFonts w:cs="Arial"/>
          <w:szCs w:val="24"/>
        </w:rPr>
        <w:t>Receiving water monitoring and/or other information, as authorized by the Central Valley Water Board Executive Officer, that reasonably demonstrates attainment with the</w:t>
      </w:r>
      <w:r w:rsidR="005A0069">
        <w:rPr>
          <w:rFonts w:cs="Arial"/>
          <w:szCs w:val="24"/>
        </w:rPr>
        <w:t xml:space="preserve"> </w:t>
      </w:r>
      <w:r w:rsidR="002D1420">
        <w:rPr>
          <w:rFonts w:cs="Arial"/>
          <w:szCs w:val="24"/>
        </w:rPr>
        <w:t xml:space="preserve">wasteload allocations </w:t>
      </w:r>
      <w:r w:rsidRPr="005306CB">
        <w:rPr>
          <w:rFonts w:cs="Arial"/>
          <w:szCs w:val="24"/>
        </w:rPr>
        <w:t>.</w:t>
      </w:r>
    </w:p>
    <w:p w:rsidRPr="00942733" w:rsidR="002751AB" w:rsidP="00E8254E" w:rsidRDefault="00942733" w14:paraId="485B6A5A" w14:textId="3E0A51F2">
      <w:pPr>
        <w:pStyle w:val="ListParagraph"/>
        <w:numPr>
          <w:ilvl w:val="0"/>
          <w:numId w:val="80"/>
        </w:numPr>
        <w:ind w:left="1620"/>
        <w:contextualSpacing w:val="0"/>
        <w:rPr>
          <w:rFonts w:cs="Arial"/>
          <w:szCs w:val="24"/>
        </w:rPr>
      </w:pPr>
      <w:r w:rsidRPr="005306CB">
        <w:rPr>
          <w:rFonts w:cs="Arial"/>
          <w:szCs w:val="24"/>
        </w:rPr>
        <w:t>Permanent cessation of discharges from the Permittee’s MS4 to receiving waters.</w:t>
      </w:r>
    </w:p>
    <w:p w:rsidR="00B62362" w:rsidP="00FC5A14" w:rsidRDefault="00B62362" w14:paraId="533B1494" w14:textId="496379F0">
      <w:pPr>
        <w:ind w:left="1260"/>
        <w:rPr>
          <w:rFonts w:cs="Arial"/>
        </w:rPr>
      </w:pPr>
      <w:r>
        <w:rPr>
          <w:rFonts w:cs="Arial"/>
          <w:b/>
          <w:bCs/>
        </w:rPr>
        <w:t xml:space="preserve">Final Compliance Deadline: </w:t>
      </w:r>
      <w:r w:rsidRPr="00D52F4F">
        <w:rPr>
          <w:rFonts w:cs="Arial"/>
        </w:rPr>
        <w:t xml:space="preserve">The </w:t>
      </w:r>
      <w:r>
        <w:rPr>
          <w:rFonts w:cs="Arial"/>
        </w:rPr>
        <w:t xml:space="preserve">final compliance </w:t>
      </w:r>
      <w:r w:rsidRPr="00D52F4F">
        <w:rPr>
          <w:rFonts w:cs="Arial"/>
        </w:rPr>
        <w:t xml:space="preserve">deadline was December 31, 2011. </w:t>
      </w:r>
      <w:r w:rsidRPr="001E73B8">
        <w:rPr>
          <w:rFonts w:cs="Arial"/>
        </w:rPr>
        <w:t xml:space="preserve">If the deadline has not been met, the Permittee may request a time schedule order from the </w:t>
      </w:r>
      <w:r>
        <w:rPr>
          <w:rFonts w:cs="Arial"/>
        </w:rPr>
        <w:t>Central Valley</w:t>
      </w:r>
      <w:r w:rsidRPr="001E73B8">
        <w:rPr>
          <w:rFonts w:cs="Arial"/>
        </w:rPr>
        <w:t xml:space="preserve"> Water Board Executive Officer, which </w:t>
      </w:r>
      <w:r w:rsidR="009F2B0F">
        <w:rPr>
          <w:rFonts w:cs="Arial"/>
        </w:rPr>
        <w:t>may</w:t>
      </w:r>
      <w:r w:rsidRPr="001E73B8">
        <w:rPr>
          <w:rFonts w:cs="Arial"/>
        </w:rPr>
        <w:t xml:space="preserve"> establish an implementation schedule for the Permittee to comply with the TMDL requirements, and will supersede the deadlines referenced in this Order.</w:t>
      </w:r>
    </w:p>
    <w:p w:rsidRPr="00D52F4F" w:rsidR="006376AD" w:rsidP="006376AD" w:rsidRDefault="006376AD" w14:paraId="1EC6CA35" w14:textId="2FAF7E24">
      <w:pPr>
        <w:ind w:left="1260"/>
        <w:rPr>
          <w:rFonts w:cs="Arial"/>
        </w:rPr>
      </w:pPr>
      <w:r w:rsidRPr="005306CB">
        <w:rPr>
          <w:rFonts w:cs="Arial"/>
        </w:rPr>
        <w:t xml:space="preserve">On June 7, 2021, the Central Valley Water Board determined that the Permittees have demonstrated attainment of the dissolved oxygen wasteload allocations. Permittees must continue to implement existing and appropriate </w:t>
      </w:r>
      <w:r w:rsidR="000A2877">
        <w:rPr>
          <w:rFonts w:cs="Arial"/>
        </w:rPr>
        <w:t>BMPs</w:t>
      </w:r>
      <w:r w:rsidRPr="005306CB">
        <w:rPr>
          <w:rFonts w:cs="Arial"/>
        </w:rPr>
        <w:t xml:space="preserve"> in their </w:t>
      </w:r>
      <w:r w:rsidR="00977F06">
        <w:rPr>
          <w:rFonts w:cs="Arial"/>
        </w:rPr>
        <w:t>stormwater</w:t>
      </w:r>
      <w:r w:rsidRPr="005306CB">
        <w:rPr>
          <w:rFonts w:cs="Arial"/>
        </w:rPr>
        <w:t xml:space="preserve"> programs to eliminate causes and contributions to organic enrichment and low dissolved oxygen in municipal </w:t>
      </w:r>
      <w:r w:rsidR="00977F06">
        <w:rPr>
          <w:rFonts w:cs="Arial"/>
        </w:rPr>
        <w:t>stormwater</w:t>
      </w:r>
      <w:r w:rsidRPr="005306CB">
        <w:rPr>
          <w:rFonts w:cs="Arial"/>
        </w:rPr>
        <w:t xml:space="preserve"> discharges and comply with </w:t>
      </w:r>
      <w:r w:rsidR="00845AA8">
        <w:rPr>
          <w:rFonts w:cs="Arial"/>
        </w:rPr>
        <w:t>Attachment G</w:t>
      </w:r>
      <w:r w:rsidRPr="005306CB">
        <w:rPr>
          <w:rFonts w:cs="Arial"/>
        </w:rPr>
        <w:t xml:space="preserve"> of th</w:t>
      </w:r>
      <w:r w:rsidR="00845AA8">
        <w:rPr>
          <w:rFonts w:cs="Arial"/>
        </w:rPr>
        <w:t>is</w:t>
      </w:r>
      <w:r w:rsidRPr="005306CB">
        <w:rPr>
          <w:rFonts w:cs="Arial"/>
        </w:rPr>
        <w:t xml:space="preserve"> Order. Should operations of the Aeration Facility cease, its effectiveness be reduced, or the Basin Plan water quality objectives otherwise not be met, the Permittees will be required to implement additional monitoring, reporting, and/or controls to maintain Permit compliance.</w:t>
      </w:r>
    </w:p>
    <w:p w:rsidRPr="000D48DD" w:rsidR="001C4D10" w:rsidP="000D48DD" w:rsidRDefault="00836361" w14:paraId="7A1F5555" w14:textId="1CDB198D">
      <w:pPr>
        <w:pStyle w:val="Heading3"/>
        <w:tabs>
          <w:tab w:val="clear" w:pos="720"/>
          <w:tab w:val="left" w:pos="1260"/>
        </w:tabs>
        <w:ind w:left="1260" w:hanging="1260"/>
        <w:rPr>
          <w:i/>
          <w:iCs/>
        </w:rPr>
      </w:pPr>
      <w:r>
        <w:rPr>
          <w:i/>
          <w:iCs/>
        </w:rPr>
        <w:t>A13</w:t>
      </w:r>
      <w:r w:rsidRPr="000D48DD" w:rsidR="00852145">
        <w:rPr>
          <w:i/>
          <w:iCs/>
        </w:rPr>
        <w:t>.5.5</w:t>
      </w:r>
      <w:r w:rsidRPr="000D48DD" w:rsidR="001C4D10">
        <w:rPr>
          <w:i/>
          <w:iCs/>
        </w:rPr>
        <w:tab/>
      </w:r>
      <w:r w:rsidRPr="000D48DD" w:rsidR="000E33B6">
        <w:rPr>
          <w:i/>
          <w:iCs/>
        </w:rPr>
        <w:t>Sacramento-San Joaquin Delta Methylmercury TMDL</w:t>
      </w:r>
    </w:p>
    <w:p w:rsidRPr="00935C00" w:rsidR="008A1FD0" w:rsidP="008A1FD0" w:rsidRDefault="008A1FD0" w14:paraId="74EB5326" w14:textId="4494E661">
      <w:pPr>
        <w:ind w:left="1260"/>
        <w:rPr>
          <w:rFonts w:cs="Arial"/>
        </w:rPr>
      </w:pPr>
      <w:r>
        <w:rPr>
          <w:rFonts w:cs="Arial"/>
          <w:b/>
          <w:bCs/>
        </w:rPr>
        <w:t xml:space="preserve">Description: </w:t>
      </w:r>
      <w:r w:rsidR="00766ACF">
        <w:rPr>
          <w:rFonts w:cs="Arial"/>
        </w:rPr>
        <w:t>USEPA</w:t>
      </w:r>
      <w:r w:rsidR="00C56C92">
        <w:rPr>
          <w:rFonts w:cs="Arial"/>
        </w:rPr>
        <w:t xml:space="preserve"> </w:t>
      </w:r>
      <w:r>
        <w:rPr>
          <w:rFonts w:cs="Arial"/>
        </w:rPr>
        <w:t xml:space="preserve">approved the Sacramento-San Joaquin Delta Methylmercury TMDL on October 20, 2011. </w:t>
      </w:r>
    </w:p>
    <w:p w:rsidRPr="001C4D10" w:rsidR="001C4D10" w:rsidP="001C4D10" w:rsidRDefault="001C4D10" w14:paraId="43B9FD0B" w14:textId="5260026F">
      <w:pPr>
        <w:ind w:left="1260"/>
        <w:rPr>
          <w:rFonts w:cs="Arial"/>
          <w:lang w:eastAsia="en-US"/>
        </w:rPr>
      </w:pPr>
      <w:r w:rsidRPr="001C4D10">
        <w:rPr>
          <w:rFonts w:cs="Arial"/>
          <w:lang w:eastAsia="en-US"/>
        </w:rPr>
        <w:t>Mercury in the Central Valley comes primarily from historic mercury and gold mines and from resuspension of contaminated material in stream beds and banks downstream of the mines, as well as from modern sources such as atmospheric deposition from local and global sources, wastewater treatment plants, and urban runoff. Methylmercury, the most toxic form of mercury, forms primarily by sulfate reducing bacteria methylating inorganic mercury. Sources of methylmercury include methylmercury flux from sediment in open water and wetland habitats, urban runoff, irrigated agriculture, and wastewater treatment plants. Water management activities, including water storage, conveyance, and flood control, can affect the transport of mercury and the production and transport of methylmercury.</w:t>
      </w:r>
    </w:p>
    <w:p w:rsidRPr="00D52F4F" w:rsidR="00FD0040" w:rsidP="00FD0040" w:rsidRDefault="00FD0040" w14:paraId="1DC58C53" w14:textId="1755C05C">
      <w:pPr>
        <w:ind w:left="1260"/>
        <w:rPr>
          <w:rFonts w:cs="Arial"/>
        </w:rPr>
      </w:pPr>
      <w:r w:rsidRPr="006A53D3">
        <w:rPr>
          <w:b/>
        </w:rPr>
        <w:t>Responsible Permit</w:t>
      </w:r>
      <w:r>
        <w:rPr>
          <w:b/>
        </w:rPr>
        <w:t>t</w:t>
      </w:r>
      <w:r w:rsidRPr="006A53D3">
        <w:rPr>
          <w:b/>
        </w:rPr>
        <w:t>ees</w:t>
      </w:r>
      <w:r w:rsidRPr="00315677">
        <w:rPr>
          <w:b/>
        </w:rPr>
        <w:t>:</w:t>
      </w:r>
      <w:r w:rsidRPr="00D52F4F">
        <w:rPr>
          <w:b/>
          <w:bCs/>
        </w:rPr>
        <w:t xml:space="preserve"> </w:t>
      </w:r>
      <w:r w:rsidRPr="007D28AD">
        <w:rPr>
          <w:rFonts w:cs="Arial"/>
        </w:rPr>
        <w:t xml:space="preserve">City of Lathrop, City of Lodi, City of Rio Vista, City of Tracy, City of West Sacramento, </w:t>
      </w:r>
      <w:r w:rsidRPr="007D28AD" w:rsidDel="00466EC3">
        <w:rPr>
          <w:rFonts w:cs="Arial"/>
        </w:rPr>
        <w:t xml:space="preserve">County of </w:t>
      </w:r>
      <w:r w:rsidRPr="007D28AD">
        <w:rPr>
          <w:rFonts w:cs="Arial"/>
        </w:rPr>
        <w:t>Yolo.</w:t>
      </w:r>
    </w:p>
    <w:p w:rsidRPr="001C4D10" w:rsidR="001C4D10" w:rsidP="00B3271E" w:rsidRDefault="001C4D10" w14:paraId="09C35903" w14:textId="77777777">
      <w:pPr>
        <w:ind w:left="1267"/>
        <w:rPr>
          <w:rFonts w:cs="Arial"/>
          <w:lang w:eastAsia="en-US"/>
        </w:rPr>
      </w:pPr>
      <w:r w:rsidRPr="001C4D10">
        <w:rPr>
          <w:b/>
          <w:szCs w:val="20"/>
          <w:lang w:eastAsia="en-US"/>
        </w:rPr>
        <w:t>Wasteload Allocations:</w:t>
      </w:r>
      <w:r w:rsidRPr="001C4D10">
        <w:rPr>
          <w:b/>
          <w:bCs/>
          <w:szCs w:val="20"/>
          <w:lang w:eastAsia="en-US"/>
        </w:rPr>
        <w:t xml:space="preserve"> </w:t>
      </w:r>
      <w:r w:rsidRPr="001C4D10">
        <w:rPr>
          <w:rFonts w:cs="Arial"/>
          <w:lang w:eastAsia="en-US"/>
        </w:rPr>
        <w:t>The methylmercury wasteload allocations are as follows:</w:t>
      </w:r>
    </w:p>
    <w:p w:rsidRPr="001C4D10" w:rsidR="001C4D10" w:rsidP="00C500CC" w:rsidRDefault="00B61157" w14:paraId="263A7832" w14:textId="037C9505">
      <w:pPr>
        <w:pStyle w:val="TableHead"/>
        <w:keepNext/>
        <w:keepLines/>
        <w:ind w:left="1260"/>
        <w:rPr>
          <w:lang w:eastAsia="en-US"/>
        </w:rPr>
      </w:pPr>
      <w:r w:rsidRPr="00B61157">
        <w:t>Sacramento-San Joaquin Delta Methylmercury TMDL</w:t>
      </w:r>
      <w:r>
        <w:rPr>
          <w:lang w:eastAsia="en-US"/>
        </w:rPr>
        <w:t xml:space="preserve"> : </w:t>
      </w:r>
      <w:r w:rsidRPr="001C4D10" w:rsidR="001C4D10">
        <w:rPr>
          <w:lang w:eastAsia="en-US"/>
        </w:rPr>
        <w:t>Methylmercury Wasteload Allocations Table</w:t>
      </w:r>
    </w:p>
    <w:tbl>
      <w:tblPr>
        <w:tblStyle w:val="TableGrid38"/>
        <w:tblW w:w="8147" w:type="dxa"/>
        <w:tblInd w:w="125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9" w:type="dxa"/>
          <w:left w:w="58" w:type="dxa"/>
          <w:bottom w:w="29" w:type="dxa"/>
          <w:right w:w="58" w:type="dxa"/>
        </w:tblCellMar>
        <w:tblLook w:val="0620" w:firstRow="1" w:lastRow="0" w:firstColumn="0" w:lastColumn="0" w:noHBand="1" w:noVBand="1"/>
        <w:tblCaption w:val="Delta Methylmercury Wasteload Allocations Table"/>
      </w:tblPr>
      <w:tblGrid>
        <w:gridCol w:w="4306"/>
        <w:gridCol w:w="3841"/>
      </w:tblGrid>
      <w:tr w:rsidRPr="001C4D10" w:rsidR="001C4D10" w:rsidTr="00856331" w14:paraId="752C5286" w14:textId="77777777">
        <w:trPr>
          <w:cantSplit/>
          <w:trHeight w:val="545"/>
          <w:tblHeader/>
        </w:trPr>
        <w:tc>
          <w:tcPr>
            <w:tcW w:w="4306" w:type="dxa"/>
            <w:shd w:val="clear" w:color="auto" w:fill="D6E3BC" w:themeFill="accent3" w:themeFillTint="66"/>
            <w:vAlign w:val="center"/>
          </w:tcPr>
          <w:p w:rsidRPr="001C4D10" w:rsidR="001C4D10" w:rsidP="00C500CC" w:rsidRDefault="001C4D10" w14:paraId="2C21ECAC" w14:textId="77777777">
            <w:pPr>
              <w:keepNext/>
              <w:keepLines/>
              <w:spacing w:before="20" w:after="20" w:line="240" w:lineRule="auto"/>
              <w:ind w:left="183"/>
              <w:jc w:val="center"/>
              <w:rPr>
                <w:rFonts w:ascii="Arial" w:hAnsi="Arial"/>
                <w:b/>
                <w:bCs/>
                <w:spacing w:val="-1"/>
                <w:sz w:val="22"/>
                <w:szCs w:val="22"/>
                <w:lang w:eastAsia="en-US"/>
              </w:rPr>
            </w:pPr>
            <w:r w:rsidRPr="001C4D10">
              <w:rPr>
                <w:rFonts w:ascii="Arial" w:hAnsi="Arial"/>
                <w:b/>
                <w:bCs/>
                <w:spacing w:val="-1"/>
                <w:sz w:val="22"/>
                <w:szCs w:val="22"/>
                <w:lang w:eastAsia="en-US"/>
              </w:rPr>
              <w:t>Municipality</w:t>
            </w:r>
          </w:p>
        </w:tc>
        <w:tc>
          <w:tcPr>
            <w:tcW w:w="3841" w:type="dxa"/>
            <w:shd w:val="clear" w:color="auto" w:fill="D6E3BC" w:themeFill="accent3" w:themeFillTint="66"/>
            <w:vAlign w:val="center"/>
          </w:tcPr>
          <w:p w:rsidRPr="001C4D10" w:rsidR="001C4D10" w:rsidP="00C500CC" w:rsidRDefault="001C4D10" w14:paraId="2C813DCB" w14:textId="77777777">
            <w:pPr>
              <w:keepNext/>
              <w:keepLines/>
              <w:spacing w:before="20" w:after="20" w:line="240" w:lineRule="auto"/>
              <w:jc w:val="center"/>
              <w:rPr>
                <w:rFonts w:ascii="Arial" w:hAnsi="Arial"/>
                <w:b/>
                <w:bCs/>
                <w:spacing w:val="-1"/>
                <w:sz w:val="22"/>
                <w:szCs w:val="22"/>
                <w:lang w:eastAsia="en-US"/>
              </w:rPr>
            </w:pPr>
            <w:r w:rsidRPr="001C4D10">
              <w:rPr>
                <w:rFonts w:ascii="Arial" w:hAnsi="Arial"/>
                <w:b/>
                <w:bCs/>
                <w:spacing w:val="-1"/>
                <w:sz w:val="22"/>
                <w:szCs w:val="22"/>
                <w:lang w:eastAsia="en-US"/>
              </w:rPr>
              <w:t>Wasteload Allocations, Methylmercury (grams per year)</w:t>
            </w:r>
          </w:p>
        </w:tc>
      </w:tr>
      <w:tr w:rsidRPr="001C4D10" w:rsidR="001C4D10" w:rsidTr="00856331" w14:paraId="70F0B087" w14:textId="77777777">
        <w:trPr>
          <w:cantSplit/>
          <w:trHeight w:val="301"/>
        </w:trPr>
        <w:tc>
          <w:tcPr>
            <w:tcW w:w="4306" w:type="dxa"/>
            <w:vAlign w:val="center"/>
          </w:tcPr>
          <w:p w:rsidRPr="001C4D10" w:rsidR="001C4D10" w:rsidP="00C45DCF" w:rsidRDefault="001C4D10" w14:paraId="4066C299" w14:textId="77777777">
            <w:pPr>
              <w:keepNext/>
              <w:keepLines/>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City of Lathrop</w:t>
            </w:r>
          </w:p>
        </w:tc>
        <w:tc>
          <w:tcPr>
            <w:tcW w:w="3841" w:type="dxa"/>
            <w:vAlign w:val="center"/>
          </w:tcPr>
          <w:p w:rsidRPr="001C4D10" w:rsidR="001C4D10" w:rsidP="00C500CC" w:rsidRDefault="001C4D10" w14:paraId="414436A2" w14:textId="77777777">
            <w:pPr>
              <w:keepNext/>
              <w:keepLines/>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0.097</w:t>
            </w:r>
          </w:p>
        </w:tc>
      </w:tr>
      <w:tr w:rsidRPr="001C4D10" w:rsidR="001C4D10" w:rsidTr="00856331" w14:paraId="2869E69B" w14:textId="77777777">
        <w:trPr>
          <w:cantSplit/>
          <w:trHeight w:val="312"/>
        </w:trPr>
        <w:tc>
          <w:tcPr>
            <w:tcW w:w="4306" w:type="dxa"/>
            <w:vAlign w:val="center"/>
          </w:tcPr>
          <w:p w:rsidRPr="001C4D10" w:rsidR="001C4D10" w:rsidP="00C45DCF" w:rsidRDefault="001C4D10" w14:paraId="5CB1166A" w14:textId="77777777">
            <w:pPr>
              <w:keepNext/>
              <w:keepLines/>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City of Lodi</w:t>
            </w:r>
          </w:p>
        </w:tc>
        <w:tc>
          <w:tcPr>
            <w:tcW w:w="3841" w:type="dxa"/>
            <w:vAlign w:val="center"/>
          </w:tcPr>
          <w:p w:rsidRPr="001C4D10" w:rsidR="001C4D10" w:rsidP="00F062AA" w:rsidRDefault="001C4D10" w14:paraId="10B5C597" w14:textId="77777777">
            <w:pPr>
              <w:keepNext/>
              <w:keepLines/>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0.053</w:t>
            </w:r>
          </w:p>
        </w:tc>
      </w:tr>
      <w:tr w:rsidRPr="001C4D10" w:rsidR="001C4D10" w:rsidTr="00856331" w14:paraId="148971B6" w14:textId="77777777">
        <w:trPr>
          <w:cantSplit/>
          <w:trHeight w:val="312"/>
        </w:trPr>
        <w:tc>
          <w:tcPr>
            <w:tcW w:w="4306" w:type="dxa"/>
            <w:vAlign w:val="center"/>
          </w:tcPr>
          <w:p w:rsidRPr="001C4D10" w:rsidR="001C4D10" w:rsidP="00C45DCF" w:rsidRDefault="001C4D10" w14:paraId="01C09D5B" w14:textId="77777777">
            <w:pPr>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City of Rio Vista</w:t>
            </w:r>
          </w:p>
        </w:tc>
        <w:tc>
          <w:tcPr>
            <w:tcW w:w="3841" w:type="dxa"/>
            <w:vAlign w:val="center"/>
          </w:tcPr>
          <w:p w:rsidRPr="001C4D10" w:rsidR="001C4D10" w:rsidP="00856331" w:rsidRDefault="001C4D10" w14:paraId="556165C1"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0.0078</w:t>
            </w:r>
          </w:p>
        </w:tc>
      </w:tr>
      <w:tr w:rsidRPr="001C4D10" w:rsidR="001C4D10" w:rsidTr="00856331" w14:paraId="747A3CC1" w14:textId="77777777">
        <w:trPr>
          <w:cantSplit/>
          <w:trHeight w:val="301"/>
        </w:trPr>
        <w:tc>
          <w:tcPr>
            <w:tcW w:w="4306" w:type="dxa"/>
            <w:vAlign w:val="center"/>
          </w:tcPr>
          <w:p w:rsidRPr="001C4D10" w:rsidR="001C4D10" w:rsidP="00C45DCF" w:rsidRDefault="001C4D10" w14:paraId="77DC205D" w14:textId="77777777">
            <w:pPr>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City of Tracy</w:t>
            </w:r>
          </w:p>
        </w:tc>
        <w:tc>
          <w:tcPr>
            <w:tcW w:w="3841" w:type="dxa"/>
            <w:vAlign w:val="center"/>
          </w:tcPr>
          <w:p w:rsidRPr="001C4D10" w:rsidR="001C4D10" w:rsidP="00856331" w:rsidRDefault="001C4D10" w14:paraId="52D29A67"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0.65</w:t>
            </w:r>
          </w:p>
        </w:tc>
      </w:tr>
      <w:tr w:rsidRPr="001C4D10" w:rsidR="001C4D10" w:rsidTr="00856331" w14:paraId="4C3DF7AF" w14:textId="77777777">
        <w:trPr>
          <w:cantSplit/>
          <w:trHeight w:val="545"/>
        </w:trPr>
        <w:tc>
          <w:tcPr>
            <w:tcW w:w="4306" w:type="dxa"/>
            <w:vAlign w:val="center"/>
          </w:tcPr>
          <w:p w:rsidRPr="001C4D10" w:rsidR="001C4D10" w:rsidP="00C45DCF" w:rsidRDefault="001C4D10" w14:paraId="1079A211" w14:textId="77777777">
            <w:pPr>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City of West Sacramento (Sacramento River subarea)</w:t>
            </w:r>
          </w:p>
        </w:tc>
        <w:tc>
          <w:tcPr>
            <w:tcW w:w="3841" w:type="dxa"/>
            <w:vAlign w:val="center"/>
          </w:tcPr>
          <w:p w:rsidRPr="001C4D10" w:rsidR="001C4D10" w:rsidP="00856331" w:rsidRDefault="001C4D10" w14:paraId="254B13A9"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0.36</w:t>
            </w:r>
          </w:p>
        </w:tc>
      </w:tr>
      <w:tr w:rsidRPr="001C4D10" w:rsidR="001C4D10" w:rsidTr="00856331" w14:paraId="68132384" w14:textId="77777777">
        <w:trPr>
          <w:cantSplit/>
          <w:trHeight w:val="312"/>
        </w:trPr>
        <w:tc>
          <w:tcPr>
            <w:tcW w:w="4306" w:type="dxa"/>
            <w:vAlign w:val="center"/>
          </w:tcPr>
          <w:p w:rsidRPr="001C4D10" w:rsidR="001C4D10" w:rsidP="00C45DCF" w:rsidRDefault="001C4D10" w14:paraId="0053E4BF" w14:textId="77777777">
            <w:pPr>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City of West Sacramento (Yolo Bypass subarea)</w:t>
            </w:r>
          </w:p>
        </w:tc>
        <w:tc>
          <w:tcPr>
            <w:tcW w:w="3841" w:type="dxa"/>
            <w:vAlign w:val="center"/>
          </w:tcPr>
          <w:p w:rsidRPr="001C4D10" w:rsidR="001C4D10" w:rsidP="00856331" w:rsidRDefault="001C4D10" w14:paraId="2D7B23A4"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0.28</w:t>
            </w:r>
          </w:p>
        </w:tc>
      </w:tr>
      <w:tr w:rsidRPr="001C4D10" w:rsidR="001C4D10" w:rsidTr="00856331" w14:paraId="686D3243" w14:textId="77777777">
        <w:trPr>
          <w:cantSplit/>
          <w:trHeight w:val="301"/>
        </w:trPr>
        <w:tc>
          <w:tcPr>
            <w:tcW w:w="4306" w:type="dxa"/>
            <w:vAlign w:val="center"/>
          </w:tcPr>
          <w:p w:rsidRPr="001C4D10" w:rsidR="001C4D10" w:rsidP="00C45DCF" w:rsidRDefault="001C4D10" w14:paraId="41467E7B" w14:textId="77777777">
            <w:pPr>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County of San Joaquin (Central Delta subarea)</w:t>
            </w:r>
          </w:p>
        </w:tc>
        <w:tc>
          <w:tcPr>
            <w:tcW w:w="3841" w:type="dxa"/>
            <w:vAlign w:val="center"/>
          </w:tcPr>
          <w:p w:rsidRPr="001C4D10" w:rsidR="001C4D10" w:rsidP="00856331" w:rsidRDefault="001C4D10" w14:paraId="486F145E"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0.57</w:t>
            </w:r>
          </w:p>
        </w:tc>
      </w:tr>
      <w:tr w:rsidRPr="001C4D10" w:rsidR="001C4D10" w:rsidTr="00856331" w14:paraId="1A98B2E1" w14:textId="77777777">
        <w:trPr>
          <w:cantSplit/>
          <w:trHeight w:val="545"/>
        </w:trPr>
        <w:tc>
          <w:tcPr>
            <w:tcW w:w="4306" w:type="dxa"/>
            <w:vAlign w:val="center"/>
          </w:tcPr>
          <w:p w:rsidRPr="001C4D10" w:rsidR="001C4D10" w:rsidP="00C45DCF" w:rsidRDefault="001C4D10" w14:paraId="402E258F" w14:textId="77777777">
            <w:pPr>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County of San Joaquin (Mokelumne River subarea)</w:t>
            </w:r>
          </w:p>
        </w:tc>
        <w:tc>
          <w:tcPr>
            <w:tcW w:w="3841" w:type="dxa"/>
            <w:vAlign w:val="center"/>
          </w:tcPr>
          <w:p w:rsidRPr="001C4D10" w:rsidR="001C4D10" w:rsidP="00856331" w:rsidRDefault="001C4D10" w14:paraId="4563A408"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0.016</w:t>
            </w:r>
          </w:p>
        </w:tc>
      </w:tr>
      <w:tr w:rsidRPr="001C4D10" w:rsidR="001C4D10" w:rsidTr="00856331" w14:paraId="284E687A" w14:textId="77777777">
        <w:trPr>
          <w:cantSplit/>
          <w:trHeight w:val="545"/>
        </w:trPr>
        <w:tc>
          <w:tcPr>
            <w:tcW w:w="4306" w:type="dxa"/>
            <w:vAlign w:val="center"/>
          </w:tcPr>
          <w:p w:rsidRPr="001C4D10" w:rsidR="001C4D10" w:rsidP="00C45DCF" w:rsidRDefault="001C4D10" w14:paraId="6F1331C2" w14:textId="77777777">
            <w:pPr>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County of San Joaquin (Sacramento River subarea)</w:t>
            </w:r>
          </w:p>
        </w:tc>
        <w:tc>
          <w:tcPr>
            <w:tcW w:w="3841" w:type="dxa"/>
            <w:vAlign w:val="center"/>
          </w:tcPr>
          <w:p w:rsidRPr="001C4D10" w:rsidR="001C4D10" w:rsidP="00856331" w:rsidRDefault="001C4D10" w14:paraId="4E68DF61"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0.11</w:t>
            </w:r>
          </w:p>
        </w:tc>
      </w:tr>
      <w:tr w:rsidRPr="001C4D10" w:rsidR="001C4D10" w:rsidTr="00856331" w14:paraId="5B7AE07A" w14:textId="77777777">
        <w:trPr>
          <w:cantSplit/>
          <w:trHeight w:val="545"/>
        </w:trPr>
        <w:tc>
          <w:tcPr>
            <w:tcW w:w="4306" w:type="dxa"/>
            <w:vAlign w:val="center"/>
          </w:tcPr>
          <w:p w:rsidRPr="001C4D10" w:rsidR="001C4D10" w:rsidP="00C45DCF" w:rsidRDefault="001C4D10" w14:paraId="630ADACC" w14:textId="77777777">
            <w:pPr>
              <w:spacing w:before="20" w:after="20" w:line="240" w:lineRule="auto"/>
              <w:ind w:left="32" w:firstLine="178"/>
              <w:rPr>
                <w:rFonts w:ascii="Arial" w:hAnsi="Arial"/>
                <w:spacing w:val="-1"/>
                <w:sz w:val="22"/>
                <w:szCs w:val="22"/>
                <w:lang w:eastAsia="en-US"/>
              </w:rPr>
            </w:pPr>
            <w:r w:rsidRPr="001C4D10">
              <w:rPr>
                <w:rFonts w:ascii="Arial" w:hAnsi="Arial"/>
                <w:spacing w:val="-1"/>
                <w:sz w:val="22"/>
                <w:szCs w:val="22"/>
                <w:lang w:eastAsia="en-US"/>
              </w:rPr>
              <w:t>County of San Joaquin (San Joaquin River subarea)</w:t>
            </w:r>
          </w:p>
        </w:tc>
        <w:tc>
          <w:tcPr>
            <w:tcW w:w="3841" w:type="dxa"/>
            <w:vAlign w:val="center"/>
          </w:tcPr>
          <w:p w:rsidRPr="001C4D10" w:rsidR="001C4D10" w:rsidP="00856331" w:rsidRDefault="001C4D10" w14:paraId="3278B314"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0.79</w:t>
            </w:r>
          </w:p>
        </w:tc>
      </w:tr>
      <w:tr w:rsidRPr="001C4D10" w:rsidR="001C4D10" w:rsidTr="00856331" w14:paraId="29674525" w14:textId="77777777">
        <w:trPr>
          <w:cantSplit/>
          <w:trHeight w:val="301"/>
        </w:trPr>
        <w:tc>
          <w:tcPr>
            <w:tcW w:w="4306" w:type="dxa"/>
            <w:vAlign w:val="center"/>
          </w:tcPr>
          <w:p w:rsidRPr="001C4D10" w:rsidR="001C4D10" w:rsidP="00C45DCF" w:rsidRDefault="001C4D10" w14:paraId="14029CD6" w14:textId="77777777">
            <w:pPr>
              <w:spacing w:before="20" w:after="20" w:line="240" w:lineRule="auto"/>
              <w:ind w:firstLine="178"/>
              <w:rPr>
                <w:rFonts w:ascii="Arial" w:hAnsi="Arial"/>
                <w:spacing w:val="-1"/>
                <w:sz w:val="22"/>
                <w:szCs w:val="22"/>
                <w:lang w:eastAsia="en-US"/>
              </w:rPr>
            </w:pPr>
            <w:r w:rsidRPr="001C4D10">
              <w:rPr>
                <w:rFonts w:ascii="Arial" w:hAnsi="Arial"/>
                <w:spacing w:val="-1"/>
                <w:sz w:val="22"/>
                <w:szCs w:val="22"/>
                <w:lang w:eastAsia="en-US"/>
              </w:rPr>
              <w:t>County of Yolo (Sacramento River subarea)</w:t>
            </w:r>
          </w:p>
        </w:tc>
        <w:tc>
          <w:tcPr>
            <w:tcW w:w="3841" w:type="dxa"/>
            <w:vAlign w:val="center"/>
          </w:tcPr>
          <w:p w:rsidRPr="001C4D10" w:rsidR="001C4D10" w:rsidP="00856331" w:rsidRDefault="001C4D10" w14:paraId="43478287"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0.041</w:t>
            </w:r>
          </w:p>
        </w:tc>
      </w:tr>
      <w:tr w:rsidRPr="001C4D10" w:rsidR="001C4D10" w:rsidTr="00856331" w14:paraId="4A579BBB" w14:textId="77777777">
        <w:trPr>
          <w:cantSplit/>
          <w:trHeight w:val="312"/>
        </w:trPr>
        <w:tc>
          <w:tcPr>
            <w:tcW w:w="4306" w:type="dxa"/>
            <w:vAlign w:val="center"/>
          </w:tcPr>
          <w:p w:rsidRPr="001C4D10" w:rsidR="001C4D10" w:rsidP="00C45DCF" w:rsidRDefault="001C4D10" w14:paraId="79D45695" w14:textId="77777777">
            <w:pPr>
              <w:spacing w:before="20" w:after="20" w:line="240" w:lineRule="auto"/>
              <w:ind w:firstLine="178"/>
              <w:rPr>
                <w:rFonts w:ascii="Arial" w:hAnsi="Arial"/>
                <w:spacing w:val="-1"/>
                <w:sz w:val="22"/>
                <w:szCs w:val="22"/>
                <w:lang w:eastAsia="en-US"/>
              </w:rPr>
            </w:pPr>
            <w:r w:rsidRPr="001C4D10">
              <w:rPr>
                <w:rFonts w:ascii="Arial" w:hAnsi="Arial"/>
                <w:spacing w:val="-1"/>
                <w:sz w:val="22"/>
                <w:szCs w:val="22"/>
                <w:lang w:eastAsia="en-US"/>
              </w:rPr>
              <w:t>County of Yolo (Yolo Bypass subarea)</w:t>
            </w:r>
          </w:p>
        </w:tc>
        <w:tc>
          <w:tcPr>
            <w:tcW w:w="3841" w:type="dxa"/>
            <w:vAlign w:val="center"/>
          </w:tcPr>
          <w:p w:rsidRPr="001C4D10" w:rsidR="001C4D10" w:rsidP="00856331" w:rsidRDefault="001C4D10" w14:paraId="620A9088" w14:textId="77777777">
            <w:pPr>
              <w:spacing w:before="20" w:after="20" w:line="240" w:lineRule="auto"/>
              <w:jc w:val="center"/>
              <w:rPr>
                <w:rFonts w:ascii="Arial" w:hAnsi="Arial"/>
                <w:spacing w:val="-1"/>
                <w:sz w:val="22"/>
                <w:szCs w:val="22"/>
                <w:lang w:eastAsia="en-US"/>
              </w:rPr>
            </w:pPr>
            <w:r w:rsidRPr="001C4D10">
              <w:rPr>
                <w:rFonts w:ascii="Arial" w:hAnsi="Arial"/>
                <w:spacing w:val="-1"/>
                <w:sz w:val="22"/>
                <w:szCs w:val="22"/>
                <w:lang w:eastAsia="en-US"/>
              </w:rPr>
              <w:t>0.083</w:t>
            </w:r>
          </w:p>
        </w:tc>
      </w:tr>
    </w:tbl>
    <w:p w:rsidRPr="008A7240" w:rsidR="001C4D10" w:rsidP="001C4D10" w:rsidRDefault="001C4D10" w14:paraId="39E26449" w14:textId="4604E6EE">
      <w:pPr>
        <w:ind w:left="1260"/>
        <w:rPr>
          <w:rFonts w:cs="Arial"/>
          <w:u w:val="single"/>
          <w:lang w:eastAsia="en-US"/>
        </w:rPr>
      </w:pPr>
      <w:r w:rsidRPr="008A7240">
        <w:rPr>
          <w:rFonts w:cs="Arial"/>
          <w:u w:val="single"/>
          <w:lang w:eastAsia="en-US"/>
        </w:rPr>
        <w:t>Demonstration of Attainment of Methylmercury Wasteload Allocations</w:t>
      </w:r>
      <w:r w:rsidR="008A7240">
        <w:rPr>
          <w:rFonts w:cs="Arial"/>
          <w:u w:val="single"/>
          <w:lang w:eastAsia="en-US"/>
        </w:rPr>
        <w:t>:</w:t>
      </w:r>
    </w:p>
    <w:p w:rsidRPr="001C4D10" w:rsidR="001C4D10" w:rsidP="001C4D10" w:rsidRDefault="001C4D10" w14:paraId="3D2E1871" w14:textId="13B2410A">
      <w:pPr>
        <w:ind w:left="1260"/>
        <w:rPr>
          <w:rFonts w:cs="Arial"/>
          <w:lang w:eastAsia="en-US"/>
        </w:rPr>
      </w:pPr>
      <w:r w:rsidRPr="001C4D10">
        <w:rPr>
          <w:rFonts w:cs="Arial"/>
          <w:lang w:eastAsia="en-US"/>
        </w:rPr>
        <w:t xml:space="preserve">Compliance with the effluent limitations in Section </w:t>
      </w:r>
      <w:r w:rsidR="0045419D">
        <w:rPr>
          <w:rFonts w:cs="Arial"/>
          <w:lang w:eastAsia="en-US"/>
        </w:rPr>
        <w:t>6</w:t>
      </w:r>
      <w:r w:rsidRPr="001C4D10">
        <w:rPr>
          <w:rFonts w:cs="Arial"/>
          <w:lang w:eastAsia="en-US"/>
        </w:rPr>
        <w:t xml:space="preserve"> of this </w:t>
      </w:r>
      <w:r w:rsidR="0045419D">
        <w:rPr>
          <w:rFonts w:cs="Arial"/>
          <w:lang w:eastAsia="en-US"/>
        </w:rPr>
        <w:t xml:space="preserve">Order </w:t>
      </w:r>
      <w:r w:rsidRPr="001C4D10">
        <w:rPr>
          <w:rFonts w:cs="Arial"/>
          <w:lang w:eastAsia="en-US"/>
        </w:rPr>
        <w:t>associated with methylmercury wasteload allocations may be demonstrated by any one of the following methods:</w:t>
      </w:r>
    </w:p>
    <w:p w:rsidRPr="001C4D10" w:rsidR="001C4D10" w:rsidP="008A7240" w:rsidRDefault="001C4D10" w14:paraId="2C6C6B50" w14:textId="682D6378">
      <w:pPr>
        <w:ind w:left="1627" w:hanging="360"/>
        <w:contextualSpacing/>
        <w:rPr>
          <w:rFonts w:cs="Arial"/>
          <w:lang w:eastAsia="en-US"/>
        </w:rPr>
      </w:pPr>
      <w:r w:rsidRPr="001C4D10">
        <w:rPr>
          <w:rFonts w:cs="Arial"/>
          <w:lang w:eastAsia="en-US"/>
        </w:rPr>
        <w:t xml:space="preserve">1. </w:t>
      </w:r>
      <w:r w:rsidRPr="001C4D10">
        <w:rPr>
          <w:rFonts w:cs="Arial"/>
          <w:lang w:eastAsia="en-US"/>
        </w:rPr>
        <w:tab/>
      </w:r>
      <w:r w:rsidRPr="001C4D10">
        <w:rPr>
          <w:rFonts w:cs="Arial"/>
          <w:lang w:eastAsia="en-US"/>
        </w:rPr>
        <w:t>Management Plans shall be developed within one year after the Central Valley Regional Water Board’s review of the Delta Mercury Control Program or October 20, 2022, whichever date occurs first. For those MS4 Permittees that have not demonstrated achievement of</w:t>
      </w:r>
      <w:r w:rsidR="005A0069">
        <w:rPr>
          <w:rFonts w:cs="Arial"/>
          <w:lang w:eastAsia="en-US"/>
        </w:rPr>
        <w:t xml:space="preserve"> </w:t>
      </w:r>
      <w:r w:rsidR="002D1420">
        <w:rPr>
          <w:rFonts w:cs="Arial"/>
          <w:lang w:eastAsia="en-US"/>
        </w:rPr>
        <w:t>wasteload allocations</w:t>
      </w:r>
      <w:r w:rsidR="005A0069">
        <w:rPr>
          <w:rFonts w:cs="Arial"/>
          <w:lang w:eastAsia="en-US"/>
        </w:rPr>
        <w:t xml:space="preserve"> </w:t>
      </w:r>
      <w:r w:rsidRPr="001C4D10">
        <w:rPr>
          <w:rFonts w:cs="Arial"/>
          <w:lang w:eastAsia="en-US"/>
        </w:rPr>
        <w:t>by December 31, 2030, the MS4s shall implement BMPs consistent with an approved updated Management Plan that shall outline BMPs and schedule to reduce discharges of methylmercury to ultimately attain the</w:t>
      </w:r>
      <w:r w:rsidR="005A0069">
        <w:rPr>
          <w:rFonts w:cs="Arial"/>
          <w:lang w:eastAsia="en-US"/>
        </w:rPr>
        <w:t xml:space="preserve"> </w:t>
      </w:r>
      <w:r w:rsidR="002D1420">
        <w:rPr>
          <w:rFonts w:cs="Arial"/>
          <w:lang w:eastAsia="en-US"/>
        </w:rPr>
        <w:t xml:space="preserve">wasteload allocations </w:t>
      </w:r>
      <w:r w:rsidRPr="001C4D10">
        <w:rPr>
          <w:rFonts w:cs="Arial"/>
          <w:lang w:eastAsia="en-US"/>
        </w:rPr>
        <w:t>.</w:t>
      </w:r>
    </w:p>
    <w:p w:rsidRPr="001C4D10" w:rsidR="001C4D10" w:rsidP="008A7240" w:rsidRDefault="001C4D10" w14:paraId="565DA1BF" w14:textId="360714B6">
      <w:pPr>
        <w:ind w:left="1627" w:hanging="360"/>
        <w:contextualSpacing/>
        <w:rPr>
          <w:rFonts w:cs="Arial"/>
          <w:lang w:eastAsia="en-US"/>
        </w:rPr>
      </w:pPr>
      <w:r w:rsidRPr="001C4D10">
        <w:rPr>
          <w:rFonts w:cs="Arial"/>
          <w:lang w:eastAsia="en-US"/>
        </w:rPr>
        <w:t xml:space="preserve">2. </w:t>
      </w:r>
      <w:r w:rsidRPr="001C4D10">
        <w:rPr>
          <w:rFonts w:cs="Arial"/>
          <w:lang w:eastAsia="en-US"/>
        </w:rPr>
        <w:tab/>
      </w:r>
      <w:r w:rsidRPr="001C4D10">
        <w:rPr>
          <w:rFonts w:cs="Arial"/>
          <w:lang w:eastAsia="en-US"/>
        </w:rPr>
        <w:t>Receiving water monitoring and/or other information, as authorized by the Executive Officer, that reasonably demonstrates attainment with the</w:t>
      </w:r>
      <w:r w:rsidR="005A0069">
        <w:rPr>
          <w:rFonts w:cs="Arial"/>
          <w:lang w:eastAsia="en-US"/>
        </w:rPr>
        <w:t xml:space="preserve"> </w:t>
      </w:r>
      <w:r w:rsidR="002D1420">
        <w:rPr>
          <w:rFonts w:cs="Arial"/>
          <w:lang w:eastAsia="en-US"/>
        </w:rPr>
        <w:t xml:space="preserve">wasteload allocations </w:t>
      </w:r>
      <w:r w:rsidRPr="001C4D10">
        <w:rPr>
          <w:rFonts w:cs="Arial"/>
          <w:lang w:eastAsia="en-US"/>
        </w:rPr>
        <w:t>.</w:t>
      </w:r>
    </w:p>
    <w:p w:rsidRPr="001C4D10" w:rsidR="001C4D10" w:rsidP="008A7240" w:rsidRDefault="001C4D10" w14:paraId="6112F360" w14:textId="77777777">
      <w:pPr>
        <w:ind w:left="1627" w:hanging="360"/>
        <w:contextualSpacing/>
        <w:rPr>
          <w:rFonts w:cs="Arial"/>
          <w:lang w:eastAsia="en-US"/>
        </w:rPr>
      </w:pPr>
      <w:r w:rsidRPr="001C4D10">
        <w:rPr>
          <w:rFonts w:cs="Arial"/>
          <w:lang w:eastAsia="en-US"/>
        </w:rPr>
        <w:t xml:space="preserve">3. </w:t>
      </w:r>
      <w:r w:rsidRPr="001C4D10">
        <w:rPr>
          <w:rFonts w:cs="Arial"/>
          <w:lang w:eastAsia="en-US"/>
        </w:rPr>
        <w:tab/>
      </w:r>
      <w:r w:rsidRPr="001C4D10">
        <w:rPr>
          <w:rFonts w:cs="Arial"/>
          <w:lang w:eastAsia="en-US"/>
        </w:rPr>
        <w:t>Attainment of wasteload allocations within the discharge (monitoring representative of the MS4 discharge may be used with Executive Officer approval).</w:t>
      </w:r>
    </w:p>
    <w:p w:rsidR="001C4D10" w:rsidP="00C371A8" w:rsidRDefault="001C4D10" w14:paraId="2F0FA5A8" w14:textId="77777777">
      <w:pPr>
        <w:ind w:left="1627" w:hanging="360"/>
        <w:rPr>
          <w:rFonts w:cs="Arial"/>
          <w:lang w:eastAsia="en-US"/>
        </w:rPr>
      </w:pPr>
      <w:r w:rsidRPr="001C4D10">
        <w:rPr>
          <w:rFonts w:cs="Arial"/>
          <w:lang w:eastAsia="en-US"/>
        </w:rPr>
        <w:t xml:space="preserve">4. </w:t>
      </w:r>
      <w:r w:rsidRPr="001C4D10">
        <w:rPr>
          <w:rFonts w:cs="Arial"/>
          <w:lang w:eastAsia="en-US"/>
        </w:rPr>
        <w:tab/>
      </w:r>
      <w:r w:rsidRPr="001C4D10">
        <w:rPr>
          <w:rFonts w:cs="Arial"/>
          <w:lang w:eastAsia="en-US"/>
        </w:rPr>
        <w:t>Permanent cessation of discharges from the Permittee’s MS4 to receiving waters.</w:t>
      </w:r>
    </w:p>
    <w:p w:rsidRPr="00630723" w:rsidR="00796FE2" w:rsidP="00C371A8" w:rsidRDefault="00796FE2" w14:paraId="054E909E" w14:textId="77777777">
      <w:pPr>
        <w:ind w:left="1267"/>
        <w:rPr>
          <w:bCs/>
        </w:rPr>
      </w:pPr>
      <w:r>
        <w:rPr>
          <w:b/>
        </w:rPr>
        <w:t xml:space="preserve">Final Compliance Deadline: </w:t>
      </w:r>
      <w:r>
        <w:rPr>
          <w:bCs/>
        </w:rPr>
        <w:t>The final compliance deadline is December 31, 2030.</w:t>
      </w:r>
    </w:p>
    <w:p w:rsidRPr="000D48DD" w:rsidR="001C4D10" w:rsidP="000D48DD" w:rsidRDefault="00836361" w14:paraId="0652FA92" w14:textId="795A0299">
      <w:pPr>
        <w:pStyle w:val="Heading3"/>
        <w:tabs>
          <w:tab w:val="clear" w:pos="720"/>
          <w:tab w:val="left" w:pos="1260"/>
        </w:tabs>
        <w:ind w:left="1260" w:hanging="1260"/>
        <w:rPr>
          <w:i/>
          <w:iCs/>
        </w:rPr>
      </w:pPr>
      <w:r>
        <w:rPr>
          <w:i/>
          <w:iCs/>
        </w:rPr>
        <w:t>A13</w:t>
      </w:r>
      <w:r w:rsidRPr="000D48DD" w:rsidR="00A05025">
        <w:rPr>
          <w:i/>
          <w:iCs/>
        </w:rPr>
        <w:t>.5</w:t>
      </w:r>
      <w:r w:rsidRPr="000D48DD" w:rsidR="001C4D10">
        <w:rPr>
          <w:i/>
          <w:iCs/>
        </w:rPr>
        <w:t>.6</w:t>
      </w:r>
      <w:r w:rsidRPr="000D48DD" w:rsidR="001C4D10">
        <w:rPr>
          <w:i/>
          <w:iCs/>
        </w:rPr>
        <w:tab/>
      </w:r>
      <w:r w:rsidRPr="000D48DD" w:rsidR="001C4D10">
        <w:rPr>
          <w:i/>
          <w:iCs/>
        </w:rPr>
        <w:t>Clear Lake Nutrients TMDL</w:t>
      </w:r>
    </w:p>
    <w:p w:rsidRPr="00935C00" w:rsidR="000242E8" w:rsidP="000242E8" w:rsidRDefault="000242E8" w14:paraId="087E0F88" w14:textId="1F56E59E">
      <w:pPr>
        <w:ind w:left="1260"/>
        <w:rPr>
          <w:rFonts w:cs="Arial"/>
        </w:rPr>
      </w:pPr>
      <w:r>
        <w:rPr>
          <w:rFonts w:cs="Arial"/>
          <w:b/>
          <w:bCs/>
        </w:rPr>
        <w:t xml:space="preserve">Description: </w:t>
      </w:r>
      <w:r w:rsidR="00766ACF">
        <w:rPr>
          <w:rFonts w:cs="Arial"/>
        </w:rPr>
        <w:t>USEPA</w:t>
      </w:r>
      <w:r w:rsidR="00C56C92">
        <w:rPr>
          <w:rFonts w:cs="Arial"/>
        </w:rPr>
        <w:t xml:space="preserve"> </w:t>
      </w:r>
      <w:r>
        <w:rPr>
          <w:rFonts w:cs="Arial"/>
        </w:rPr>
        <w:t xml:space="preserve">approved the Clear Lake Nutrients TMDL on September 21, 2007. </w:t>
      </w:r>
    </w:p>
    <w:p w:rsidRPr="00D52F4F" w:rsidR="000242E8" w:rsidP="000242E8" w:rsidRDefault="000242E8" w14:paraId="67268110" w14:textId="27C328C8">
      <w:pPr>
        <w:ind w:left="1260"/>
        <w:rPr>
          <w:rFonts w:cs="Arial"/>
        </w:rPr>
      </w:pPr>
      <w:r w:rsidRPr="00D52F4F">
        <w:rPr>
          <w:rFonts w:cs="Arial"/>
        </w:rPr>
        <w:t xml:space="preserve">The Clear Lake Nutrients TMDL assigns a </w:t>
      </w:r>
      <w:r w:rsidR="00F90EEA">
        <w:rPr>
          <w:rFonts w:cs="Arial"/>
        </w:rPr>
        <w:t>wasteload</w:t>
      </w:r>
      <w:r w:rsidRPr="00D52F4F">
        <w:rPr>
          <w:rFonts w:cs="Arial"/>
        </w:rPr>
        <w:t xml:space="preserve"> allocation appropriate for implementation through this Order as specified below.</w:t>
      </w:r>
    </w:p>
    <w:p w:rsidRPr="00D52F4F" w:rsidR="000242E8" w:rsidP="000242E8" w:rsidRDefault="000242E8" w14:paraId="4B32268B" w14:textId="77777777">
      <w:pPr>
        <w:ind w:left="1260"/>
        <w:rPr>
          <w:rFonts w:cs="Arial"/>
        </w:rPr>
      </w:pPr>
      <w:r w:rsidRPr="006A53D3">
        <w:rPr>
          <w:b/>
        </w:rPr>
        <w:t>Responsible Permi</w:t>
      </w:r>
      <w:r>
        <w:rPr>
          <w:b/>
        </w:rPr>
        <w:t>t</w:t>
      </w:r>
      <w:r w:rsidRPr="006A53D3">
        <w:rPr>
          <w:b/>
        </w:rPr>
        <w:t>tees</w:t>
      </w:r>
      <w:r w:rsidRPr="00315677">
        <w:rPr>
          <w:b/>
        </w:rPr>
        <w:t>:</w:t>
      </w:r>
      <w:r w:rsidRPr="00D52F4F">
        <w:rPr>
          <w:b/>
          <w:bCs/>
        </w:rPr>
        <w:t xml:space="preserve"> </w:t>
      </w:r>
      <w:r w:rsidRPr="00412E71">
        <w:rPr>
          <w:rFonts w:cs="Arial"/>
        </w:rPr>
        <w:t>City of Clearlake, County of Lake, City of Lakeport</w:t>
      </w:r>
    </w:p>
    <w:p w:rsidRPr="001C4D10" w:rsidR="001C4D10" w:rsidP="001C4D10" w:rsidRDefault="001C4D10" w14:paraId="7EFA9240" w14:textId="14057EAD">
      <w:pPr>
        <w:ind w:left="1260"/>
        <w:rPr>
          <w:rFonts w:cs="Arial"/>
          <w:lang w:eastAsia="en-US"/>
        </w:rPr>
      </w:pPr>
      <w:r w:rsidRPr="001C4D10">
        <w:rPr>
          <w:b/>
          <w:szCs w:val="20"/>
          <w:lang w:eastAsia="en-US"/>
        </w:rPr>
        <w:t>Wasteload Allocations:</w:t>
      </w:r>
      <w:r w:rsidRPr="001C4D10">
        <w:rPr>
          <w:b/>
          <w:bCs/>
          <w:szCs w:val="20"/>
          <w:lang w:eastAsia="en-US"/>
        </w:rPr>
        <w:t xml:space="preserve"> </w:t>
      </w:r>
      <w:r w:rsidRPr="001C4D10">
        <w:rPr>
          <w:rFonts w:cs="Arial"/>
          <w:lang w:eastAsia="en-US"/>
        </w:rPr>
        <w:t xml:space="preserve">The </w:t>
      </w:r>
      <w:r w:rsidR="000F64B6">
        <w:rPr>
          <w:rFonts w:cs="Arial"/>
          <w:lang w:eastAsia="en-US"/>
        </w:rPr>
        <w:t>Permittees</w:t>
      </w:r>
      <w:r w:rsidRPr="001C4D10">
        <w:rPr>
          <w:rFonts w:cs="Arial"/>
          <w:lang w:eastAsia="en-US"/>
        </w:rPr>
        <w:t xml:space="preserve"> have a combined wasteload allocation of 2,000 k</w:t>
      </w:r>
      <w:r w:rsidR="00287A1A">
        <w:rPr>
          <w:rFonts w:cs="Arial"/>
          <w:lang w:eastAsia="en-US"/>
        </w:rPr>
        <w:t>ilograms</w:t>
      </w:r>
      <w:r w:rsidRPr="001C4D10">
        <w:rPr>
          <w:rFonts w:cs="Arial"/>
          <w:lang w:eastAsia="en-US"/>
        </w:rPr>
        <w:t xml:space="preserve"> phosphorus per year, as an average annual load (five year rolling average).</w:t>
      </w:r>
    </w:p>
    <w:p w:rsidRPr="000F64B6" w:rsidR="001C4D10" w:rsidP="001C4D10" w:rsidRDefault="001C4D10" w14:paraId="1C39EEC5" w14:textId="6003C289">
      <w:pPr>
        <w:ind w:left="1260"/>
        <w:rPr>
          <w:rFonts w:cs="Arial"/>
          <w:u w:val="single"/>
          <w:lang w:eastAsia="en-US"/>
        </w:rPr>
      </w:pPr>
      <w:r w:rsidRPr="000F64B6">
        <w:rPr>
          <w:rFonts w:cs="Arial"/>
          <w:u w:val="single"/>
          <w:lang w:eastAsia="en-US"/>
        </w:rPr>
        <w:t>Demonstration of Compliance with Effluent Limitations Associated with Phosphorus Wasteload Allocations</w:t>
      </w:r>
      <w:r w:rsidR="000F64B6">
        <w:rPr>
          <w:rFonts w:cs="Arial"/>
          <w:u w:val="single"/>
          <w:lang w:eastAsia="en-US"/>
        </w:rPr>
        <w:t>:</w:t>
      </w:r>
    </w:p>
    <w:p w:rsidRPr="001C4D10" w:rsidR="001C4D10" w:rsidP="001C4D10" w:rsidRDefault="001C4D10" w14:paraId="7589BA6E" w14:textId="3A41B3E1">
      <w:pPr>
        <w:ind w:left="1260"/>
        <w:rPr>
          <w:rFonts w:cs="Arial"/>
          <w:lang w:eastAsia="en-US"/>
        </w:rPr>
      </w:pPr>
      <w:r w:rsidRPr="001C4D10">
        <w:rPr>
          <w:rFonts w:cs="Arial"/>
          <w:lang w:eastAsia="en-US"/>
        </w:rPr>
        <w:t xml:space="preserve">Compliance with the effluent limitations </w:t>
      </w:r>
      <w:r w:rsidR="00442293">
        <w:rPr>
          <w:rFonts w:cs="Arial"/>
          <w:lang w:eastAsia="en-US"/>
        </w:rPr>
        <w:t xml:space="preserve">for </w:t>
      </w:r>
      <w:r w:rsidRPr="001C4D10">
        <w:rPr>
          <w:rFonts w:cs="Arial"/>
          <w:lang w:eastAsia="en-US"/>
        </w:rPr>
        <w:t>phosphorus wasteload allocation</w:t>
      </w:r>
      <w:r w:rsidR="00442293">
        <w:rPr>
          <w:rFonts w:cs="Arial"/>
          <w:lang w:eastAsia="en-US"/>
        </w:rPr>
        <w:t>s</w:t>
      </w:r>
      <w:r w:rsidRPr="001C4D10">
        <w:rPr>
          <w:rFonts w:cs="Arial"/>
          <w:lang w:eastAsia="en-US"/>
        </w:rPr>
        <w:t xml:space="preserve"> may be demonstrated by any one of the following methods:</w:t>
      </w:r>
    </w:p>
    <w:p w:rsidRPr="001C4D10" w:rsidR="001C4D10" w:rsidP="00E8254E" w:rsidRDefault="001C4D10" w14:paraId="3FC1F703" w14:textId="7ACC0C8C">
      <w:pPr>
        <w:numPr>
          <w:ilvl w:val="0"/>
          <w:numId w:val="37"/>
        </w:numPr>
        <w:rPr>
          <w:rFonts w:cs="Arial"/>
          <w:lang w:eastAsia="en-US"/>
        </w:rPr>
      </w:pPr>
      <w:r w:rsidRPr="001C4D10">
        <w:rPr>
          <w:rFonts w:cs="Arial"/>
          <w:lang w:eastAsia="en-US"/>
        </w:rPr>
        <w:t>Receiving water monitoring and/or other information, as authorized by the Executive Officer, that reasonably demonstrates attainment with the</w:t>
      </w:r>
      <w:r w:rsidR="005A0069">
        <w:rPr>
          <w:rFonts w:cs="Arial"/>
          <w:lang w:eastAsia="en-US"/>
        </w:rPr>
        <w:t xml:space="preserve"> </w:t>
      </w:r>
      <w:r w:rsidR="002D1420">
        <w:rPr>
          <w:rFonts w:cs="Arial"/>
          <w:lang w:eastAsia="en-US"/>
        </w:rPr>
        <w:t xml:space="preserve">wasteload allocations </w:t>
      </w:r>
      <w:r w:rsidRPr="001C4D10">
        <w:rPr>
          <w:rFonts w:cs="Arial"/>
          <w:lang w:eastAsia="en-US"/>
        </w:rPr>
        <w:t>.</w:t>
      </w:r>
    </w:p>
    <w:p w:rsidRPr="001C4D10" w:rsidR="001C4D10" w:rsidP="00E8254E" w:rsidRDefault="001C4D10" w14:paraId="0F2DFB0B" w14:textId="0B609991">
      <w:pPr>
        <w:numPr>
          <w:ilvl w:val="0"/>
          <w:numId w:val="37"/>
        </w:numPr>
        <w:rPr>
          <w:rFonts w:cs="Arial"/>
          <w:lang w:eastAsia="en-US"/>
        </w:rPr>
      </w:pPr>
      <w:r w:rsidRPr="001C4D10">
        <w:rPr>
          <w:rFonts w:cs="Arial"/>
          <w:lang w:eastAsia="en-US"/>
        </w:rPr>
        <w:t>Attainment of</w:t>
      </w:r>
      <w:r w:rsidR="005A0069">
        <w:rPr>
          <w:rFonts w:cs="Arial"/>
          <w:lang w:eastAsia="en-US"/>
        </w:rPr>
        <w:t xml:space="preserve"> </w:t>
      </w:r>
      <w:r w:rsidR="002D1420">
        <w:rPr>
          <w:rFonts w:cs="Arial"/>
          <w:lang w:eastAsia="en-US"/>
        </w:rPr>
        <w:t>wasteload allocations</w:t>
      </w:r>
      <w:r w:rsidR="005A0069">
        <w:rPr>
          <w:rFonts w:cs="Arial"/>
          <w:lang w:eastAsia="en-US"/>
        </w:rPr>
        <w:t xml:space="preserve"> </w:t>
      </w:r>
      <w:r w:rsidRPr="001C4D10">
        <w:rPr>
          <w:rFonts w:cs="Arial"/>
          <w:lang w:eastAsia="en-US"/>
        </w:rPr>
        <w:t>within the discharge (monitoring representative of the MS4 discharge may be used with Executive Officer approval).</w:t>
      </w:r>
    </w:p>
    <w:p w:rsidR="001C4D10" w:rsidP="00E8254E" w:rsidRDefault="001C4D10" w14:paraId="72049D60" w14:textId="77777777">
      <w:pPr>
        <w:numPr>
          <w:ilvl w:val="0"/>
          <w:numId w:val="37"/>
        </w:numPr>
        <w:rPr>
          <w:rFonts w:cs="Arial"/>
          <w:lang w:eastAsia="en-US"/>
        </w:rPr>
      </w:pPr>
      <w:r w:rsidRPr="001C4D10">
        <w:rPr>
          <w:rFonts w:cs="Arial"/>
          <w:lang w:eastAsia="en-US"/>
        </w:rPr>
        <w:t>Permanent cessation of discharges from the Permittee’s MS4 to receiving waters.</w:t>
      </w:r>
    </w:p>
    <w:p w:rsidR="00D90129" w:rsidP="00442293" w:rsidRDefault="001C4FE6" w14:paraId="5EE7B8E6" w14:textId="11B3EA37">
      <w:pPr>
        <w:ind w:left="1260"/>
      </w:pPr>
      <w:r w:rsidRPr="001C4FE6">
        <w:rPr>
          <w:b/>
        </w:rPr>
        <w:t>Final Compliance Deadline:</w:t>
      </w:r>
      <w:r w:rsidRPr="001C4FE6">
        <w:rPr>
          <w:bCs/>
        </w:rPr>
        <w:t xml:space="preserve"> The final compliance deadline was June 19, 2017. </w:t>
      </w:r>
      <w:r w:rsidRPr="00132BEC">
        <w:t>On December 12, 2019, the Central Valley Water Board issued Time Schedule Order R5-2019-1005 that establishes an implementation schedule for the Permittee to return to compliance with the TMDL requirements.</w:t>
      </w:r>
      <w:r w:rsidRPr="00132BEC" w:rsidR="006161CE">
        <w:t xml:space="preserve"> </w:t>
      </w:r>
      <w:r w:rsidRPr="00132BEC">
        <w:t xml:space="preserve">On 30 November 2020, the Central Valley Water Board adopted Order </w:t>
      </w:r>
      <w:hyperlink w:history="1" r:id="rId45">
        <w:r w:rsidRPr="00132BEC">
          <w:rPr>
            <w:rStyle w:val="Hyperlink"/>
          </w:rPr>
          <w:t>R5</w:t>
        </w:r>
        <w:r w:rsidRPr="00132BEC" w:rsidR="00B5032F">
          <w:rPr>
            <w:rStyle w:val="Hyperlink"/>
          </w:rPr>
          <w:noBreakHyphen/>
        </w:r>
        <w:r w:rsidRPr="00132BEC">
          <w:rPr>
            <w:rStyle w:val="Hyperlink"/>
          </w:rPr>
          <w:t>2020-0902</w:t>
        </w:r>
      </w:hyperlink>
      <w:r w:rsidRPr="00132BEC">
        <w:t>, which amended the compliance deadlines</w:t>
      </w:r>
      <w:r w:rsidR="00460801">
        <w:t xml:space="preserve"> to 2020</w:t>
      </w:r>
      <w:r w:rsidRPr="00132BEC">
        <w:t>.</w:t>
      </w:r>
    </w:p>
    <w:p w:rsidRPr="000D48DD" w:rsidR="000E272E" w:rsidP="000D48DD" w:rsidRDefault="00836361" w14:paraId="4B742412" w14:textId="4DBE23B4">
      <w:pPr>
        <w:pStyle w:val="Heading3"/>
        <w:tabs>
          <w:tab w:val="clear" w:pos="720"/>
          <w:tab w:val="left" w:pos="1260"/>
        </w:tabs>
        <w:ind w:left="1260" w:hanging="1260"/>
        <w:rPr>
          <w:i/>
          <w:iCs/>
        </w:rPr>
      </w:pPr>
      <w:r>
        <w:rPr>
          <w:i/>
          <w:iCs/>
        </w:rPr>
        <w:t>A13</w:t>
      </w:r>
      <w:r w:rsidRPr="000D48DD" w:rsidR="00A05025">
        <w:rPr>
          <w:i/>
          <w:iCs/>
        </w:rPr>
        <w:t>.5</w:t>
      </w:r>
      <w:r w:rsidRPr="000D48DD" w:rsidR="000E272E">
        <w:rPr>
          <w:i/>
          <w:iCs/>
        </w:rPr>
        <w:t>.7</w:t>
      </w:r>
      <w:r w:rsidRPr="000D48DD" w:rsidR="000E272E">
        <w:rPr>
          <w:i/>
          <w:iCs/>
        </w:rPr>
        <w:tab/>
      </w:r>
      <w:r w:rsidRPr="000D48DD" w:rsidR="000E272E">
        <w:rPr>
          <w:i/>
          <w:iCs/>
        </w:rPr>
        <w:t>TMDL for Pyrethroid Pesticides in Sacramento and San Joaquin River Basin</w:t>
      </w:r>
    </w:p>
    <w:p w:rsidRPr="00935C00" w:rsidR="008F3758" w:rsidP="00A05025" w:rsidRDefault="008F3758" w14:paraId="306CC7FF" w14:textId="6C9D4595">
      <w:pPr>
        <w:ind w:left="1350"/>
        <w:rPr>
          <w:rFonts w:eastAsiaTheme="minorHAnsi"/>
        </w:rPr>
      </w:pPr>
      <w:r>
        <w:rPr>
          <w:rFonts w:eastAsiaTheme="minorHAnsi"/>
          <w:b/>
          <w:bCs/>
        </w:rPr>
        <w:t xml:space="preserve">Description: </w:t>
      </w:r>
      <w:r w:rsidR="00766ACF">
        <w:rPr>
          <w:rFonts w:eastAsiaTheme="minorHAnsi"/>
        </w:rPr>
        <w:t>USEPA</w:t>
      </w:r>
      <w:r w:rsidR="00C56C92">
        <w:rPr>
          <w:rFonts w:eastAsiaTheme="minorHAnsi"/>
        </w:rPr>
        <w:t xml:space="preserve"> </w:t>
      </w:r>
      <w:r>
        <w:rPr>
          <w:rFonts w:eastAsiaTheme="minorHAnsi"/>
        </w:rPr>
        <w:t>approved the TMDL for Pyrethroid Pesticides in Sacramento and San Joaquin River Basin</w:t>
      </w:r>
      <w:r w:rsidR="006072CB">
        <w:rPr>
          <w:rFonts w:eastAsiaTheme="minorHAnsi"/>
        </w:rPr>
        <w:t xml:space="preserve"> (</w:t>
      </w:r>
      <w:hyperlink w:history="1" r:id="rId46">
        <w:r w:rsidRPr="006072CB" w:rsidR="006072CB">
          <w:rPr>
            <w:rStyle w:val="Hyperlink"/>
            <w:rFonts w:eastAsiaTheme="minorHAnsi"/>
          </w:rPr>
          <w:t>Resolution R5-2017-0057</w:t>
        </w:r>
      </w:hyperlink>
      <w:r w:rsidR="006072CB">
        <w:rPr>
          <w:rFonts w:eastAsiaTheme="minorHAnsi"/>
        </w:rPr>
        <w:t>)</w:t>
      </w:r>
      <w:r>
        <w:rPr>
          <w:rFonts w:eastAsiaTheme="minorHAnsi"/>
        </w:rPr>
        <w:t xml:space="preserve"> on </w:t>
      </w:r>
      <w:r>
        <w:rPr>
          <w:rFonts w:eastAsiaTheme="minorHAnsi"/>
        </w:rPr>
        <w:t xml:space="preserve">April 22, 2019. </w:t>
      </w:r>
      <w:r w:rsidR="005011A3">
        <w:rPr>
          <w:rFonts w:eastAsiaTheme="minorHAnsi"/>
        </w:rPr>
        <w:t xml:space="preserve">The TMDL has been </w:t>
      </w:r>
      <w:r w:rsidR="00427FE2">
        <w:rPr>
          <w:rFonts w:eastAsiaTheme="minorHAnsi"/>
        </w:rPr>
        <w:t xml:space="preserve">incorporated into the Central Valley Water Board </w:t>
      </w:r>
      <w:hyperlink w:history="1" r:id="rId47">
        <w:r w:rsidRPr="00427FE2" w:rsidR="00427FE2">
          <w:rPr>
            <w:rStyle w:val="Hyperlink"/>
            <w:rFonts w:eastAsiaTheme="minorHAnsi"/>
          </w:rPr>
          <w:t>Basin Plan</w:t>
        </w:r>
      </w:hyperlink>
      <w:r w:rsidR="00427FE2">
        <w:rPr>
          <w:rFonts w:eastAsiaTheme="minorHAnsi"/>
        </w:rPr>
        <w:t xml:space="preserve">. </w:t>
      </w:r>
      <w:r w:rsidR="00EE1C19">
        <w:rPr>
          <w:rFonts w:eastAsiaTheme="minorHAnsi"/>
        </w:rPr>
        <w:t>Urban runoff has been identified as a source</w:t>
      </w:r>
      <w:r w:rsidR="005F404F">
        <w:rPr>
          <w:rFonts w:eastAsiaTheme="minorHAnsi"/>
        </w:rPr>
        <w:t>.</w:t>
      </w:r>
      <w:r w:rsidR="00D475EA">
        <w:rPr>
          <w:rFonts w:eastAsiaTheme="minorHAnsi"/>
        </w:rPr>
        <w:t xml:space="preserve"> </w:t>
      </w:r>
    </w:p>
    <w:p w:rsidRPr="00412E71" w:rsidR="008F3758" w:rsidP="00A05025" w:rsidRDefault="008F3758" w14:paraId="584161C5" w14:textId="77777777">
      <w:pPr>
        <w:ind w:left="1350"/>
        <w:rPr>
          <w:rFonts w:eastAsiaTheme="minorHAnsi"/>
        </w:rPr>
      </w:pPr>
      <w:r>
        <w:rPr>
          <w:rFonts w:eastAsiaTheme="minorHAnsi"/>
          <w:b/>
          <w:bCs/>
        </w:rPr>
        <w:t xml:space="preserve">Responsible Permittees: </w:t>
      </w:r>
      <w:r w:rsidRPr="00412E71">
        <w:rPr>
          <w:rFonts w:eastAsiaTheme="minorHAnsi"/>
        </w:rPr>
        <w:t>City of Roseville</w:t>
      </w:r>
    </w:p>
    <w:p w:rsidR="008F3758" w:rsidP="00AE1E9F" w:rsidRDefault="008F3758" w14:paraId="5F509E21" w14:textId="6BFC4EC2">
      <w:pPr>
        <w:ind w:left="1350"/>
        <w:rPr>
          <w:rFonts w:eastAsiaTheme="minorHAnsi"/>
        </w:rPr>
      </w:pPr>
      <w:r>
        <w:rPr>
          <w:rFonts w:eastAsiaTheme="minorHAnsi"/>
          <w:b/>
          <w:bCs/>
        </w:rPr>
        <w:t xml:space="preserve">Wasteload Allocations: </w:t>
      </w:r>
      <w:r>
        <w:rPr>
          <w:rFonts w:eastAsiaTheme="minorHAnsi"/>
        </w:rPr>
        <w:t xml:space="preserve">Wasteload allocations shall </w:t>
      </w:r>
      <w:r w:rsidR="00A10CEE">
        <w:rPr>
          <w:rFonts w:eastAsiaTheme="minorHAnsi"/>
        </w:rPr>
        <w:t xml:space="preserve">be </w:t>
      </w:r>
      <w:r>
        <w:rPr>
          <w:rFonts w:eastAsiaTheme="minorHAnsi"/>
        </w:rPr>
        <w:t>equal to the loading ca</w:t>
      </w:r>
      <w:r w:rsidR="00BE7394">
        <w:rPr>
          <w:rFonts w:eastAsiaTheme="minorHAnsi"/>
        </w:rPr>
        <w:t>p</w:t>
      </w:r>
      <w:r>
        <w:rPr>
          <w:rFonts w:eastAsiaTheme="minorHAnsi"/>
        </w:rPr>
        <w:t xml:space="preserve">acity as shown </w:t>
      </w:r>
      <w:r w:rsidR="00891AC1">
        <w:rPr>
          <w:rFonts w:eastAsiaTheme="minorHAnsi"/>
        </w:rPr>
        <w:t>under</w:t>
      </w:r>
      <w:r w:rsidR="00C20EE3">
        <w:rPr>
          <w:rFonts w:eastAsiaTheme="minorHAnsi"/>
        </w:rPr>
        <w:t xml:space="preserve"> the Numeric Triggers</w:t>
      </w:r>
      <w:r w:rsidR="000C3D82">
        <w:rPr>
          <w:rFonts w:eastAsiaTheme="minorHAnsi"/>
        </w:rPr>
        <w:t xml:space="preserve"> (i.e., </w:t>
      </w:r>
      <w:r w:rsidR="008B040E">
        <w:rPr>
          <w:rFonts w:eastAsiaTheme="minorHAnsi"/>
        </w:rPr>
        <w:t>Additive Numeric Targets)</w:t>
      </w:r>
      <w:r w:rsidR="00C20EE3">
        <w:rPr>
          <w:rFonts w:eastAsiaTheme="minorHAnsi"/>
        </w:rPr>
        <w:t>, below</w:t>
      </w:r>
      <w:r>
        <w:rPr>
          <w:rFonts w:eastAsiaTheme="minorHAnsi"/>
        </w:rPr>
        <w:t>:</w:t>
      </w:r>
    </w:p>
    <w:p w:rsidR="00943687" w:rsidP="00BB3D2A" w:rsidRDefault="00943687" w14:paraId="04BCE269" w14:textId="3F05F373">
      <w:pPr>
        <w:ind w:left="1620"/>
        <w:rPr>
          <w:rFonts w:eastAsiaTheme="minorHAnsi"/>
          <w:b/>
          <w:bCs/>
          <w:sz w:val="22"/>
          <w:szCs w:val="22"/>
        </w:rPr>
      </w:pPr>
      <w:r w:rsidRPr="00A962AA">
        <w:rPr>
          <w:rFonts w:eastAsiaTheme="minorHAnsi"/>
          <w:b/>
          <w:bCs/>
          <w:sz w:val="22"/>
          <w:szCs w:val="22"/>
        </w:rPr>
        <w:t>Numeric Triggers for Pyrethroid Pesticides (including all stereoisomers)</w:t>
      </w:r>
      <w:r w:rsidR="003A50C8">
        <w:rPr>
          <w:rStyle w:val="FootnoteReference"/>
          <w:rFonts w:eastAsiaTheme="minorHAnsi"/>
          <w:b/>
          <w:bCs/>
          <w:sz w:val="22"/>
          <w:szCs w:val="22"/>
        </w:rPr>
        <w:footnoteReference w:id="27"/>
      </w:r>
    </w:p>
    <w:p w:rsidRPr="008B040E" w:rsidR="008B040E" w:rsidP="00BB3D2A" w:rsidRDefault="008B040E" w14:paraId="4650F620" w14:textId="020D973B">
      <w:pPr>
        <w:ind w:left="1620"/>
        <w:rPr>
          <w:rFonts w:eastAsiaTheme="minorHAnsi"/>
          <w:sz w:val="22"/>
          <w:szCs w:val="22"/>
        </w:rPr>
      </w:pPr>
      <w:r w:rsidRPr="008B040E">
        <w:rPr>
          <w:rFonts w:eastAsiaTheme="minorHAnsi"/>
          <w:sz w:val="22"/>
          <w:szCs w:val="22"/>
        </w:rPr>
        <w:t>The pyrethroid triggers are intended to be used to indicate when pyrethroid management plans need to be developed and management practices are to be implemented by the discharger. When the triggers are exceeded in monitoring or as part of a toxicity evaluation, the discharger may be required to initiate trend monitoring. These actions will provide information on achievability and costs to the Board to inform future evaluation of potential water quality objectives. The pyrethroid triggers are not for use as numeric water quality-based effluent limitations or for reasonable potential analysis.</w:t>
      </w:r>
    </w:p>
    <w:p w:rsidRPr="00E013FC" w:rsidR="00943687" w:rsidP="00822699" w:rsidRDefault="00943687" w14:paraId="36BA9D5B" w14:textId="77777777">
      <w:pPr>
        <w:pStyle w:val="N"/>
        <w:widowControl w:val="0"/>
        <w:spacing w:line="240" w:lineRule="auto"/>
        <w:ind w:left="1800"/>
        <w:rPr>
          <w:b/>
          <w:sz w:val="22"/>
          <w:szCs w:val="22"/>
        </w:rPr>
      </w:pPr>
      <w:r w:rsidRPr="00E013FC">
        <w:rPr>
          <w:b/>
          <w:sz w:val="22"/>
          <w:szCs w:val="22"/>
        </w:rPr>
        <w:t>Pyrethroid Concentration Calculation</w:t>
      </w:r>
    </w:p>
    <w:p w:rsidR="00943687" w:rsidP="00822699" w:rsidRDefault="00943687" w14:paraId="30336D66" w14:textId="1EDFDC1C">
      <w:pPr>
        <w:pStyle w:val="N"/>
        <w:widowControl w:val="0"/>
        <w:spacing w:before="120" w:after="120" w:line="259" w:lineRule="auto"/>
        <w:ind w:left="1800"/>
        <w:rPr>
          <w:sz w:val="22"/>
          <w:szCs w:val="22"/>
        </w:rPr>
      </w:pPr>
      <w:r w:rsidRPr="00C500CC">
        <w:rPr>
          <w:sz w:val="22"/>
          <w:szCs w:val="22"/>
        </w:rPr>
        <w:t xml:space="preserve">Concentrations of pyrethroid pesticides must be above reporting limits (limits of quantitation) to be included; concentrations reported as not-detected or as below the limit of quantitation will be considered as zero (0) in the below formulas. Guidance on acceptable analytical methods is given in the </w:t>
      </w:r>
      <w:r w:rsidR="00A0099C">
        <w:rPr>
          <w:sz w:val="22"/>
          <w:szCs w:val="22"/>
        </w:rPr>
        <w:t xml:space="preserve">Basin Plan’s </w:t>
      </w:r>
      <w:r w:rsidRPr="00C500CC">
        <w:rPr>
          <w:sz w:val="22"/>
          <w:szCs w:val="22"/>
        </w:rPr>
        <w:t>Surveillance and Monitoring chapter under the header Pyrethroid Pesticides Discharges (</w:t>
      </w:r>
      <w:hyperlink w:history="1" r:id="rId48">
        <w:r w:rsidRPr="00563ECA" w:rsidR="00897F01">
          <w:rPr>
            <w:rStyle w:val="Hyperlink"/>
            <w:sz w:val="22"/>
            <w:szCs w:val="22"/>
          </w:rPr>
          <w:t>Basin Plan</w:t>
        </w:r>
      </w:hyperlink>
      <w:r w:rsidR="00897F01">
        <w:rPr>
          <w:sz w:val="22"/>
          <w:szCs w:val="22"/>
        </w:rPr>
        <w:t xml:space="preserve"> </w:t>
      </w:r>
      <w:r w:rsidRPr="00C500CC">
        <w:rPr>
          <w:sz w:val="22"/>
          <w:szCs w:val="22"/>
        </w:rPr>
        <w:t>p</w:t>
      </w:r>
      <w:r w:rsidR="00897F01">
        <w:rPr>
          <w:sz w:val="22"/>
          <w:szCs w:val="22"/>
        </w:rPr>
        <w:t>age</w:t>
      </w:r>
      <w:r w:rsidRPr="00C500CC">
        <w:rPr>
          <w:sz w:val="22"/>
          <w:szCs w:val="22"/>
        </w:rPr>
        <w:t xml:space="preserve"> </w:t>
      </w:r>
      <w:r w:rsidR="00897F01">
        <w:rPr>
          <w:sz w:val="22"/>
          <w:szCs w:val="22"/>
        </w:rPr>
        <w:t>5-12</w:t>
      </w:r>
      <w:r w:rsidRPr="00C500CC">
        <w:rPr>
          <w:sz w:val="22"/>
          <w:szCs w:val="22"/>
        </w:rPr>
        <w:t>).</w:t>
      </w:r>
      <w:r w:rsidR="00FB7739">
        <w:rPr>
          <w:sz w:val="22"/>
          <w:szCs w:val="22"/>
        </w:rPr>
        <w:t xml:space="preserve"> </w:t>
      </w:r>
    </w:p>
    <w:p w:rsidRPr="00C500CC" w:rsidR="00FB7739" w:rsidP="00822699" w:rsidRDefault="00FB7739" w14:paraId="1E956402" w14:textId="69303296">
      <w:pPr>
        <w:pStyle w:val="N"/>
        <w:widowControl w:val="0"/>
        <w:spacing w:before="120" w:after="120" w:line="259" w:lineRule="auto"/>
        <w:ind w:left="1800"/>
        <w:rPr>
          <w:sz w:val="22"/>
          <w:szCs w:val="22"/>
        </w:rPr>
      </w:pPr>
      <w:r w:rsidRPr="00FB7739">
        <w:rPr>
          <w:sz w:val="22"/>
          <w:szCs w:val="22"/>
        </w:rPr>
        <w:t>The pyrethroid triggers are intended to be used to indicate when pyrethroid management plans need to be developed and management practices are to be implemented by the discharger. When the triggers are exceeded in monitoring or as part of a toxicity evaluation, the discharger may be required to initiate trend monitoring. These actions will provide information on achievability and costs to the Board to inform future evaluation of potential water quality objectives. The pyrethroid triggers are not for use as numeric water quality-based effluent limitations or for reasonable potential analysis.</w:t>
      </w:r>
    </w:p>
    <w:p w:rsidRPr="00C500CC" w:rsidR="00943687" w:rsidP="00822699" w:rsidRDefault="00943687" w14:paraId="3061E5D3" w14:textId="76E26851">
      <w:pPr>
        <w:ind w:left="1800"/>
        <w:rPr>
          <w:rFonts w:cs="Arial"/>
          <w:sz w:val="22"/>
          <w:szCs w:val="22"/>
        </w:rPr>
      </w:pPr>
      <w:r w:rsidRPr="00C500CC">
        <w:rPr>
          <w:rFonts w:cs="Arial"/>
          <w:b/>
          <w:sz w:val="22"/>
          <w:szCs w:val="22"/>
        </w:rPr>
        <w:t>Freely dissolved pyrethroid concentrations</w:t>
      </w:r>
      <w:r w:rsidRPr="00C500CC">
        <w:rPr>
          <w:rFonts w:cs="Arial"/>
          <w:sz w:val="22"/>
          <w:szCs w:val="22"/>
        </w:rPr>
        <w:t xml:space="preserve"> may be used in the below formulas to determine the sum of acute and chronic additive concentration goal units (CGUs). The freely dissolved concentration of each quantified pyrethroid pesticide in a sample may be directly measured or estimated using partition coefficients. Methods for direct measurement must be approved by the Executive Officer before they are used to determine the freely dissolved pyrethroid concentrations that are used for determining exceedances of the pyrethroid pesticides numeric triggers. To estimate the freely dissolved </w:t>
      </w:r>
      <w:r w:rsidRPr="00C500CC">
        <w:rPr>
          <w:rFonts w:cs="Arial"/>
          <w:sz w:val="22"/>
          <w:szCs w:val="22"/>
        </w:rPr>
        <w:t>concentration of a pyrethroid pesticide with partition coefficients, the following equation shall be used:</w:t>
      </w:r>
    </w:p>
    <w:p w:rsidRPr="00C500CC" w:rsidR="00943687" w:rsidP="00C500CC" w:rsidRDefault="00000000" w14:paraId="5F2EBCBF" w14:textId="77777777">
      <w:pPr>
        <w:pStyle w:val="N"/>
        <w:widowControl w:val="0"/>
        <w:spacing w:before="120" w:after="120" w:line="259" w:lineRule="auto"/>
        <w:ind w:left="-222"/>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dissolved</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total</m:t>
                  </m:r>
                </m:sub>
              </m:sSub>
            </m:num>
            <m:den>
              <m:r>
                <w:rPr>
                  <w:rFonts w:ascii="Cambria Math" w:hAnsi="Cambria Math"/>
                  <w:sz w:val="22"/>
                  <w:szCs w:val="22"/>
                </w:rPr>
                <m:t>1+</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OC</m:t>
                      </m:r>
                    </m:sub>
                  </m:sSub>
                  <m:r>
                    <w:rPr>
                      <w:rFonts w:ascii="Cambria Math" w:hAnsi="Cambria Math"/>
                      <w:sz w:val="22"/>
                      <w:szCs w:val="22"/>
                    </w:rPr>
                    <m:t>×</m:t>
                  </m:r>
                  <m:d>
                    <m:dPr>
                      <m:begChr m:val="["/>
                      <m:endChr m:val="]"/>
                      <m:ctrlPr>
                        <w:rPr>
                          <w:rFonts w:ascii="Cambria Math" w:hAnsi="Cambria Math"/>
                          <w:i/>
                          <w:sz w:val="22"/>
                          <w:szCs w:val="22"/>
                        </w:rPr>
                      </m:ctrlPr>
                    </m:dPr>
                    <m:e>
                      <m:r>
                        <w:rPr>
                          <w:rFonts w:ascii="Cambria Math" w:hAnsi="Cambria Math"/>
                          <w:sz w:val="22"/>
                          <w:szCs w:val="22"/>
                        </w:rPr>
                        <m:t>POC</m:t>
                      </m:r>
                    </m:e>
                  </m:d>
                </m:e>
              </m:d>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DOC</m:t>
                      </m:r>
                    </m:sub>
                  </m:sSub>
                  <m:r>
                    <w:rPr>
                      <w:rFonts w:ascii="Cambria Math" w:hAnsi="Cambria Math"/>
                      <w:sz w:val="22"/>
                      <w:szCs w:val="22"/>
                    </w:rPr>
                    <m:t>×</m:t>
                  </m:r>
                  <m:d>
                    <m:dPr>
                      <m:begChr m:val="["/>
                      <m:endChr m:val="]"/>
                      <m:ctrlPr>
                        <w:rPr>
                          <w:rFonts w:ascii="Cambria Math" w:hAnsi="Cambria Math"/>
                          <w:i/>
                          <w:sz w:val="22"/>
                          <w:szCs w:val="22"/>
                        </w:rPr>
                      </m:ctrlPr>
                    </m:dPr>
                    <m:e>
                      <m:r>
                        <w:rPr>
                          <w:rFonts w:ascii="Cambria Math" w:hAnsi="Cambria Math"/>
                          <w:sz w:val="22"/>
                          <w:szCs w:val="22"/>
                        </w:rPr>
                        <m:t>DOC</m:t>
                      </m:r>
                    </m:e>
                  </m:d>
                </m:e>
              </m:d>
            </m:den>
          </m:f>
        </m:oMath>
      </m:oMathPara>
    </w:p>
    <w:p w:rsidRPr="00C500CC" w:rsidR="00943687" w:rsidP="00822699" w:rsidRDefault="00943687" w14:paraId="4349B533" w14:textId="77777777">
      <w:pPr>
        <w:pStyle w:val="N"/>
        <w:widowControl w:val="0"/>
        <w:spacing w:before="120" w:after="120" w:line="259" w:lineRule="auto"/>
        <w:ind w:left="1800"/>
        <w:rPr>
          <w:sz w:val="22"/>
          <w:szCs w:val="22"/>
        </w:rPr>
      </w:pPr>
      <w:r w:rsidRPr="00C500CC">
        <w:rPr>
          <w:sz w:val="22"/>
          <w:szCs w:val="22"/>
        </w:rPr>
        <w:t>Where:</w:t>
      </w:r>
    </w:p>
    <w:p w:rsidRPr="006B06CB" w:rsidR="00943687" w:rsidP="00D11D02" w:rsidRDefault="00943687" w14:paraId="7DB9505F" w14:textId="1BA4FEE3">
      <w:pPr>
        <w:pStyle w:val="N"/>
        <w:widowControl w:val="0"/>
        <w:tabs>
          <w:tab w:val="left" w:pos="3330"/>
        </w:tabs>
        <w:spacing w:before="120" w:after="120" w:line="259" w:lineRule="auto"/>
        <w:ind w:left="3330" w:hanging="1170"/>
        <w:rPr>
          <w:szCs w:val="24"/>
        </w:rPr>
      </w:pPr>
      <w:r w:rsidRPr="006B06CB">
        <w:rPr>
          <w:i/>
          <w:szCs w:val="24"/>
        </w:rPr>
        <w:t>C</w:t>
      </w:r>
      <w:r w:rsidRPr="006B06CB">
        <w:rPr>
          <w:i/>
          <w:szCs w:val="24"/>
          <w:vertAlign w:val="subscript"/>
        </w:rPr>
        <w:t>dissolved</w:t>
      </w:r>
      <w:r w:rsidRPr="006B06CB">
        <w:rPr>
          <w:szCs w:val="24"/>
        </w:rPr>
        <w:t xml:space="preserve"> = concentration of </w:t>
      </w:r>
      <w:r w:rsidRPr="006B06CB" w:rsidR="001F1628">
        <w:rPr>
          <w:szCs w:val="24"/>
        </w:rPr>
        <w:t>an</w:t>
      </w:r>
      <w:r w:rsidRPr="006B06CB">
        <w:rPr>
          <w:szCs w:val="24"/>
        </w:rPr>
        <w:t xml:space="preserve"> individual pyrethroid pesticide that is in the freely dissolved phase (ng/L),</w:t>
      </w:r>
    </w:p>
    <w:p w:rsidRPr="006B06CB" w:rsidR="00943687" w:rsidP="00D11D02" w:rsidRDefault="00943687" w14:paraId="494D4D77" w14:textId="4BCB39FA">
      <w:pPr>
        <w:pStyle w:val="N"/>
        <w:widowControl w:val="0"/>
        <w:tabs>
          <w:tab w:val="left" w:pos="3330"/>
        </w:tabs>
        <w:spacing w:before="120" w:after="120" w:line="259" w:lineRule="auto"/>
        <w:ind w:left="3330" w:hanging="1170"/>
        <w:rPr>
          <w:szCs w:val="24"/>
        </w:rPr>
      </w:pPr>
      <w:r w:rsidRPr="006B06CB">
        <w:rPr>
          <w:i/>
          <w:szCs w:val="24"/>
        </w:rPr>
        <w:t>C</w:t>
      </w:r>
      <w:r w:rsidRPr="006B06CB">
        <w:rPr>
          <w:i/>
          <w:szCs w:val="24"/>
          <w:vertAlign w:val="subscript"/>
        </w:rPr>
        <w:t>total</w:t>
      </w:r>
      <w:r w:rsidRPr="006B06CB">
        <w:rPr>
          <w:szCs w:val="24"/>
        </w:rPr>
        <w:t xml:space="preserve"> = </w:t>
      </w:r>
      <w:r w:rsidR="00D11D02">
        <w:rPr>
          <w:szCs w:val="24"/>
        </w:rPr>
        <w:tab/>
      </w:r>
      <w:r w:rsidRPr="006B06CB">
        <w:rPr>
          <w:szCs w:val="24"/>
        </w:rPr>
        <w:t>total concentration of an individual pyrethroid pesticide in water (ng/L),</w:t>
      </w:r>
    </w:p>
    <w:p w:rsidRPr="006B06CB" w:rsidR="00943687" w:rsidP="00D11D02" w:rsidRDefault="00943687" w14:paraId="35A198EF" w14:textId="6457EC53">
      <w:pPr>
        <w:pStyle w:val="N"/>
        <w:widowControl w:val="0"/>
        <w:spacing w:before="120" w:after="120" w:line="259" w:lineRule="auto"/>
        <w:ind w:left="3420" w:hanging="1260"/>
        <w:rPr>
          <w:szCs w:val="24"/>
        </w:rPr>
      </w:pPr>
      <w:r w:rsidRPr="006B06CB">
        <w:rPr>
          <w:i/>
          <w:szCs w:val="24"/>
        </w:rPr>
        <w:t>K</w:t>
      </w:r>
      <w:r w:rsidRPr="006B06CB">
        <w:rPr>
          <w:i/>
          <w:szCs w:val="24"/>
          <w:vertAlign w:val="subscript"/>
        </w:rPr>
        <w:t>OC</w:t>
      </w:r>
      <w:r w:rsidRPr="006B06CB">
        <w:rPr>
          <w:szCs w:val="24"/>
        </w:rPr>
        <w:t xml:space="preserve"> = </w:t>
      </w:r>
      <w:r w:rsidR="00D11D02">
        <w:rPr>
          <w:szCs w:val="24"/>
        </w:rPr>
        <w:tab/>
      </w:r>
      <w:r w:rsidRPr="006B06CB">
        <w:rPr>
          <w:szCs w:val="24"/>
        </w:rPr>
        <w:t>organic carbon-water partition coefficient for the individual pyrethroid pesticide (L/kg),</w:t>
      </w:r>
    </w:p>
    <w:p w:rsidRPr="006B06CB" w:rsidR="00943687" w:rsidP="00D11D02" w:rsidRDefault="00943687" w14:paraId="1374E656" w14:textId="673ABAE4">
      <w:pPr>
        <w:pStyle w:val="N"/>
        <w:widowControl w:val="0"/>
        <w:tabs>
          <w:tab w:val="left" w:pos="2880"/>
        </w:tabs>
        <w:spacing w:before="120" w:after="120" w:line="259" w:lineRule="auto"/>
        <w:ind w:left="3420" w:hanging="1260"/>
        <w:rPr>
          <w:szCs w:val="24"/>
        </w:rPr>
      </w:pPr>
      <w:r w:rsidRPr="006B06CB">
        <w:rPr>
          <w:szCs w:val="24"/>
        </w:rPr>
        <w:t>[</w:t>
      </w:r>
      <w:r w:rsidRPr="006B06CB">
        <w:rPr>
          <w:i/>
          <w:szCs w:val="24"/>
        </w:rPr>
        <w:t>POC</w:t>
      </w:r>
      <w:r w:rsidRPr="006B06CB">
        <w:rPr>
          <w:szCs w:val="24"/>
        </w:rPr>
        <w:t xml:space="preserve">] = </w:t>
      </w:r>
      <w:r w:rsidR="00D11D02">
        <w:rPr>
          <w:szCs w:val="24"/>
        </w:rPr>
        <w:tab/>
      </w:r>
      <w:r w:rsidRPr="006B06CB">
        <w:rPr>
          <w:szCs w:val="24"/>
        </w:rPr>
        <w:t>concentration of particulate organic carbon in the water sample (kg/L),which can be calculated as [POC]=[TOC]-[DOC],</w:t>
      </w:r>
    </w:p>
    <w:p w:rsidRPr="006B06CB" w:rsidR="00943687" w:rsidP="00D11D02" w:rsidRDefault="00943687" w14:paraId="06B53F19" w14:textId="40D60583">
      <w:pPr>
        <w:pStyle w:val="N"/>
        <w:widowControl w:val="0"/>
        <w:tabs>
          <w:tab w:val="left" w:pos="2880"/>
        </w:tabs>
        <w:spacing w:before="120" w:after="120" w:line="259" w:lineRule="auto"/>
        <w:ind w:left="3420" w:hanging="1260"/>
        <w:rPr>
          <w:szCs w:val="24"/>
        </w:rPr>
      </w:pPr>
      <w:r w:rsidRPr="006B06CB">
        <w:rPr>
          <w:i/>
          <w:szCs w:val="24"/>
        </w:rPr>
        <w:t>K</w:t>
      </w:r>
      <w:r w:rsidRPr="006B06CB">
        <w:rPr>
          <w:i/>
          <w:szCs w:val="24"/>
          <w:vertAlign w:val="subscript"/>
        </w:rPr>
        <w:t>DOC</w:t>
      </w:r>
      <w:r w:rsidRPr="006B06CB">
        <w:rPr>
          <w:szCs w:val="24"/>
        </w:rPr>
        <w:t xml:space="preserve"> = </w:t>
      </w:r>
      <w:r w:rsidR="00D11D02">
        <w:rPr>
          <w:szCs w:val="24"/>
        </w:rPr>
        <w:tab/>
      </w:r>
      <w:r w:rsidRPr="006B06CB">
        <w:rPr>
          <w:szCs w:val="24"/>
        </w:rPr>
        <w:t>dissolved organic carbon-water partition coefficient (L/kg),</w:t>
      </w:r>
    </w:p>
    <w:p w:rsidRPr="00C500CC" w:rsidR="00943687" w:rsidP="00D11D02" w:rsidRDefault="00943687" w14:paraId="72424AFD" w14:textId="5DFD4B24">
      <w:pPr>
        <w:pStyle w:val="N"/>
        <w:widowControl w:val="0"/>
        <w:tabs>
          <w:tab w:val="left" w:pos="2880"/>
        </w:tabs>
        <w:spacing w:before="120" w:after="120" w:line="259" w:lineRule="auto"/>
        <w:ind w:left="3420" w:hanging="1260"/>
        <w:rPr>
          <w:sz w:val="22"/>
          <w:szCs w:val="22"/>
        </w:rPr>
      </w:pPr>
      <w:r w:rsidRPr="006B06CB">
        <w:rPr>
          <w:szCs w:val="24"/>
        </w:rPr>
        <w:t>[</w:t>
      </w:r>
      <w:r w:rsidRPr="006B06CB">
        <w:rPr>
          <w:i/>
          <w:szCs w:val="24"/>
        </w:rPr>
        <w:t>DOC</w:t>
      </w:r>
      <w:r w:rsidRPr="006B06CB">
        <w:rPr>
          <w:szCs w:val="24"/>
        </w:rPr>
        <w:t xml:space="preserve">] = </w:t>
      </w:r>
      <w:r w:rsidR="00D11D02">
        <w:rPr>
          <w:szCs w:val="24"/>
        </w:rPr>
        <w:tab/>
      </w:r>
      <w:r w:rsidRPr="006B06CB">
        <w:rPr>
          <w:szCs w:val="24"/>
        </w:rPr>
        <w:t>concentration</w:t>
      </w:r>
      <w:r w:rsidRPr="00C500CC">
        <w:rPr>
          <w:sz w:val="22"/>
          <w:szCs w:val="22"/>
        </w:rPr>
        <w:t xml:space="preserve"> of dissolved organic carbon in the sample (kg/L).</w:t>
      </w:r>
    </w:p>
    <w:p w:rsidRPr="006B06CB" w:rsidR="00943687" w:rsidP="00822699" w:rsidRDefault="00943687" w14:paraId="68FCFAA4" w14:textId="77777777">
      <w:pPr>
        <w:pStyle w:val="N"/>
        <w:widowControl w:val="0"/>
        <w:spacing w:before="120" w:after="120" w:line="259" w:lineRule="auto"/>
        <w:ind w:left="1800"/>
        <w:rPr>
          <w:szCs w:val="24"/>
        </w:rPr>
      </w:pPr>
      <w:r w:rsidRPr="006B06CB">
        <w:rPr>
          <w:szCs w:val="24"/>
        </w:rPr>
        <w:t>Site-specific or alternative study-based partition coefficients approved by the Executive Officer may be used in the above equation. If site-specific or alternative study-based partition coefficients are not available or have not been approved, the following partition coefficients shall be used in the above equation:</w:t>
      </w:r>
    </w:p>
    <w:tbl>
      <w:tblPr>
        <w:tblStyle w:val="TableGrid"/>
        <w:tblW w:w="9090" w:type="dxa"/>
        <w:tblInd w:w="355" w:type="dxa"/>
        <w:tblLayout w:type="fixed"/>
        <w:tblLook w:val="04A0" w:firstRow="1" w:lastRow="0" w:firstColumn="1" w:lastColumn="0" w:noHBand="0" w:noVBand="1"/>
      </w:tblPr>
      <w:tblGrid>
        <w:gridCol w:w="2880"/>
        <w:gridCol w:w="1620"/>
        <w:gridCol w:w="1440"/>
        <w:gridCol w:w="1440"/>
        <w:gridCol w:w="1710"/>
      </w:tblGrid>
      <w:tr w:rsidRPr="00D11D02" w:rsidR="00943687" w:rsidTr="00830BC4" w14:paraId="0861A7CA" w14:textId="77777777">
        <w:trPr>
          <w:trHeight w:val="246"/>
        </w:trPr>
        <w:tc>
          <w:tcPr>
            <w:tcW w:w="2880" w:type="dxa"/>
            <w:vMerge w:val="restart"/>
            <w:shd w:val="clear" w:color="auto" w:fill="EAF1DD" w:themeFill="accent3" w:themeFillTint="33"/>
            <w:vAlign w:val="center"/>
          </w:tcPr>
          <w:p w:rsidRPr="00D11D02" w:rsidR="00943687" w:rsidP="006A0DB7" w:rsidRDefault="00943687" w14:paraId="4D51E8F8" w14:textId="5469CC20">
            <w:pPr>
              <w:pStyle w:val="N"/>
              <w:widowControl w:val="0"/>
              <w:spacing w:after="120" w:line="240" w:lineRule="auto"/>
              <w:ind w:left="90"/>
              <w:rPr>
                <w:rFonts w:ascii="Arial" w:hAnsi="Arial"/>
                <w:b/>
                <w:bCs/>
                <w:sz w:val="22"/>
                <w:szCs w:val="22"/>
              </w:rPr>
            </w:pPr>
            <w:r w:rsidRPr="00D11D02">
              <w:rPr>
                <w:rFonts w:ascii="Arial" w:hAnsi="Arial"/>
                <w:b/>
                <w:bCs/>
                <w:sz w:val="22"/>
                <w:szCs w:val="22"/>
              </w:rPr>
              <w:t>Pyrethroid Pesticide</w:t>
            </w:r>
          </w:p>
        </w:tc>
        <w:tc>
          <w:tcPr>
            <w:tcW w:w="3060" w:type="dxa"/>
            <w:gridSpan w:val="2"/>
            <w:shd w:val="clear" w:color="auto" w:fill="EAF1DD" w:themeFill="accent3" w:themeFillTint="33"/>
          </w:tcPr>
          <w:p w:rsidRPr="00D11D02" w:rsidR="00943687" w:rsidP="006A0DB7" w:rsidRDefault="00943687" w14:paraId="5A635B84" w14:textId="77777777">
            <w:pPr>
              <w:pStyle w:val="N"/>
              <w:widowControl w:val="0"/>
              <w:spacing w:after="120" w:line="240" w:lineRule="auto"/>
              <w:ind w:left="90"/>
              <w:rPr>
                <w:rFonts w:ascii="Arial" w:hAnsi="Arial"/>
                <w:b/>
                <w:bCs/>
                <w:sz w:val="22"/>
                <w:szCs w:val="22"/>
              </w:rPr>
            </w:pPr>
            <w:r w:rsidRPr="00D11D02">
              <w:rPr>
                <w:rFonts w:ascii="Arial" w:hAnsi="Arial"/>
                <w:b/>
                <w:bCs/>
                <w:sz w:val="22"/>
                <w:szCs w:val="22"/>
              </w:rPr>
              <w:t>Ambient Waters</w:t>
            </w:r>
          </w:p>
        </w:tc>
        <w:tc>
          <w:tcPr>
            <w:tcW w:w="3150" w:type="dxa"/>
            <w:gridSpan w:val="2"/>
            <w:shd w:val="clear" w:color="auto" w:fill="EAF1DD" w:themeFill="accent3" w:themeFillTint="33"/>
          </w:tcPr>
          <w:p w:rsidRPr="00D11D02" w:rsidR="00943687" w:rsidP="006A0DB7" w:rsidRDefault="00943687" w14:paraId="30BAC699" w14:textId="77777777">
            <w:pPr>
              <w:pStyle w:val="N"/>
              <w:widowControl w:val="0"/>
              <w:spacing w:after="120" w:line="240" w:lineRule="auto"/>
              <w:ind w:left="90"/>
              <w:rPr>
                <w:rFonts w:ascii="Arial" w:hAnsi="Arial"/>
                <w:b/>
                <w:bCs/>
                <w:sz w:val="22"/>
                <w:szCs w:val="22"/>
              </w:rPr>
            </w:pPr>
            <w:r w:rsidRPr="00D11D02">
              <w:rPr>
                <w:rFonts w:ascii="Arial" w:hAnsi="Arial"/>
                <w:b/>
                <w:bCs/>
                <w:sz w:val="22"/>
                <w:szCs w:val="22"/>
              </w:rPr>
              <w:t>Wastewater Effluents</w:t>
            </w:r>
          </w:p>
        </w:tc>
      </w:tr>
      <w:tr w:rsidRPr="00D11D02" w:rsidR="00943687" w:rsidTr="00830BC4" w14:paraId="3120E3AF" w14:textId="77777777">
        <w:trPr>
          <w:trHeight w:val="257"/>
        </w:trPr>
        <w:tc>
          <w:tcPr>
            <w:tcW w:w="2880" w:type="dxa"/>
            <w:vMerge/>
            <w:tcBorders>
              <w:bottom w:val="single" w:color="auto" w:sz="12" w:space="0"/>
            </w:tcBorders>
            <w:shd w:val="clear" w:color="auto" w:fill="EAF1DD" w:themeFill="accent3" w:themeFillTint="33"/>
          </w:tcPr>
          <w:p w:rsidRPr="00D11D02" w:rsidR="00943687" w:rsidP="006A0DB7" w:rsidRDefault="00943687" w14:paraId="256E9972" w14:textId="6A2E4FE9">
            <w:pPr>
              <w:pStyle w:val="N"/>
              <w:widowControl w:val="0"/>
              <w:spacing w:after="120" w:line="240" w:lineRule="auto"/>
              <w:ind w:left="90"/>
              <w:rPr>
                <w:rFonts w:ascii="Arial" w:hAnsi="Arial"/>
                <w:sz w:val="22"/>
                <w:szCs w:val="22"/>
              </w:rPr>
            </w:pPr>
          </w:p>
        </w:tc>
        <w:tc>
          <w:tcPr>
            <w:tcW w:w="1620" w:type="dxa"/>
            <w:tcBorders>
              <w:bottom w:val="single" w:color="auto" w:sz="12" w:space="0"/>
            </w:tcBorders>
            <w:shd w:val="clear" w:color="auto" w:fill="EAF1DD" w:themeFill="accent3" w:themeFillTint="33"/>
          </w:tcPr>
          <w:p w:rsidRPr="00D11D02" w:rsidR="00943687" w:rsidP="006A0DB7" w:rsidRDefault="00943687" w14:paraId="1F017293" w14:textId="77777777">
            <w:pPr>
              <w:pStyle w:val="N"/>
              <w:widowControl w:val="0"/>
              <w:spacing w:after="120" w:line="240" w:lineRule="auto"/>
              <w:ind w:left="90"/>
              <w:rPr>
                <w:rFonts w:ascii="Arial" w:hAnsi="Arial"/>
                <w:sz w:val="22"/>
                <w:szCs w:val="22"/>
              </w:rPr>
            </w:pPr>
            <w:r w:rsidRPr="00D11D02">
              <w:rPr>
                <w:rFonts w:ascii="Arial" w:hAnsi="Arial"/>
                <w:sz w:val="22"/>
                <w:szCs w:val="22"/>
              </w:rPr>
              <w:t>KOC (L/kg)</w:t>
            </w:r>
          </w:p>
        </w:tc>
        <w:tc>
          <w:tcPr>
            <w:tcW w:w="1440" w:type="dxa"/>
            <w:tcBorders>
              <w:bottom w:val="single" w:color="auto" w:sz="12" w:space="0"/>
            </w:tcBorders>
            <w:shd w:val="clear" w:color="auto" w:fill="EAF1DD" w:themeFill="accent3" w:themeFillTint="33"/>
          </w:tcPr>
          <w:p w:rsidRPr="00D11D02" w:rsidR="00943687" w:rsidP="006A0DB7" w:rsidRDefault="00943687" w14:paraId="159521CF" w14:textId="77777777">
            <w:pPr>
              <w:pStyle w:val="N"/>
              <w:widowControl w:val="0"/>
              <w:spacing w:after="120" w:line="240" w:lineRule="auto"/>
              <w:ind w:left="90"/>
              <w:rPr>
                <w:rFonts w:ascii="Arial" w:hAnsi="Arial"/>
                <w:sz w:val="22"/>
                <w:szCs w:val="22"/>
              </w:rPr>
            </w:pPr>
            <w:r w:rsidRPr="00D11D02">
              <w:rPr>
                <w:rFonts w:ascii="Arial" w:hAnsi="Arial"/>
                <w:sz w:val="22"/>
                <w:szCs w:val="22"/>
              </w:rPr>
              <w:t>KDOC (L/kg)</w:t>
            </w:r>
          </w:p>
        </w:tc>
        <w:tc>
          <w:tcPr>
            <w:tcW w:w="1440" w:type="dxa"/>
            <w:tcBorders>
              <w:bottom w:val="single" w:color="auto" w:sz="12" w:space="0"/>
            </w:tcBorders>
            <w:shd w:val="clear" w:color="auto" w:fill="EAF1DD" w:themeFill="accent3" w:themeFillTint="33"/>
          </w:tcPr>
          <w:p w:rsidRPr="00D11D02" w:rsidR="00943687" w:rsidP="006A0DB7" w:rsidRDefault="00943687" w14:paraId="153EC2B7" w14:textId="77777777">
            <w:pPr>
              <w:pStyle w:val="N"/>
              <w:widowControl w:val="0"/>
              <w:spacing w:after="120" w:line="240" w:lineRule="auto"/>
              <w:ind w:left="90"/>
              <w:rPr>
                <w:rFonts w:ascii="Arial" w:hAnsi="Arial"/>
                <w:sz w:val="22"/>
                <w:szCs w:val="22"/>
              </w:rPr>
            </w:pPr>
            <w:r w:rsidRPr="00D11D02">
              <w:rPr>
                <w:rFonts w:ascii="Arial" w:hAnsi="Arial"/>
                <w:sz w:val="22"/>
                <w:szCs w:val="22"/>
              </w:rPr>
              <w:t>KOC (L/kg)</w:t>
            </w:r>
          </w:p>
        </w:tc>
        <w:tc>
          <w:tcPr>
            <w:tcW w:w="1710" w:type="dxa"/>
            <w:tcBorders>
              <w:bottom w:val="single" w:color="auto" w:sz="12" w:space="0"/>
            </w:tcBorders>
            <w:shd w:val="clear" w:color="auto" w:fill="EAF1DD" w:themeFill="accent3" w:themeFillTint="33"/>
          </w:tcPr>
          <w:p w:rsidRPr="00D11D02" w:rsidR="00943687" w:rsidP="006A0DB7" w:rsidRDefault="00943687" w14:paraId="23C0A905" w14:textId="77777777">
            <w:pPr>
              <w:pStyle w:val="N"/>
              <w:widowControl w:val="0"/>
              <w:spacing w:after="120" w:line="240" w:lineRule="auto"/>
              <w:ind w:left="90"/>
              <w:rPr>
                <w:rFonts w:ascii="Arial" w:hAnsi="Arial"/>
                <w:sz w:val="22"/>
                <w:szCs w:val="22"/>
              </w:rPr>
            </w:pPr>
            <w:r w:rsidRPr="00D11D02">
              <w:rPr>
                <w:rFonts w:ascii="Arial" w:hAnsi="Arial"/>
                <w:sz w:val="22"/>
                <w:szCs w:val="22"/>
              </w:rPr>
              <w:t>KDOC (L/kg)</w:t>
            </w:r>
          </w:p>
        </w:tc>
      </w:tr>
      <w:tr w:rsidRPr="00D11D02" w:rsidR="00943687" w:rsidTr="00830BC4" w14:paraId="5F0E2F0C" w14:textId="77777777">
        <w:trPr>
          <w:trHeight w:val="246"/>
        </w:trPr>
        <w:tc>
          <w:tcPr>
            <w:tcW w:w="2880" w:type="dxa"/>
            <w:tcBorders>
              <w:top w:val="single" w:color="auto" w:sz="12" w:space="0"/>
            </w:tcBorders>
          </w:tcPr>
          <w:p w:rsidRPr="00D11D02" w:rsidR="00943687" w:rsidP="006A0DB7" w:rsidRDefault="00943687" w14:paraId="55CB7342" w14:textId="77777777">
            <w:pPr>
              <w:pStyle w:val="N"/>
              <w:widowControl w:val="0"/>
              <w:spacing w:after="120" w:line="240" w:lineRule="auto"/>
              <w:ind w:left="90"/>
              <w:rPr>
                <w:rFonts w:ascii="Arial" w:hAnsi="Arial"/>
                <w:sz w:val="22"/>
                <w:szCs w:val="22"/>
              </w:rPr>
            </w:pPr>
            <w:r w:rsidRPr="00D11D02">
              <w:rPr>
                <w:rFonts w:ascii="Arial" w:hAnsi="Arial"/>
                <w:sz w:val="22"/>
                <w:szCs w:val="22"/>
              </w:rPr>
              <w:t>Bifenthrin</w:t>
            </w:r>
          </w:p>
        </w:tc>
        <w:tc>
          <w:tcPr>
            <w:tcW w:w="1620" w:type="dxa"/>
            <w:tcBorders>
              <w:top w:val="single" w:color="auto" w:sz="12" w:space="0"/>
            </w:tcBorders>
            <w:vAlign w:val="center"/>
          </w:tcPr>
          <w:p w:rsidRPr="00D11D02" w:rsidR="00943687" w:rsidP="006A0DB7" w:rsidRDefault="00943687" w14:paraId="79119E23" w14:textId="77777777">
            <w:pPr>
              <w:pStyle w:val="N"/>
              <w:widowControl w:val="0"/>
              <w:spacing w:after="120" w:line="240" w:lineRule="auto"/>
              <w:ind w:left="90"/>
              <w:rPr>
                <w:rFonts w:ascii="Arial" w:hAnsi="Arial"/>
                <w:sz w:val="22"/>
                <w:szCs w:val="22"/>
              </w:rPr>
            </w:pPr>
            <w:r w:rsidRPr="00D11D02">
              <w:rPr>
                <w:rFonts w:ascii="Arial" w:hAnsi="Arial"/>
                <w:sz w:val="22"/>
                <w:szCs w:val="22"/>
              </w:rPr>
              <w:t>4,228,000</w:t>
            </w:r>
          </w:p>
        </w:tc>
        <w:tc>
          <w:tcPr>
            <w:tcW w:w="1440" w:type="dxa"/>
            <w:tcBorders>
              <w:top w:val="single" w:color="auto" w:sz="12" w:space="0"/>
            </w:tcBorders>
            <w:vAlign w:val="center"/>
          </w:tcPr>
          <w:p w:rsidRPr="00D11D02" w:rsidR="00943687" w:rsidP="006A0DB7" w:rsidRDefault="00943687" w14:paraId="33ECABE3" w14:textId="77777777">
            <w:pPr>
              <w:pStyle w:val="N"/>
              <w:widowControl w:val="0"/>
              <w:spacing w:after="120" w:line="240" w:lineRule="auto"/>
              <w:ind w:left="90"/>
              <w:rPr>
                <w:rFonts w:ascii="Arial" w:hAnsi="Arial"/>
                <w:sz w:val="22"/>
                <w:szCs w:val="22"/>
              </w:rPr>
            </w:pPr>
            <w:r w:rsidRPr="00D11D02">
              <w:rPr>
                <w:rFonts w:ascii="Arial" w:hAnsi="Arial"/>
                <w:sz w:val="22"/>
                <w:szCs w:val="22"/>
              </w:rPr>
              <w:t>1,737,127</w:t>
            </w:r>
          </w:p>
        </w:tc>
        <w:tc>
          <w:tcPr>
            <w:tcW w:w="1440" w:type="dxa"/>
            <w:tcBorders>
              <w:top w:val="single" w:color="auto" w:sz="12" w:space="0"/>
            </w:tcBorders>
            <w:vAlign w:val="center"/>
          </w:tcPr>
          <w:p w:rsidRPr="00D11D02" w:rsidR="00943687" w:rsidP="006A0DB7" w:rsidRDefault="00943687" w14:paraId="198AF105" w14:textId="77777777">
            <w:pPr>
              <w:pStyle w:val="N"/>
              <w:widowControl w:val="0"/>
              <w:spacing w:after="120" w:line="240" w:lineRule="auto"/>
              <w:ind w:left="90"/>
              <w:rPr>
                <w:rFonts w:ascii="Arial" w:hAnsi="Arial"/>
                <w:sz w:val="22"/>
                <w:szCs w:val="22"/>
              </w:rPr>
            </w:pPr>
            <w:r w:rsidRPr="00D11D02">
              <w:rPr>
                <w:rFonts w:ascii="Arial" w:hAnsi="Arial"/>
                <w:sz w:val="22"/>
                <w:szCs w:val="22"/>
              </w:rPr>
              <w:t>15,848,932</w:t>
            </w:r>
          </w:p>
        </w:tc>
        <w:tc>
          <w:tcPr>
            <w:tcW w:w="1710" w:type="dxa"/>
            <w:tcBorders>
              <w:top w:val="single" w:color="auto" w:sz="12" w:space="0"/>
            </w:tcBorders>
            <w:vAlign w:val="center"/>
          </w:tcPr>
          <w:p w:rsidRPr="00D11D02" w:rsidR="00943687" w:rsidP="006A0DB7" w:rsidRDefault="00943687" w14:paraId="024D0039" w14:textId="77777777">
            <w:pPr>
              <w:pStyle w:val="N"/>
              <w:widowControl w:val="0"/>
              <w:spacing w:after="120" w:line="240" w:lineRule="auto"/>
              <w:ind w:left="90"/>
              <w:rPr>
                <w:rFonts w:ascii="Arial" w:hAnsi="Arial"/>
                <w:sz w:val="22"/>
                <w:szCs w:val="22"/>
              </w:rPr>
            </w:pPr>
            <w:r w:rsidRPr="00D11D02">
              <w:rPr>
                <w:rFonts w:ascii="Arial" w:hAnsi="Arial"/>
                <w:sz w:val="22"/>
                <w:szCs w:val="22"/>
              </w:rPr>
              <w:t>800,000</w:t>
            </w:r>
          </w:p>
        </w:tc>
      </w:tr>
      <w:tr w:rsidRPr="00D11D02" w:rsidR="00943687" w:rsidTr="00830BC4" w14:paraId="1DAAF1EB" w14:textId="77777777">
        <w:trPr>
          <w:trHeight w:val="246"/>
        </w:trPr>
        <w:tc>
          <w:tcPr>
            <w:tcW w:w="2880" w:type="dxa"/>
          </w:tcPr>
          <w:p w:rsidRPr="00D11D02" w:rsidR="00943687" w:rsidP="006A0DB7" w:rsidRDefault="00943687" w14:paraId="3E2FBCDF" w14:textId="77777777">
            <w:pPr>
              <w:pStyle w:val="N"/>
              <w:widowControl w:val="0"/>
              <w:spacing w:after="120" w:line="240" w:lineRule="auto"/>
              <w:ind w:left="90"/>
              <w:rPr>
                <w:rFonts w:ascii="Arial" w:hAnsi="Arial"/>
                <w:sz w:val="22"/>
                <w:szCs w:val="22"/>
              </w:rPr>
            </w:pPr>
            <w:r w:rsidRPr="00D11D02">
              <w:rPr>
                <w:rFonts w:ascii="Arial" w:hAnsi="Arial"/>
                <w:sz w:val="22"/>
                <w:szCs w:val="22"/>
              </w:rPr>
              <w:t>Cyfluthrin</w:t>
            </w:r>
          </w:p>
        </w:tc>
        <w:tc>
          <w:tcPr>
            <w:tcW w:w="1620" w:type="dxa"/>
            <w:vAlign w:val="center"/>
          </w:tcPr>
          <w:p w:rsidRPr="00D11D02" w:rsidR="00943687" w:rsidP="006A0DB7" w:rsidRDefault="00943687" w14:paraId="486D9BDD" w14:textId="77777777">
            <w:pPr>
              <w:pStyle w:val="N"/>
              <w:widowControl w:val="0"/>
              <w:spacing w:after="120" w:line="240" w:lineRule="auto"/>
              <w:ind w:left="90"/>
              <w:rPr>
                <w:rFonts w:ascii="Arial" w:hAnsi="Arial"/>
                <w:sz w:val="22"/>
                <w:szCs w:val="22"/>
              </w:rPr>
            </w:pPr>
            <w:r w:rsidRPr="00D11D02">
              <w:rPr>
                <w:rFonts w:ascii="Arial" w:hAnsi="Arial"/>
                <w:sz w:val="22"/>
                <w:szCs w:val="22"/>
              </w:rPr>
              <w:t>3,870,000</w:t>
            </w:r>
          </w:p>
        </w:tc>
        <w:tc>
          <w:tcPr>
            <w:tcW w:w="1440" w:type="dxa"/>
            <w:vAlign w:val="center"/>
          </w:tcPr>
          <w:p w:rsidRPr="00D11D02" w:rsidR="00943687" w:rsidP="006A0DB7" w:rsidRDefault="00943687" w14:paraId="300159DC" w14:textId="77777777">
            <w:pPr>
              <w:pStyle w:val="N"/>
              <w:widowControl w:val="0"/>
              <w:spacing w:after="120" w:line="240" w:lineRule="auto"/>
              <w:ind w:left="90"/>
              <w:rPr>
                <w:rFonts w:ascii="Arial" w:hAnsi="Arial"/>
                <w:sz w:val="22"/>
                <w:szCs w:val="22"/>
              </w:rPr>
            </w:pPr>
            <w:r w:rsidRPr="00D11D02">
              <w:rPr>
                <w:rFonts w:ascii="Arial" w:hAnsi="Arial"/>
                <w:sz w:val="22"/>
                <w:szCs w:val="22"/>
              </w:rPr>
              <w:t>2,432,071</w:t>
            </w:r>
          </w:p>
        </w:tc>
        <w:tc>
          <w:tcPr>
            <w:tcW w:w="1440" w:type="dxa"/>
            <w:vAlign w:val="center"/>
          </w:tcPr>
          <w:p w:rsidRPr="00D11D02" w:rsidR="00943687" w:rsidP="006A0DB7" w:rsidRDefault="00943687" w14:paraId="3EE107F7" w14:textId="77777777">
            <w:pPr>
              <w:pStyle w:val="N"/>
              <w:widowControl w:val="0"/>
              <w:spacing w:after="120" w:line="240" w:lineRule="auto"/>
              <w:ind w:left="90"/>
              <w:rPr>
                <w:rFonts w:ascii="Arial" w:hAnsi="Arial"/>
                <w:sz w:val="22"/>
                <w:szCs w:val="22"/>
              </w:rPr>
            </w:pPr>
            <w:r w:rsidRPr="00D11D02">
              <w:rPr>
                <w:rFonts w:ascii="Arial" w:hAnsi="Arial"/>
                <w:sz w:val="22"/>
                <w:szCs w:val="22"/>
              </w:rPr>
              <w:t>3,870,000</w:t>
            </w:r>
          </w:p>
        </w:tc>
        <w:tc>
          <w:tcPr>
            <w:tcW w:w="1710" w:type="dxa"/>
            <w:vAlign w:val="center"/>
          </w:tcPr>
          <w:p w:rsidRPr="00D11D02" w:rsidR="00943687" w:rsidP="006A0DB7" w:rsidRDefault="00943687" w14:paraId="59FB6DAA" w14:textId="77777777">
            <w:pPr>
              <w:pStyle w:val="N"/>
              <w:widowControl w:val="0"/>
              <w:spacing w:after="120" w:line="240" w:lineRule="auto"/>
              <w:ind w:left="90"/>
              <w:rPr>
                <w:rFonts w:ascii="Arial" w:hAnsi="Arial"/>
                <w:sz w:val="22"/>
                <w:szCs w:val="22"/>
              </w:rPr>
            </w:pPr>
            <w:r w:rsidRPr="00D11D02">
              <w:rPr>
                <w:rFonts w:ascii="Arial" w:hAnsi="Arial"/>
                <w:sz w:val="22"/>
                <w:szCs w:val="22"/>
              </w:rPr>
              <w:t>2,432,071</w:t>
            </w:r>
          </w:p>
        </w:tc>
      </w:tr>
      <w:tr w:rsidRPr="00D11D02" w:rsidR="00943687" w:rsidTr="00830BC4" w14:paraId="6BFEBE27" w14:textId="77777777">
        <w:trPr>
          <w:trHeight w:val="257"/>
        </w:trPr>
        <w:tc>
          <w:tcPr>
            <w:tcW w:w="2880" w:type="dxa"/>
          </w:tcPr>
          <w:p w:rsidRPr="00D11D02" w:rsidR="00943687" w:rsidP="006A0DB7" w:rsidRDefault="00943687" w14:paraId="420F9212" w14:textId="77777777">
            <w:pPr>
              <w:pStyle w:val="N"/>
              <w:widowControl w:val="0"/>
              <w:spacing w:after="120" w:line="240" w:lineRule="auto"/>
              <w:ind w:left="90"/>
              <w:rPr>
                <w:rFonts w:ascii="Arial" w:hAnsi="Arial"/>
                <w:sz w:val="22"/>
                <w:szCs w:val="22"/>
              </w:rPr>
            </w:pPr>
            <w:r w:rsidRPr="00D11D02">
              <w:rPr>
                <w:rFonts w:ascii="Arial" w:hAnsi="Arial"/>
                <w:sz w:val="22"/>
                <w:szCs w:val="22"/>
              </w:rPr>
              <w:t>Cypermethrin</w:t>
            </w:r>
          </w:p>
        </w:tc>
        <w:tc>
          <w:tcPr>
            <w:tcW w:w="1620" w:type="dxa"/>
            <w:vAlign w:val="center"/>
          </w:tcPr>
          <w:p w:rsidRPr="00D11D02" w:rsidR="00943687" w:rsidP="006A0DB7" w:rsidRDefault="00943687" w14:paraId="6A63A43D" w14:textId="77777777">
            <w:pPr>
              <w:pStyle w:val="N"/>
              <w:widowControl w:val="0"/>
              <w:spacing w:after="120" w:line="240" w:lineRule="auto"/>
              <w:ind w:left="90"/>
              <w:rPr>
                <w:rFonts w:ascii="Arial" w:hAnsi="Arial"/>
                <w:sz w:val="22"/>
                <w:szCs w:val="22"/>
              </w:rPr>
            </w:pPr>
            <w:r w:rsidRPr="00D11D02">
              <w:rPr>
                <w:rFonts w:ascii="Arial" w:hAnsi="Arial"/>
                <w:sz w:val="22"/>
                <w:szCs w:val="22"/>
              </w:rPr>
              <w:t>3,105,000</w:t>
            </w:r>
          </w:p>
        </w:tc>
        <w:tc>
          <w:tcPr>
            <w:tcW w:w="1440" w:type="dxa"/>
            <w:vAlign w:val="center"/>
          </w:tcPr>
          <w:p w:rsidRPr="00D11D02" w:rsidR="00943687" w:rsidP="006A0DB7" w:rsidRDefault="00943687" w14:paraId="0BA0A0FD" w14:textId="77777777">
            <w:pPr>
              <w:pStyle w:val="N"/>
              <w:widowControl w:val="0"/>
              <w:spacing w:after="120" w:line="240" w:lineRule="auto"/>
              <w:ind w:left="90"/>
              <w:rPr>
                <w:rFonts w:ascii="Arial" w:hAnsi="Arial"/>
                <w:sz w:val="22"/>
                <w:szCs w:val="22"/>
              </w:rPr>
            </w:pPr>
            <w:r w:rsidRPr="00D11D02">
              <w:rPr>
                <w:rFonts w:ascii="Arial" w:hAnsi="Arial"/>
                <w:sz w:val="22"/>
                <w:szCs w:val="22"/>
              </w:rPr>
              <w:t>762,765</w:t>
            </w:r>
          </w:p>
        </w:tc>
        <w:tc>
          <w:tcPr>
            <w:tcW w:w="1440" w:type="dxa"/>
            <w:vAlign w:val="center"/>
          </w:tcPr>
          <w:p w:rsidRPr="00D11D02" w:rsidR="00943687" w:rsidP="006A0DB7" w:rsidRDefault="00943687" w14:paraId="2C4CC1CF" w14:textId="77777777">
            <w:pPr>
              <w:pStyle w:val="N"/>
              <w:widowControl w:val="0"/>
              <w:spacing w:after="120" w:line="240" w:lineRule="auto"/>
              <w:ind w:left="90"/>
              <w:rPr>
                <w:rFonts w:ascii="Arial" w:hAnsi="Arial"/>
                <w:sz w:val="22"/>
                <w:szCs w:val="22"/>
              </w:rPr>
            </w:pPr>
            <w:r w:rsidRPr="00D11D02">
              <w:rPr>
                <w:rFonts w:ascii="Arial" w:hAnsi="Arial"/>
                <w:sz w:val="22"/>
                <w:szCs w:val="22"/>
              </w:rPr>
              <w:t>6,309,573</w:t>
            </w:r>
          </w:p>
        </w:tc>
        <w:tc>
          <w:tcPr>
            <w:tcW w:w="1710" w:type="dxa"/>
            <w:vAlign w:val="center"/>
          </w:tcPr>
          <w:p w:rsidRPr="00D11D02" w:rsidR="00943687" w:rsidP="006A0DB7" w:rsidRDefault="00943687" w14:paraId="17B3E902" w14:textId="77777777">
            <w:pPr>
              <w:pStyle w:val="N"/>
              <w:widowControl w:val="0"/>
              <w:spacing w:after="120" w:line="240" w:lineRule="auto"/>
              <w:ind w:left="90"/>
              <w:rPr>
                <w:rFonts w:ascii="Arial" w:hAnsi="Arial"/>
                <w:sz w:val="22"/>
                <w:szCs w:val="22"/>
              </w:rPr>
            </w:pPr>
            <w:r w:rsidRPr="00D11D02">
              <w:rPr>
                <w:rFonts w:ascii="Arial" w:hAnsi="Arial"/>
                <w:sz w:val="22"/>
                <w:szCs w:val="22"/>
              </w:rPr>
              <w:t>200,000</w:t>
            </w:r>
          </w:p>
        </w:tc>
      </w:tr>
      <w:tr w:rsidRPr="00D11D02" w:rsidR="00943687" w:rsidTr="00830BC4" w14:paraId="028E3522" w14:textId="77777777">
        <w:trPr>
          <w:trHeight w:val="246"/>
        </w:trPr>
        <w:tc>
          <w:tcPr>
            <w:tcW w:w="2880" w:type="dxa"/>
          </w:tcPr>
          <w:p w:rsidRPr="00D11D02" w:rsidR="00943687" w:rsidP="006A0DB7" w:rsidRDefault="00943687" w14:paraId="26D1C280" w14:textId="77777777">
            <w:pPr>
              <w:pStyle w:val="N"/>
              <w:widowControl w:val="0"/>
              <w:spacing w:after="120" w:line="240" w:lineRule="auto"/>
              <w:ind w:left="90"/>
              <w:rPr>
                <w:rFonts w:ascii="Arial" w:hAnsi="Arial"/>
                <w:sz w:val="22"/>
                <w:szCs w:val="22"/>
              </w:rPr>
            </w:pPr>
            <w:r w:rsidRPr="00D11D02">
              <w:rPr>
                <w:rFonts w:ascii="Arial" w:hAnsi="Arial"/>
                <w:sz w:val="22"/>
                <w:szCs w:val="22"/>
              </w:rPr>
              <w:t>Esfenvalerate</w:t>
            </w:r>
          </w:p>
        </w:tc>
        <w:tc>
          <w:tcPr>
            <w:tcW w:w="1620" w:type="dxa"/>
            <w:vAlign w:val="center"/>
          </w:tcPr>
          <w:p w:rsidRPr="00D11D02" w:rsidR="00943687" w:rsidP="006A0DB7" w:rsidRDefault="00943687" w14:paraId="581F645E" w14:textId="77777777">
            <w:pPr>
              <w:pStyle w:val="N"/>
              <w:widowControl w:val="0"/>
              <w:spacing w:after="120" w:line="240" w:lineRule="auto"/>
              <w:ind w:left="90"/>
              <w:rPr>
                <w:rFonts w:ascii="Arial" w:hAnsi="Arial"/>
                <w:sz w:val="22"/>
                <w:szCs w:val="22"/>
              </w:rPr>
            </w:pPr>
            <w:r w:rsidRPr="00D11D02">
              <w:rPr>
                <w:rFonts w:ascii="Arial" w:hAnsi="Arial"/>
                <w:sz w:val="22"/>
                <w:szCs w:val="22"/>
              </w:rPr>
              <w:t xml:space="preserve">7,220,000 </w:t>
            </w:r>
          </w:p>
        </w:tc>
        <w:tc>
          <w:tcPr>
            <w:tcW w:w="1440" w:type="dxa"/>
            <w:vAlign w:val="center"/>
          </w:tcPr>
          <w:p w:rsidRPr="00D11D02" w:rsidR="00943687" w:rsidP="006A0DB7" w:rsidRDefault="00943687" w14:paraId="475A4902" w14:textId="77777777">
            <w:pPr>
              <w:pStyle w:val="N"/>
              <w:widowControl w:val="0"/>
              <w:spacing w:after="120" w:line="240" w:lineRule="auto"/>
              <w:ind w:left="90"/>
              <w:rPr>
                <w:rFonts w:ascii="Arial" w:hAnsi="Arial"/>
                <w:sz w:val="22"/>
                <w:szCs w:val="22"/>
              </w:rPr>
            </w:pPr>
            <w:r w:rsidRPr="00D11D02">
              <w:rPr>
                <w:rFonts w:ascii="Arial" w:hAnsi="Arial"/>
                <w:sz w:val="22"/>
                <w:szCs w:val="22"/>
              </w:rPr>
              <w:t>1,733,158</w:t>
            </w:r>
          </w:p>
        </w:tc>
        <w:tc>
          <w:tcPr>
            <w:tcW w:w="1440" w:type="dxa"/>
            <w:vAlign w:val="center"/>
          </w:tcPr>
          <w:p w:rsidRPr="00D11D02" w:rsidR="00943687" w:rsidP="006A0DB7" w:rsidRDefault="00943687" w14:paraId="6DAFA9EA" w14:textId="77777777">
            <w:pPr>
              <w:pStyle w:val="N"/>
              <w:widowControl w:val="0"/>
              <w:spacing w:after="120" w:line="240" w:lineRule="auto"/>
              <w:ind w:left="90"/>
              <w:rPr>
                <w:rFonts w:ascii="Arial" w:hAnsi="Arial"/>
                <w:sz w:val="22"/>
                <w:szCs w:val="22"/>
              </w:rPr>
            </w:pPr>
            <w:r w:rsidRPr="00D11D02">
              <w:rPr>
                <w:rFonts w:ascii="Arial" w:hAnsi="Arial"/>
                <w:sz w:val="22"/>
                <w:szCs w:val="22"/>
              </w:rPr>
              <w:t>7,220,000</w:t>
            </w:r>
          </w:p>
        </w:tc>
        <w:tc>
          <w:tcPr>
            <w:tcW w:w="1710" w:type="dxa"/>
            <w:vAlign w:val="center"/>
          </w:tcPr>
          <w:p w:rsidRPr="00D11D02" w:rsidR="00943687" w:rsidP="006A0DB7" w:rsidRDefault="00943687" w14:paraId="07166E32" w14:textId="77777777">
            <w:pPr>
              <w:pStyle w:val="N"/>
              <w:widowControl w:val="0"/>
              <w:spacing w:after="120" w:line="240" w:lineRule="auto"/>
              <w:ind w:left="90"/>
              <w:rPr>
                <w:rFonts w:ascii="Arial" w:hAnsi="Arial"/>
                <w:sz w:val="22"/>
                <w:szCs w:val="22"/>
              </w:rPr>
            </w:pPr>
            <w:r w:rsidRPr="00D11D02">
              <w:rPr>
                <w:rFonts w:ascii="Arial" w:hAnsi="Arial"/>
                <w:sz w:val="22"/>
                <w:szCs w:val="22"/>
              </w:rPr>
              <w:t>1,733,158</w:t>
            </w:r>
          </w:p>
        </w:tc>
      </w:tr>
      <w:tr w:rsidRPr="00D11D02" w:rsidR="00943687" w:rsidTr="00830BC4" w14:paraId="33397150" w14:textId="77777777">
        <w:trPr>
          <w:trHeight w:val="246"/>
        </w:trPr>
        <w:tc>
          <w:tcPr>
            <w:tcW w:w="2880" w:type="dxa"/>
          </w:tcPr>
          <w:p w:rsidRPr="00D11D02" w:rsidR="00943687" w:rsidP="006A0DB7" w:rsidRDefault="00943687" w14:paraId="2498F8F9" w14:textId="77777777">
            <w:pPr>
              <w:pStyle w:val="N"/>
              <w:widowControl w:val="0"/>
              <w:spacing w:after="120" w:line="240" w:lineRule="auto"/>
              <w:ind w:left="90"/>
              <w:rPr>
                <w:rFonts w:ascii="Arial" w:hAnsi="Arial"/>
                <w:sz w:val="22"/>
                <w:szCs w:val="22"/>
              </w:rPr>
            </w:pPr>
            <w:r w:rsidRPr="00D11D02">
              <w:rPr>
                <w:rFonts w:ascii="Arial" w:hAnsi="Arial"/>
                <w:sz w:val="22"/>
                <w:szCs w:val="22"/>
              </w:rPr>
              <w:t>Lambda-cyhalothrin</w:t>
            </w:r>
          </w:p>
        </w:tc>
        <w:tc>
          <w:tcPr>
            <w:tcW w:w="1620" w:type="dxa"/>
            <w:vAlign w:val="center"/>
          </w:tcPr>
          <w:p w:rsidRPr="00D11D02" w:rsidR="00943687" w:rsidP="006A0DB7" w:rsidRDefault="00943687" w14:paraId="1B9434F7" w14:textId="77777777">
            <w:pPr>
              <w:pStyle w:val="N"/>
              <w:widowControl w:val="0"/>
              <w:spacing w:after="120" w:line="240" w:lineRule="auto"/>
              <w:ind w:left="90"/>
              <w:rPr>
                <w:rFonts w:ascii="Arial" w:hAnsi="Arial"/>
                <w:sz w:val="22"/>
                <w:szCs w:val="22"/>
              </w:rPr>
            </w:pPr>
            <w:r w:rsidRPr="00D11D02">
              <w:rPr>
                <w:rFonts w:ascii="Arial" w:hAnsi="Arial"/>
                <w:sz w:val="22"/>
                <w:szCs w:val="22"/>
              </w:rPr>
              <w:t>2,056,000</w:t>
            </w:r>
          </w:p>
        </w:tc>
        <w:tc>
          <w:tcPr>
            <w:tcW w:w="1440" w:type="dxa"/>
            <w:vAlign w:val="center"/>
          </w:tcPr>
          <w:p w:rsidRPr="00D11D02" w:rsidR="00943687" w:rsidP="006A0DB7" w:rsidRDefault="00943687" w14:paraId="1FC09D4E" w14:textId="77777777">
            <w:pPr>
              <w:pStyle w:val="N"/>
              <w:widowControl w:val="0"/>
              <w:spacing w:after="120" w:line="240" w:lineRule="auto"/>
              <w:ind w:left="90"/>
              <w:rPr>
                <w:rFonts w:ascii="Arial" w:hAnsi="Arial"/>
                <w:sz w:val="22"/>
                <w:szCs w:val="22"/>
              </w:rPr>
            </w:pPr>
            <w:r w:rsidRPr="00D11D02">
              <w:rPr>
                <w:rFonts w:ascii="Arial" w:hAnsi="Arial"/>
                <w:sz w:val="22"/>
                <w:szCs w:val="22"/>
              </w:rPr>
              <w:t>952,809</w:t>
            </w:r>
          </w:p>
        </w:tc>
        <w:tc>
          <w:tcPr>
            <w:tcW w:w="1440" w:type="dxa"/>
            <w:vAlign w:val="center"/>
          </w:tcPr>
          <w:p w:rsidRPr="00D11D02" w:rsidR="00943687" w:rsidP="006A0DB7" w:rsidRDefault="00943687" w14:paraId="3B5F8E4E" w14:textId="77777777">
            <w:pPr>
              <w:pStyle w:val="N"/>
              <w:widowControl w:val="0"/>
              <w:spacing w:after="120" w:line="240" w:lineRule="auto"/>
              <w:ind w:left="90"/>
              <w:rPr>
                <w:rFonts w:ascii="Arial" w:hAnsi="Arial"/>
                <w:sz w:val="22"/>
                <w:szCs w:val="22"/>
              </w:rPr>
            </w:pPr>
            <w:r w:rsidRPr="00D11D02">
              <w:rPr>
                <w:rFonts w:ascii="Arial" w:hAnsi="Arial"/>
                <w:sz w:val="22"/>
                <w:szCs w:val="22"/>
              </w:rPr>
              <w:t>7,126,428</w:t>
            </w:r>
          </w:p>
        </w:tc>
        <w:tc>
          <w:tcPr>
            <w:tcW w:w="1710" w:type="dxa"/>
            <w:vAlign w:val="center"/>
          </w:tcPr>
          <w:p w:rsidRPr="00D11D02" w:rsidR="00943687" w:rsidP="006A0DB7" w:rsidRDefault="00943687" w14:paraId="5BE31F6D" w14:textId="77777777">
            <w:pPr>
              <w:pStyle w:val="N"/>
              <w:widowControl w:val="0"/>
              <w:spacing w:after="120" w:line="240" w:lineRule="auto"/>
              <w:ind w:left="90"/>
              <w:rPr>
                <w:rFonts w:ascii="Arial" w:hAnsi="Arial"/>
                <w:sz w:val="22"/>
                <w:szCs w:val="22"/>
              </w:rPr>
            </w:pPr>
            <w:r w:rsidRPr="00D11D02">
              <w:rPr>
                <w:rFonts w:ascii="Arial" w:hAnsi="Arial"/>
                <w:sz w:val="22"/>
                <w:szCs w:val="22"/>
              </w:rPr>
              <w:t>200,000</w:t>
            </w:r>
          </w:p>
        </w:tc>
      </w:tr>
      <w:tr w:rsidRPr="00D11D02" w:rsidR="00943687" w:rsidTr="00830BC4" w14:paraId="5762F2DD" w14:textId="77777777">
        <w:trPr>
          <w:trHeight w:val="284"/>
        </w:trPr>
        <w:tc>
          <w:tcPr>
            <w:tcW w:w="2880" w:type="dxa"/>
          </w:tcPr>
          <w:p w:rsidRPr="00D11D02" w:rsidR="00943687" w:rsidP="006A0DB7" w:rsidRDefault="00943687" w14:paraId="3DBCE64D" w14:textId="77777777">
            <w:pPr>
              <w:pStyle w:val="N"/>
              <w:widowControl w:val="0"/>
              <w:spacing w:after="120" w:line="240" w:lineRule="auto"/>
              <w:ind w:left="90"/>
              <w:rPr>
                <w:rFonts w:ascii="Arial" w:hAnsi="Arial"/>
                <w:sz w:val="22"/>
                <w:szCs w:val="22"/>
              </w:rPr>
            </w:pPr>
            <w:r w:rsidRPr="00D11D02">
              <w:rPr>
                <w:rFonts w:ascii="Arial" w:hAnsi="Arial"/>
                <w:sz w:val="22"/>
                <w:szCs w:val="22"/>
              </w:rPr>
              <w:t>Permethrin</w:t>
            </w:r>
          </w:p>
        </w:tc>
        <w:tc>
          <w:tcPr>
            <w:tcW w:w="1620" w:type="dxa"/>
            <w:vAlign w:val="center"/>
          </w:tcPr>
          <w:p w:rsidRPr="00D11D02" w:rsidR="00943687" w:rsidP="006A0DB7" w:rsidRDefault="00943687" w14:paraId="12DBE274" w14:textId="77777777">
            <w:pPr>
              <w:pStyle w:val="N"/>
              <w:widowControl w:val="0"/>
              <w:spacing w:after="120" w:line="240" w:lineRule="auto"/>
              <w:ind w:left="90"/>
              <w:rPr>
                <w:rFonts w:ascii="Arial" w:hAnsi="Arial"/>
                <w:sz w:val="22"/>
                <w:szCs w:val="22"/>
              </w:rPr>
            </w:pPr>
            <w:r w:rsidRPr="00D11D02">
              <w:rPr>
                <w:rFonts w:ascii="Arial" w:hAnsi="Arial"/>
                <w:sz w:val="22"/>
                <w:szCs w:val="22"/>
              </w:rPr>
              <w:t>6,075,000</w:t>
            </w:r>
          </w:p>
        </w:tc>
        <w:tc>
          <w:tcPr>
            <w:tcW w:w="1440" w:type="dxa"/>
            <w:vAlign w:val="center"/>
          </w:tcPr>
          <w:p w:rsidRPr="00D11D02" w:rsidR="00943687" w:rsidP="006A0DB7" w:rsidRDefault="00943687" w14:paraId="188B44C0" w14:textId="77777777">
            <w:pPr>
              <w:pStyle w:val="N"/>
              <w:widowControl w:val="0"/>
              <w:spacing w:after="120" w:line="240" w:lineRule="auto"/>
              <w:ind w:left="90"/>
              <w:rPr>
                <w:rFonts w:ascii="Arial" w:hAnsi="Arial"/>
                <w:sz w:val="22"/>
                <w:szCs w:val="22"/>
              </w:rPr>
            </w:pPr>
            <w:r w:rsidRPr="00D11D02">
              <w:rPr>
                <w:rFonts w:ascii="Arial" w:hAnsi="Arial"/>
                <w:sz w:val="22"/>
                <w:szCs w:val="22"/>
              </w:rPr>
              <w:t>957,703</w:t>
            </w:r>
          </w:p>
        </w:tc>
        <w:tc>
          <w:tcPr>
            <w:tcW w:w="1440" w:type="dxa"/>
            <w:vAlign w:val="center"/>
          </w:tcPr>
          <w:p w:rsidRPr="00D11D02" w:rsidR="00943687" w:rsidP="006A0DB7" w:rsidRDefault="00943687" w14:paraId="31D92D9A" w14:textId="77777777">
            <w:pPr>
              <w:pStyle w:val="N"/>
              <w:widowControl w:val="0"/>
              <w:spacing w:after="120" w:line="240" w:lineRule="auto"/>
              <w:ind w:left="90"/>
              <w:rPr>
                <w:rFonts w:ascii="Arial" w:hAnsi="Arial"/>
                <w:sz w:val="22"/>
                <w:szCs w:val="22"/>
              </w:rPr>
            </w:pPr>
            <w:r w:rsidRPr="00D11D02">
              <w:rPr>
                <w:rFonts w:ascii="Arial" w:hAnsi="Arial"/>
                <w:sz w:val="22"/>
                <w:szCs w:val="22"/>
              </w:rPr>
              <w:t>10,000,000</w:t>
            </w:r>
          </w:p>
        </w:tc>
        <w:tc>
          <w:tcPr>
            <w:tcW w:w="1710" w:type="dxa"/>
            <w:vAlign w:val="center"/>
          </w:tcPr>
          <w:p w:rsidRPr="00D11D02" w:rsidR="00943687" w:rsidP="006A0DB7" w:rsidRDefault="00943687" w14:paraId="73B73B18" w14:textId="77777777">
            <w:pPr>
              <w:pStyle w:val="N"/>
              <w:widowControl w:val="0"/>
              <w:spacing w:after="120" w:line="240" w:lineRule="auto"/>
              <w:ind w:left="90"/>
              <w:rPr>
                <w:rFonts w:ascii="Arial" w:hAnsi="Arial"/>
                <w:sz w:val="22"/>
                <w:szCs w:val="22"/>
              </w:rPr>
            </w:pPr>
            <w:r w:rsidRPr="00D11D02">
              <w:rPr>
                <w:rFonts w:ascii="Arial" w:hAnsi="Arial"/>
                <w:sz w:val="22"/>
                <w:szCs w:val="22"/>
              </w:rPr>
              <w:t>200,000</w:t>
            </w:r>
          </w:p>
        </w:tc>
      </w:tr>
    </w:tbl>
    <w:p w:rsidRPr="00D11D02" w:rsidR="0027292A" w:rsidP="00830BC4" w:rsidRDefault="0027292A" w14:paraId="7BAC5C36" w14:textId="77777777">
      <w:pPr>
        <w:tabs>
          <w:tab w:val="left" w:pos="-1440"/>
          <w:tab w:val="left" w:pos="-720"/>
        </w:tabs>
        <w:ind w:left="1800"/>
        <w:rPr>
          <w:b/>
        </w:rPr>
      </w:pPr>
      <w:r w:rsidRPr="00D11D02">
        <w:rPr>
          <w:b/>
        </w:rPr>
        <w:t>Acute Pyrethroid Trigger</w:t>
      </w:r>
    </w:p>
    <w:p w:rsidRPr="00D11D02" w:rsidR="0027292A" w:rsidP="00830BC4" w:rsidRDefault="0027292A" w14:paraId="1E5A8A0A" w14:textId="77777777">
      <w:pPr>
        <w:tabs>
          <w:tab w:val="left" w:pos="-1440"/>
          <w:tab w:val="left" w:pos="-720"/>
        </w:tabs>
        <w:ind w:left="1800"/>
      </w:pPr>
      <w:r w:rsidRPr="00D11D02">
        <w:t xml:space="preserve">The acute additive pyrethroid pesticides numeric trigger is equal to one (1) acute additive concentration goal unit (CGU) not to be exceeded more than once in a three year period. The CGUs are calculated as the </w:t>
      </w:r>
      <w:r w:rsidRPr="00D11D02">
        <w:t>sum of individual measured pyrethroid concentration-to-acute concentration goal ratios, as defined in the following formula. For calculation of CGUs, available samples collected within the applicable averaging period for the numeric trigger will be used to determine exceedances of the trigger. Freely dissolved pyrethroid concentrations may be used in the numerator of each ratio if appropriate data are available, as described in the equation to calculate freely dissolved concentrations given above.</w:t>
      </w:r>
    </w:p>
    <w:p w:rsidRPr="00AD75CB" w:rsidR="0027292A" w:rsidP="0027292A" w:rsidRDefault="00000000" w14:paraId="126E7661" w14:textId="77777777">
      <w:pPr>
        <w:keepNext/>
        <w:keepLines/>
        <w:spacing w:before="0" w:line="320" w:lineRule="atLeast"/>
        <w:ind w:hanging="243"/>
        <w:rPr>
          <w:sz w:val="22"/>
          <w:szCs w:val="22"/>
        </w:rPr>
      </w:pPr>
      <m:oMathPara>
        <m:oMath>
          <m:sSub>
            <m:sSubPr>
              <m:ctrlPr>
                <w:rPr>
                  <w:rFonts w:ascii="Cambria Math" w:hAnsi="Cambria Math"/>
                  <w:i/>
                  <w:sz w:val="22"/>
                  <w:szCs w:val="22"/>
                </w:rPr>
              </m:ctrlPr>
            </m:sSubPr>
            <m:e>
              <m:r>
                <w:rPr>
                  <w:rFonts w:ascii="Cambria Math" w:hAnsi="Cambria Math"/>
                  <w:sz w:val="22"/>
                  <w:szCs w:val="22"/>
                </w:rPr>
                <m:t>CGU</m:t>
              </m:r>
            </m:e>
            <m:sub>
              <m:r>
                <w:rPr>
                  <w:rFonts w:ascii="Cambria Math" w:hAnsi="Cambria Math"/>
                  <w:sz w:val="22"/>
                  <w:szCs w:val="22"/>
                </w:rPr>
                <m:t>acute</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bif</m:t>
                  </m:r>
                </m:sub>
              </m:sSub>
            </m:num>
            <m:den>
              <m:sSub>
                <m:sSubPr>
                  <m:ctrlPr>
                    <w:rPr>
                      <w:rFonts w:ascii="Cambria Math" w:hAnsi="Cambria Math"/>
                      <w:i/>
                      <w:sz w:val="22"/>
                      <w:szCs w:val="22"/>
                    </w:rPr>
                  </m:ctrlPr>
                </m:sSubPr>
                <m:e>
                  <m:r>
                    <w:rPr>
                      <w:rFonts w:ascii="Cambria Math" w:hAnsi="Cambria Math"/>
                      <w:sz w:val="22"/>
                      <w:szCs w:val="22"/>
                    </w:rPr>
                    <m:t>ACG</m:t>
                  </m:r>
                </m:e>
                <m:sub>
                  <m:r>
                    <w:rPr>
                      <w:rFonts w:ascii="Cambria Math" w:hAnsi="Cambria Math"/>
                      <w:sz w:val="22"/>
                      <w:szCs w:val="22"/>
                    </w:rPr>
                    <m:t>bif</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cyf</m:t>
                  </m:r>
                </m:sub>
              </m:sSub>
            </m:num>
            <m:den>
              <m:sSub>
                <m:sSubPr>
                  <m:ctrlPr>
                    <w:rPr>
                      <w:rFonts w:ascii="Cambria Math" w:hAnsi="Cambria Math"/>
                      <w:i/>
                      <w:sz w:val="22"/>
                      <w:szCs w:val="22"/>
                    </w:rPr>
                  </m:ctrlPr>
                </m:sSubPr>
                <m:e>
                  <m:r>
                    <w:rPr>
                      <w:rFonts w:ascii="Cambria Math" w:hAnsi="Cambria Math"/>
                      <w:sz w:val="22"/>
                      <w:szCs w:val="22"/>
                    </w:rPr>
                    <m:t>ACG</m:t>
                  </m:r>
                </m:e>
                <m:sub>
                  <m:r>
                    <w:rPr>
                      <w:rFonts w:ascii="Cambria Math" w:hAnsi="Cambria Math"/>
                      <w:sz w:val="22"/>
                      <w:szCs w:val="22"/>
                    </w:rPr>
                    <m:t>cyf</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cyp</m:t>
                  </m:r>
                </m:sub>
              </m:sSub>
            </m:num>
            <m:den>
              <m:sSub>
                <m:sSubPr>
                  <m:ctrlPr>
                    <w:rPr>
                      <w:rFonts w:ascii="Cambria Math" w:hAnsi="Cambria Math"/>
                      <w:i/>
                      <w:sz w:val="22"/>
                      <w:szCs w:val="22"/>
                    </w:rPr>
                  </m:ctrlPr>
                </m:sSubPr>
                <m:e>
                  <m:r>
                    <w:rPr>
                      <w:rFonts w:ascii="Cambria Math" w:hAnsi="Cambria Math"/>
                      <w:sz w:val="22"/>
                      <w:szCs w:val="22"/>
                    </w:rPr>
                    <m:t>ACG</m:t>
                  </m:r>
                </m:e>
                <m:sub>
                  <m:r>
                    <w:rPr>
                      <w:rFonts w:ascii="Cambria Math" w:hAnsi="Cambria Math"/>
                      <w:sz w:val="22"/>
                      <w:szCs w:val="22"/>
                    </w:rPr>
                    <m:t>cyp</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esf</m:t>
                  </m:r>
                </m:sub>
              </m:sSub>
            </m:num>
            <m:den>
              <m:sSub>
                <m:sSubPr>
                  <m:ctrlPr>
                    <w:rPr>
                      <w:rFonts w:ascii="Cambria Math" w:hAnsi="Cambria Math"/>
                      <w:i/>
                      <w:sz w:val="22"/>
                      <w:szCs w:val="22"/>
                    </w:rPr>
                  </m:ctrlPr>
                </m:sSubPr>
                <m:e>
                  <m:r>
                    <w:rPr>
                      <w:rFonts w:ascii="Cambria Math" w:hAnsi="Cambria Math"/>
                      <w:sz w:val="22"/>
                      <w:szCs w:val="22"/>
                    </w:rPr>
                    <m:t>ACG</m:t>
                  </m:r>
                </m:e>
                <m:sub>
                  <m:r>
                    <w:rPr>
                      <w:rFonts w:ascii="Cambria Math" w:hAnsi="Cambria Math"/>
                      <w:sz w:val="22"/>
                      <w:szCs w:val="22"/>
                    </w:rPr>
                    <m:t>esf</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lcy</m:t>
                  </m:r>
                </m:sub>
              </m:sSub>
            </m:num>
            <m:den>
              <m:sSub>
                <m:sSubPr>
                  <m:ctrlPr>
                    <w:rPr>
                      <w:rFonts w:ascii="Cambria Math" w:hAnsi="Cambria Math"/>
                      <w:i/>
                      <w:sz w:val="22"/>
                      <w:szCs w:val="22"/>
                    </w:rPr>
                  </m:ctrlPr>
                </m:sSubPr>
                <m:e>
                  <m:r>
                    <w:rPr>
                      <w:rFonts w:ascii="Cambria Math" w:hAnsi="Cambria Math"/>
                      <w:sz w:val="22"/>
                      <w:szCs w:val="22"/>
                    </w:rPr>
                    <m:t>ACG</m:t>
                  </m:r>
                </m:e>
                <m:sub>
                  <m:r>
                    <w:rPr>
                      <w:rFonts w:ascii="Cambria Math" w:hAnsi="Cambria Math"/>
                      <w:sz w:val="22"/>
                      <w:szCs w:val="22"/>
                    </w:rPr>
                    <m:t>lcy</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per</m:t>
                  </m:r>
                </m:sub>
              </m:sSub>
            </m:num>
            <m:den>
              <m:sSub>
                <m:sSubPr>
                  <m:ctrlPr>
                    <w:rPr>
                      <w:rFonts w:ascii="Cambria Math" w:hAnsi="Cambria Math"/>
                      <w:i/>
                      <w:sz w:val="22"/>
                      <w:szCs w:val="22"/>
                    </w:rPr>
                  </m:ctrlPr>
                </m:sSubPr>
                <m:e>
                  <m:r>
                    <w:rPr>
                      <w:rFonts w:ascii="Cambria Math" w:hAnsi="Cambria Math"/>
                      <w:sz w:val="22"/>
                      <w:szCs w:val="22"/>
                    </w:rPr>
                    <m:t>ACG</m:t>
                  </m:r>
                </m:e>
                <m:sub>
                  <m:r>
                    <w:rPr>
                      <w:rFonts w:ascii="Cambria Math" w:hAnsi="Cambria Math"/>
                      <w:sz w:val="22"/>
                      <w:szCs w:val="22"/>
                    </w:rPr>
                    <m:t>per</m:t>
                  </m:r>
                </m:sub>
              </m:sSub>
            </m:den>
          </m:f>
        </m:oMath>
      </m:oMathPara>
    </w:p>
    <w:p w:rsidRPr="00D11D02" w:rsidR="0027292A" w:rsidP="00D11D02" w:rsidRDefault="0027292A" w14:paraId="32C02B6D" w14:textId="77777777">
      <w:pPr>
        <w:widowControl w:val="0"/>
        <w:spacing w:before="0" w:line="240" w:lineRule="auto"/>
        <w:ind w:left="1800"/>
      </w:pPr>
      <w:r w:rsidRPr="00D11D02">
        <w:t xml:space="preserve">Where: </w:t>
      </w:r>
    </w:p>
    <w:p w:rsidRPr="00D11D02" w:rsidR="0027292A" w:rsidP="00BF7773" w:rsidRDefault="0027292A" w14:paraId="114EB351" w14:textId="14FCA293">
      <w:pPr>
        <w:widowControl w:val="0"/>
        <w:tabs>
          <w:tab w:val="left" w:pos="747"/>
        </w:tabs>
        <w:spacing w:before="0" w:line="240" w:lineRule="auto"/>
        <w:ind w:left="3510" w:hanging="1350"/>
      </w:pPr>
      <w:r w:rsidRPr="00D11D02">
        <w:rPr>
          <w:i/>
        </w:rPr>
        <w:t>C</w:t>
      </w:r>
      <w:r w:rsidRPr="00D11D02">
        <w:rPr>
          <w:i/>
          <w:vertAlign w:val="subscript"/>
        </w:rPr>
        <w:t>bif</w:t>
      </w:r>
      <w:r w:rsidRPr="00D11D02">
        <w:t xml:space="preserve"> = </w:t>
      </w:r>
      <w:r w:rsidR="00C5758D">
        <w:tab/>
      </w:r>
      <w:r w:rsidRPr="00D11D02">
        <w:t>Average concentration of bifenthrin in ng/L from a 1-hour averaging period,</w:t>
      </w:r>
    </w:p>
    <w:p w:rsidRPr="00D11D02" w:rsidR="0027292A" w:rsidP="00BF7773" w:rsidRDefault="0027292A" w14:paraId="1341DF2E" w14:textId="60386CBE">
      <w:pPr>
        <w:widowControl w:val="0"/>
        <w:spacing w:before="0" w:line="240" w:lineRule="auto"/>
        <w:ind w:left="3510" w:hanging="1350"/>
      </w:pPr>
      <w:r w:rsidRPr="00D11D02">
        <w:rPr>
          <w:i/>
        </w:rPr>
        <w:t>C</w:t>
      </w:r>
      <w:r w:rsidRPr="00D11D02">
        <w:rPr>
          <w:i/>
          <w:vertAlign w:val="subscript"/>
        </w:rPr>
        <w:t>cyf</w:t>
      </w:r>
      <w:r w:rsidRPr="00D11D02">
        <w:t xml:space="preserve"> = </w:t>
      </w:r>
      <w:r w:rsidR="00C5758D">
        <w:tab/>
      </w:r>
      <w:r w:rsidRPr="00D11D02">
        <w:t>Average concentration of cyfluthrin in ng/L from a 1-hour averaging period,</w:t>
      </w:r>
    </w:p>
    <w:p w:rsidRPr="00D11D02" w:rsidR="0027292A" w:rsidP="00BF7773" w:rsidRDefault="0027292A" w14:paraId="611B9664" w14:textId="2AD4274E">
      <w:pPr>
        <w:widowControl w:val="0"/>
        <w:spacing w:before="0" w:line="240" w:lineRule="auto"/>
        <w:ind w:left="3510" w:hanging="1350"/>
      </w:pPr>
      <w:r w:rsidRPr="00D11D02">
        <w:rPr>
          <w:i/>
        </w:rPr>
        <w:t>C</w:t>
      </w:r>
      <w:r w:rsidRPr="00D11D02">
        <w:rPr>
          <w:i/>
          <w:vertAlign w:val="subscript"/>
        </w:rPr>
        <w:t>cyp</w:t>
      </w:r>
      <w:r w:rsidRPr="00D11D02">
        <w:t xml:space="preserve"> = </w:t>
      </w:r>
      <w:r w:rsidR="00C5758D">
        <w:tab/>
      </w:r>
      <w:r w:rsidRPr="00D11D02">
        <w:t>Average concentration of cypermethrin in ng/L from a 1-hour averaging period,</w:t>
      </w:r>
    </w:p>
    <w:p w:rsidRPr="00D11D02" w:rsidR="0027292A" w:rsidP="00BF7773" w:rsidRDefault="0027292A" w14:paraId="7A655A62" w14:textId="0A67DD8F">
      <w:pPr>
        <w:widowControl w:val="0"/>
        <w:spacing w:before="0" w:line="240" w:lineRule="auto"/>
        <w:ind w:left="3510" w:hanging="1350"/>
      </w:pPr>
      <w:r w:rsidRPr="00D11D02">
        <w:rPr>
          <w:i/>
        </w:rPr>
        <w:t>C</w:t>
      </w:r>
      <w:r w:rsidRPr="00D11D02">
        <w:rPr>
          <w:i/>
          <w:vertAlign w:val="subscript"/>
        </w:rPr>
        <w:t>esf</w:t>
      </w:r>
      <w:r w:rsidRPr="00D11D02">
        <w:t xml:space="preserve"> = </w:t>
      </w:r>
      <w:r w:rsidR="00C5758D">
        <w:tab/>
      </w:r>
      <w:r w:rsidRPr="00D11D02">
        <w:t>Average concentration of esfenvalerate in ng/L from a 1-hour averaging period,</w:t>
      </w:r>
    </w:p>
    <w:p w:rsidRPr="00D11D02" w:rsidR="0027292A" w:rsidP="00BF7773" w:rsidRDefault="0027292A" w14:paraId="1D495C90" w14:textId="5FB50533">
      <w:pPr>
        <w:widowControl w:val="0"/>
        <w:spacing w:before="0" w:line="240" w:lineRule="auto"/>
        <w:ind w:left="3510" w:hanging="1350"/>
      </w:pPr>
      <w:r w:rsidRPr="00D11D02">
        <w:rPr>
          <w:i/>
        </w:rPr>
        <w:t>C</w:t>
      </w:r>
      <w:r w:rsidRPr="00D11D02">
        <w:rPr>
          <w:i/>
          <w:vertAlign w:val="subscript"/>
        </w:rPr>
        <w:t>lcy</w:t>
      </w:r>
      <w:r w:rsidRPr="00D11D02">
        <w:t xml:space="preserve"> = </w:t>
      </w:r>
      <w:r w:rsidR="00C5758D">
        <w:tab/>
      </w:r>
      <w:r w:rsidRPr="00D11D02">
        <w:t>Average concentration of lambda-cyhalothrin in ng/L from a 1-hour averaging period,</w:t>
      </w:r>
    </w:p>
    <w:p w:rsidRPr="00D11D02" w:rsidR="0027292A" w:rsidP="00BF7773" w:rsidRDefault="0027292A" w14:paraId="2270B6A3" w14:textId="70C5E562">
      <w:pPr>
        <w:widowControl w:val="0"/>
        <w:spacing w:before="0" w:line="240" w:lineRule="auto"/>
        <w:ind w:left="3510" w:hanging="1350"/>
      </w:pPr>
      <w:r w:rsidRPr="00D11D02">
        <w:rPr>
          <w:i/>
        </w:rPr>
        <w:t>C</w:t>
      </w:r>
      <w:r w:rsidRPr="00D11D02">
        <w:rPr>
          <w:i/>
          <w:vertAlign w:val="subscript"/>
        </w:rPr>
        <w:t xml:space="preserve">per </w:t>
      </w:r>
      <w:r w:rsidRPr="00D11D02">
        <w:t xml:space="preserve">= </w:t>
      </w:r>
      <w:r w:rsidR="00C5758D">
        <w:tab/>
      </w:r>
      <w:r w:rsidRPr="00D11D02">
        <w:t>Average concentration of permethrin in ng/L from a 1-hour averaging period,</w:t>
      </w:r>
    </w:p>
    <w:p w:rsidRPr="00D11D02" w:rsidR="0027292A" w:rsidP="00BF7773" w:rsidRDefault="0027292A" w14:paraId="591B5924" w14:textId="59E47CA2">
      <w:pPr>
        <w:widowControl w:val="0"/>
        <w:spacing w:before="0" w:line="240" w:lineRule="auto"/>
        <w:ind w:left="3510" w:hanging="1350"/>
      </w:pPr>
      <w:r w:rsidRPr="00D11D02">
        <w:rPr>
          <w:i/>
        </w:rPr>
        <w:t>ACG</w:t>
      </w:r>
      <w:r w:rsidRPr="00D11D02">
        <w:rPr>
          <w:i/>
          <w:vertAlign w:val="subscript"/>
        </w:rPr>
        <w:t>b</w:t>
      </w:r>
      <w:r w:rsidRPr="00D11D02">
        <w:rPr>
          <w:vertAlign w:val="subscript"/>
        </w:rPr>
        <w:t>if</w:t>
      </w:r>
      <w:r w:rsidRPr="00D11D02">
        <w:t xml:space="preserve"> = </w:t>
      </w:r>
      <w:r w:rsidR="00BF7773">
        <w:tab/>
      </w:r>
      <w:r w:rsidRPr="00D11D02">
        <w:t xml:space="preserve">Bifenthrin acute concentration goal of 0.8 ng/L, </w:t>
      </w:r>
    </w:p>
    <w:p w:rsidRPr="00D11D02" w:rsidR="0027292A" w:rsidP="00BF7773" w:rsidRDefault="0027292A" w14:paraId="09379053" w14:textId="72CDF1A2">
      <w:pPr>
        <w:widowControl w:val="0"/>
        <w:spacing w:before="0" w:line="240" w:lineRule="auto"/>
        <w:ind w:left="3510" w:hanging="1350"/>
      </w:pPr>
      <w:r w:rsidRPr="00D11D02">
        <w:rPr>
          <w:i/>
        </w:rPr>
        <w:t>ACG</w:t>
      </w:r>
      <w:r w:rsidRPr="00D11D02">
        <w:rPr>
          <w:i/>
          <w:vertAlign w:val="subscript"/>
        </w:rPr>
        <w:t>cyf</w:t>
      </w:r>
      <w:r w:rsidRPr="00D11D02">
        <w:t xml:space="preserve"> =</w:t>
      </w:r>
      <w:r w:rsidR="00BF7773">
        <w:tab/>
      </w:r>
      <w:r w:rsidRPr="00D11D02">
        <w:t>Cyfluthrin acute concentration goal of 0.8 ng/L,</w:t>
      </w:r>
    </w:p>
    <w:p w:rsidRPr="00D11D02" w:rsidR="0027292A" w:rsidP="00BF7773" w:rsidRDefault="0027292A" w14:paraId="33A87640" w14:textId="50B75002">
      <w:pPr>
        <w:widowControl w:val="0"/>
        <w:spacing w:before="0" w:line="240" w:lineRule="auto"/>
        <w:ind w:left="3510" w:hanging="1350"/>
        <w:rPr>
          <w:i/>
        </w:rPr>
      </w:pPr>
      <w:r w:rsidRPr="00D11D02">
        <w:rPr>
          <w:i/>
        </w:rPr>
        <w:t xml:space="preserve">ACGcyp = </w:t>
      </w:r>
      <w:r w:rsidR="00BF7773">
        <w:rPr>
          <w:i/>
        </w:rPr>
        <w:tab/>
      </w:r>
      <w:r w:rsidRPr="00D11D02">
        <w:rPr>
          <w:i/>
        </w:rPr>
        <w:t>Cypermethrin acute concentration goal of 1 ng/L,</w:t>
      </w:r>
    </w:p>
    <w:p w:rsidRPr="00D11D02" w:rsidR="0027292A" w:rsidP="00BF7773" w:rsidRDefault="0027292A" w14:paraId="60CD54A2" w14:textId="775AAE67">
      <w:pPr>
        <w:widowControl w:val="0"/>
        <w:spacing w:before="0" w:line="240" w:lineRule="auto"/>
        <w:ind w:left="3510" w:hanging="1350"/>
        <w:rPr>
          <w:i/>
        </w:rPr>
      </w:pPr>
      <w:r w:rsidRPr="00D11D02">
        <w:rPr>
          <w:i/>
        </w:rPr>
        <w:t>ACGesf =</w:t>
      </w:r>
      <w:r w:rsidR="00BF7773">
        <w:rPr>
          <w:i/>
        </w:rPr>
        <w:tab/>
      </w:r>
      <w:r w:rsidRPr="00D11D02">
        <w:rPr>
          <w:i/>
        </w:rPr>
        <w:t>Esfenvalerate acute concentration goal of 2 ng/L,</w:t>
      </w:r>
    </w:p>
    <w:p w:rsidRPr="00D11D02" w:rsidR="0027292A" w:rsidP="00BF7773" w:rsidRDefault="0027292A" w14:paraId="4034AD75" w14:textId="045BEBC5">
      <w:pPr>
        <w:widowControl w:val="0"/>
        <w:spacing w:before="0" w:line="240" w:lineRule="auto"/>
        <w:ind w:left="3510" w:hanging="1350"/>
        <w:rPr>
          <w:i/>
        </w:rPr>
      </w:pPr>
      <w:r w:rsidRPr="00D11D02">
        <w:rPr>
          <w:i/>
        </w:rPr>
        <w:t xml:space="preserve">ACGlcy = </w:t>
      </w:r>
      <w:r w:rsidR="00BF7773">
        <w:rPr>
          <w:i/>
        </w:rPr>
        <w:tab/>
      </w:r>
      <w:r w:rsidRPr="00D11D02">
        <w:rPr>
          <w:i/>
        </w:rPr>
        <w:t>Lambda-cyhalothrin acute concentration goal of 0.7 ng/L,</w:t>
      </w:r>
    </w:p>
    <w:p w:rsidRPr="00D11D02" w:rsidR="0027292A" w:rsidP="00BF7773" w:rsidRDefault="0027292A" w14:paraId="3FEF3CD8" w14:textId="20F77667">
      <w:pPr>
        <w:widowControl w:val="0"/>
        <w:spacing w:before="0" w:line="240" w:lineRule="auto"/>
        <w:ind w:left="3510" w:hanging="1350"/>
        <w:rPr>
          <w:i/>
        </w:rPr>
      </w:pPr>
      <w:r w:rsidRPr="00D11D02">
        <w:rPr>
          <w:i/>
        </w:rPr>
        <w:t xml:space="preserve">ACGper = </w:t>
      </w:r>
      <w:r w:rsidR="00BF7773">
        <w:rPr>
          <w:i/>
        </w:rPr>
        <w:tab/>
      </w:r>
      <w:r w:rsidRPr="00D11D02">
        <w:rPr>
          <w:i/>
        </w:rPr>
        <w:t>Permethrin acute concentration goal of 6 ng/L,</w:t>
      </w:r>
    </w:p>
    <w:p w:rsidRPr="00D11D02" w:rsidR="00943687" w:rsidP="00BF7773" w:rsidRDefault="0027292A" w14:paraId="54F24CCE" w14:textId="0B6EEF36">
      <w:pPr>
        <w:widowControl w:val="0"/>
        <w:spacing w:before="0" w:line="240" w:lineRule="auto"/>
        <w:ind w:left="3510" w:hanging="1350"/>
        <w:rPr>
          <w:i/>
        </w:rPr>
      </w:pPr>
      <w:r w:rsidRPr="00D11D02">
        <w:rPr>
          <w:i/>
        </w:rPr>
        <w:t>CGUacute =</w:t>
      </w:r>
      <w:r w:rsidR="00BF7773">
        <w:rPr>
          <w:i/>
        </w:rPr>
        <w:tab/>
      </w:r>
      <w:r w:rsidRPr="00D11D02">
        <w:rPr>
          <w:i/>
        </w:rPr>
        <w:t>The sum of measured pyrethroid concentration-to-acute concentration goal ratios, rounded to one significant figure. A sum exceeding one (1) indicates an exceedance of the acute additive pyrethroid pesticides numeric trigger.</w:t>
      </w:r>
    </w:p>
    <w:p w:rsidRPr="00AD75CB" w:rsidR="0027292A" w:rsidP="00C20EE3" w:rsidRDefault="0027292A" w14:paraId="34F2B3F0" w14:textId="77777777">
      <w:pPr>
        <w:widowControl w:val="0"/>
        <w:tabs>
          <w:tab w:val="left" w:pos="-1440"/>
          <w:tab w:val="left" w:pos="-720"/>
        </w:tabs>
        <w:spacing w:before="20"/>
        <w:ind w:left="1890"/>
        <w:rPr>
          <w:rFonts w:cs="Arial"/>
          <w:b/>
        </w:rPr>
      </w:pPr>
      <w:r w:rsidRPr="00AD75CB">
        <w:rPr>
          <w:rFonts w:cs="Arial"/>
          <w:b/>
        </w:rPr>
        <w:t>Chronic Pyrethroid Trigger</w:t>
      </w:r>
    </w:p>
    <w:p w:rsidRPr="00AD75CB" w:rsidR="0027292A" w:rsidP="00C20EE3" w:rsidRDefault="0027292A" w14:paraId="5DEDDC12" w14:textId="77777777">
      <w:pPr>
        <w:widowControl w:val="0"/>
        <w:tabs>
          <w:tab w:val="left" w:pos="-1440"/>
          <w:tab w:val="left" w:pos="-720"/>
        </w:tabs>
        <w:ind w:left="1890"/>
        <w:rPr>
          <w:rFonts w:cs="Arial"/>
        </w:rPr>
      </w:pPr>
      <w:r w:rsidRPr="00AD75CB">
        <w:rPr>
          <w:rFonts w:cs="Arial"/>
        </w:rPr>
        <w:t xml:space="preserve">The chronic additive pyrethroid pesticides numeric trigger is equal to one (1) chronic additive concentration goal unit not to be exceeded </w:t>
      </w:r>
      <w:r w:rsidRPr="00AD75CB">
        <w:rPr>
          <w:rFonts w:cs="Arial"/>
        </w:rPr>
        <w:t>more than once in a three year period. The chronic CGUs are calculated as the sum of individual measured pyrethroid concentration-to-chronic concentration goal ratios, as defined in the following formula. For calculation of CGUs, available samples collected within the applicable averaging period for the numeric trigger will be used to determine exceedances of the trigger. Freely dissolved pyrethroid concentrations may be used in the numerator of each ratio if appropriate data are available, as described in the equation to calculate freely dissolved concentrations given above.</w:t>
      </w:r>
    </w:p>
    <w:p w:rsidRPr="00AD75CB" w:rsidR="0027292A" w:rsidP="00985EBF" w:rsidRDefault="00000000" w14:paraId="09208F3C" w14:textId="77777777">
      <w:pPr>
        <w:widowControl w:val="0"/>
        <w:spacing w:before="0" w:line="240" w:lineRule="auto"/>
        <w:ind w:left="720"/>
        <w:rPr>
          <w:rFonts w:cs="Arial"/>
        </w:rPr>
      </w:pPr>
      <m:oMathPara>
        <m:oMath>
          <m:sSub>
            <m:sSubPr>
              <m:ctrlPr>
                <w:rPr>
                  <w:rFonts w:ascii="Cambria Math" w:hAnsi="Cambria Math" w:cs="Arial"/>
                  <w:i/>
                </w:rPr>
              </m:ctrlPr>
            </m:sSubPr>
            <m:e>
              <m:r>
                <w:rPr>
                  <w:rFonts w:ascii="Cambria Math" w:hAnsi="Cambria Math" w:cs="Arial"/>
                </w:rPr>
                <m:t>CGU</m:t>
              </m:r>
            </m:e>
            <m:sub>
              <m:r>
                <w:rPr>
                  <w:rFonts w:ascii="Cambria Math" w:hAnsi="Cambria Math" w:cs="Arial"/>
                </w:rPr>
                <m:t>chronic</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bif</m:t>
                  </m:r>
                </m:sub>
              </m:sSub>
            </m:num>
            <m:den>
              <m:sSub>
                <m:sSubPr>
                  <m:ctrlPr>
                    <w:rPr>
                      <w:rFonts w:ascii="Cambria Math" w:hAnsi="Cambria Math" w:cs="Arial"/>
                      <w:i/>
                    </w:rPr>
                  </m:ctrlPr>
                </m:sSubPr>
                <m:e>
                  <m:r>
                    <w:rPr>
                      <w:rFonts w:ascii="Cambria Math" w:hAnsi="Cambria Math" w:cs="Arial"/>
                    </w:rPr>
                    <m:t>CCG</m:t>
                  </m:r>
                </m:e>
                <m:sub>
                  <m:r>
                    <w:rPr>
                      <w:rFonts w:ascii="Cambria Math" w:hAnsi="Cambria Math" w:cs="Arial"/>
                    </w:rPr>
                    <m:t>bif</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cyf</m:t>
                  </m:r>
                </m:sub>
              </m:sSub>
            </m:num>
            <m:den>
              <m:sSub>
                <m:sSubPr>
                  <m:ctrlPr>
                    <w:rPr>
                      <w:rFonts w:ascii="Cambria Math" w:hAnsi="Cambria Math" w:cs="Arial"/>
                      <w:i/>
                    </w:rPr>
                  </m:ctrlPr>
                </m:sSubPr>
                <m:e>
                  <m:r>
                    <w:rPr>
                      <w:rFonts w:ascii="Cambria Math" w:hAnsi="Cambria Math" w:cs="Arial"/>
                    </w:rPr>
                    <m:t>CCG</m:t>
                  </m:r>
                </m:e>
                <m:sub>
                  <m:r>
                    <w:rPr>
                      <w:rFonts w:ascii="Cambria Math" w:hAnsi="Cambria Math" w:cs="Arial"/>
                    </w:rPr>
                    <m:t>cyf</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cyp</m:t>
                  </m:r>
                </m:sub>
              </m:sSub>
            </m:num>
            <m:den>
              <m:sSub>
                <m:sSubPr>
                  <m:ctrlPr>
                    <w:rPr>
                      <w:rFonts w:ascii="Cambria Math" w:hAnsi="Cambria Math" w:cs="Arial"/>
                      <w:i/>
                    </w:rPr>
                  </m:ctrlPr>
                </m:sSubPr>
                <m:e>
                  <m:r>
                    <w:rPr>
                      <w:rFonts w:ascii="Cambria Math" w:hAnsi="Cambria Math" w:cs="Arial"/>
                    </w:rPr>
                    <m:t>CCG</m:t>
                  </m:r>
                </m:e>
                <m:sub>
                  <m:r>
                    <w:rPr>
                      <w:rFonts w:ascii="Cambria Math" w:hAnsi="Cambria Math" w:cs="Arial"/>
                    </w:rPr>
                    <m:t>cyp</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esf</m:t>
                  </m:r>
                </m:sub>
              </m:sSub>
            </m:num>
            <m:den>
              <m:sSub>
                <m:sSubPr>
                  <m:ctrlPr>
                    <w:rPr>
                      <w:rFonts w:ascii="Cambria Math" w:hAnsi="Cambria Math" w:cs="Arial"/>
                      <w:i/>
                    </w:rPr>
                  </m:ctrlPr>
                </m:sSubPr>
                <m:e>
                  <m:r>
                    <w:rPr>
                      <w:rFonts w:ascii="Cambria Math" w:hAnsi="Cambria Math" w:cs="Arial"/>
                    </w:rPr>
                    <m:t>CCG</m:t>
                  </m:r>
                </m:e>
                <m:sub>
                  <m:r>
                    <w:rPr>
                      <w:rFonts w:ascii="Cambria Math" w:hAnsi="Cambria Math" w:cs="Arial"/>
                    </w:rPr>
                    <m:t>esf</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lcy</m:t>
                  </m:r>
                </m:sub>
              </m:sSub>
            </m:num>
            <m:den>
              <m:sSub>
                <m:sSubPr>
                  <m:ctrlPr>
                    <w:rPr>
                      <w:rFonts w:ascii="Cambria Math" w:hAnsi="Cambria Math" w:cs="Arial"/>
                      <w:i/>
                    </w:rPr>
                  </m:ctrlPr>
                </m:sSubPr>
                <m:e>
                  <m:r>
                    <w:rPr>
                      <w:rFonts w:ascii="Cambria Math" w:hAnsi="Cambria Math" w:cs="Arial"/>
                    </w:rPr>
                    <m:t>CCG</m:t>
                  </m:r>
                </m:e>
                <m:sub>
                  <m:r>
                    <w:rPr>
                      <w:rFonts w:ascii="Cambria Math" w:hAnsi="Cambria Math" w:cs="Arial"/>
                    </w:rPr>
                    <m:t>lcy</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per</m:t>
                  </m:r>
                </m:sub>
              </m:sSub>
            </m:num>
            <m:den>
              <m:sSub>
                <m:sSubPr>
                  <m:ctrlPr>
                    <w:rPr>
                      <w:rFonts w:ascii="Cambria Math" w:hAnsi="Cambria Math" w:cs="Arial"/>
                      <w:i/>
                    </w:rPr>
                  </m:ctrlPr>
                </m:sSubPr>
                <m:e>
                  <m:r>
                    <w:rPr>
                      <w:rFonts w:ascii="Cambria Math" w:hAnsi="Cambria Math" w:cs="Arial"/>
                    </w:rPr>
                    <m:t>CCG</m:t>
                  </m:r>
                </m:e>
                <m:sub>
                  <m:r>
                    <w:rPr>
                      <w:rFonts w:ascii="Cambria Math" w:hAnsi="Cambria Math" w:cs="Arial"/>
                    </w:rPr>
                    <m:t>per</m:t>
                  </m:r>
                </m:sub>
              </m:sSub>
            </m:den>
          </m:f>
        </m:oMath>
      </m:oMathPara>
    </w:p>
    <w:p w:rsidRPr="00AD75CB" w:rsidR="0027292A" w:rsidP="00985EBF" w:rsidRDefault="0027292A" w14:paraId="4123AB77" w14:textId="77777777">
      <w:pPr>
        <w:widowControl w:val="0"/>
        <w:spacing w:before="0" w:line="240" w:lineRule="auto"/>
        <w:ind w:left="1890"/>
        <w:rPr>
          <w:rFonts w:cs="Arial"/>
        </w:rPr>
      </w:pPr>
      <w:r w:rsidRPr="00AD75CB">
        <w:rPr>
          <w:rFonts w:cs="Arial"/>
        </w:rPr>
        <w:t xml:space="preserve">Where: </w:t>
      </w:r>
    </w:p>
    <w:p w:rsidRPr="00AD75CB" w:rsidR="0027292A" w:rsidP="00AD75CB" w:rsidRDefault="0027292A" w14:paraId="1075D6B1" w14:textId="39EDD768">
      <w:pPr>
        <w:widowControl w:val="0"/>
        <w:spacing w:before="0" w:line="240" w:lineRule="auto"/>
        <w:ind w:left="3780" w:hanging="1620"/>
        <w:rPr>
          <w:rFonts w:cs="Arial"/>
          <w:i/>
        </w:rPr>
      </w:pPr>
      <w:r w:rsidRPr="00AD75CB">
        <w:rPr>
          <w:rFonts w:cs="Arial"/>
          <w:i/>
        </w:rPr>
        <w:t xml:space="preserve">Cbif = </w:t>
      </w:r>
      <w:r w:rsidR="00AD75CB">
        <w:rPr>
          <w:rFonts w:cs="Arial"/>
          <w:i/>
        </w:rPr>
        <w:tab/>
      </w:r>
      <w:r w:rsidRPr="00AD75CB">
        <w:rPr>
          <w:rFonts w:cs="Arial"/>
          <w:i/>
        </w:rPr>
        <w:t>Average concentration of bifenthrin in ng/L from a 4-day averaging period,</w:t>
      </w:r>
    </w:p>
    <w:p w:rsidRPr="00AD75CB" w:rsidR="0027292A" w:rsidP="00AD75CB" w:rsidRDefault="0027292A" w14:paraId="13B9EB57" w14:textId="5E20A765">
      <w:pPr>
        <w:widowControl w:val="0"/>
        <w:spacing w:before="0" w:line="240" w:lineRule="auto"/>
        <w:ind w:left="3780" w:hanging="1620"/>
        <w:rPr>
          <w:rFonts w:cs="Arial"/>
          <w:i/>
        </w:rPr>
      </w:pPr>
      <w:r w:rsidRPr="00AD75CB">
        <w:rPr>
          <w:rFonts w:cs="Arial"/>
          <w:i/>
        </w:rPr>
        <w:t xml:space="preserve">Ccyf = </w:t>
      </w:r>
      <w:r w:rsidR="00AD75CB">
        <w:rPr>
          <w:rFonts w:cs="Arial"/>
          <w:i/>
        </w:rPr>
        <w:tab/>
      </w:r>
      <w:r w:rsidRPr="00AD75CB">
        <w:rPr>
          <w:rFonts w:cs="Arial"/>
          <w:i/>
        </w:rPr>
        <w:t>Average concentration of cyfluthrin in ng/L from a 4-day averaging period,</w:t>
      </w:r>
    </w:p>
    <w:p w:rsidRPr="00AD75CB" w:rsidR="0027292A" w:rsidP="00AD75CB" w:rsidRDefault="0027292A" w14:paraId="5E86346E" w14:textId="4431047B">
      <w:pPr>
        <w:widowControl w:val="0"/>
        <w:spacing w:before="0" w:line="240" w:lineRule="auto"/>
        <w:ind w:left="3780" w:hanging="1620"/>
        <w:rPr>
          <w:rFonts w:cs="Arial"/>
          <w:i/>
        </w:rPr>
      </w:pPr>
      <w:r w:rsidRPr="00AD75CB">
        <w:rPr>
          <w:rFonts w:cs="Arial"/>
          <w:i/>
        </w:rPr>
        <w:t xml:space="preserve">Ccyp = </w:t>
      </w:r>
      <w:r w:rsidR="00AD75CB">
        <w:rPr>
          <w:rFonts w:cs="Arial"/>
          <w:i/>
        </w:rPr>
        <w:tab/>
      </w:r>
      <w:r w:rsidRPr="00AD75CB">
        <w:rPr>
          <w:rFonts w:cs="Arial"/>
          <w:i/>
        </w:rPr>
        <w:t>Average concentration of cypermethrin in ng/L from a 4-day averaging period,</w:t>
      </w:r>
    </w:p>
    <w:p w:rsidRPr="00AD75CB" w:rsidR="0027292A" w:rsidP="00AD75CB" w:rsidRDefault="0027292A" w14:paraId="5D965945" w14:textId="460DC82F">
      <w:pPr>
        <w:widowControl w:val="0"/>
        <w:spacing w:before="0" w:line="240" w:lineRule="auto"/>
        <w:ind w:left="3780" w:hanging="1620"/>
        <w:rPr>
          <w:rFonts w:cs="Arial"/>
          <w:i/>
        </w:rPr>
      </w:pPr>
      <w:r w:rsidRPr="00AD75CB">
        <w:rPr>
          <w:rFonts w:cs="Arial"/>
          <w:i/>
        </w:rPr>
        <w:t>Cesf =</w:t>
      </w:r>
      <w:r w:rsidR="00AD75CB">
        <w:rPr>
          <w:rFonts w:cs="Arial"/>
          <w:i/>
        </w:rPr>
        <w:tab/>
      </w:r>
      <w:r w:rsidRPr="00AD75CB">
        <w:rPr>
          <w:rFonts w:cs="Arial"/>
          <w:i/>
        </w:rPr>
        <w:t xml:space="preserve"> Average concentration of esfenvalerate in ng/L from a 4-day averaging period,</w:t>
      </w:r>
    </w:p>
    <w:p w:rsidRPr="00AD75CB" w:rsidR="0027292A" w:rsidP="00AD75CB" w:rsidRDefault="0027292A" w14:paraId="6BEB88D3" w14:textId="4C657608">
      <w:pPr>
        <w:widowControl w:val="0"/>
        <w:spacing w:before="0" w:line="240" w:lineRule="auto"/>
        <w:ind w:left="3780" w:hanging="1620"/>
        <w:rPr>
          <w:rFonts w:cs="Arial"/>
          <w:i/>
        </w:rPr>
      </w:pPr>
      <w:r w:rsidRPr="00AD75CB">
        <w:rPr>
          <w:rFonts w:cs="Arial"/>
          <w:i/>
        </w:rPr>
        <w:t xml:space="preserve">Clcy = </w:t>
      </w:r>
      <w:r w:rsidR="00AD75CB">
        <w:rPr>
          <w:rFonts w:cs="Arial"/>
          <w:i/>
        </w:rPr>
        <w:tab/>
      </w:r>
      <w:r w:rsidRPr="00AD75CB">
        <w:rPr>
          <w:rFonts w:cs="Arial"/>
          <w:i/>
        </w:rPr>
        <w:t>Average concentration of lambda-cyhalothrin in ng/L from a 4-day averaging period,</w:t>
      </w:r>
    </w:p>
    <w:p w:rsidRPr="00AD75CB" w:rsidR="0027292A" w:rsidP="00AD75CB" w:rsidRDefault="0027292A" w14:paraId="45ED01E9" w14:textId="36D8C40E">
      <w:pPr>
        <w:widowControl w:val="0"/>
        <w:spacing w:before="0" w:line="240" w:lineRule="auto"/>
        <w:ind w:left="3780" w:hanging="1620"/>
        <w:rPr>
          <w:rFonts w:cs="Arial"/>
          <w:i/>
        </w:rPr>
      </w:pPr>
      <w:r w:rsidRPr="00AD75CB">
        <w:rPr>
          <w:rFonts w:cs="Arial"/>
          <w:i/>
        </w:rPr>
        <w:t xml:space="preserve">Cper = </w:t>
      </w:r>
      <w:r w:rsidR="00AD75CB">
        <w:rPr>
          <w:rFonts w:cs="Arial"/>
          <w:i/>
        </w:rPr>
        <w:tab/>
      </w:r>
      <w:r w:rsidRPr="00AD75CB">
        <w:rPr>
          <w:rFonts w:cs="Arial"/>
          <w:i/>
        </w:rPr>
        <w:t>Average concentration of permethrin in ng/L from a 4-day averaging period,</w:t>
      </w:r>
    </w:p>
    <w:p w:rsidRPr="00AD75CB" w:rsidR="0027292A" w:rsidP="00AD75CB" w:rsidRDefault="0027292A" w14:paraId="306F19D8" w14:textId="3A94FEC2">
      <w:pPr>
        <w:widowControl w:val="0"/>
        <w:spacing w:before="0" w:line="240" w:lineRule="auto"/>
        <w:ind w:left="3780" w:hanging="1620"/>
        <w:rPr>
          <w:rFonts w:cs="Arial"/>
          <w:i/>
        </w:rPr>
      </w:pPr>
      <w:r w:rsidRPr="00AD75CB">
        <w:rPr>
          <w:rFonts w:cs="Arial"/>
          <w:i/>
        </w:rPr>
        <w:t xml:space="preserve">CCGbif = </w:t>
      </w:r>
      <w:r w:rsidR="00AD75CB">
        <w:rPr>
          <w:rFonts w:cs="Arial"/>
          <w:i/>
        </w:rPr>
        <w:tab/>
      </w:r>
      <w:r w:rsidRPr="00AD75CB">
        <w:rPr>
          <w:rFonts w:cs="Arial"/>
          <w:i/>
        </w:rPr>
        <w:t xml:space="preserve">Bifenthrin chronic concentration goal of 0.1 ng/L, </w:t>
      </w:r>
    </w:p>
    <w:p w:rsidRPr="00AD75CB" w:rsidR="0027292A" w:rsidP="00AD75CB" w:rsidRDefault="0027292A" w14:paraId="313F30E9" w14:textId="138A0C61">
      <w:pPr>
        <w:widowControl w:val="0"/>
        <w:spacing w:before="0" w:line="240" w:lineRule="auto"/>
        <w:ind w:left="3780" w:hanging="1620"/>
        <w:rPr>
          <w:rFonts w:cs="Arial"/>
          <w:i/>
        </w:rPr>
      </w:pPr>
      <w:r w:rsidRPr="00AD75CB">
        <w:rPr>
          <w:rFonts w:cs="Arial"/>
          <w:i/>
        </w:rPr>
        <w:t xml:space="preserve">CCGcyf = </w:t>
      </w:r>
      <w:r w:rsidR="00AD75CB">
        <w:rPr>
          <w:rFonts w:cs="Arial"/>
          <w:i/>
        </w:rPr>
        <w:tab/>
      </w:r>
      <w:r w:rsidRPr="00AD75CB">
        <w:rPr>
          <w:rFonts w:cs="Arial"/>
          <w:i/>
        </w:rPr>
        <w:t>Cyfluthrin chronic concentration goal of 0.2 ng/L,</w:t>
      </w:r>
    </w:p>
    <w:p w:rsidRPr="00AD75CB" w:rsidR="0027292A" w:rsidP="00AD75CB" w:rsidRDefault="0027292A" w14:paraId="60443262" w14:textId="79C7AD3F">
      <w:pPr>
        <w:widowControl w:val="0"/>
        <w:spacing w:before="0" w:line="240" w:lineRule="auto"/>
        <w:ind w:left="3780" w:hanging="1620"/>
        <w:rPr>
          <w:rFonts w:cs="Arial"/>
          <w:i/>
        </w:rPr>
      </w:pPr>
      <w:r w:rsidRPr="00AD75CB">
        <w:rPr>
          <w:rFonts w:cs="Arial"/>
          <w:i/>
        </w:rPr>
        <w:t xml:space="preserve">CCGcyp = </w:t>
      </w:r>
      <w:r w:rsidR="00AD75CB">
        <w:rPr>
          <w:rFonts w:cs="Arial"/>
          <w:i/>
        </w:rPr>
        <w:tab/>
      </w:r>
      <w:r w:rsidRPr="00AD75CB">
        <w:rPr>
          <w:rFonts w:cs="Arial"/>
          <w:i/>
        </w:rPr>
        <w:t>Cypermethrin chronic concentration goal of 0.3 ng/L,</w:t>
      </w:r>
    </w:p>
    <w:p w:rsidRPr="00AD75CB" w:rsidR="0027292A" w:rsidP="00AD75CB" w:rsidRDefault="0027292A" w14:paraId="334DCE57" w14:textId="0409433F">
      <w:pPr>
        <w:widowControl w:val="0"/>
        <w:spacing w:before="0" w:line="240" w:lineRule="auto"/>
        <w:ind w:left="3780" w:hanging="1620"/>
        <w:rPr>
          <w:rFonts w:cs="Arial"/>
          <w:i/>
        </w:rPr>
      </w:pPr>
      <w:r w:rsidRPr="00AD75CB">
        <w:rPr>
          <w:rFonts w:cs="Arial"/>
          <w:i/>
        </w:rPr>
        <w:t xml:space="preserve">CCGesf = </w:t>
      </w:r>
      <w:r w:rsidR="00AD75CB">
        <w:rPr>
          <w:rFonts w:cs="Arial"/>
          <w:i/>
        </w:rPr>
        <w:tab/>
      </w:r>
      <w:r w:rsidRPr="00AD75CB">
        <w:rPr>
          <w:rFonts w:cs="Arial"/>
          <w:i/>
        </w:rPr>
        <w:t>Esfenvalerate chronic concentration goal of 0.3 ng/L,</w:t>
      </w:r>
    </w:p>
    <w:p w:rsidRPr="00AD75CB" w:rsidR="0027292A" w:rsidP="00AD75CB" w:rsidRDefault="0027292A" w14:paraId="4AF1B94B" w14:textId="3BF16DEB">
      <w:pPr>
        <w:widowControl w:val="0"/>
        <w:spacing w:before="0" w:line="240" w:lineRule="auto"/>
        <w:ind w:left="3780" w:hanging="1620"/>
        <w:rPr>
          <w:rFonts w:cs="Arial"/>
          <w:i/>
        </w:rPr>
      </w:pPr>
      <w:r w:rsidRPr="00AD75CB">
        <w:rPr>
          <w:rFonts w:cs="Arial"/>
          <w:i/>
        </w:rPr>
        <w:t>CCGlcy =</w:t>
      </w:r>
      <w:r w:rsidR="00AD75CB">
        <w:rPr>
          <w:rFonts w:cs="Arial"/>
          <w:i/>
        </w:rPr>
        <w:tab/>
      </w:r>
      <w:r w:rsidRPr="00AD75CB">
        <w:rPr>
          <w:rFonts w:cs="Arial"/>
          <w:i/>
        </w:rPr>
        <w:t xml:space="preserve"> Lambda-cyhalothrin chronic concentration goal of 0.3 ng/L,</w:t>
      </w:r>
    </w:p>
    <w:p w:rsidRPr="00AD75CB" w:rsidR="0027292A" w:rsidP="00AD75CB" w:rsidRDefault="0027292A" w14:paraId="365E5C58" w14:textId="090FFDD3">
      <w:pPr>
        <w:widowControl w:val="0"/>
        <w:spacing w:before="0" w:line="240" w:lineRule="auto"/>
        <w:ind w:left="3780" w:hanging="1620"/>
        <w:rPr>
          <w:rFonts w:cs="Arial"/>
          <w:i/>
        </w:rPr>
      </w:pPr>
      <w:r w:rsidRPr="00AD75CB">
        <w:rPr>
          <w:rFonts w:cs="Arial"/>
          <w:i/>
        </w:rPr>
        <w:t xml:space="preserve">CCGper = </w:t>
      </w:r>
      <w:r w:rsidR="00AD75CB">
        <w:rPr>
          <w:rFonts w:cs="Arial"/>
          <w:i/>
        </w:rPr>
        <w:tab/>
      </w:r>
      <w:r w:rsidRPr="00AD75CB">
        <w:rPr>
          <w:rFonts w:cs="Arial"/>
          <w:i/>
        </w:rPr>
        <w:t>Permethrin chronic concentration goal of 1 ng/L,</w:t>
      </w:r>
    </w:p>
    <w:p w:rsidRPr="00AD75CB" w:rsidR="00943687" w:rsidP="00AD75CB" w:rsidRDefault="0027292A" w14:paraId="32FFADBB" w14:textId="5D097D99">
      <w:pPr>
        <w:ind w:left="3780" w:hanging="1620"/>
        <w:rPr>
          <w:rFonts w:cs="Arial" w:eastAsiaTheme="minorHAnsi"/>
        </w:rPr>
      </w:pPr>
      <w:r w:rsidRPr="00AD75CB">
        <w:rPr>
          <w:rFonts w:cs="Arial"/>
          <w:i/>
        </w:rPr>
        <w:t>CGUchronic = The sum of measured pyrethroid concentration-to-chronic concentration goal ratios, rounded to one significant figure. A sum exceeding</w:t>
      </w:r>
      <w:r w:rsidRPr="00AD75CB">
        <w:rPr>
          <w:rFonts w:cs="Arial"/>
        </w:rPr>
        <w:t xml:space="preserve"> one (1) indicates an exceedance of the chronic additive pyrethroid pesticides numeric trigger.</w:t>
      </w:r>
    </w:p>
    <w:p w:rsidRPr="00AD75CB" w:rsidR="008F3758" w:rsidP="00AD75CB" w:rsidRDefault="008F3758" w14:paraId="77069BEB" w14:textId="77777777">
      <w:pPr>
        <w:pStyle w:val="TMDLSubsectionHeaders"/>
        <w:spacing w:before="120"/>
        <w:ind w:left="1267"/>
        <w:rPr>
          <w:b/>
          <w:bCs/>
          <w:szCs w:val="24"/>
          <w:u w:val="none"/>
        </w:rPr>
      </w:pPr>
      <w:r w:rsidRPr="00AD75CB">
        <w:rPr>
          <w:b/>
          <w:bCs/>
          <w:szCs w:val="24"/>
          <w:u w:val="none"/>
        </w:rPr>
        <w:t>Demonstration of Compliance with Effluent Limitations Associated with Pyrethroids Pesticides Wasteload Allocations</w:t>
      </w:r>
    </w:p>
    <w:p w:rsidRPr="00AD75CB" w:rsidR="008F3758" w:rsidP="00AD75CB" w:rsidRDefault="008F3758" w14:paraId="53986DEC" w14:textId="7FF70BB6">
      <w:pPr>
        <w:pStyle w:val="BodyText"/>
        <w:widowControl w:val="0"/>
        <w:spacing w:after="120"/>
        <w:ind w:left="1260"/>
        <w:rPr>
          <w:szCs w:val="24"/>
        </w:rPr>
      </w:pPr>
      <w:r w:rsidRPr="00AD75CB">
        <w:rPr>
          <w:szCs w:val="24"/>
        </w:rPr>
        <w:t xml:space="preserve">Compliance with the </w:t>
      </w:r>
      <w:r w:rsidRPr="00AD75CB" w:rsidR="00E350B0">
        <w:rPr>
          <w:szCs w:val="24"/>
        </w:rPr>
        <w:t>E</w:t>
      </w:r>
      <w:r w:rsidRPr="00AD75CB">
        <w:rPr>
          <w:szCs w:val="24"/>
        </w:rPr>
        <w:t xml:space="preserve">ffluent </w:t>
      </w:r>
      <w:r w:rsidRPr="00AD75CB" w:rsidR="00E350B0">
        <w:rPr>
          <w:szCs w:val="24"/>
        </w:rPr>
        <w:t>L</w:t>
      </w:r>
      <w:r w:rsidRPr="00AD75CB">
        <w:rPr>
          <w:szCs w:val="24"/>
        </w:rPr>
        <w:t>imitations in Section 6 of this Order associated with the pyrethroid pesticides wasteload allocation may be demonstrated by any one of the following methods:</w:t>
      </w:r>
    </w:p>
    <w:p w:rsidRPr="00AD75CB" w:rsidR="008F3758" w:rsidP="00E8254E" w:rsidRDefault="008F3758" w14:paraId="19BDD1C6" w14:textId="5AD57AEC">
      <w:pPr>
        <w:pStyle w:val="BodyText2"/>
        <w:widowControl w:val="0"/>
        <w:numPr>
          <w:ilvl w:val="0"/>
          <w:numId w:val="81"/>
        </w:numPr>
        <w:tabs>
          <w:tab w:val="clear" w:pos="1080"/>
        </w:tabs>
        <w:suppressAutoHyphens w:val="0"/>
        <w:ind w:left="1620"/>
        <w:rPr>
          <w:szCs w:val="24"/>
        </w:rPr>
      </w:pPr>
      <w:r w:rsidRPr="00AD75CB">
        <w:rPr>
          <w:szCs w:val="24"/>
        </w:rPr>
        <w:t xml:space="preserve">Receiving water monitoring and/or other information, as authorized by the Central Valley Water Board Executive Officer, that reasonably demonstrates attainment with the </w:t>
      </w:r>
      <w:r w:rsidRPr="00AD75CB" w:rsidR="00262930">
        <w:rPr>
          <w:szCs w:val="24"/>
        </w:rPr>
        <w:t>wasteload allocations</w:t>
      </w:r>
      <w:r w:rsidRPr="00AD75CB">
        <w:rPr>
          <w:szCs w:val="24"/>
        </w:rPr>
        <w:t>.</w:t>
      </w:r>
    </w:p>
    <w:p w:rsidRPr="00AD75CB" w:rsidR="008F3758" w:rsidP="00E8254E" w:rsidRDefault="008F3758" w14:paraId="22256702" w14:textId="42B0EDD6">
      <w:pPr>
        <w:pStyle w:val="BodyText2"/>
        <w:numPr>
          <w:ilvl w:val="0"/>
          <w:numId w:val="81"/>
        </w:numPr>
        <w:tabs>
          <w:tab w:val="clear" w:pos="1080"/>
        </w:tabs>
        <w:suppressAutoHyphens w:val="0"/>
        <w:ind w:left="1620"/>
        <w:rPr>
          <w:szCs w:val="24"/>
        </w:rPr>
      </w:pPr>
      <w:r w:rsidRPr="00AD75CB">
        <w:rPr>
          <w:szCs w:val="24"/>
        </w:rPr>
        <w:t xml:space="preserve">Attainment of </w:t>
      </w:r>
      <w:r w:rsidRPr="00AD75CB" w:rsidR="00262930">
        <w:rPr>
          <w:szCs w:val="24"/>
        </w:rPr>
        <w:t>wasteload allocations</w:t>
      </w:r>
      <w:r w:rsidRPr="00AD75CB">
        <w:rPr>
          <w:szCs w:val="24"/>
        </w:rPr>
        <w:t xml:space="preserve"> within the discharge (monitoring representative of the MS4 discharge may be used with Central Valley Water Board Executive Officer approval).</w:t>
      </w:r>
    </w:p>
    <w:p w:rsidRPr="00AD75CB" w:rsidR="008F3758" w:rsidP="00E8254E" w:rsidRDefault="008F3758" w14:paraId="0FED758C" w14:textId="77777777">
      <w:pPr>
        <w:pStyle w:val="BodyText2"/>
        <w:numPr>
          <w:ilvl w:val="0"/>
          <w:numId w:val="81"/>
        </w:numPr>
        <w:tabs>
          <w:tab w:val="clear" w:pos="1080"/>
        </w:tabs>
        <w:suppressAutoHyphens w:val="0"/>
        <w:ind w:left="1620"/>
        <w:rPr>
          <w:szCs w:val="24"/>
        </w:rPr>
      </w:pPr>
      <w:r w:rsidRPr="00AD75CB">
        <w:rPr>
          <w:szCs w:val="24"/>
        </w:rPr>
        <w:t>Permanent cessation of discharges from the Permittee’s MS4 to receiving waters.</w:t>
      </w:r>
    </w:p>
    <w:p w:rsidRPr="00AD75CB" w:rsidR="008F3758" w:rsidP="00E8254E" w:rsidRDefault="008F3758" w14:paraId="23C329B8" w14:textId="1A5EF01F">
      <w:pPr>
        <w:pStyle w:val="BodyText2"/>
        <w:numPr>
          <w:ilvl w:val="0"/>
          <w:numId w:val="81"/>
        </w:numPr>
        <w:tabs>
          <w:tab w:val="clear" w:pos="1080"/>
        </w:tabs>
        <w:suppressAutoHyphens w:val="0"/>
        <w:ind w:left="1620"/>
        <w:rPr>
          <w:rFonts w:eastAsiaTheme="minorHAnsi"/>
          <w:szCs w:val="24"/>
        </w:rPr>
      </w:pPr>
      <w:r w:rsidRPr="00AD75CB">
        <w:rPr>
          <w:rFonts w:cs="Arial"/>
          <w:szCs w:val="24"/>
        </w:rPr>
        <w:t xml:space="preserve">Submit a progress report with the Annual Report to document the management practices that have been implemented, evaluate </w:t>
      </w:r>
      <w:r w:rsidRPr="00AD75CB" w:rsidR="00D810D7">
        <w:rPr>
          <w:rFonts w:cs="Arial"/>
          <w:szCs w:val="24"/>
        </w:rPr>
        <w:t xml:space="preserve">progress towards </w:t>
      </w:r>
      <w:r w:rsidRPr="00AD75CB">
        <w:rPr>
          <w:rFonts w:cs="Arial"/>
          <w:szCs w:val="24"/>
        </w:rPr>
        <w:t>attainment of the wasteload allocations, and identify effective actions to be taken in the future.</w:t>
      </w:r>
      <w:r w:rsidRPr="00AD75CB" w:rsidR="006161CE">
        <w:rPr>
          <w:rFonts w:cs="Arial"/>
          <w:szCs w:val="24"/>
        </w:rPr>
        <w:t xml:space="preserve"> </w:t>
      </w:r>
      <w:r w:rsidRPr="00AD75CB">
        <w:rPr>
          <w:rFonts w:cs="Arial"/>
          <w:szCs w:val="24"/>
        </w:rPr>
        <w:t>If the management practices do not result in attainment of the wasteload allocations, the Permittee shall either modify the Pyrethroid Management Plan to identify reasonable and feasible additional/alternative practices for implementation or provide a justification for why current practices will result in attainment by the compliance date.</w:t>
      </w:r>
    </w:p>
    <w:p w:rsidRPr="00AD75CB" w:rsidR="001C4FE6" w:rsidP="00AD75CB" w:rsidRDefault="008F3758" w14:paraId="5528B5E9" w14:textId="00BF343A">
      <w:pPr>
        <w:ind w:left="1260"/>
        <w:rPr>
          <w:rFonts w:eastAsiaTheme="minorHAnsi"/>
        </w:rPr>
      </w:pPr>
      <w:r w:rsidRPr="00AD75CB">
        <w:rPr>
          <w:rFonts w:eastAsiaTheme="minorHAnsi"/>
          <w:b/>
          <w:bCs/>
        </w:rPr>
        <w:t xml:space="preserve">Final Compliance Deadline: </w:t>
      </w:r>
      <w:r w:rsidRPr="00AD75CB">
        <w:rPr>
          <w:rFonts w:eastAsiaTheme="minorHAnsi"/>
        </w:rPr>
        <w:t>The final compliance deadline is February 29, 2039.</w:t>
      </w:r>
    </w:p>
    <w:p w:rsidR="004873FF" w:rsidRDefault="004873FF" w14:paraId="077291D2" w14:textId="77777777">
      <w:pPr>
        <w:spacing w:before="0" w:line="247" w:lineRule="auto"/>
        <w:rPr>
          <w:rFonts w:ascii="Arial Bold" w:hAnsi="Arial Bold" w:cs="Arial"/>
          <w:b/>
          <w:bCs/>
          <w:iCs/>
          <w:caps/>
          <w:lang w:eastAsia="en-US"/>
        </w:rPr>
      </w:pPr>
      <w:r>
        <w:br w:type="page"/>
      </w:r>
    </w:p>
    <w:p w:rsidR="001C4D10" w:rsidP="001A1BAA" w:rsidRDefault="00836361" w14:paraId="12297073" w14:textId="629A369D">
      <w:pPr>
        <w:pStyle w:val="Heading2"/>
      </w:pPr>
      <w:bookmarkStart w:name="_Toc226536096" w:id="93"/>
      <w:r>
        <w:t>A13</w:t>
      </w:r>
      <w:r w:rsidRPr="00FD32A6" w:rsidR="007650A6">
        <w:t>.6</w:t>
      </w:r>
      <w:r w:rsidRPr="00FD32A6" w:rsidR="001C4D10">
        <w:tab/>
      </w:r>
      <w:r w:rsidRPr="00FD32A6" w:rsidR="001C4D10">
        <w:t>LAHONTAN WATER BOARD TMDLs</w:t>
      </w:r>
      <w:bookmarkEnd w:id="93"/>
    </w:p>
    <w:p w:rsidR="00677AA3" w:rsidP="00677AA3" w:rsidRDefault="00677AA3" w14:paraId="11FF5E92" w14:textId="476B01AE">
      <w:pPr>
        <w:rPr>
          <w:lang w:eastAsia="en-US"/>
        </w:rPr>
      </w:pPr>
      <w:r>
        <w:rPr>
          <w:lang w:eastAsia="en-US"/>
        </w:rPr>
        <w:t xml:space="preserve">Information in the following subsection has been summarized </w:t>
      </w:r>
      <w:r w:rsidR="00FF5E6D">
        <w:rPr>
          <w:lang w:eastAsia="en-US"/>
        </w:rPr>
        <w:t>from the applicable TMDL in the</w:t>
      </w:r>
      <w:r>
        <w:rPr>
          <w:lang w:eastAsia="en-US"/>
        </w:rPr>
        <w:t xml:space="preserve"> </w:t>
      </w:r>
      <w:hyperlink w:history="1" r:id="rId49">
        <w:r w:rsidRPr="00A83B7A">
          <w:rPr>
            <w:rStyle w:val="Hyperlink"/>
            <w:lang w:eastAsia="en-US"/>
          </w:rPr>
          <w:t>Lahontan Water Board’s Basin Plan.</w:t>
        </w:r>
      </w:hyperlink>
    </w:p>
    <w:p w:rsidRPr="000D48DD" w:rsidR="001C4D10" w:rsidP="000D48DD" w:rsidRDefault="00836361" w14:paraId="5ACBB668" w14:textId="0CD12E17">
      <w:pPr>
        <w:pStyle w:val="Heading3"/>
        <w:tabs>
          <w:tab w:val="clear" w:pos="720"/>
          <w:tab w:val="left" w:pos="1260"/>
        </w:tabs>
        <w:ind w:left="1260" w:hanging="1260"/>
        <w:rPr>
          <w:i/>
          <w:iCs/>
        </w:rPr>
      </w:pPr>
      <w:r>
        <w:rPr>
          <w:i/>
          <w:iCs/>
        </w:rPr>
        <w:t>A13</w:t>
      </w:r>
      <w:r w:rsidRPr="000D48DD" w:rsidR="003E7096">
        <w:rPr>
          <w:i/>
          <w:iCs/>
        </w:rPr>
        <w:t>.6.</w:t>
      </w:r>
      <w:r w:rsidRPr="000D48DD" w:rsidR="001C4D10">
        <w:rPr>
          <w:i/>
          <w:iCs/>
        </w:rPr>
        <w:t>1</w:t>
      </w:r>
      <w:r w:rsidRPr="000D48DD" w:rsidR="001C4D10">
        <w:rPr>
          <w:i/>
          <w:iCs/>
        </w:rPr>
        <w:tab/>
      </w:r>
      <w:r w:rsidRPr="00BF522A" w:rsidR="00BF522A">
        <w:rPr>
          <w:i/>
          <w:iCs/>
        </w:rPr>
        <w:t>TMDL for Sediment in the Middle Truckee River Watershed, Placer, Nevada and Sierra Counties</w:t>
      </w:r>
    </w:p>
    <w:p w:rsidRPr="00602E80" w:rsidR="0045535A" w:rsidP="0045535A" w:rsidRDefault="0045535A" w14:paraId="06AF8B8D" w14:textId="4337FFB9">
      <w:pPr>
        <w:ind w:left="1260"/>
        <w:rPr>
          <w:rFonts w:cs="Arial"/>
        </w:rPr>
      </w:pPr>
      <w:r>
        <w:rPr>
          <w:rFonts w:cs="Arial"/>
          <w:b/>
          <w:bCs/>
        </w:rPr>
        <w:t xml:space="preserve">Description: </w:t>
      </w:r>
      <w:r w:rsidR="00766ACF">
        <w:rPr>
          <w:rFonts w:cs="Arial"/>
        </w:rPr>
        <w:t>USEPA</w:t>
      </w:r>
      <w:r w:rsidR="00C56C92">
        <w:rPr>
          <w:rFonts w:cs="Arial"/>
        </w:rPr>
        <w:t xml:space="preserve"> </w:t>
      </w:r>
      <w:r>
        <w:rPr>
          <w:rFonts w:cs="Arial"/>
        </w:rPr>
        <w:t xml:space="preserve">approved the Middle Truckee River Watershed Sediment TMDL on </w:t>
      </w:r>
      <w:r w:rsidRPr="00755AAB">
        <w:rPr>
          <w:rFonts w:cs="Arial"/>
        </w:rPr>
        <w:t>September 16, 2009. The</w:t>
      </w:r>
      <w:r>
        <w:rPr>
          <w:rFonts w:cs="Arial"/>
        </w:rPr>
        <w:t xml:space="preserve"> Middle Truckee River Watershed is impaired by sediment and is impacting aquatic life protection. One of the primary sources of suspended sediment concentrations is urban stormwater runoff.</w:t>
      </w:r>
    </w:p>
    <w:p w:rsidRPr="00D52F4F" w:rsidR="0045535A" w:rsidP="0045535A" w:rsidRDefault="0045535A" w14:paraId="17894AEF" w14:textId="61EBCDD5">
      <w:pPr>
        <w:ind w:left="1260"/>
        <w:rPr>
          <w:rFonts w:cs="Arial"/>
        </w:rPr>
      </w:pPr>
      <w:r w:rsidRPr="006A53D3">
        <w:rPr>
          <w:b/>
        </w:rPr>
        <w:t>Responsible Permit</w:t>
      </w:r>
      <w:r>
        <w:rPr>
          <w:b/>
        </w:rPr>
        <w:t>t</w:t>
      </w:r>
      <w:r w:rsidRPr="006A53D3">
        <w:rPr>
          <w:b/>
        </w:rPr>
        <w:t>ees</w:t>
      </w:r>
      <w:r w:rsidRPr="00315677">
        <w:rPr>
          <w:b/>
        </w:rPr>
        <w:t>:</w:t>
      </w:r>
      <w:r w:rsidRPr="00D52F4F">
        <w:rPr>
          <w:b/>
          <w:bCs/>
        </w:rPr>
        <w:t xml:space="preserve"> </w:t>
      </w:r>
      <w:r w:rsidRPr="00602E80">
        <w:rPr>
          <w:rFonts w:cs="Arial"/>
        </w:rPr>
        <w:t xml:space="preserve">County of Placer, </w:t>
      </w:r>
      <w:r>
        <w:rPr>
          <w:rFonts w:cs="Arial"/>
        </w:rPr>
        <w:t xml:space="preserve">and </w:t>
      </w:r>
      <w:r w:rsidR="00274ADC">
        <w:rPr>
          <w:rFonts w:cs="Arial"/>
        </w:rPr>
        <w:t>Town</w:t>
      </w:r>
      <w:r w:rsidRPr="00602E80">
        <w:rPr>
          <w:rFonts w:cs="Arial"/>
        </w:rPr>
        <w:t xml:space="preserve"> of Truckee</w:t>
      </w:r>
    </w:p>
    <w:p w:rsidRPr="001C4D10" w:rsidR="001C4D10" w:rsidP="001C4D10" w:rsidRDefault="001C4D10" w14:paraId="7A41EE85" w14:textId="77777777">
      <w:pPr>
        <w:ind w:left="540" w:firstLine="720"/>
        <w:rPr>
          <w:rFonts w:cs="Arial"/>
          <w:lang w:eastAsia="en-US"/>
        </w:rPr>
      </w:pPr>
      <w:r w:rsidRPr="001C4D10">
        <w:rPr>
          <w:b/>
          <w:szCs w:val="20"/>
          <w:lang w:eastAsia="en-US"/>
        </w:rPr>
        <w:t>Wasteload Allocations:</w:t>
      </w:r>
      <w:r w:rsidRPr="001C4D10">
        <w:rPr>
          <w:b/>
          <w:bCs/>
          <w:szCs w:val="20"/>
          <w:lang w:eastAsia="en-US"/>
        </w:rPr>
        <w:t xml:space="preserve"> </w:t>
      </w:r>
      <w:r w:rsidRPr="001C4D10">
        <w:rPr>
          <w:rFonts w:cs="Arial"/>
          <w:lang w:eastAsia="en-US"/>
        </w:rPr>
        <w:t>The following wasteload allocations are applicable:</w:t>
      </w:r>
    </w:p>
    <w:p w:rsidRPr="001C4D10" w:rsidR="001C4D10" w:rsidP="00E15E45" w:rsidRDefault="001C4D10" w14:paraId="4E686EC9" w14:textId="77777777">
      <w:pPr>
        <w:ind w:left="1260"/>
        <w:rPr>
          <w:rFonts w:eastAsia="Calibri" w:cs="Arial"/>
          <w:lang w:eastAsia="en-US"/>
        </w:rPr>
      </w:pPr>
      <w:r w:rsidRPr="00E15E45">
        <w:rPr>
          <w:rFonts w:eastAsia="Calibri" w:cs="Arial"/>
          <w:u w:val="single"/>
          <w:lang w:eastAsia="en-US"/>
        </w:rPr>
        <w:t>Urban Areas Wasteload Allocations</w:t>
      </w:r>
      <w:r w:rsidRPr="001C4D10">
        <w:rPr>
          <w:rFonts w:eastAsia="Calibri" w:cs="Arial"/>
          <w:lang w:eastAsia="en-US"/>
        </w:rPr>
        <w:t>:</w:t>
      </w:r>
    </w:p>
    <w:p w:rsidRPr="001C4D10" w:rsidR="001C4D10" w:rsidP="0065684C" w:rsidRDefault="001C4D10" w14:paraId="176EE246" w14:textId="77777777">
      <w:pPr>
        <w:ind w:left="1620"/>
        <w:rPr>
          <w:rFonts w:eastAsia="Calibri" w:cs="Arial"/>
          <w:lang w:eastAsia="en-US"/>
        </w:rPr>
      </w:pPr>
      <w:r w:rsidRPr="001C4D10">
        <w:rPr>
          <w:rFonts w:eastAsia="Calibri" w:cs="Arial"/>
          <w:lang w:eastAsia="en-US"/>
        </w:rPr>
        <w:t>4,936 tons per year of total suspended sediment load.</w:t>
      </w:r>
    </w:p>
    <w:p w:rsidRPr="00E15E45" w:rsidR="001C4D10" w:rsidP="00E15E45" w:rsidRDefault="001C4D10" w14:paraId="13EB5553" w14:textId="77777777">
      <w:pPr>
        <w:ind w:left="1980" w:hanging="720"/>
        <w:rPr>
          <w:rFonts w:eastAsia="Calibri" w:cs="Arial"/>
          <w:u w:val="single"/>
          <w:lang w:eastAsia="en-US"/>
        </w:rPr>
      </w:pPr>
      <w:r w:rsidRPr="00E15E45">
        <w:rPr>
          <w:rFonts w:eastAsia="Calibri" w:cs="Arial"/>
          <w:u w:val="single"/>
          <w:lang w:eastAsia="en-US"/>
        </w:rPr>
        <w:t>Non-urban Wasteload Allocations:</w:t>
      </w:r>
    </w:p>
    <w:p w:rsidR="000E117D" w:rsidP="0065684C" w:rsidRDefault="001C4D10" w14:paraId="72560857" w14:textId="77777777">
      <w:pPr>
        <w:ind w:left="1620"/>
        <w:rPr>
          <w:rFonts w:eastAsia="Calibri" w:cs="Arial"/>
          <w:lang w:eastAsia="en-US"/>
        </w:rPr>
      </w:pPr>
      <w:r w:rsidRPr="000E117D">
        <w:rPr>
          <w:rFonts w:eastAsia="Calibri" w:cs="Arial"/>
          <w:lang w:eastAsia="en-US"/>
        </w:rPr>
        <w:t>35,392 tons per year of total suspended sediment load.</w:t>
      </w:r>
    </w:p>
    <w:p w:rsidRPr="000E117D" w:rsidR="00A3095D" w:rsidP="006F66FA" w:rsidRDefault="000E117D" w14:paraId="2CD25655" w14:textId="1E4258D1">
      <w:pPr>
        <w:ind w:left="1260"/>
        <w:rPr>
          <w:rFonts w:eastAsia="Calibri" w:cs="Arial"/>
          <w:lang w:eastAsia="en-US"/>
        </w:rPr>
      </w:pPr>
      <w:r w:rsidRPr="000E117D">
        <w:rPr>
          <w:b/>
        </w:rPr>
        <w:t xml:space="preserve">Final Compliance Deadline: </w:t>
      </w:r>
      <w:r w:rsidRPr="000E117D">
        <w:rPr>
          <w:rFonts w:cs="Arial"/>
        </w:rPr>
        <w:t>Attainment of wasteload allocations will be determined based on a target of 25 milligrams per liter, or less, of suspended sediment. The estimated time frame for meeting the numeric targets and achieving the TMDL is 20 years (i.e. 2028).</w:t>
      </w:r>
    </w:p>
    <w:p w:rsidR="003E1429" w:rsidRDefault="003E1429" w14:paraId="3C88C992" w14:textId="2574424F">
      <w:pPr>
        <w:spacing w:before="0" w:line="247" w:lineRule="auto"/>
        <w:rPr>
          <w:bCs/>
        </w:rPr>
      </w:pPr>
      <w:r>
        <w:rPr>
          <w:bCs/>
        </w:rPr>
        <w:br w:type="page"/>
      </w:r>
    </w:p>
    <w:p w:rsidR="0039124F" w:rsidP="001A1BAA" w:rsidRDefault="00836361" w14:paraId="0DC9D329" w14:textId="5291DB50">
      <w:pPr>
        <w:pStyle w:val="Heading2"/>
      </w:pPr>
      <w:bookmarkStart w:name="_Toc226536097" w:id="94"/>
      <w:r>
        <w:t>A13</w:t>
      </w:r>
      <w:r w:rsidRPr="00FD32A6" w:rsidR="0039124F">
        <w:t>.8</w:t>
      </w:r>
      <w:r w:rsidRPr="00FD32A6" w:rsidR="007101D9">
        <w:tab/>
      </w:r>
      <w:r w:rsidRPr="00FD32A6" w:rsidR="009266BF">
        <w:t>SANTA ANA WATER BOARD TMDLS</w:t>
      </w:r>
      <w:bookmarkEnd w:id="94"/>
    </w:p>
    <w:p w:rsidRPr="00AF67CE" w:rsidR="00AF67CE" w:rsidP="00AF67CE" w:rsidRDefault="00F600D0" w14:paraId="721C643F" w14:textId="64A4FB92">
      <w:pPr>
        <w:rPr>
          <w:lang w:eastAsia="en-US"/>
        </w:rPr>
      </w:pPr>
      <w:r>
        <w:rPr>
          <w:lang w:eastAsia="en-US"/>
        </w:rPr>
        <w:t>Information in the following subsection</w:t>
      </w:r>
      <w:r w:rsidR="00F36FA3">
        <w:rPr>
          <w:lang w:eastAsia="en-US"/>
        </w:rPr>
        <w:t>s</w:t>
      </w:r>
      <w:r>
        <w:rPr>
          <w:lang w:eastAsia="en-US"/>
        </w:rPr>
        <w:t xml:space="preserve"> has been summarized </w:t>
      </w:r>
      <w:r w:rsidR="004357DC">
        <w:rPr>
          <w:lang w:eastAsia="en-US"/>
        </w:rPr>
        <w:t xml:space="preserve">from the applicable TMDLs in the </w:t>
      </w:r>
      <w:hyperlink w:history="1" r:id="rId50">
        <w:r w:rsidRPr="00CD1D70">
          <w:rPr>
            <w:rStyle w:val="Hyperlink"/>
            <w:lang w:eastAsia="en-US"/>
          </w:rPr>
          <w:t>Santa Ana Water Board Basin Plan</w:t>
        </w:r>
      </w:hyperlink>
      <w:r>
        <w:rPr>
          <w:lang w:eastAsia="en-US"/>
        </w:rPr>
        <w:t xml:space="preserve"> and </w:t>
      </w:r>
      <w:hyperlink w:history="1" r:id="rId51">
        <w:r w:rsidR="00766ACF">
          <w:rPr>
            <w:rStyle w:val="Hyperlink"/>
            <w:lang w:eastAsia="en-US"/>
          </w:rPr>
          <w:t>USEPA</w:t>
        </w:r>
        <w:r w:rsidRPr="00EA10D9">
          <w:rPr>
            <w:rStyle w:val="Hyperlink"/>
            <w:lang w:eastAsia="en-US"/>
          </w:rPr>
          <w:t>-established TMDLs</w:t>
        </w:r>
      </w:hyperlink>
      <w:r>
        <w:rPr>
          <w:lang w:eastAsia="en-US"/>
        </w:rPr>
        <w:t>.</w:t>
      </w:r>
    </w:p>
    <w:p w:rsidRPr="000D48DD" w:rsidR="70567D2B" w:rsidP="000D48DD" w:rsidRDefault="00836361" w14:paraId="3B14534C" w14:textId="2EE40AC7">
      <w:pPr>
        <w:pStyle w:val="Heading3"/>
        <w:tabs>
          <w:tab w:val="clear" w:pos="720"/>
          <w:tab w:val="left" w:pos="1260"/>
        </w:tabs>
        <w:ind w:left="1260" w:hanging="1260"/>
        <w:rPr>
          <w:i/>
          <w:iCs/>
        </w:rPr>
      </w:pPr>
      <w:r>
        <w:rPr>
          <w:i/>
          <w:iCs/>
        </w:rPr>
        <w:t>A13</w:t>
      </w:r>
      <w:r w:rsidRPr="000D48DD" w:rsidR="006376C0">
        <w:rPr>
          <w:i/>
          <w:iCs/>
        </w:rPr>
        <w:t>.8</w:t>
      </w:r>
      <w:r w:rsidR="0095750C">
        <w:rPr>
          <w:i/>
          <w:iCs/>
        </w:rPr>
        <w:t>.</w:t>
      </w:r>
      <w:r w:rsidRPr="000D48DD" w:rsidR="70567D2B">
        <w:rPr>
          <w:i/>
          <w:iCs/>
        </w:rPr>
        <w:t>1</w:t>
      </w:r>
      <w:r w:rsidRPr="000D48DD" w:rsidR="000E7A5C">
        <w:rPr>
          <w:i/>
          <w:iCs/>
        </w:rPr>
        <w:tab/>
      </w:r>
      <w:r w:rsidRPr="0010132D" w:rsidR="0010132D">
        <w:rPr>
          <w:i/>
          <w:iCs/>
        </w:rPr>
        <w:t>San Diego Creek</w:t>
      </w:r>
      <w:r w:rsidR="007A0BE3">
        <w:rPr>
          <w:i/>
          <w:iCs/>
        </w:rPr>
        <w:t>,</w:t>
      </w:r>
      <w:r w:rsidRPr="0010132D" w:rsidR="0010132D">
        <w:rPr>
          <w:i/>
          <w:iCs/>
        </w:rPr>
        <w:t xml:space="preserve"> Upper and Lower Newport Bay, Revised Organochlorine Compounds </w:t>
      </w:r>
      <w:r w:rsidR="00A852C1">
        <w:rPr>
          <w:i/>
          <w:iCs/>
        </w:rPr>
        <w:t>TMDL</w:t>
      </w:r>
    </w:p>
    <w:p w:rsidR="70567D2B" w:rsidP="00203A63" w:rsidRDefault="70567D2B" w14:paraId="33B57859" w14:textId="4E197D70">
      <w:pPr>
        <w:spacing w:line="257" w:lineRule="auto"/>
        <w:ind w:left="1260"/>
      </w:pPr>
      <w:r w:rsidRPr="41839B7F">
        <w:rPr>
          <w:rFonts w:eastAsia="Arial" w:cs="Arial"/>
          <w:b/>
          <w:bCs/>
        </w:rPr>
        <w:t xml:space="preserve">Description: </w:t>
      </w:r>
      <w:r w:rsidR="00766ACF">
        <w:rPr>
          <w:rFonts w:eastAsia="Arial" w:cs="Arial"/>
        </w:rPr>
        <w:t>USEPA</w:t>
      </w:r>
      <w:r w:rsidR="00C56C92">
        <w:rPr>
          <w:rFonts w:eastAsia="Arial" w:cs="Arial"/>
        </w:rPr>
        <w:t xml:space="preserve"> </w:t>
      </w:r>
      <w:r w:rsidRPr="41839B7F">
        <w:rPr>
          <w:rFonts w:eastAsia="Arial" w:cs="Arial"/>
        </w:rPr>
        <w:t xml:space="preserve">approved the TMDL on July 31, 2013. The watershed is impaired by organochlorine compounds and the effect </w:t>
      </w:r>
      <w:r w:rsidR="000A41C4">
        <w:rPr>
          <w:rFonts w:eastAsia="Arial" w:cs="Arial"/>
        </w:rPr>
        <w:t xml:space="preserve">to </w:t>
      </w:r>
      <w:r w:rsidRPr="41839B7F">
        <w:rPr>
          <w:rFonts w:eastAsia="Arial" w:cs="Arial"/>
        </w:rPr>
        <w:t xml:space="preserve">beneficial uses include water recreation, aquatic and wildlife habitat, and endangered species. </w:t>
      </w:r>
      <w:r w:rsidR="000F03A0">
        <w:rPr>
          <w:rFonts w:eastAsia="Arial" w:cs="Arial"/>
        </w:rPr>
        <w:t>Stormwater</w:t>
      </w:r>
      <w:r w:rsidR="00A852C1">
        <w:rPr>
          <w:rFonts w:eastAsia="Arial" w:cs="Arial"/>
        </w:rPr>
        <w:t xml:space="preserve"> runoff </w:t>
      </w:r>
      <w:r w:rsidR="00B233A3">
        <w:rPr>
          <w:rFonts w:eastAsia="Arial" w:cs="Arial"/>
        </w:rPr>
        <w:t>has been identified as a source.</w:t>
      </w:r>
    </w:p>
    <w:p w:rsidR="70567D2B" w:rsidP="00203A63" w:rsidRDefault="70567D2B" w14:paraId="0672CBC8" w14:textId="7994B379">
      <w:pPr>
        <w:spacing w:line="257" w:lineRule="auto"/>
        <w:ind w:left="1260"/>
      </w:pPr>
      <w:r w:rsidRPr="000D5B00">
        <w:rPr>
          <w:rFonts w:eastAsia="Arial" w:cs="Arial"/>
          <w:b/>
          <w:bCs/>
        </w:rPr>
        <w:t>Responsible Permittees</w:t>
      </w:r>
      <w:r w:rsidRPr="41839B7F">
        <w:rPr>
          <w:rFonts w:eastAsia="Arial" w:cs="Arial"/>
        </w:rPr>
        <w:t xml:space="preserve">: </w:t>
      </w:r>
      <w:r w:rsidRPr="00977174" w:rsidR="0036288B">
        <w:t xml:space="preserve">Orange County Fair </w:t>
      </w:r>
      <w:r w:rsidR="00AD1979">
        <w:t>&amp;</w:t>
      </w:r>
      <w:r w:rsidRPr="00977174" w:rsidR="0036288B">
        <w:t xml:space="preserve"> Event Center</w:t>
      </w:r>
      <w:r w:rsidR="00B0106A">
        <w:t xml:space="preserve"> and</w:t>
      </w:r>
      <w:r w:rsidRPr="00977174" w:rsidR="0036288B">
        <w:t xml:space="preserve"> University of California, Irvine</w:t>
      </w:r>
    </w:p>
    <w:p w:rsidR="70567D2B" w:rsidP="00203A63" w:rsidRDefault="70567D2B" w14:paraId="0157AB65" w14:textId="462ADB47">
      <w:pPr>
        <w:ind w:left="1260"/>
      </w:pPr>
      <w:r w:rsidRPr="000D5B00">
        <w:rPr>
          <w:rFonts w:eastAsia="Arial" w:cs="Arial"/>
          <w:b/>
          <w:bCs/>
        </w:rPr>
        <w:t>Wasteload Allocations</w:t>
      </w:r>
      <w:r w:rsidRPr="41839B7F">
        <w:rPr>
          <w:rFonts w:eastAsia="Arial" w:cs="Arial"/>
        </w:rPr>
        <w:t xml:space="preserve">: </w:t>
      </w:r>
      <w:r w:rsidR="007C4E41">
        <w:t>The wasteload allocations for this TMDL are as follows:</w:t>
      </w:r>
    </w:p>
    <w:p w:rsidRPr="000D5B00" w:rsidR="70567D2B" w:rsidP="004873FF" w:rsidRDefault="70567D2B" w14:paraId="2C801D11" w14:textId="54572D29">
      <w:pPr>
        <w:pStyle w:val="TableHead"/>
        <w:spacing w:before="120"/>
        <w:ind w:left="1267"/>
      </w:pPr>
      <w:r w:rsidRPr="000D5B00">
        <w:t>Urban Runoff Wasteload Allocations for San Diego Creek, Upper and Lower Newport Bay (expressed on a “daily” basis</w:t>
      </w:r>
      <w:r w:rsidR="002105A3">
        <w:t xml:space="preserve"> with u</w:t>
      </w:r>
      <w:r w:rsidRPr="000D5B00">
        <w:t>nits in average grams per day)</w:t>
      </w:r>
    </w:p>
    <w:tbl>
      <w:tblPr>
        <w:tblStyle w:val="TableGrid"/>
        <w:tblW w:w="8001" w:type="dxa"/>
        <w:tblInd w:w="125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191"/>
        <w:gridCol w:w="1589"/>
        <w:gridCol w:w="1350"/>
        <w:gridCol w:w="1440"/>
        <w:gridCol w:w="1431"/>
      </w:tblGrid>
      <w:tr w:rsidRPr="002105A3" w:rsidR="41839B7F" w:rsidTr="004873FF" w14:paraId="5CFEBAB5" w14:textId="77777777">
        <w:trPr>
          <w:trHeight w:val="312"/>
        </w:trPr>
        <w:tc>
          <w:tcPr>
            <w:tcW w:w="2191" w:type="dxa"/>
            <w:shd w:val="clear" w:color="auto" w:fill="D6E3BC" w:themeFill="accent3" w:themeFillTint="66"/>
            <w:tcMar>
              <w:left w:w="108" w:type="dxa"/>
              <w:right w:w="108" w:type="dxa"/>
            </w:tcMar>
          </w:tcPr>
          <w:p w:rsidRPr="002105A3" w:rsidR="41839B7F" w:rsidP="002612F4" w:rsidRDefault="002612F4" w14:paraId="00E279A5" w14:textId="175C17C9">
            <w:pPr>
              <w:jc w:val="center"/>
              <w:rPr>
                <w:b/>
                <w:bCs/>
                <w:sz w:val="22"/>
                <w:szCs w:val="22"/>
              </w:rPr>
            </w:pPr>
            <w:r w:rsidRPr="002612F4">
              <w:rPr>
                <w:rFonts w:ascii="Arial" w:hAnsi="Arial" w:eastAsia="Arial" w:cs="Arial"/>
                <w:b/>
                <w:bCs/>
                <w:sz w:val="22"/>
                <w:szCs w:val="22"/>
              </w:rPr>
              <w:t>Waterbody</w:t>
            </w:r>
          </w:p>
        </w:tc>
        <w:tc>
          <w:tcPr>
            <w:tcW w:w="1589" w:type="dxa"/>
            <w:shd w:val="clear" w:color="auto" w:fill="D6E3BC" w:themeFill="accent3" w:themeFillTint="66"/>
            <w:tcMar>
              <w:left w:w="108" w:type="dxa"/>
              <w:right w:w="108" w:type="dxa"/>
            </w:tcMar>
          </w:tcPr>
          <w:p w:rsidRPr="002105A3" w:rsidR="41839B7F" w:rsidP="002612F4" w:rsidRDefault="41839B7F" w14:paraId="6BC61EC0" w14:textId="5563162C">
            <w:pPr>
              <w:jc w:val="center"/>
              <w:rPr>
                <w:b/>
                <w:bCs/>
                <w:sz w:val="22"/>
                <w:szCs w:val="22"/>
              </w:rPr>
            </w:pPr>
            <w:r w:rsidRPr="002105A3">
              <w:rPr>
                <w:rFonts w:ascii="Arial" w:hAnsi="Arial" w:eastAsia="Arial" w:cs="Arial"/>
                <w:b/>
                <w:bCs/>
                <w:sz w:val="22"/>
                <w:szCs w:val="22"/>
              </w:rPr>
              <w:t>Total DDT</w:t>
            </w:r>
          </w:p>
        </w:tc>
        <w:tc>
          <w:tcPr>
            <w:tcW w:w="1350" w:type="dxa"/>
            <w:shd w:val="clear" w:color="auto" w:fill="D6E3BC" w:themeFill="accent3" w:themeFillTint="66"/>
            <w:tcMar>
              <w:left w:w="108" w:type="dxa"/>
              <w:right w:w="108" w:type="dxa"/>
            </w:tcMar>
          </w:tcPr>
          <w:p w:rsidRPr="002105A3" w:rsidR="41839B7F" w:rsidP="002612F4" w:rsidRDefault="41839B7F" w14:paraId="0A753EF3" w14:textId="088EA1C5">
            <w:pPr>
              <w:jc w:val="center"/>
              <w:rPr>
                <w:b/>
                <w:bCs/>
                <w:sz w:val="22"/>
                <w:szCs w:val="22"/>
              </w:rPr>
            </w:pPr>
            <w:r w:rsidRPr="002105A3">
              <w:rPr>
                <w:rFonts w:ascii="Arial" w:hAnsi="Arial" w:eastAsia="Arial" w:cs="Arial"/>
                <w:b/>
                <w:bCs/>
                <w:sz w:val="22"/>
                <w:szCs w:val="22"/>
              </w:rPr>
              <w:t>Chlordane</w:t>
            </w:r>
          </w:p>
        </w:tc>
        <w:tc>
          <w:tcPr>
            <w:tcW w:w="1440" w:type="dxa"/>
            <w:shd w:val="clear" w:color="auto" w:fill="D6E3BC" w:themeFill="accent3" w:themeFillTint="66"/>
            <w:tcMar>
              <w:left w:w="108" w:type="dxa"/>
              <w:right w:w="108" w:type="dxa"/>
            </w:tcMar>
          </w:tcPr>
          <w:p w:rsidRPr="002105A3" w:rsidR="41839B7F" w:rsidP="002612F4" w:rsidRDefault="41839B7F" w14:paraId="08ABFD8D" w14:textId="03113FAB">
            <w:pPr>
              <w:jc w:val="center"/>
              <w:rPr>
                <w:b/>
                <w:bCs/>
                <w:sz w:val="22"/>
                <w:szCs w:val="22"/>
              </w:rPr>
            </w:pPr>
            <w:r w:rsidRPr="002105A3">
              <w:rPr>
                <w:rFonts w:ascii="Arial" w:hAnsi="Arial" w:eastAsia="Arial" w:cs="Arial"/>
                <w:b/>
                <w:bCs/>
                <w:sz w:val="22"/>
                <w:szCs w:val="22"/>
              </w:rPr>
              <w:t>Total PCBs</w:t>
            </w:r>
          </w:p>
        </w:tc>
        <w:tc>
          <w:tcPr>
            <w:tcW w:w="1431" w:type="dxa"/>
            <w:shd w:val="clear" w:color="auto" w:fill="D6E3BC" w:themeFill="accent3" w:themeFillTint="66"/>
            <w:tcMar>
              <w:left w:w="108" w:type="dxa"/>
              <w:right w:w="108" w:type="dxa"/>
            </w:tcMar>
          </w:tcPr>
          <w:p w:rsidRPr="002105A3" w:rsidR="41839B7F" w:rsidP="002612F4" w:rsidRDefault="41839B7F" w14:paraId="6624B4C5" w14:textId="69A9D906">
            <w:pPr>
              <w:jc w:val="center"/>
              <w:rPr>
                <w:b/>
                <w:bCs/>
                <w:sz w:val="22"/>
                <w:szCs w:val="22"/>
              </w:rPr>
            </w:pPr>
            <w:r w:rsidRPr="002105A3">
              <w:rPr>
                <w:rFonts w:ascii="Arial" w:hAnsi="Arial" w:eastAsia="Arial" w:cs="Arial"/>
                <w:b/>
                <w:bCs/>
                <w:sz w:val="22"/>
                <w:szCs w:val="22"/>
              </w:rPr>
              <w:t>Toxaphene</w:t>
            </w:r>
          </w:p>
        </w:tc>
      </w:tr>
      <w:tr w:rsidRPr="002105A3" w:rsidR="41839B7F" w:rsidTr="004873FF" w14:paraId="41175820" w14:textId="77777777">
        <w:trPr>
          <w:trHeight w:val="312"/>
        </w:trPr>
        <w:tc>
          <w:tcPr>
            <w:tcW w:w="2191" w:type="dxa"/>
            <w:tcMar>
              <w:left w:w="108" w:type="dxa"/>
              <w:right w:w="108" w:type="dxa"/>
            </w:tcMar>
          </w:tcPr>
          <w:p w:rsidRPr="002105A3" w:rsidR="41839B7F" w:rsidP="41839B7F" w:rsidRDefault="41839B7F" w14:paraId="721AEF74" w14:textId="3B7C81F7">
            <w:pPr>
              <w:rPr>
                <w:sz w:val="22"/>
                <w:szCs w:val="22"/>
              </w:rPr>
            </w:pPr>
            <w:r w:rsidRPr="002105A3">
              <w:rPr>
                <w:rFonts w:ascii="Arial" w:hAnsi="Arial" w:eastAsia="Arial" w:cs="Arial"/>
                <w:sz w:val="22"/>
                <w:szCs w:val="22"/>
              </w:rPr>
              <w:t>San Diego Creek</w:t>
            </w:r>
          </w:p>
        </w:tc>
        <w:tc>
          <w:tcPr>
            <w:tcW w:w="1589" w:type="dxa"/>
            <w:tcMar>
              <w:left w:w="108" w:type="dxa"/>
              <w:right w:w="108" w:type="dxa"/>
            </w:tcMar>
          </w:tcPr>
          <w:p w:rsidRPr="002105A3" w:rsidR="41839B7F" w:rsidP="001B75C9" w:rsidRDefault="41839B7F" w14:paraId="7A4D79C9" w14:textId="278DD7DD">
            <w:pPr>
              <w:jc w:val="center"/>
              <w:rPr>
                <w:sz w:val="22"/>
                <w:szCs w:val="22"/>
              </w:rPr>
            </w:pPr>
            <w:r w:rsidRPr="002105A3">
              <w:rPr>
                <w:rFonts w:ascii="Arial" w:hAnsi="Arial" w:eastAsia="Arial" w:cs="Arial"/>
                <w:sz w:val="22"/>
                <w:szCs w:val="22"/>
              </w:rPr>
              <w:t>0.35</w:t>
            </w:r>
          </w:p>
        </w:tc>
        <w:tc>
          <w:tcPr>
            <w:tcW w:w="1350" w:type="dxa"/>
            <w:tcMar>
              <w:left w:w="108" w:type="dxa"/>
              <w:right w:w="108" w:type="dxa"/>
            </w:tcMar>
          </w:tcPr>
          <w:p w:rsidRPr="00280E53" w:rsidR="41839B7F" w:rsidP="001B75C9" w:rsidRDefault="00280E53" w14:paraId="62531C2F" w14:textId="2F9F38B4">
            <w:pPr>
              <w:jc w:val="center"/>
              <w:rPr>
                <w:rFonts w:ascii="Arial" w:hAnsi="Arial" w:cs="Arial"/>
                <w:sz w:val="22"/>
                <w:szCs w:val="22"/>
              </w:rPr>
            </w:pPr>
            <w:r w:rsidRPr="00280E53">
              <w:rPr>
                <w:rFonts w:ascii="Arial" w:hAnsi="Arial" w:cs="Arial"/>
                <w:color w:val="D9D9D9" w:themeColor="background1" w:themeShade="D9"/>
                <w:sz w:val="22"/>
                <w:szCs w:val="22"/>
              </w:rPr>
              <w:t>Blank cell</w:t>
            </w:r>
          </w:p>
        </w:tc>
        <w:tc>
          <w:tcPr>
            <w:tcW w:w="1440" w:type="dxa"/>
            <w:tcMar>
              <w:left w:w="108" w:type="dxa"/>
              <w:right w:w="108" w:type="dxa"/>
            </w:tcMar>
          </w:tcPr>
          <w:p w:rsidRPr="002105A3" w:rsidR="41839B7F" w:rsidP="001B75C9" w:rsidRDefault="00280E53" w14:paraId="1F02B229" w14:textId="2E8B3A51">
            <w:pPr>
              <w:jc w:val="center"/>
              <w:rPr>
                <w:sz w:val="22"/>
                <w:szCs w:val="22"/>
              </w:rPr>
            </w:pPr>
            <w:r w:rsidRPr="00280E53">
              <w:rPr>
                <w:rFonts w:ascii="Arial" w:hAnsi="Arial" w:cs="Arial"/>
                <w:color w:val="D9D9D9" w:themeColor="background1" w:themeShade="D9"/>
                <w:sz w:val="22"/>
                <w:szCs w:val="22"/>
              </w:rPr>
              <w:t>Blank cell</w:t>
            </w:r>
          </w:p>
        </w:tc>
        <w:tc>
          <w:tcPr>
            <w:tcW w:w="1431" w:type="dxa"/>
            <w:tcMar>
              <w:left w:w="108" w:type="dxa"/>
              <w:right w:w="108" w:type="dxa"/>
            </w:tcMar>
          </w:tcPr>
          <w:p w:rsidRPr="002105A3" w:rsidR="41839B7F" w:rsidP="001B75C9" w:rsidRDefault="41839B7F" w14:paraId="1E4CA1D3" w14:textId="3B62667B">
            <w:pPr>
              <w:jc w:val="center"/>
              <w:rPr>
                <w:sz w:val="22"/>
                <w:szCs w:val="22"/>
              </w:rPr>
            </w:pPr>
            <w:r w:rsidRPr="002105A3">
              <w:rPr>
                <w:rFonts w:ascii="Arial" w:hAnsi="Arial" w:eastAsia="Arial" w:cs="Arial"/>
                <w:sz w:val="22"/>
                <w:szCs w:val="22"/>
              </w:rPr>
              <w:t>0.005</w:t>
            </w:r>
          </w:p>
        </w:tc>
      </w:tr>
      <w:tr w:rsidRPr="002105A3" w:rsidR="41839B7F" w:rsidTr="004873FF" w14:paraId="0D01B822" w14:textId="77777777">
        <w:trPr>
          <w:trHeight w:val="312"/>
        </w:trPr>
        <w:tc>
          <w:tcPr>
            <w:tcW w:w="2191" w:type="dxa"/>
            <w:tcMar>
              <w:left w:w="108" w:type="dxa"/>
              <w:right w:w="108" w:type="dxa"/>
            </w:tcMar>
          </w:tcPr>
          <w:p w:rsidRPr="002105A3" w:rsidR="41839B7F" w:rsidP="41839B7F" w:rsidRDefault="41839B7F" w14:paraId="26608945" w14:textId="49B03DF8">
            <w:pPr>
              <w:rPr>
                <w:sz w:val="22"/>
                <w:szCs w:val="22"/>
              </w:rPr>
            </w:pPr>
            <w:r w:rsidRPr="002105A3">
              <w:rPr>
                <w:rFonts w:ascii="Arial" w:hAnsi="Arial" w:eastAsia="Arial" w:cs="Arial"/>
                <w:sz w:val="22"/>
                <w:szCs w:val="22"/>
              </w:rPr>
              <w:t>Upper Newport Bay</w:t>
            </w:r>
          </w:p>
        </w:tc>
        <w:tc>
          <w:tcPr>
            <w:tcW w:w="1589" w:type="dxa"/>
            <w:tcMar>
              <w:left w:w="108" w:type="dxa"/>
              <w:right w:w="108" w:type="dxa"/>
            </w:tcMar>
          </w:tcPr>
          <w:p w:rsidRPr="002105A3" w:rsidR="41839B7F" w:rsidP="001B75C9" w:rsidRDefault="41839B7F" w14:paraId="70A57903" w14:textId="74C728AE">
            <w:pPr>
              <w:jc w:val="center"/>
              <w:rPr>
                <w:sz w:val="22"/>
                <w:szCs w:val="22"/>
              </w:rPr>
            </w:pPr>
            <w:r w:rsidRPr="002105A3">
              <w:rPr>
                <w:rFonts w:ascii="Arial" w:hAnsi="Arial" w:eastAsia="Arial" w:cs="Arial"/>
                <w:sz w:val="22"/>
                <w:szCs w:val="22"/>
              </w:rPr>
              <w:t>0.14</w:t>
            </w:r>
          </w:p>
        </w:tc>
        <w:tc>
          <w:tcPr>
            <w:tcW w:w="1350" w:type="dxa"/>
            <w:tcMar>
              <w:left w:w="108" w:type="dxa"/>
              <w:right w:w="108" w:type="dxa"/>
            </w:tcMar>
          </w:tcPr>
          <w:p w:rsidRPr="002105A3" w:rsidR="41839B7F" w:rsidP="001B75C9" w:rsidRDefault="41839B7F" w14:paraId="6CA51AD9" w14:textId="0C6C471E">
            <w:pPr>
              <w:jc w:val="center"/>
              <w:rPr>
                <w:sz w:val="22"/>
                <w:szCs w:val="22"/>
              </w:rPr>
            </w:pPr>
            <w:r w:rsidRPr="002105A3">
              <w:rPr>
                <w:rFonts w:ascii="Arial" w:hAnsi="Arial" w:eastAsia="Arial" w:cs="Arial"/>
                <w:sz w:val="22"/>
                <w:szCs w:val="22"/>
              </w:rPr>
              <w:t>0.08</w:t>
            </w:r>
          </w:p>
        </w:tc>
        <w:tc>
          <w:tcPr>
            <w:tcW w:w="1440" w:type="dxa"/>
            <w:tcMar>
              <w:left w:w="108" w:type="dxa"/>
              <w:right w:w="108" w:type="dxa"/>
            </w:tcMar>
          </w:tcPr>
          <w:p w:rsidRPr="002105A3" w:rsidR="41839B7F" w:rsidP="001B75C9" w:rsidRDefault="41839B7F" w14:paraId="0CBA938C" w14:textId="7061CAB8">
            <w:pPr>
              <w:jc w:val="center"/>
              <w:rPr>
                <w:sz w:val="22"/>
                <w:szCs w:val="22"/>
              </w:rPr>
            </w:pPr>
            <w:r w:rsidRPr="002105A3">
              <w:rPr>
                <w:rFonts w:ascii="Arial" w:hAnsi="Arial" w:eastAsia="Arial" w:cs="Arial"/>
                <w:sz w:val="22"/>
                <w:szCs w:val="22"/>
              </w:rPr>
              <w:t>0.08</w:t>
            </w:r>
          </w:p>
        </w:tc>
        <w:tc>
          <w:tcPr>
            <w:tcW w:w="1431" w:type="dxa"/>
            <w:tcMar>
              <w:left w:w="108" w:type="dxa"/>
              <w:right w:w="108" w:type="dxa"/>
            </w:tcMar>
          </w:tcPr>
          <w:p w:rsidRPr="002105A3" w:rsidR="41839B7F" w:rsidP="001B75C9" w:rsidRDefault="00280E53" w14:paraId="69FE4CB6" w14:textId="2E48FDCF">
            <w:pPr>
              <w:jc w:val="center"/>
              <w:rPr>
                <w:sz w:val="22"/>
                <w:szCs w:val="22"/>
              </w:rPr>
            </w:pPr>
            <w:r w:rsidRPr="00280E53">
              <w:rPr>
                <w:rFonts w:ascii="Arial" w:hAnsi="Arial" w:cs="Arial"/>
                <w:color w:val="D9D9D9" w:themeColor="background1" w:themeShade="D9"/>
                <w:sz w:val="22"/>
                <w:szCs w:val="22"/>
              </w:rPr>
              <w:t>Blank cell</w:t>
            </w:r>
          </w:p>
        </w:tc>
      </w:tr>
      <w:tr w:rsidRPr="002105A3" w:rsidR="41839B7F" w:rsidTr="004873FF" w14:paraId="254444D3" w14:textId="77777777">
        <w:trPr>
          <w:trHeight w:val="312"/>
        </w:trPr>
        <w:tc>
          <w:tcPr>
            <w:tcW w:w="2191" w:type="dxa"/>
            <w:tcMar>
              <w:left w:w="108" w:type="dxa"/>
              <w:right w:w="108" w:type="dxa"/>
            </w:tcMar>
          </w:tcPr>
          <w:p w:rsidRPr="002105A3" w:rsidR="41839B7F" w:rsidP="41839B7F" w:rsidRDefault="41839B7F" w14:paraId="228B86DF" w14:textId="6C7A0831">
            <w:pPr>
              <w:rPr>
                <w:sz w:val="22"/>
                <w:szCs w:val="22"/>
              </w:rPr>
            </w:pPr>
            <w:r w:rsidRPr="002105A3">
              <w:rPr>
                <w:rFonts w:ascii="Arial" w:hAnsi="Arial" w:eastAsia="Arial" w:cs="Arial"/>
                <w:sz w:val="22"/>
                <w:szCs w:val="22"/>
              </w:rPr>
              <w:t>Lower Newport Bay</w:t>
            </w:r>
          </w:p>
        </w:tc>
        <w:tc>
          <w:tcPr>
            <w:tcW w:w="1589" w:type="dxa"/>
            <w:tcMar>
              <w:left w:w="108" w:type="dxa"/>
              <w:right w:w="108" w:type="dxa"/>
            </w:tcMar>
          </w:tcPr>
          <w:p w:rsidRPr="002105A3" w:rsidR="41839B7F" w:rsidP="001B75C9" w:rsidRDefault="41839B7F" w14:paraId="56DF50CE" w14:textId="2FC62E84">
            <w:pPr>
              <w:jc w:val="center"/>
              <w:rPr>
                <w:sz w:val="22"/>
                <w:szCs w:val="22"/>
              </w:rPr>
            </w:pPr>
            <w:r w:rsidRPr="002105A3">
              <w:rPr>
                <w:rFonts w:ascii="Arial" w:hAnsi="Arial" w:eastAsia="Arial" w:cs="Arial"/>
                <w:sz w:val="22"/>
                <w:szCs w:val="22"/>
              </w:rPr>
              <w:t>0.05</w:t>
            </w:r>
          </w:p>
        </w:tc>
        <w:tc>
          <w:tcPr>
            <w:tcW w:w="1350" w:type="dxa"/>
            <w:tcMar>
              <w:left w:w="108" w:type="dxa"/>
              <w:right w:w="108" w:type="dxa"/>
            </w:tcMar>
          </w:tcPr>
          <w:p w:rsidRPr="002105A3" w:rsidR="41839B7F" w:rsidP="001B75C9" w:rsidRDefault="41839B7F" w14:paraId="6EF7D21B" w14:textId="1164CF63">
            <w:pPr>
              <w:jc w:val="center"/>
              <w:rPr>
                <w:sz w:val="22"/>
                <w:szCs w:val="22"/>
              </w:rPr>
            </w:pPr>
            <w:r w:rsidRPr="002105A3">
              <w:rPr>
                <w:rFonts w:ascii="Arial" w:hAnsi="Arial" w:eastAsia="Arial" w:cs="Arial"/>
                <w:sz w:val="22"/>
                <w:szCs w:val="22"/>
              </w:rPr>
              <w:t>0.03</w:t>
            </w:r>
          </w:p>
        </w:tc>
        <w:tc>
          <w:tcPr>
            <w:tcW w:w="1440" w:type="dxa"/>
            <w:tcMar>
              <w:left w:w="108" w:type="dxa"/>
              <w:right w:w="108" w:type="dxa"/>
            </w:tcMar>
          </w:tcPr>
          <w:p w:rsidRPr="002105A3" w:rsidR="41839B7F" w:rsidP="001B75C9" w:rsidRDefault="41839B7F" w14:paraId="01DA71C6" w14:textId="209567BE">
            <w:pPr>
              <w:jc w:val="center"/>
              <w:rPr>
                <w:sz w:val="22"/>
                <w:szCs w:val="22"/>
              </w:rPr>
            </w:pPr>
            <w:r w:rsidRPr="002105A3">
              <w:rPr>
                <w:rFonts w:ascii="Arial" w:hAnsi="Arial" w:eastAsia="Arial" w:cs="Arial"/>
                <w:sz w:val="22"/>
                <w:szCs w:val="22"/>
              </w:rPr>
              <w:t>0.21</w:t>
            </w:r>
          </w:p>
        </w:tc>
        <w:tc>
          <w:tcPr>
            <w:tcW w:w="1431" w:type="dxa"/>
            <w:tcMar>
              <w:left w:w="108" w:type="dxa"/>
              <w:right w:w="108" w:type="dxa"/>
            </w:tcMar>
          </w:tcPr>
          <w:p w:rsidRPr="002105A3" w:rsidR="41839B7F" w:rsidP="001B75C9" w:rsidRDefault="00280E53" w14:paraId="5876AB83" w14:textId="413DB382">
            <w:pPr>
              <w:jc w:val="center"/>
              <w:rPr>
                <w:sz w:val="22"/>
                <w:szCs w:val="22"/>
              </w:rPr>
            </w:pPr>
            <w:r w:rsidRPr="00280E53">
              <w:rPr>
                <w:rFonts w:ascii="Arial" w:hAnsi="Arial" w:cs="Arial"/>
                <w:color w:val="D9D9D9" w:themeColor="background1" w:themeShade="D9"/>
                <w:sz w:val="22"/>
                <w:szCs w:val="22"/>
              </w:rPr>
              <w:t>Blank cell</w:t>
            </w:r>
          </w:p>
        </w:tc>
      </w:tr>
    </w:tbl>
    <w:p w:rsidR="70567D2B" w:rsidP="00203A63" w:rsidRDefault="70567D2B" w14:paraId="51A699E8" w14:textId="64169A6B">
      <w:pPr>
        <w:pStyle w:val="TableHeader"/>
        <w:ind w:left="1260"/>
      </w:pPr>
      <w:r w:rsidRPr="004873FF">
        <w:rPr>
          <w:rFonts w:eastAsia="Arial"/>
          <w:bCs/>
          <w:lang w:eastAsia="zh-CN"/>
        </w:rPr>
        <w:t>Urban Runoff Wasteload Allocations for San Diego Creek, Upper and Lower Newport Bay (expressed on an “annual” basis</w:t>
      </w:r>
      <w:r w:rsidRPr="004873FF" w:rsidR="00E3309D">
        <w:rPr>
          <w:rFonts w:eastAsia="Arial"/>
          <w:bCs/>
          <w:lang w:eastAsia="zh-CN"/>
        </w:rPr>
        <w:t xml:space="preserve"> with u</w:t>
      </w:r>
      <w:r w:rsidRPr="004873FF">
        <w:rPr>
          <w:rFonts w:eastAsia="Arial"/>
          <w:bCs/>
          <w:lang w:eastAsia="zh-CN"/>
        </w:rPr>
        <w:t>nits in grams per year</w:t>
      </w:r>
      <w:r w:rsidRPr="41839B7F">
        <w:t>)</w:t>
      </w:r>
    </w:p>
    <w:tbl>
      <w:tblPr>
        <w:tblStyle w:val="TableGrid"/>
        <w:tblW w:w="7920" w:type="dxa"/>
        <w:tblInd w:w="125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250"/>
        <w:gridCol w:w="1620"/>
        <w:gridCol w:w="1260"/>
        <w:gridCol w:w="1530"/>
        <w:gridCol w:w="1260"/>
      </w:tblGrid>
      <w:tr w:rsidRPr="00E3309D" w:rsidR="41839B7F" w:rsidTr="004873FF" w14:paraId="140CB29C" w14:textId="77777777">
        <w:trPr>
          <w:trHeight w:val="300"/>
        </w:trPr>
        <w:tc>
          <w:tcPr>
            <w:tcW w:w="2250" w:type="dxa"/>
            <w:shd w:val="clear" w:color="auto" w:fill="C2D69B" w:themeFill="accent3" w:themeFillTint="99"/>
            <w:tcMar>
              <w:left w:w="108" w:type="dxa"/>
              <w:right w:w="108" w:type="dxa"/>
            </w:tcMar>
          </w:tcPr>
          <w:p w:rsidRPr="00E3309D" w:rsidR="41839B7F" w:rsidP="002612F4" w:rsidRDefault="002612F4" w14:paraId="3DC9F298" w14:textId="5B83E76F">
            <w:pPr>
              <w:jc w:val="center"/>
              <w:rPr>
                <w:sz w:val="22"/>
                <w:szCs w:val="22"/>
              </w:rPr>
            </w:pPr>
            <w:r w:rsidRPr="002612F4">
              <w:rPr>
                <w:rFonts w:ascii="Arial" w:hAnsi="Arial" w:eastAsia="Arial" w:cs="Arial"/>
                <w:b/>
                <w:bCs/>
                <w:sz w:val="22"/>
                <w:szCs w:val="22"/>
              </w:rPr>
              <w:t>Waterbody</w:t>
            </w:r>
          </w:p>
        </w:tc>
        <w:tc>
          <w:tcPr>
            <w:tcW w:w="1620" w:type="dxa"/>
            <w:shd w:val="clear" w:color="auto" w:fill="C2D69B" w:themeFill="accent3" w:themeFillTint="99"/>
            <w:tcMar>
              <w:left w:w="108" w:type="dxa"/>
              <w:right w:w="108" w:type="dxa"/>
            </w:tcMar>
          </w:tcPr>
          <w:p w:rsidRPr="007E5674" w:rsidR="41839B7F" w:rsidP="002612F4" w:rsidRDefault="41839B7F" w14:paraId="744C3157" w14:textId="0555444B">
            <w:pPr>
              <w:jc w:val="center"/>
              <w:rPr>
                <w:b/>
                <w:bCs/>
                <w:sz w:val="22"/>
                <w:szCs w:val="22"/>
              </w:rPr>
            </w:pPr>
            <w:r w:rsidRPr="007E5674">
              <w:rPr>
                <w:rFonts w:ascii="Arial" w:hAnsi="Arial" w:eastAsia="Arial" w:cs="Arial"/>
                <w:b/>
                <w:bCs/>
                <w:sz w:val="22"/>
                <w:szCs w:val="22"/>
              </w:rPr>
              <w:t>Total DDT</w:t>
            </w:r>
          </w:p>
        </w:tc>
        <w:tc>
          <w:tcPr>
            <w:tcW w:w="1260" w:type="dxa"/>
            <w:shd w:val="clear" w:color="auto" w:fill="C2D69B" w:themeFill="accent3" w:themeFillTint="99"/>
            <w:tcMar>
              <w:left w:w="108" w:type="dxa"/>
              <w:right w:w="108" w:type="dxa"/>
            </w:tcMar>
          </w:tcPr>
          <w:p w:rsidRPr="007E5674" w:rsidR="41839B7F" w:rsidP="002612F4" w:rsidRDefault="41839B7F" w14:paraId="551EF3F7" w14:textId="3943FA01">
            <w:pPr>
              <w:jc w:val="center"/>
              <w:rPr>
                <w:b/>
                <w:bCs/>
                <w:sz w:val="22"/>
                <w:szCs w:val="22"/>
              </w:rPr>
            </w:pPr>
            <w:r w:rsidRPr="007E5674">
              <w:rPr>
                <w:rFonts w:ascii="Arial" w:hAnsi="Arial" w:eastAsia="Arial" w:cs="Arial"/>
                <w:b/>
                <w:bCs/>
                <w:sz w:val="22"/>
                <w:szCs w:val="22"/>
              </w:rPr>
              <w:t>Chlordane</w:t>
            </w:r>
          </w:p>
        </w:tc>
        <w:tc>
          <w:tcPr>
            <w:tcW w:w="1530" w:type="dxa"/>
            <w:shd w:val="clear" w:color="auto" w:fill="C2D69B" w:themeFill="accent3" w:themeFillTint="99"/>
            <w:tcMar>
              <w:left w:w="108" w:type="dxa"/>
              <w:right w:w="108" w:type="dxa"/>
            </w:tcMar>
          </w:tcPr>
          <w:p w:rsidRPr="007E5674" w:rsidR="41839B7F" w:rsidP="002612F4" w:rsidRDefault="41839B7F" w14:paraId="51056B45" w14:textId="0E452427">
            <w:pPr>
              <w:jc w:val="center"/>
              <w:rPr>
                <w:b/>
                <w:bCs/>
                <w:sz w:val="22"/>
                <w:szCs w:val="22"/>
              </w:rPr>
            </w:pPr>
            <w:r w:rsidRPr="007E5674">
              <w:rPr>
                <w:rFonts w:ascii="Arial" w:hAnsi="Arial" w:eastAsia="Arial" w:cs="Arial"/>
                <w:b/>
                <w:bCs/>
                <w:sz w:val="22"/>
                <w:szCs w:val="22"/>
              </w:rPr>
              <w:t>Total PCBs</w:t>
            </w:r>
          </w:p>
        </w:tc>
        <w:tc>
          <w:tcPr>
            <w:tcW w:w="1260" w:type="dxa"/>
            <w:shd w:val="clear" w:color="auto" w:fill="C2D69B" w:themeFill="accent3" w:themeFillTint="99"/>
            <w:tcMar>
              <w:left w:w="108" w:type="dxa"/>
              <w:right w:w="108" w:type="dxa"/>
            </w:tcMar>
          </w:tcPr>
          <w:p w:rsidRPr="007E5674" w:rsidR="41839B7F" w:rsidP="002612F4" w:rsidRDefault="41839B7F" w14:paraId="491F8B87" w14:textId="2FEFF32B">
            <w:pPr>
              <w:jc w:val="center"/>
              <w:rPr>
                <w:b/>
                <w:bCs/>
                <w:sz w:val="22"/>
                <w:szCs w:val="22"/>
              </w:rPr>
            </w:pPr>
            <w:r w:rsidRPr="007E5674">
              <w:rPr>
                <w:rFonts w:ascii="Arial" w:hAnsi="Arial" w:eastAsia="Arial" w:cs="Arial"/>
                <w:b/>
                <w:bCs/>
                <w:sz w:val="22"/>
                <w:szCs w:val="22"/>
              </w:rPr>
              <w:t>Toxaphene</w:t>
            </w:r>
          </w:p>
        </w:tc>
      </w:tr>
      <w:tr w:rsidRPr="00E3309D" w:rsidR="41839B7F" w:rsidTr="004873FF" w14:paraId="2F58BCB3" w14:textId="77777777">
        <w:trPr>
          <w:trHeight w:val="300"/>
        </w:trPr>
        <w:tc>
          <w:tcPr>
            <w:tcW w:w="2250" w:type="dxa"/>
            <w:tcMar>
              <w:left w:w="108" w:type="dxa"/>
              <w:right w:w="108" w:type="dxa"/>
            </w:tcMar>
          </w:tcPr>
          <w:p w:rsidRPr="00E3309D" w:rsidR="41839B7F" w:rsidP="41839B7F" w:rsidRDefault="41839B7F" w14:paraId="7059A920" w14:textId="366D22D6">
            <w:pPr>
              <w:rPr>
                <w:sz w:val="22"/>
                <w:szCs w:val="22"/>
              </w:rPr>
            </w:pPr>
            <w:r w:rsidRPr="00E3309D">
              <w:rPr>
                <w:rFonts w:ascii="Arial" w:hAnsi="Arial" w:eastAsia="Arial" w:cs="Arial"/>
                <w:sz w:val="22"/>
                <w:szCs w:val="22"/>
              </w:rPr>
              <w:t>San Diego Creek</w:t>
            </w:r>
          </w:p>
        </w:tc>
        <w:tc>
          <w:tcPr>
            <w:tcW w:w="1620" w:type="dxa"/>
            <w:tcMar>
              <w:left w:w="108" w:type="dxa"/>
              <w:right w:w="108" w:type="dxa"/>
            </w:tcMar>
          </w:tcPr>
          <w:p w:rsidRPr="00E3309D" w:rsidR="41839B7F" w:rsidP="41839B7F" w:rsidRDefault="41839B7F" w14:paraId="24056458" w14:textId="62C4FB8D">
            <w:pPr>
              <w:rPr>
                <w:sz w:val="22"/>
                <w:szCs w:val="22"/>
              </w:rPr>
            </w:pPr>
            <w:r w:rsidRPr="00E3309D">
              <w:rPr>
                <w:rFonts w:ascii="Arial" w:hAnsi="Arial" w:eastAsia="Arial" w:cs="Arial"/>
                <w:sz w:val="22"/>
                <w:szCs w:val="22"/>
              </w:rPr>
              <w:t>12</w:t>
            </w:r>
            <w:r w:rsidRPr="00E3309D" w:rsidR="007C4E41">
              <w:rPr>
                <w:rFonts w:ascii="Arial" w:hAnsi="Arial" w:eastAsia="Arial" w:cs="Arial"/>
                <w:sz w:val="22"/>
                <w:szCs w:val="22"/>
              </w:rPr>
              <w:t>8</w:t>
            </w:r>
            <w:r w:rsidRPr="00E3309D">
              <w:rPr>
                <w:rFonts w:ascii="Arial" w:hAnsi="Arial" w:eastAsia="Arial" w:cs="Arial"/>
                <w:sz w:val="22"/>
                <w:szCs w:val="22"/>
              </w:rPr>
              <w:t>.3</w:t>
            </w:r>
          </w:p>
        </w:tc>
        <w:tc>
          <w:tcPr>
            <w:tcW w:w="1260" w:type="dxa"/>
            <w:tcMar>
              <w:left w:w="108" w:type="dxa"/>
              <w:right w:w="108" w:type="dxa"/>
            </w:tcMar>
          </w:tcPr>
          <w:p w:rsidRPr="00E3309D" w:rsidR="41839B7F" w:rsidP="41839B7F" w:rsidRDefault="41839B7F" w14:paraId="43232076" w14:textId="5030A3FC">
            <w:pPr>
              <w:rPr>
                <w:sz w:val="22"/>
                <w:szCs w:val="22"/>
              </w:rPr>
            </w:pPr>
            <w:r w:rsidRPr="00E3309D">
              <w:rPr>
                <w:rFonts w:ascii="Arial" w:hAnsi="Arial" w:eastAsia="Arial" w:cs="Arial"/>
                <w:sz w:val="22"/>
                <w:szCs w:val="22"/>
              </w:rPr>
              <w:t xml:space="preserve"> </w:t>
            </w:r>
            <w:r w:rsidRPr="00280E53" w:rsidR="00280E53">
              <w:rPr>
                <w:rFonts w:ascii="Arial" w:hAnsi="Arial" w:eastAsia="Arial" w:cs="Arial"/>
                <w:color w:val="D9D9D9" w:themeColor="background1" w:themeShade="D9"/>
                <w:sz w:val="22"/>
                <w:szCs w:val="22"/>
              </w:rPr>
              <w:t>Blank cell</w:t>
            </w:r>
          </w:p>
        </w:tc>
        <w:tc>
          <w:tcPr>
            <w:tcW w:w="1530" w:type="dxa"/>
            <w:tcMar>
              <w:left w:w="108" w:type="dxa"/>
              <w:right w:w="108" w:type="dxa"/>
            </w:tcMar>
          </w:tcPr>
          <w:p w:rsidRPr="00E3309D" w:rsidR="41839B7F" w:rsidP="41839B7F" w:rsidRDefault="00280E53" w14:paraId="36A727F9" w14:textId="265B339C">
            <w:pPr>
              <w:rPr>
                <w:sz w:val="22"/>
                <w:szCs w:val="22"/>
              </w:rPr>
            </w:pPr>
            <w:r w:rsidRPr="00280E53">
              <w:rPr>
                <w:rFonts w:ascii="Arial" w:hAnsi="Arial" w:eastAsia="Arial" w:cs="Arial"/>
                <w:color w:val="D9D9D9" w:themeColor="background1" w:themeShade="D9"/>
                <w:sz w:val="22"/>
                <w:szCs w:val="22"/>
              </w:rPr>
              <w:t>Blank cell</w:t>
            </w:r>
            <w:r w:rsidRPr="00E3309D" w:rsidR="41839B7F">
              <w:rPr>
                <w:rFonts w:ascii="Arial" w:hAnsi="Arial" w:eastAsia="Arial" w:cs="Arial"/>
                <w:sz w:val="22"/>
                <w:szCs w:val="22"/>
              </w:rPr>
              <w:t xml:space="preserve"> </w:t>
            </w:r>
          </w:p>
        </w:tc>
        <w:tc>
          <w:tcPr>
            <w:tcW w:w="1260" w:type="dxa"/>
            <w:tcMar>
              <w:left w:w="108" w:type="dxa"/>
              <w:right w:w="108" w:type="dxa"/>
            </w:tcMar>
          </w:tcPr>
          <w:p w:rsidRPr="00E3309D" w:rsidR="41839B7F" w:rsidP="41839B7F" w:rsidRDefault="007C4E41" w14:paraId="1029D02A" w14:textId="069FBEA4">
            <w:pPr>
              <w:rPr>
                <w:sz w:val="22"/>
                <w:szCs w:val="22"/>
              </w:rPr>
            </w:pPr>
            <w:r w:rsidRPr="00E3309D">
              <w:rPr>
                <w:rFonts w:ascii="Arial" w:hAnsi="Arial" w:eastAsia="Arial" w:cs="Arial"/>
                <w:sz w:val="22"/>
                <w:szCs w:val="22"/>
              </w:rPr>
              <w:t>1.9</w:t>
            </w:r>
          </w:p>
        </w:tc>
      </w:tr>
      <w:tr w:rsidRPr="00E3309D" w:rsidR="41839B7F" w:rsidTr="004873FF" w14:paraId="1ACAB944" w14:textId="77777777">
        <w:trPr>
          <w:trHeight w:val="300"/>
        </w:trPr>
        <w:tc>
          <w:tcPr>
            <w:tcW w:w="2250" w:type="dxa"/>
            <w:tcMar>
              <w:left w:w="108" w:type="dxa"/>
              <w:right w:w="108" w:type="dxa"/>
            </w:tcMar>
          </w:tcPr>
          <w:p w:rsidRPr="00E3309D" w:rsidR="41839B7F" w:rsidP="41839B7F" w:rsidRDefault="41839B7F" w14:paraId="183A256E" w14:textId="338DC766">
            <w:pPr>
              <w:rPr>
                <w:sz w:val="22"/>
                <w:szCs w:val="22"/>
              </w:rPr>
            </w:pPr>
            <w:r w:rsidRPr="00E3309D">
              <w:rPr>
                <w:rFonts w:ascii="Arial" w:hAnsi="Arial" w:eastAsia="Arial" w:cs="Arial"/>
                <w:sz w:val="22"/>
                <w:szCs w:val="22"/>
              </w:rPr>
              <w:t>Upper Newport Bay</w:t>
            </w:r>
          </w:p>
        </w:tc>
        <w:tc>
          <w:tcPr>
            <w:tcW w:w="1620" w:type="dxa"/>
            <w:tcMar>
              <w:left w:w="108" w:type="dxa"/>
              <w:right w:w="108" w:type="dxa"/>
            </w:tcMar>
          </w:tcPr>
          <w:p w:rsidRPr="00E3309D" w:rsidR="41839B7F" w:rsidP="41839B7F" w:rsidRDefault="41839B7F" w14:paraId="60283A8C" w14:textId="0269D8DB">
            <w:pPr>
              <w:rPr>
                <w:sz w:val="22"/>
                <w:szCs w:val="22"/>
              </w:rPr>
            </w:pPr>
            <w:r w:rsidRPr="00E3309D">
              <w:rPr>
                <w:rFonts w:ascii="Arial" w:hAnsi="Arial" w:eastAsia="Arial" w:cs="Arial"/>
                <w:sz w:val="22"/>
                <w:szCs w:val="22"/>
              </w:rPr>
              <w:t>51.8</w:t>
            </w:r>
          </w:p>
        </w:tc>
        <w:tc>
          <w:tcPr>
            <w:tcW w:w="1260" w:type="dxa"/>
            <w:tcMar>
              <w:left w:w="108" w:type="dxa"/>
              <w:right w:w="108" w:type="dxa"/>
            </w:tcMar>
          </w:tcPr>
          <w:p w:rsidRPr="00E3309D" w:rsidR="41839B7F" w:rsidP="41839B7F" w:rsidRDefault="41839B7F" w14:paraId="1DA16BCB" w14:textId="287ABD94">
            <w:pPr>
              <w:rPr>
                <w:sz w:val="22"/>
                <w:szCs w:val="22"/>
              </w:rPr>
            </w:pPr>
            <w:r w:rsidRPr="00E3309D">
              <w:rPr>
                <w:rFonts w:ascii="Arial" w:hAnsi="Arial" w:eastAsia="Arial" w:cs="Arial"/>
                <w:sz w:val="22"/>
                <w:szCs w:val="22"/>
              </w:rPr>
              <w:t>30.1</w:t>
            </w:r>
          </w:p>
        </w:tc>
        <w:tc>
          <w:tcPr>
            <w:tcW w:w="1530" w:type="dxa"/>
            <w:tcMar>
              <w:left w:w="108" w:type="dxa"/>
              <w:right w:w="108" w:type="dxa"/>
            </w:tcMar>
          </w:tcPr>
          <w:p w:rsidRPr="00E3309D" w:rsidR="41839B7F" w:rsidP="41839B7F" w:rsidRDefault="41839B7F" w14:paraId="0FDAAA49" w14:textId="1D346CFC">
            <w:pPr>
              <w:rPr>
                <w:sz w:val="22"/>
                <w:szCs w:val="22"/>
              </w:rPr>
            </w:pPr>
            <w:r w:rsidRPr="00E3309D">
              <w:rPr>
                <w:rFonts w:ascii="Arial" w:hAnsi="Arial" w:eastAsia="Arial" w:cs="Arial"/>
                <w:sz w:val="22"/>
                <w:szCs w:val="22"/>
              </w:rPr>
              <w:t>29.8</w:t>
            </w:r>
          </w:p>
        </w:tc>
        <w:tc>
          <w:tcPr>
            <w:tcW w:w="1260" w:type="dxa"/>
            <w:tcMar>
              <w:left w:w="108" w:type="dxa"/>
              <w:right w:w="108" w:type="dxa"/>
            </w:tcMar>
          </w:tcPr>
          <w:p w:rsidRPr="00E3309D" w:rsidR="41839B7F" w:rsidP="41839B7F" w:rsidRDefault="41839B7F" w14:paraId="704FE581" w14:textId="71125A4C">
            <w:pPr>
              <w:rPr>
                <w:sz w:val="22"/>
                <w:szCs w:val="22"/>
              </w:rPr>
            </w:pPr>
            <w:r w:rsidRPr="00E3309D">
              <w:rPr>
                <w:rFonts w:ascii="Arial" w:hAnsi="Arial" w:eastAsia="Arial" w:cs="Arial"/>
                <w:sz w:val="22"/>
                <w:szCs w:val="22"/>
              </w:rPr>
              <w:t xml:space="preserve"> </w:t>
            </w:r>
            <w:r w:rsidRPr="00280E53" w:rsidR="007E5674">
              <w:rPr>
                <w:rFonts w:ascii="Arial" w:hAnsi="Arial" w:eastAsia="Arial" w:cs="Arial"/>
                <w:color w:val="D9D9D9" w:themeColor="background1" w:themeShade="D9"/>
                <w:sz w:val="22"/>
                <w:szCs w:val="22"/>
              </w:rPr>
              <w:t>Blank cell</w:t>
            </w:r>
          </w:p>
        </w:tc>
      </w:tr>
      <w:tr w:rsidRPr="00E3309D" w:rsidR="41839B7F" w:rsidTr="004873FF" w14:paraId="2F5AE136" w14:textId="77777777">
        <w:trPr>
          <w:trHeight w:val="300"/>
        </w:trPr>
        <w:tc>
          <w:tcPr>
            <w:tcW w:w="2250" w:type="dxa"/>
            <w:tcMar>
              <w:left w:w="108" w:type="dxa"/>
              <w:right w:w="108" w:type="dxa"/>
            </w:tcMar>
          </w:tcPr>
          <w:p w:rsidRPr="00E3309D" w:rsidR="41839B7F" w:rsidP="41839B7F" w:rsidRDefault="41839B7F" w14:paraId="0AF99846" w14:textId="595B4312">
            <w:pPr>
              <w:rPr>
                <w:sz w:val="22"/>
                <w:szCs w:val="22"/>
              </w:rPr>
            </w:pPr>
            <w:r w:rsidRPr="00E3309D">
              <w:rPr>
                <w:rFonts w:ascii="Arial" w:hAnsi="Arial" w:eastAsia="Arial" w:cs="Arial"/>
                <w:sz w:val="22"/>
                <w:szCs w:val="22"/>
              </w:rPr>
              <w:t>Lower Newport Bay</w:t>
            </w:r>
          </w:p>
        </w:tc>
        <w:tc>
          <w:tcPr>
            <w:tcW w:w="1620" w:type="dxa"/>
            <w:tcMar>
              <w:left w:w="108" w:type="dxa"/>
              <w:right w:w="108" w:type="dxa"/>
            </w:tcMar>
          </w:tcPr>
          <w:p w:rsidRPr="00E3309D" w:rsidR="41839B7F" w:rsidP="41839B7F" w:rsidRDefault="41839B7F" w14:paraId="2FA8C73E" w14:textId="691B4006">
            <w:pPr>
              <w:rPr>
                <w:sz w:val="22"/>
                <w:szCs w:val="22"/>
              </w:rPr>
            </w:pPr>
            <w:r w:rsidRPr="00E3309D">
              <w:rPr>
                <w:rFonts w:ascii="Arial" w:hAnsi="Arial" w:eastAsia="Arial" w:cs="Arial"/>
                <w:sz w:val="22"/>
                <w:szCs w:val="22"/>
              </w:rPr>
              <w:t>19.1</w:t>
            </w:r>
          </w:p>
        </w:tc>
        <w:tc>
          <w:tcPr>
            <w:tcW w:w="1260" w:type="dxa"/>
            <w:tcMar>
              <w:left w:w="108" w:type="dxa"/>
              <w:right w:w="108" w:type="dxa"/>
            </w:tcMar>
          </w:tcPr>
          <w:p w:rsidRPr="00E3309D" w:rsidR="41839B7F" w:rsidP="41839B7F" w:rsidRDefault="41839B7F" w14:paraId="2693F3E3" w14:textId="776AD1B8">
            <w:pPr>
              <w:rPr>
                <w:sz w:val="22"/>
                <w:szCs w:val="22"/>
              </w:rPr>
            </w:pPr>
            <w:r w:rsidRPr="00E3309D">
              <w:rPr>
                <w:rFonts w:ascii="Arial" w:hAnsi="Arial" w:eastAsia="Arial" w:cs="Arial"/>
                <w:sz w:val="22"/>
                <w:szCs w:val="22"/>
              </w:rPr>
              <w:t>11.0</w:t>
            </w:r>
          </w:p>
        </w:tc>
        <w:tc>
          <w:tcPr>
            <w:tcW w:w="1530" w:type="dxa"/>
            <w:tcMar>
              <w:left w:w="108" w:type="dxa"/>
              <w:right w:w="108" w:type="dxa"/>
            </w:tcMar>
          </w:tcPr>
          <w:p w:rsidRPr="00E3309D" w:rsidR="41839B7F" w:rsidP="41839B7F" w:rsidRDefault="41839B7F" w14:paraId="2935102D" w14:textId="6DC547A4">
            <w:pPr>
              <w:rPr>
                <w:sz w:val="22"/>
                <w:szCs w:val="22"/>
              </w:rPr>
            </w:pPr>
            <w:r w:rsidRPr="00E3309D">
              <w:rPr>
                <w:rFonts w:ascii="Arial" w:hAnsi="Arial" w:eastAsia="Arial" w:cs="Arial"/>
                <w:sz w:val="22"/>
                <w:szCs w:val="22"/>
              </w:rPr>
              <w:t>78.1</w:t>
            </w:r>
          </w:p>
        </w:tc>
        <w:tc>
          <w:tcPr>
            <w:tcW w:w="1260" w:type="dxa"/>
            <w:tcMar>
              <w:left w:w="108" w:type="dxa"/>
              <w:right w:w="108" w:type="dxa"/>
            </w:tcMar>
          </w:tcPr>
          <w:p w:rsidRPr="00E3309D" w:rsidR="41839B7F" w:rsidP="41839B7F" w:rsidRDefault="007E5674" w14:paraId="188E1BA7" w14:textId="07618EAE">
            <w:pPr>
              <w:rPr>
                <w:sz w:val="22"/>
                <w:szCs w:val="22"/>
              </w:rPr>
            </w:pPr>
            <w:r w:rsidRPr="00280E53">
              <w:rPr>
                <w:rFonts w:ascii="Arial" w:hAnsi="Arial" w:eastAsia="Arial" w:cs="Arial"/>
                <w:color w:val="D9D9D9" w:themeColor="background1" w:themeShade="D9"/>
                <w:sz w:val="22"/>
                <w:szCs w:val="22"/>
              </w:rPr>
              <w:t>Blank cell</w:t>
            </w:r>
          </w:p>
        </w:tc>
      </w:tr>
    </w:tbl>
    <w:p w:rsidR="70567D2B" w:rsidP="00CC68BE" w:rsidRDefault="70567D2B" w14:paraId="7065B7B1" w14:textId="410E8F1C">
      <w:pPr>
        <w:spacing w:before="240" w:line="257" w:lineRule="auto"/>
        <w:ind w:left="1267"/>
      </w:pPr>
      <w:r w:rsidRPr="00CC68BE">
        <w:rPr>
          <w:rFonts w:eastAsia="Arial" w:cs="Arial"/>
          <w:b/>
          <w:bCs/>
        </w:rPr>
        <w:t>Final Compliance Deadline</w:t>
      </w:r>
      <w:r w:rsidRPr="41839B7F">
        <w:rPr>
          <w:rFonts w:eastAsia="Arial" w:cs="Arial"/>
        </w:rPr>
        <w:t xml:space="preserve">: </w:t>
      </w:r>
      <w:r w:rsidR="00794E49">
        <w:t xml:space="preserve">The final compliance deadline </w:t>
      </w:r>
      <w:r w:rsidRPr="006A4255" w:rsidR="00794E49">
        <w:t>was December 31, 2020</w:t>
      </w:r>
      <w:r w:rsidR="00794E49">
        <w:t xml:space="preserve">. </w:t>
      </w:r>
      <w:r w:rsidRPr="008A6FB5" w:rsidR="00794E49">
        <w:t xml:space="preserve">If the deadline has not been met, the Permittee may request a time schedule order from the </w:t>
      </w:r>
      <w:r w:rsidR="00794E49">
        <w:t>Santa Ana</w:t>
      </w:r>
      <w:r w:rsidRPr="008A6FB5" w:rsidR="00794E49">
        <w:t xml:space="preserve"> Water Board Executive Officer, which </w:t>
      </w:r>
      <w:r w:rsidR="005C1C22">
        <w:t xml:space="preserve">may establish an implementation schedule </w:t>
      </w:r>
      <w:r w:rsidRPr="008A6FB5" w:rsidR="00794E49">
        <w:t>for the Permittee to comply with the TMDL requirements, and will supersede the deadlines referenced in this Order.</w:t>
      </w:r>
    </w:p>
    <w:p w:rsidRPr="000D48DD" w:rsidR="70567D2B" w:rsidP="000D48DD" w:rsidRDefault="00836361" w14:paraId="51140B20" w14:textId="7D7E4955">
      <w:pPr>
        <w:pStyle w:val="Heading3"/>
        <w:tabs>
          <w:tab w:val="clear" w:pos="720"/>
          <w:tab w:val="left" w:pos="1260"/>
        </w:tabs>
        <w:ind w:left="1260" w:hanging="1260"/>
        <w:rPr>
          <w:i/>
          <w:iCs/>
        </w:rPr>
      </w:pPr>
      <w:r>
        <w:rPr>
          <w:i/>
          <w:iCs/>
        </w:rPr>
        <w:t>A13</w:t>
      </w:r>
      <w:r w:rsidRPr="000D48DD" w:rsidR="00E92FF3">
        <w:rPr>
          <w:i/>
          <w:iCs/>
        </w:rPr>
        <w:t>.8</w:t>
      </w:r>
      <w:r w:rsidRPr="000D48DD" w:rsidR="70567D2B">
        <w:rPr>
          <w:i/>
          <w:iCs/>
        </w:rPr>
        <w:t>.2</w:t>
      </w:r>
      <w:r w:rsidRPr="000D48DD" w:rsidR="000E7A5C">
        <w:rPr>
          <w:i/>
          <w:iCs/>
        </w:rPr>
        <w:tab/>
      </w:r>
      <w:r w:rsidRPr="000D48DD" w:rsidR="70567D2B">
        <w:rPr>
          <w:i/>
          <w:iCs/>
        </w:rPr>
        <w:t>Lake Elsinore and Canyon Lake Nutrient TMDL</w:t>
      </w:r>
    </w:p>
    <w:p w:rsidR="70567D2B" w:rsidP="00EC3E12" w:rsidRDefault="70567D2B" w14:paraId="5D344672" w14:textId="3A29F43B">
      <w:pPr>
        <w:spacing w:line="257" w:lineRule="auto"/>
        <w:ind w:left="1260"/>
      </w:pPr>
      <w:r w:rsidRPr="41839B7F">
        <w:rPr>
          <w:rFonts w:eastAsia="Arial" w:cs="Arial"/>
          <w:b/>
          <w:bCs/>
        </w:rPr>
        <w:t>Description:</w:t>
      </w:r>
      <w:r w:rsidRPr="41839B7F">
        <w:rPr>
          <w:rFonts w:eastAsia="Arial" w:cs="Arial"/>
        </w:rPr>
        <w:t xml:space="preserve"> </w:t>
      </w:r>
      <w:r w:rsidR="00766ACF">
        <w:rPr>
          <w:rFonts w:eastAsia="Arial" w:cs="Arial"/>
        </w:rPr>
        <w:t>USEPA</w:t>
      </w:r>
      <w:r w:rsidR="00C56C92">
        <w:rPr>
          <w:rFonts w:eastAsia="Arial" w:cs="Arial"/>
        </w:rPr>
        <w:t xml:space="preserve"> </w:t>
      </w:r>
      <w:r w:rsidRPr="41839B7F">
        <w:rPr>
          <w:rFonts w:eastAsia="Arial" w:cs="Arial"/>
        </w:rPr>
        <w:t xml:space="preserve">approved the Lake Elsinore and Canyon Lake Nutrient TMDL on September 30, 2005. Lake Elsinore and Canyon Lake are impaired by excessive nutrients (nitrogen and phosphorus) and the TMDL has identified urban stormwater runoff as a primary source of nutrients. </w:t>
      </w:r>
    </w:p>
    <w:p w:rsidR="70567D2B" w:rsidP="00EC3E12" w:rsidRDefault="70567D2B" w14:paraId="6F76006D" w14:textId="2138CE27">
      <w:pPr>
        <w:spacing w:line="257" w:lineRule="auto"/>
        <w:ind w:left="1260"/>
      </w:pPr>
      <w:r w:rsidRPr="41839B7F">
        <w:rPr>
          <w:rFonts w:eastAsia="Arial" w:cs="Arial"/>
          <w:b/>
          <w:bCs/>
        </w:rPr>
        <w:t xml:space="preserve">Responsible Permittees: </w:t>
      </w:r>
      <w:r w:rsidRPr="41839B7F">
        <w:rPr>
          <w:rFonts w:eastAsia="Arial" w:cs="Arial"/>
        </w:rPr>
        <w:t>March Air Reserve Base</w:t>
      </w:r>
    </w:p>
    <w:p w:rsidR="70567D2B" w:rsidP="00EC3E12" w:rsidRDefault="70567D2B" w14:paraId="3FA3FDA2" w14:textId="1128BD8E">
      <w:pPr>
        <w:spacing w:line="257" w:lineRule="auto"/>
        <w:ind w:left="1260"/>
      </w:pPr>
      <w:r w:rsidRPr="41839B7F">
        <w:rPr>
          <w:rFonts w:eastAsia="Arial" w:cs="Arial"/>
          <w:b/>
          <w:bCs/>
        </w:rPr>
        <w:t xml:space="preserve">Wasteload Allocations: </w:t>
      </w:r>
      <w:r w:rsidRPr="41839B7F">
        <w:rPr>
          <w:rFonts w:eastAsia="Arial" w:cs="Arial"/>
        </w:rPr>
        <w:t>The final wasteload allocations, which are expressed as a 10-year rolling average, are shared for all urban discharges as follows:</w:t>
      </w:r>
    </w:p>
    <w:p w:rsidR="70567D2B" w:rsidP="00EC3E12" w:rsidRDefault="70567D2B" w14:paraId="0C5059BF" w14:textId="12272C2D">
      <w:pPr>
        <w:spacing w:line="257" w:lineRule="auto"/>
        <w:ind w:left="1260"/>
      </w:pPr>
      <w:r w:rsidRPr="41839B7F">
        <w:rPr>
          <w:rFonts w:eastAsia="Arial" w:cs="Arial"/>
          <w:u w:val="single"/>
        </w:rPr>
        <w:t>Lake Elsinore:</w:t>
      </w:r>
    </w:p>
    <w:p w:rsidRPr="007E5674" w:rsidR="70567D2B" w:rsidP="009D5D7C" w:rsidRDefault="70567D2B" w14:paraId="0966DC88" w14:textId="60704DB4">
      <w:pPr>
        <w:spacing w:before="0" w:after="0" w:line="257" w:lineRule="auto"/>
        <w:ind w:left="1620"/>
        <w:rPr>
          <w:rFonts w:eastAsia="Arial" w:cs="Arial"/>
        </w:rPr>
      </w:pPr>
      <w:r w:rsidRPr="007E5674">
        <w:rPr>
          <w:rFonts w:eastAsia="Arial" w:cs="Arial"/>
        </w:rPr>
        <w:t>Total Phosphorus – 124 kilograms per year</w:t>
      </w:r>
    </w:p>
    <w:p w:rsidRPr="007E5674" w:rsidR="70567D2B" w:rsidP="009D5D7C" w:rsidRDefault="70567D2B" w14:paraId="35CA7BDD" w14:textId="7FA54049">
      <w:pPr>
        <w:spacing w:before="0" w:after="0" w:line="257" w:lineRule="auto"/>
        <w:ind w:left="1620"/>
        <w:rPr>
          <w:rFonts w:eastAsia="Arial" w:cs="Arial"/>
        </w:rPr>
      </w:pPr>
      <w:r w:rsidRPr="007E5674">
        <w:rPr>
          <w:rFonts w:eastAsia="Arial" w:cs="Arial"/>
        </w:rPr>
        <w:t>Total Nitrogen – 349 kilograms per year</w:t>
      </w:r>
    </w:p>
    <w:p w:rsidR="70567D2B" w:rsidP="00EC3E12" w:rsidRDefault="70567D2B" w14:paraId="591FDC7B" w14:textId="074639BC">
      <w:pPr>
        <w:spacing w:line="257" w:lineRule="auto"/>
        <w:ind w:left="1260"/>
      </w:pPr>
      <w:r w:rsidRPr="41839B7F">
        <w:rPr>
          <w:rFonts w:eastAsia="Arial" w:cs="Arial"/>
          <w:u w:val="single"/>
        </w:rPr>
        <w:t>Canyon Lake:</w:t>
      </w:r>
    </w:p>
    <w:p w:rsidR="70567D2B" w:rsidP="009D5D7C" w:rsidRDefault="70567D2B" w14:paraId="7A6FCA21" w14:textId="356195AB">
      <w:pPr>
        <w:spacing w:before="0" w:after="0" w:line="257" w:lineRule="auto"/>
        <w:ind w:left="1620"/>
        <w:rPr>
          <w:rFonts w:eastAsia="Arial" w:cs="Arial"/>
        </w:rPr>
      </w:pPr>
      <w:r w:rsidRPr="41839B7F">
        <w:rPr>
          <w:rFonts w:eastAsia="Arial" w:cs="Arial"/>
        </w:rPr>
        <w:t xml:space="preserve">Total Phosphorus – 306 kilograms per year </w:t>
      </w:r>
    </w:p>
    <w:p w:rsidR="70567D2B" w:rsidP="009D5D7C" w:rsidRDefault="70567D2B" w14:paraId="246ABCE1" w14:textId="2A068AE2">
      <w:pPr>
        <w:spacing w:before="0" w:after="0" w:line="257" w:lineRule="auto"/>
        <w:ind w:left="1620"/>
        <w:rPr>
          <w:rFonts w:eastAsia="Arial" w:cs="Arial"/>
        </w:rPr>
      </w:pPr>
      <w:r w:rsidRPr="41839B7F">
        <w:rPr>
          <w:rFonts w:eastAsia="Arial" w:cs="Arial"/>
        </w:rPr>
        <w:t>Total Nitrogen – 3,974 kilograms per year</w:t>
      </w:r>
    </w:p>
    <w:p w:rsidR="70567D2B" w:rsidP="00EC3E12" w:rsidRDefault="70567D2B" w14:paraId="32CA97D9" w14:textId="7C52CFE8">
      <w:pPr>
        <w:spacing w:line="257" w:lineRule="auto"/>
        <w:ind w:left="1260"/>
      </w:pPr>
      <w:r w:rsidRPr="41839B7F">
        <w:rPr>
          <w:rFonts w:eastAsia="Arial" w:cs="Arial"/>
          <w:b/>
          <w:bCs/>
        </w:rPr>
        <w:t>Final Compliance Deadline</w:t>
      </w:r>
      <w:r w:rsidRPr="41839B7F">
        <w:rPr>
          <w:rFonts w:eastAsia="Arial" w:cs="Arial"/>
        </w:rPr>
        <w:t xml:space="preserve">: The final compliance deadline was December 31, 2020. If the deadline has not been met, the Permittee may request a time schedule order from Santa Ana Water Board Executive Officer, which </w:t>
      </w:r>
      <w:r w:rsidR="005C1C22">
        <w:rPr>
          <w:rFonts w:eastAsia="Arial" w:cs="Arial"/>
        </w:rPr>
        <w:t xml:space="preserve">may establish an implementation schedule </w:t>
      </w:r>
      <w:r w:rsidRPr="41839B7F">
        <w:rPr>
          <w:rFonts w:eastAsia="Arial" w:cs="Arial"/>
        </w:rPr>
        <w:t>for the Permittee to comply with the TMDL requirements, and will supersede the deadlines referenced in this Order.</w:t>
      </w:r>
    </w:p>
    <w:p w:rsidRPr="000D48DD" w:rsidR="70567D2B" w:rsidP="000D48DD" w:rsidRDefault="00836361" w14:paraId="2A48342B" w14:textId="70D0484C">
      <w:pPr>
        <w:pStyle w:val="Heading3"/>
        <w:tabs>
          <w:tab w:val="clear" w:pos="720"/>
          <w:tab w:val="left" w:pos="1260"/>
        </w:tabs>
        <w:ind w:left="1260" w:hanging="1260"/>
        <w:rPr>
          <w:i/>
          <w:iCs/>
        </w:rPr>
      </w:pPr>
      <w:r>
        <w:rPr>
          <w:i/>
          <w:iCs/>
        </w:rPr>
        <w:t>A13</w:t>
      </w:r>
      <w:r w:rsidRPr="000D48DD" w:rsidR="00E92FF3">
        <w:rPr>
          <w:i/>
          <w:iCs/>
        </w:rPr>
        <w:t>.8</w:t>
      </w:r>
      <w:r w:rsidRPr="000D48DD" w:rsidR="70567D2B">
        <w:rPr>
          <w:i/>
          <w:iCs/>
        </w:rPr>
        <w:t>.3</w:t>
      </w:r>
      <w:r w:rsidRPr="000D48DD" w:rsidR="006376C0">
        <w:rPr>
          <w:i/>
          <w:iCs/>
        </w:rPr>
        <w:tab/>
      </w:r>
      <w:r w:rsidRPr="000D48DD" w:rsidR="70567D2B">
        <w:rPr>
          <w:i/>
          <w:iCs/>
        </w:rPr>
        <w:t>Middle Santa Ana River Watershed Bacterial Indicator TMDL</w:t>
      </w:r>
    </w:p>
    <w:p w:rsidR="70567D2B" w:rsidP="006376C0" w:rsidRDefault="70567D2B" w14:paraId="366F3F4C" w14:textId="29D7E6C2">
      <w:pPr>
        <w:spacing w:line="257" w:lineRule="auto"/>
        <w:ind w:left="1260"/>
      </w:pPr>
      <w:r w:rsidRPr="006376C0">
        <w:rPr>
          <w:rFonts w:eastAsia="Arial" w:cs="Arial"/>
          <w:b/>
          <w:bCs/>
        </w:rPr>
        <w:t>Description</w:t>
      </w:r>
      <w:r w:rsidRPr="41839B7F">
        <w:rPr>
          <w:rFonts w:eastAsia="Arial" w:cs="Arial"/>
        </w:rPr>
        <w:t xml:space="preserve">: </w:t>
      </w:r>
      <w:r w:rsidR="00766ACF">
        <w:rPr>
          <w:rFonts w:eastAsia="Arial" w:cs="Arial"/>
        </w:rPr>
        <w:t>USEPA</w:t>
      </w:r>
      <w:r w:rsidR="00C56C92">
        <w:rPr>
          <w:rFonts w:eastAsia="Arial" w:cs="Arial"/>
        </w:rPr>
        <w:t xml:space="preserve"> </w:t>
      </w:r>
      <w:r w:rsidRPr="41839B7F">
        <w:rPr>
          <w:rFonts w:eastAsia="Arial" w:cs="Arial"/>
        </w:rPr>
        <w:t>approved the Middle Santa Ana River Watershed Bacterial Indicator TMDL on May 16, 2007. The watershed is impaired by fecal coliform bacteria</w:t>
      </w:r>
      <w:r w:rsidR="0001363C">
        <w:rPr>
          <w:rFonts w:eastAsia="Arial" w:cs="Arial"/>
        </w:rPr>
        <w:t>,</w:t>
      </w:r>
      <w:r w:rsidRPr="41839B7F">
        <w:rPr>
          <w:rFonts w:eastAsia="Arial" w:cs="Arial"/>
        </w:rPr>
        <w:t xml:space="preserve"> and urban runoff is identified a</w:t>
      </w:r>
      <w:r w:rsidR="0001363C">
        <w:rPr>
          <w:rFonts w:eastAsia="Arial" w:cs="Arial"/>
        </w:rPr>
        <w:t>s a</w:t>
      </w:r>
      <w:r w:rsidRPr="41839B7F">
        <w:rPr>
          <w:rFonts w:eastAsia="Arial" w:cs="Arial"/>
        </w:rPr>
        <w:t xml:space="preserve"> contributing source of impairment. </w:t>
      </w:r>
    </w:p>
    <w:p w:rsidR="70567D2B" w:rsidP="006376C0" w:rsidRDefault="70567D2B" w14:paraId="466E044F" w14:textId="4DCD9332">
      <w:pPr>
        <w:spacing w:line="257" w:lineRule="auto"/>
        <w:ind w:left="1260"/>
      </w:pPr>
      <w:r w:rsidRPr="006376C0">
        <w:rPr>
          <w:rFonts w:eastAsia="Arial" w:cs="Arial"/>
          <w:b/>
          <w:bCs/>
        </w:rPr>
        <w:t>Responsible Permittees</w:t>
      </w:r>
      <w:r w:rsidRPr="006376C0">
        <w:rPr>
          <w:rFonts w:eastAsia="Arial" w:cs="Arial"/>
        </w:rPr>
        <w:t>:</w:t>
      </w:r>
      <w:r w:rsidRPr="41839B7F">
        <w:rPr>
          <w:rFonts w:eastAsia="Arial" w:cs="Arial"/>
        </w:rPr>
        <w:t xml:space="preserve"> </w:t>
      </w:r>
      <w:r w:rsidRPr="00106B79" w:rsidR="00750B66">
        <w:t>California Institute for Men</w:t>
      </w:r>
      <w:r w:rsidR="0066450F">
        <w:t>;</w:t>
      </w:r>
      <w:r w:rsidRPr="00106B79" w:rsidR="00750B66">
        <w:t xml:space="preserve"> California Institute for Women</w:t>
      </w:r>
      <w:r w:rsidR="0066450F">
        <w:t>;</w:t>
      </w:r>
      <w:r w:rsidRPr="00106B79" w:rsidR="00750B66">
        <w:t xml:space="preserve"> </w:t>
      </w:r>
      <w:r w:rsidRPr="00F711E3" w:rsidR="00D87D14">
        <w:rPr>
          <w:rFonts w:cs="Arial"/>
        </w:rPr>
        <w:t>California Rehabilitation Center</w:t>
      </w:r>
      <w:r w:rsidR="0066450F">
        <w:t>;</w:t>
      </w:r>
      <w:r w:rsidRPr="00106B79" w:rsidR="00750B66">
        <w:t xml:space="preserve"> University of California, Riverside</w:t>
      </w:r>
    </w:p>
    <w:p w:rsidR="70567D2B" w:rsidP="006376C0" w:rsidRDefault="70567D2B" w14:paraId="1C6E0F90" w14:textId="15F08AD4">
      <w:pPr>
        <w:spacing w:line="257" w:lineRule="auto"/>
        <w:ind w:left="1260"/>
      </w:pPr>
      <w:r w:rsidRPr="006376C0">
        <w:rPr>
          <w:rFonts w:eastAsia="Arial" w:cs="Arial"/>
          <w:b/>
          <w:bCs/>
        </w:rPr>
        <w:t>Wasteload Allocations</w:t>
      </w:r>
      <w:r w:rsidRPr="41839B7F">
        <w:rPr>
          <w:rFonts w:eastAsia="Arial" w:cs="Arial"/>
        </w:rPr>
        <w:t>: The following are receiving water allocations. Logarithmic mean values shall be calculated based on a minimum of 5 samples during any 30 day period.</w:t>
      </w:r>
    </w:p>
    <w:p w:rsidR="70567D2B" w:rsidP="00E8254E" w:rsidRDefault="70567D2B" w14:paraId="5DBD3DAB" w14:textId="03864BFE">
      <w:pPr>
        <w:pStyle w:val="ListParagraph"/>
        <w:numPr>
          <w:ilvl w:val="0"/>
          <w:numId w:val="59"/>
        </w:numPr>
        <w:spacing w:line="257" w:lineRule="auto"/>
        <w:ind w:left="1620"/>
        <w:contextualSpacing w:val="0"/>
      </w:pPr>
      <w:r w:rsidRPr="007C50BD">
        <w:rPr>
          <w:rFonts w:eastAsia="Arial" w:cs="Arial"/>
          <w:u w:val="single"/>
        </w:rPr>
        <w:t>Dry Season</w:t>
      </w:r>
      <w:r w:rsidRPr="00022C70">
        <w:rPr>
          <w:rFonts w:eastAsia="Arial" w:cs="Arial"/>
        </w:rPr>
        <w:t xml:space="preserve"> (April 1 through October 31) to be achieved by December 31, 2015:</w:t>
      </w:r>
    </w:p>
    <w:p w:rsidR="70567D2B" w:rsidP="00E8254E" w:rsidRDefault="70567D2B" w14:paraId="4031B036" w14:textId="1CB0C725">
      <w:pPr>
        <w:pStyle w:val="ListParagraph"/>
        <w:numPr>
          <w:ilvl w:val="0"/>
          <w:numId w:val="60"/>
        </w:numPr>
        <w:ind w:left="1987"/>
        <w:contextualSpacing w:val="0"/>
        <w:rPr>
          <w:rFonts w:eastAsia="Arial" w:cs="Arial"/>
          <w:szCs w:val="24"/>
        </w:rPr>
      </w:pPr>
      <w:r w:rsidRPr="41839B7F">
        <w:rPr>
          <w:rFonts w:eastAsia="Arial" w:cs="Arial"/>
          <w:szCs w:val="24"/>
        </w:rPr>
        <w:t>Fecal coliform – 5–sample/30–day Logarithmic Mean less than 180 organisms/100</w:t>
      </w:r>
      <w:r w:rsidR="00FE5978">
        <w:rPr>
          <w:rFonts w:eastAsia="Arial" w:cs="Arial"/>
          <w:szCs w:val="24"/>
        </w:rPr>
        <w:t xml:space="preserve"> </w:t>
      </w:r>
      <w:r w:rsidRPr="41839B7F">
        <w:rPr>
          <w:rFonts w:eastAsia="Arial" w:cs="Arial"/>
          <w:szCs w:val="24"/>
        </w:rPr>
        <w:t>mL, and not more than 10% of the samples exceed 360 organisms/100</w:t>
      </w:r>
      <w:r w:rsidR="00FE5978">
        <w:rPr>
          <w:rFonts w:eastAsia="Arial" w:cs="Arial"/>
          <w:szCs w:val="24"/>
        </w:rPr>
        <w:t xml:space="preserve"> </w:t>
      </w:r>
      <w:r w:rsidRPr="41839B7F">
        <w:rPr>
          <w:rFonts w:eastAsia="Arial" w:cs="Arial"/>
          <w:szCs w:val="24"/>
        </w:rPr>
        <w:t>mL for any 30–day period.</w:t>
      </w:r>
    </w:p>
    <w:p w:rsidR="70567D2B" w:rsidP="00E8254E" w:rsidRDefault="70567D2B" w14:paraId="2563F936" w14:textId="05D474AC">
      <w:pPr>
        <w:pStyle w:val="ListParagraph"/>
        <w:numPr>
          <w:ilvl w:val="0"/>
          <w:numId w:val="60"/>
        </w:numPr>
        <w:ind w:left="1987"/>
        <w:contextualSpacing w:val="0"/>
        <w:rPr>
          <w:rFonts w:eastAsia="Arial" w:cs="Arial"/>
          <w:szCs w:val="24"/>
        </w:rPr>
      </w:pPr>
      <w:r w:rsidRPr="00977A12">
        <w:rPr>
          <w:rFonts w:eastAsia="Arial" w:cs="Arial"/>
          <w:i/>
          <w:iCs/>
          <w:szCs w:val="24"/>
        </w:rPr>
        <w:t>E. coli</w:t>
      </w:r>
      <w:r w:rsidRPr="41839B7F">
        <w:rPr>
          <w:rFonts w:eastAsia="Arial" w:cs="Arial"/>
          <w:szCs w:val="24"/>
        </w:rPr>
        <w:t xml:space="preserve"> – 5–sample/30–day Logarithmic Mean less than 113 organisms/ 100</w:t>
      </w:r>
      <w:r w:rsidR="00B35FC0">
        <w:rPr>
          <w:rFonts w:eastAsia="Arial" w:cs="Arial"/>
          <w:szCs w:val="24"/>
        </w:rPr>
        <w:t xml:space="preserve"> </w:t>
      </w:r>
      <w:r w:rsidRPr="41839B7F">
        <w:rPr>
          <w:rFonts w:eastAsia="Arial" w:cs="Arial"/>
          <w:szCs w:val="24"/>
        </w:rPr>
        <w:t>mL, and not more than 10% of the samples exceed 212 organisms/100</w:t>
      </w:r>
      <w:r w:rsidR="00FE5978">
        <w:rPr>
          <w:rFonts w:eastAsia="Arial" w:cs="Arial"/>
          <w:szCs w:val="24"/>
        </w:rPr>
        <w:t xml:space="preserve"> </w:t>
      </w:r>
      <w:r w:rsidRPr="41839B7F">
        <w:rPr>
          <w:rFonts w:eastAsia="Arial" w:cs="Arial"/>
          <w:szCs w:val="24"/>
        </w:rPr>
        <w:t>mL for any 30–day period.</w:t>
      </w:r>
    </w:p>
    <w:p w:rsidRPr="0098204F" w:rsidR="70567D2B" w:rsidP="00E8254E" w:rsidRDefault="70567D2B" w14:paraId="00B7C284" w14:textId="31DD06AE">
      <w:pPr>
        <w:pStyle w:val="ListParagraph"/>
        <w:numPr>
          <w:ilvl w:val="0"/>
          <w:numId w:val="59"/>
        </w:numPr>
        <w:spacing w:line="257" w:lineRule="auto"/>
        <w:ind w:left="1620"/>
        <w:contextualSpacing w:val="0"/>
        <w:rPr>
          <w:rFonts w:eastAsia="Arial" w:cs="Arial"/>
          <w:u w:val="single"/>
        </w:rPr>
      </w:pPr>
      <w:r w:rsidRPr="007C50BD">
        <w:rPr>
          <w:rFonts w:eastAsia="Arial" w:cs="Arial"/>
          <w:u w:val="single"/>
        </w:rPr>
        <w:t>Wet Season</w:t>
      </w:r>
      <w:r w:rsidRPr="0098204F">
        <w:rPr>
          <w:rFonts w:eastAsia="Arial" w:cs="Arial"/>
          <w:u w:val="single"/>
        </w:rPr>
        <w:t xml:space="preserve"> (November 1 through March 31) to be achieved by December 31, 2025:</w:t>
      </w:r>
    </w:p>
    <w:p w:rsidR="70567D2B" w:rsidP="00E8254E" w:rsidRDefault="70567D2B" w14:paraId="6436F4C7" w14:textId="5E6331FB">
      <w:pPr>
        <w:pStyle w:val="ListParagraph"/>
        <w:numPr>
          <w:ilvl w:val="0"/>
          <w:numId w:val="82"/>
        </w:numPr>
        <w:ind w:left="1620"/>
        <w:contextualSpacing w:val="0"/>
        <w:rPr>
          <w:rFonts w:eastAsia="Arial" w:cs="Arial"/>
          <w:szCs w:val="24"/>
        </w:rPr>
      </w:pPr>
      <w:r w:rsidRPr="41839B7F">
        <w:rPr>
          <w:rFonts w:eastAsia="Arial" w:cs="Arial"/>
          <w:szCs w:val="24"/>
        </w:rPr>
        <w:t>Fecal coliform – 5–sample/30–day Logarithmic Mean less than 180 organisms/100</w:t>
      </w:r>
      <w:r w:rsidR="009D5D7C">
        <w:rPr>
          <w:rFonts w:eastAsia="Arial" w:cs="Arial"/>
          <w:szCs w:val="24"/>
        </w:rPr>
        <w:t xml:space="preserve"> </w:t>
      </w:r>
      <w:r w:rsidRPr="41839B7F">
        <w:rPr>
          <w:rFonts w:eastAsia="Arial" w:cs="Arial"/>
          <w:szCs w:val="24"/>
        </w:rPr>
        <w:t>mL, and not more than 10% of the samples exceed 360 organisms/100</w:t>
      </w:r>
      <w:r w:rsidR="009D5D7C">
        <w:rPr>
          <w:rFonts w:eastAsia="Arial" w:cs="Arial"/>
          <w:szCs w:val="24"/>
        </w:rPr>
        <w:t xml:space="preserve"> </w:t>
      </w:r>
      <w:r w:rsidRPr="41839B7F">
        <w:rPr>
          <w:rFonts w:eastAsia="Arial" w:cs="Arial"/>
          <w:szCs w:val="24"/>
        </w:rPr>
        <w:t>mL for any 30–day period.</w:t>
      </w:r>
    </w:p>
    <w:p w:rsidR="70567D2B" w:rsidP="00E8254E" w:rsidRDefault="70567D2B" w14:paraId="0C9C2118" w14:textId="1D0B44A0">
      <w:pPr>
        <w:pStyle w:val="ListParagraph"/>
        <w:numPr>
          <w:ilvl w:val="0"/>
          <w:numId w:val="82"/>
        </w:numPr>
        <w:ind w:left="1620"/>
        <w:contextualSpacing w:val="0"/>
        <w:rPr>
          <w:rFonts w:eastAsia="Arial" w:cs="Arial"/>
          <w:szCs w:val="24"/>
        </w:rPr>
      </w:pPr>
      <w:r w:rsidRPr="007C50BD">
        <w:rPr>
          <w:rFonts w:eastAsia="Arial" w:cs="Arial"/>
          <w:i/>
          <w:iCs/>
          <w:szCs w:val="24"/>
        </w:rPr>
        <w:t>E</w:t>
      </w:r>
      <w:r w:rsidRPr="00EE609F">
        <w:rPr>
          <w:rFonts w:eastAsia="Arial" w:cs="Arial"/>
          <w:i/>
          <w:szCs w:val="24"/>
        </w:rPr>
        <w:t>. coli</w:t>
      </w:r>
      <w:r w:rsidRPr="41839B7F">
        <w:rPr>
          <w:rFonts w:eastAsia="Arial" w:cs="Arial"/>
          <w:szCs w:val="24"/>
        </w:rPr>
        <w:t xml:space="preserve"> – 5–sample/30–day Logarithmic Mean less than 113 organisms/ 100</w:t>
      </w:r>
      <w:r w:rsidR="009D5D7C">
        <w:rPr>
          <w:rFonts w:eastAsia="Arial" w:cs="Arial"/>
          <w:szCs w:val="24"/>
        </w:rPr>
        <w:t xml:space="preserve"> </w:t>
      </w:r>
      <w:r w:rsidRPr="41839B7F">
        <w:rPr>
          <w:rFonts w:eastAsia="Arial" w:cs="Arial"/>
          <w:szCs w:val="24"/>
        </w:rPr>
        <w:t>mL, and not more than 10% of the samples exceed 212 organisms/100</w:t>
      </w:r>
      <w:r w:rsidR="009D5D7C">
        <w:rPr>
          <w:rFonts w:eastAsia="Arial" w:cs="Arial"/>
          <w:szCs w:val="24"/>
        </w:rPr>
        <w:t xml:space="preserve"> </w:t>
      </w:r>
      <w:r w:rsidRPr="41839B7F">
        <w:rPr>
          <w:rFonts w:eastAsia="Arial" w:cs="Arial"/>
          <w:szCs w:val="24"/>
        </w:rPr>
        <w:t>mL for any 30–day period.</w:t>
      </w:r>
    </w:p>
    <w:p w:rsidR="70567D2B" w:rsidP="0098204F" w:rsidRDefault="70567D2B" w14:paraId="29DF44FA" w14:textId="0FD4B8C2">
      <w:pPr>
        <w:spacing w:line="257" w:lineRule="auto"/>
        <w:ind w:left="1260"/>
      </w:pPr>
      <w:r w:rsidRPr="00B35FC0">
        <w:rPr>
          <w:rFonts w:eastAsia="Arial" w:cs="Arial"/>
          <w:b/>
          <w:bCs/>
        </w:rPr>
        <w:t>Final Compliance Deadline</w:t>
      </w:r>
      <w:r w:rsidRPr="41839B7F">
        <w:rPr>
          <w:rFonts w:eastAsia="Arial" w:cs="Arial"/>
        </w:rPr>
        <w:t xml:space="preserve">: </w:t>
      </w:r>
      <w:r w:rsidR="00ED60AA">
        <w:t>The final compliance deadline for the dry season wasteload allocation was December 31, 2015. I</w:t>
      </w:r>
      <w:r w:rsidRPr="00683C8E" w:rsidR="00ED60AA">
        <w:t>f the deadline has not been met</w:t>
      </w:r>
      <w:r w:rsidR="00ED60AA">
        <w:t xml:space="preserve"> for achieving the dry season wasteload allocation</w:t>
      </w:r>
      <w:r w:rsidRPr="00683C8E" w:rsidR="00ED60AA">
        <w:t xml:space="preserve">, the Permittee may request a time schedule order from the </w:t>
      </w:r>
      <w:r w:rsidR="00ED60AA">
        <w:t>Santa Ana</w:t>
      </w:r>
      <w:r w:rsidRPr="00683C8E" w:rsidR="00ED60AA">
        <w:t xml:space="preserve"> Water Board Executive Officer, which </w:t>
      </w:r>
      <w:r w:rsidR="005C1C22">
        <w:t xml:space="preserve">may establish an implementation schedule </w:t>
      </w:r>
      <w:r w:rsidRPr="00683C8E" w:rsidR="00ED60AA">
        <w:t>for the Permittee to comply with the TMDL requirements, and will supersede the deadlines referenced in this Order.</w:t>
      </w:r>
      <w:r w:rsidR="00ED60AA">
        <w:t xml:space="preserve"> The final compliance deadline for the wet season wasteload allocation is December 31, 2025.</w:t>
      </w:r>
    </w:p>
    <w:p w:rsidRPr="00F0389D" w:rsidR="70567D2B" w:rsidP="000D48DD" w:rsidRDefault="00836361" w14:paraId="3A11D7AE" w14:textId="017286B9">
      <w:pPr>
        <w:pStyle w:val="Heading3"/>
        <w:tabs>
          <w:tab w:val="clear" w:pos="720"/>
          <w:tab w:val="left" w:pos="1260"/>
        </w:tabs>
        <w:ind w:left="1260" w:hanging="1260"/>
        <w:rPr>
          <w:i/>
          <w:iCs/>
        </w:rPr>
      </w:pPr>
      <w:r>
        <w:rPr>
          <w:i/>
          <w:iCs/>
        </w:rPr>
        <w:t>A13</w:t>
      </w:r>
      <w:r w:rsidRPr="00F0389D" w:rsidR="006376C0">
        <w:rPr>
          <w:i/>
          <w:iCs/>
        </w:rPr>
        <w:t>.8</w:t>
      </w:r>
      <w:r w:rsidRPr="00F0389D" w:rsidR="00E653E7">
        <w:rPr>
          <w:i/>
          <w:iCs/>
        </w:rPr>
        <w:t>.</w:t>
      </w:r>
      <w:r w:rsidR="00FA66C0">
        <w:rPr>
          <w:i/>
          <w:iCs/>
        </w:rPr>
        <w:t>4</w:t>
      </w:r>
      <w:r w:rsidRPr="00F0389D" w:rsidR="0033722F">
        <w:rPr>
          <w:i/>
          <w:iCs/>
        </w:rPr>
        <w:tab/>
      </w:r>
      <w:r w:rsidRPr="00F0389D" w:rsidR="70567D2B">
        <w:rPr>
          <w:i/>
          <w:iCs/>
        </w:rPr>
        <w:t xml:space="preserve">San Diego Creek and Upper Newport Bay Diazinon </w:t>
      </w:r>
      <w:r w:rsidRPr="00F0389D" w:rsidR="004F36F2">
        <w:rPr>
          <w:i/>
          <w:iCs/>
        </w:rPr>
        <w:t>and</w:t>
      </w:r>
      <w:r w:rsidRPr="00F0389D" w:rsidR="70567D2B">
        <w:rPr>
          <w:i/>
          <w:iCs/>
        </w:rPr>
        <w:t xml:space="preserve"> Chlorpyrifos TMDL</w:t>
      </w:r>
    </w:p>
    <w:p w:rsidRPr="00F0389D" w:rsidR="70567D2B" w:rsidP="00AB36E0" w:rsidRDefault="70567D2B" w14:paraId="6F5A4280" w14:textId="18DAD56D">
      <w:pPr>
        <w:spacing w:line="257" w:lineRule="auto"/>
        <w:ind w:left="1260"/>
        <w:rPr>
          <w:rFonts w:eastAsia="Arial" w:cs="Arial"/>
        </w:rPr>
      </w:pPr>
      <w:r w:rsidRPr="00F0389D">
        <w:rPr>
          <w:rFonts w:eastAsia="Arial" w:cs="Arial"/>
          <w:b/>
          <w:bCs/>
        </w:rPr>
        <w:t>Description</w:t>
      </w:r>
      <w:r w:rsidRPr="00F0389D">
        <w:rPr>
          <w:rFonts w:eastAsia="Arial" w:cs="Arial"/>
        </w:rPr>
        <w:t xml:space="preserve">: </w:t>
      </w:r>
      <w:r w:rsidR="00766ACF">
        <w:rPr>
          <w:rFonts w:eastAsia="Arial" w:cs="Arial"/>
        </w:rPr>
        <w:t>USEPA</w:t>
      </w:r>
      <w:r w:rsidR="00C56C92">
        <w:rPr>
          <w:rFonts w:eastAsia="Arial" w:cs="Arial"/>
        </w:rPr>
        <w:t xml:space="preserve"> </w:t>
      </w:r>
      <w:r w:rsidRPr="00F0389D">
        <w:rPr>
          <w:rFonts w:eastAsia="Arial" w:cs="Arial"/>
        </w:rPr>
        <w:t xml:space="preserve">established the San Diego Creek and Upper Newport Bay Diazinon and Chlorpyrifos TMDL on June 14, 2002. The watershed is impaired by organophosphate pesticides, causing adverse impacts to the waterbody beneficial uses. </w:t>
      </w:r>
      <w:r w:rsidRPr="00F0389D" w:rsidR="00D45477">
        <w:rPr>
          <w:rFonts w:eastAsia="Arial" w:cs="Arial"/>
        </w:rPr>
        <w:t>The TMDL state</w:t>
      </w:r>
      <w:r w:rsidR="00AE79F8">
        <w:rPr>
          <w:rFonts w:eastAsia="Arial" w:cs="Arial"/>
        </w:rPr>
        <w:t>s</w:t>
      </w:r>
      <w:r w:rsidRPr="00F0389D" w:rsidR="00D45477">
        <w:rPr>
          <w:rFonts w:eastAsia="Arial" w:cs="Arial"/>
        </w:rPr>
        <w:t xml:space="preserve"> that </w:t>
      </w:r>
      <w:r w:rsidR="00CD08AC">
        <w:rPr>
          <w:rFonts w:eastAsia="Arial" w:cs="Arial"/>
        </w:rPr>
        <w:t xml:space="preserve">a source of </w:t>
      </w:r>
      <w:r w:rsidR="00B533D7">
        <w:rPr>
          <w:rFonts w:eastAsia="Arial" w:cs="Arial"/>
        </w:rPr>
        <w:t xml:space="preserve">these </w:t>
      </w:r>
      <w:r w:rsidR="00CD08AC">
        <w:rPr>
          <w:rFonts w:eastAsia="Arial" w:cs="Arial"/>
        </w:rPr>
        <w:t xml:space="preserve">pollutants is </w:t>
      </w:r>
      <w:r w:rsidRPr="00F0389D" w:rsidR="00D45477">
        <w:rPr>
          <w:rFonts w:eastAsia="Arial" w:cs="Arial"/>
        </w:rPr>
        <w:t>stormflow</w:t>
      </w:r>
      <w:r w:rsidR="00CD08AC">
        <w:rPr>
          <w:rFonts w:eastAsia="Arial" w:cs="Arial"/>
        </w:rPr>
        <w:t>.</w:t>
      </w:r>
      <w:r w:rsidR="00D658B9">
        <w:rPr>
          <w:rStyle w:val="FootnoteReference"/>
          <w:rFonts w:eastAsia="Arial" w:cs="Arial"/>
        </w:rPr>
        <w:footnoteReference w:id="28"/>
      </w:r>
      <w:r w:rsidR="00572FA6">
        <w:rPr>
          <w:rFonts w:eastAsia="Arial" w:cs="Arial"/>
        </w:rPr>
        <w:t xml:space="preserve"> The Basin Plan states that </w:t>
      </w:r>
      <w:r w:rsidR="00296AC1">
        <w:rPr>
          <w:rFonts w:eastAsia="Arial" w:cs="Arial"/>
        </w:rPr>
        <w:t>the “</w:t>
      </w:r>
      <w:r w:rsidRPr="00A773F3" w:rsidR="00296AC1">
        <w:rPr>
          <w:i/>
          <w:iCs/>
        </w:rPr>
        <w:t xml:space="preserve">The TMDL allocates wasteloads to all dischargers in the watershed. Since the TMDL is concentration-based, these wasteloads </w:t>
      </w:r>
      <w:r w:rsidR="00C03C57">
        <w:rPr>
          <w:i/>
          <w:iCs/>
        </w:rPr>
        <w:t>are expressed as</w:t>
      </w:r>
      <w:r w:rsidRPr="00A773F3" w:rsidR="00296AC1">
        <w:rPr>
          <w:i/>
          <w:iCs/>
        </w:rPr>
        <w:t xml:space="preserve"> concentration limits. The concentration limits will be incorporated into existing and future discharge permits in the watershed</w:t>
      </w:r>
      <w:r w:rsidR="00A773F3">
        <w:rPr>
          <w:i/>
          <w:iCs/>
        </w:rPr>
        <w:t>.”</w:t>
      </w:r>
    </w:p>
    <w:p w:rsidRPr="00F0389D" w:rsidR="70567D2B" w:rsidP="00C67465" w:rsidRDefault="70567D2B" w14:paraId="4982FDD2" w14:textId="36676E77">
      <w:pPr>
        <w:spacing w:line="257" w:lineRule="auto"/>
        <w:ind w:left="1260"/>
      </w:pPr>
      <w:r w:rsidRPr="00F0389D">
        <w:rPr>
          <w:rFonts w:eastAsia="Arial" w:cs="Arial"/>
          <w:b/>
          <w:bCs/>
        </w:rPr>
        <w:t>Responsible Permittees</w:t>
      </w:r>
      <w:r w:rsidRPr="00F0389D">
        <w:rPr>
          <w:rFonts w:eastAsia="Arial" w:cs="Arial"/>
        </w:rPr>
        <w:t xml:space="preserve">: Orange County Fair </w:t>
      </w:r>
      <w:r w:rsidRPr="00F0389D" w:rsidR="00F0389D">
        <w:rPr>
          <w:rFonts w:eastAsia="Arial" w:cs="Arial"/>
        </w:rPr>
        <w:t>&amp;</w:t>
      </w:r>
      <w:r w:rsidRPr="00F0389D">
        <w:rPr>
          <w:rFonts w:eastAsia="Arial" w:cs="Arial"/>
        </w:rPr>
        <w:t xml:space="preserve"> Event Center; University of California, Irvine</w:t>
      </w:r>
    </w:p>
    <w:p w:rsidRPr="00F0389D" w:rsidR="70567D2B" w:rsidP="00C67465" w:rsidRDefault="70567D2B" w14:paraId="146E531F" w14:textId="690B665A">
      <w:pPr>
        <w:spacing w:line="257" w:lineRule="auto"/>
        <w:ind w:left="1260"/>
      </w:pPr>
      <w:r w:rsidRPr="00F0389D">
        <w:rPr>
          <w:rFonts w:eastAsia="Arial" w:cs="Arial"/>
          <w:b/>
          <w:bCs/>
        </w:rPr>
        <w:t>Wasteload Allocations</w:t>
      </w:r>
      <w:r w:rsidRPr="00F0389D">
        <w:rPr>
          <w:rFonts w:eastAsia="Arial" w:cs="Arial"/>
        </w:rPr>
        <w:t xml:space="preserve">: The following wasteload allocations are assigned to San Diego Creek and Upper Newport Bay. </w:t>
      </w:r>
    </w:p>
    <w:p w:rsidRPr="00F0389D" w:rsidR="70567D2B" w:rsidP="00127CA8" w:rsidRDefault="70567D2B" w14:paraId="24F61CAE" w14:textId="5F195BF2">
      <w:pPr>
        <w:pStyle w:val="TableHeader"/>
        <w:keepNext/>
        <w:keepLines/>
        <w:ind w:left="1260"/>
      </w:pPr>
      <w:r w:rsidRPr="00F0389D">
        <w:t>Diazinon and Chlorpyrifos Wasteload Allocations (nanograms per liter)</w:t>
      </w:r>
    </w:p>
    <w:tbl>
      <w:tblPr>
        <w:tblStyle w:val="TableGrid"/>
        <w:tblW w:w="7812" w:type="dxa"/>
        <w:tblInd w:w="125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250"/>
        <w:gridCol w:w="1152"/>
        <w:gridCol w:w="1229"/>
        <w:gridCol w:w="1587"/>
        <w:gridCol w:w="1594"/>
      </w:tblGrid>
      <w:tr w:rsidRPr="00F0389D" w:rsidR="00F8571F" w:rsidTr="00127CA8" w14:paraId="075BDF73" w14:textId="77777777">
        <w:trPr>
          <w:trHeight w:val="297"/>
          <w:tblHeader/>
        </w:trPr>
        <w:tc>
          <w:tcPr>
            <w:tcW w:w="2250" w:type="dxa"/>
            <w:shd w:val="clear" w:color="auto" w:fill="D6E3BC" w:themeFill="accent3" w:themeFillTint="66"/>
            <w:tcMar>
              <w:left w:w="108" w:type="dxa"/>
              <w:right w:w="108" w:type="dxa"/>
            </w:tcMar>
            <w:vAlign w:val="center"/>
          </w:tcPr>
          <w:p w:rsidRPr="00F0389D" w:rsidR="41839B7F" w:rsidP="00E55D95" w:rsidRDefault="41839B7F" w14:paraId="48E9ED26" w14:textId="171E36DB">
            <w:pPr>
              <w:keepNext/>
              <w:keepLines/>
              <w:spacing w:before="40" w:after="40" w:line="240" w:lineRule="auto"/>
              <w:ind w:left="155"/>
              <w:rPr>
                <w:b/>
                <w:bCs/>
                <w:sz w:val="22"/>
                <w:szCs w:val="22"/>
              </w:rPr>
            </w:pPr>
            <w:r w:rsidRPr="00F0389D">
              <w:rPr>
                <w:rFonts w:ascii="Arial" w:hAnsi="Arial" w:eastAsia="Arial" w:cs="Arial"/>
                <w:b/>
                <w:bCs/>
                <w:sz w:val="22"/>
                <w:szCs w:val="22"/>
              </w:rPr>
              <w:t>Location</w:t>
            </w:r>
          </w:p>
        </w:tc>
        <w:tc>
          <w:tcPr>
            <w:tcW w:w="1152" w:type="dxa"/>
            <w:shd w:val="clear" w:color="auto" w:fill="D6E3BC" w:themeFill="accent3" w:themeFillTint="66"/>
            <w:tcMar>
              <w:left w:w="108" w:type="dxa"/>
              <w:right w:w="108" w:type="dxa"/>
            </w:tcMar>
            <w:vAlign w:val="center"/>
          </w:tcPr>
          <w:p w:rsidRPr="00F0389D" w:rsidR="41839B7F" w:rsidP="00270468" w:rsidRDefault="41839B7F" w14:paraId="793278BC" w14:textId="2B0DC6DC">
            <w:pPr>
              <w:keepNext/>
              <w:keepLines/>
              <w:spacing w:before="40" w:after="40" w:line="240" w:lineRule="auto"/>
              <w:jc w:val="center"/>
              <w:rPr>
                <w:b/>
                <w:bCs/>
                <w:sz w:val="22"/>
                <w:szCs w:val="22"/>
              </w:rPr>
            </w:pPr>
            <w:r w:rsidRPr="00F0389D">
              <w:rPr>
                <w:rFonts w:ascii="Arial" w:hAnsi="Arial" w:eastAsia="Arial" w:cs="Arial"/>
                <w:b/>
                <w:bCs/>
                <w:sz w:val="22"/>
                <w:szCs w:val="22"/>
              </w:rPr>
              <w:t>Diazinon Acute</w:t>
            </w:r>
          </w:p>
        </w:tc>
        <w:tc>
          <w:tcPr>
            <w:tcW w:w="1229" w:type="dxa"/>
            <w:shd w:val="clear" w:color="auto" w:fill="D6E3BC" w:themeFill="accent3" w:themeFillTint="66"/>
            <w:tcMar>
              <w:left w:w="108" w:type="dxa"/>
              <w:right w:w="108" w:type="dxa"/>
            </w:tcMar>
            <w:vAlign w:val="center"/>
          </w:tcPr>
          <w:p w:rsidRPr="00F0389D" w:rsidR="41839B7F" w:rsidP="00270468" w:rsidRDefault="41839B7F" w14:paraId="30E51251" w14:textId="4A929CD8">
            <w:pPr>
              <w:keepNext/>
              <w:keepLines/>
              <w:spacing w:before="40" w:after="40" w:line="240" w:lineRule="auto"/>
              <w:jc w:val="center"/>
              <w:rPr>
                <w:b/>
                <w:bCs/>
                <w:sz w:val="22"/>
                <w:szCs w:val="22"/>
              </w:rPr>
            </w:pPr>
            <w:r w:rsidRPr="00F0389D">
              <w:rPr>
                <w:rFonts w:ascii="Arial" w:hAnsi="Arial" w:eastAsia="Arial" w:cs="Arial"/>
                <w:b/>
                <w:bCs/>
                <w:sz w:val="22"/>
                <w:szCs w:val="22"/>
              </w:rPr>
              <w:t>Diazinon</w:t>
            </w:r>
            <w:r w:rsidR="005D7004">
              <w:rPr>
                <w:rFonts w:ascii="Arial" w:hAnsi="Arial" w:eastAsia="Arial" w:cs="Arial"/>
                <w:b/>
                <w:bCs/>
                <w:sz w:val="22"/>
                <w:szCs w:val="22"/>
              </w:rPr>
              <w:t xml:space="preserve"> </w:t>
            </w:r>
            <w:r w:rsidRPr="00F0389D">
              <w:rPr>
                <w:rFonts w:ascii="Arial" w:hAnsi="Arial" w:eastAsia="Arial" w:cs="Arial"/>
                <w:b/>
                <w:bCs/>
                <w:sz w:val="22"/>
                <w:szCs w:val="22"/>
              </w:rPr>
              <w:t>Chronic</w:t>
            </w:r>
          </w:p>
        </w:tc>
        <w:tc>
          <w:tcPr>
            <w:tcW w:w="1587" w:type="dxa"/>
            <w:shd w:val="clear" w:color="auto" w:fill="D6E3BC" w:themeFill="accent3" w:themeFillTint="66"/>
            <w:tcMar>
              <w:left w:w="108" w:type="dxa"/>
              <w:right w:w="108" w:type="dxa"/>
            </w:tcMar>
            <w:vAlign w:val="center"/>
          </w:tcPr>
          <w:p w:rsidRPr="00F0389D" w:rsidR="41839B7F" w:rsidP="00270468" w:rsidRDefault="41839B7F" w14:paraId="6D02A1FD" w14:textId="7597E9C6">
            <w:pPr>
              <w:keepNext/>
              <w:keepLines/>
              <w:spacing w:before="40" w:after="40" w:line="240" w:lineRule="auto"/>
              <w:jc w:val="center"/>
              <w:rPr>
                <w:b/>
                <w:bCs/>
                <w:sz w:val="22"/>
                <w:szCs w:val="22"/>
              </w:rPr>
            </w:pPr>
            <w:r w:rsidRPr="00F0389D">
              <w:rPr>
                <w:rFonts w:ascii="Arial" w:hAnsi="Arial" w:eastAsia="Arial" w:cs="Arial"/>
                <w:b/>
                <w:bCs/>
                <w:sz w:val="22"/>
                <w:szCs w:val="22"/>
              </w:rPr>
              <w:t>Chlorpyrifos</w:t>
            </w:r>
            <w:r w:rsidR="005D7004">
              <w:rPr>
                <w:rFonts w:ascii="Arial" w:hAnsi="Arial" w:eastAsia="Arial" w:cs="Arial"/>
                <w:b/>
                <w:bCs/>
                <w:sz w:val="22"/>
                <w:szCs w:val="22"/>
              </w:rPr>
              <w:t xml:space="preserve"> </w:t>
            </w:r>
            <w:r w:rsidRPr="00F0389D">
              <w:rPr>
                <w:rFonts w:ascii="Arial" w:hAnsi="Arial" w:eastAsia="Arial" w:cs="Arial"/>
                <w:b/>
                <w:bCs/>
                <w:sz w:val="22"/>
                <w:szCs w:val="22"/>
              </w:rPr>
              <w:t>Acute</w:t>
            </w:r>
          </w:p>
        </w:tc>
        <w:tc>
          <w:tcPr>
            <w:tcW w:w="1594" w:type="dxa"/>
            <w:shd w:val="clear" w:color="auto" w:fill="D6E3BC" w:themeFill="accent3" w:themeFillTint="66"/>
            <w:tcMar>
              <w:left w:w="108" w:type="dxa"/>
              <w:right w:w="108" w:type="dxa"/>
            </w:tcMar>
            <w:vAlign w:val="center"/>
          </w:tcPr>
          <w:p w:rsidRPr="00F0389D" w:rsidR="41839B7F" w:rsidP="00270468" w:rsidRDefault="41839B7F" w14:paraId="57404824" w14:textId="5FF052EE">
            <w:pPr>
              <w:keepNext/>
              <w:keepLines/>
              <w:spacing w:before="40" w:after="40" w:line="240" w:lineRule="auto"/>
              <w:jc w:val="center"/>
              <w:rPr>
                <w:b/>
                <w:bCs/>
                <w:sz w:val="22"/>
                <w:szCs w:val="22"/>
              </w:rPr>
            </w:pPr>
            <w:r w:rsidRPr="00F0389D">
              <w:rPr>
                <w:rFonts w:ascii="Arial" w:hAnsi="Arial" w:eastAsia="Arial" w:cs="Arial"/>
                <w:b/>
                <w:bCs/>
                <w:sz w:val="22"/>
                <w:szCs w:val="22"/>
              </w:rPr>
              <w:t>Chlorpyrifos</w:t>
            </w:r>
            <w:r w:rsidR="005D7004">
              <w:rPr>
                <w:rFonts w:ascii="Arial" w:hAnsi="Arial" w:eastAsia="Arial" w:cs="Arial"/>
                <w:b/>
                <w:bCs/>
                <w:sz w:val="22"/>
                <w:szCs w:val="22"/>
              </w:rPr>
              <w:t xml:space="preserve"> </w:t>
            </w:r>
            <w:r w:rsidRPr="00F0389D">
              <w:rPr>
                <w:rFonts w:ascii="Arial" w:hAnsi="Arial" w:eastAsia="Arial" w:cs="Arial"/>
                <w:b/>
                <w:bCs/>
                <w:sz w:val="22"/>
                <w:szCs w:val="22"/>
              </w:rPr>
              <w:t>Chronic</w:t>
            </w:r>
          </w:p>
        </w:tc>
      </w:tr>
      <w:tr w:rsidRPr="00F0389D" w:rsidR="00F8571F" w:rsidTr="00127CA8" w14:paraId="4883883D" w14:textId="77777777">
        <w:trPr>
          <w:trHeight w:val="297"/>
        </w:trPr>
        <w:tc>
          <w:tcPr>
            <w:tcW w:w="2250" w:type="dxa"/>
            <w:tcMar>
              <w:left w:w="108" w:type="dxa"/>
              <w:right w:w="108" w:type="dxa"/>
            </w:tcMar>
            <w:vAlign w:val="center"/>
          </w:tcPr>
          <w:p w:rsidRPr="00F0389D" w:rsidR="41839B7F" w:rsidP="005D7004" w:rsidRDefault="41839B7F" w14:paraId="38D8660D" w14:textId="6CA45C70">
            <w:pPr>
              <w:spacing w:before="40" w:after="40" w:line="240" w:lineRule="auto"/>
              <w:ind w:left="65"/>
              <w:rPr>
                <w:sz w:val="22"/>
                <w:szCs w:val="22"/>
              </w:rPr>
            </w:pPr>
            <w:r w:rsidRPr="00F0389D">
              <w:rPr>
                <w:rFonts w:ascii="Arial" w:hAnsi="Arial" w:eastAsia="Arial" w:cs="Arial"/>
                <w:sz w:val="22"/>
                <w:szCs w:val="22"/>
              </w:rPr>
              <w:t>San Diego Creek</w:t>
            </w:r>
          </w:p>
        </w:tc>
        <w:tc>
          <w:tcPr>
            <w:tcW w:w="1152" w:type="dxa"/>
            <w:tcMar>
              <w:left w:w="108" w:type="dxa"/>
              <w:right w:w="108" w:type="dxa"/>
            </w:tcMar>
            <w:vAlign w:val="center"/>
          </w:tcPr>
          <w:p w:rsidRPr="00F0389D" w:rsidR="41839B7F" w:rsidP="00270468" w:rsidRDefault="41839B7F" w14:paraId="7E9D2FA7" w14:textId="103D6D9A">
            <w:pPr>
              <w:spacing w:before="40" w:after="40" w:line="240" w:lineRule="auto"/>
              <w:ind w:left="155"/>
              <w:jc w:val="center"/>
              <w:rPr>
                <w:rFonts w:ascii="Arial" w:hAnsi="Arial" w:eastAsia="Arial" w:cs="Arial"/>
                <w:sz w:val="22"/>
                <w:szCs w:val="22"/>
              </w:rPr>
            </w:pPr>
            <w:r w:rsidRPr="00F0389D">
              <w:rPr>
                <w:rFonts w:ascii="Arial" w:hAnsi="Arial" w:eastAsia="Arial" w:cs="Arial"/>
                <w:sz w:val="22"/>
                <w:szCs w:val="22"/>
              </w:rPr>
              <w:t>72</w:t>
            </w:r>
          </w:p>
        </w:tc>
        <w:tc>
          <w:tcPr>
            <w:tcW w:w="1229" w:type="dxa"/>
            <w:tcMar>
              <w:left w:w="108" w:type="dxa"/>
              <w:right w:w="108" w:type="dxa"/>
            </w:tcMar>
            <w:vAlign w:val="center"/>
          </w:tcPr>
          <w:p w:rsidRPr="00F0389D" w:rsidR="41839B7F" w:rsidP="00270468" w:rsidRDefault="41839B7F" w14:paraId="693A7977" w14:textId="4098C4CB">
            <w:pPr>
              <w:spacing w:before="40" w:after="40" w:line="240" w:lineRule="auto"/>
              <w:ind w:left="155"/>
              <w:jc w:val="center"/>
              <w:rPr>
                <w:rFonts w:ascii="Arial" w:hAnsi="Arial" w:eastAsia="Arial" w:cs="Arial"/>
                <w:sz w:val="22"/>
                <w:szCs w:val="22"/>
              </w:rPr>
            </w:pPr>
            <w:r w:rsidRPr="00F0389D">
              <w:rPr>
                <w:rFonts w:ascii="Arial" w:hAnsi="Arial" w:eastAsia="Arial" w:cs="Arial"/>
                <w:sz w:val="22"/>
                <w:szCs w:val="22"/>
              </w:rPr>
              <w:t>45</w:t>
            </w:r>
          </w:p>
        </w:tc>
        <w:tc>
          <w:tcPr>
            <w:tcW w:w="1587" w:type="dxa"/>
            <w:tcMar>
              <w:left w:w="108" w:type="dxa"/>
              <w:right w:w="108" w:type="dxa"/>
            </w:tcMar>
            <w:vAlign w:val="center"/>
          </w:tcPr>
          <w:p w:rsidRPr="00F0389D" w:rsidR="41839B7F" w:rsidP="00270468" w:rsidRDefault="41839B7F" w14:paraId="77CF5F00" w14:textId="57BCB65E">
            <w:pPr>
              <w:spacing w:before="40" w:after="40" w:line="240" w:lineRule="auto"/>
              <w:ind w:left="155"/>
              <w:jc w:val="center"/>
              <w:rPr>
                <w:rFonts w:ascii="Arial" w:hAnsi="Arial" w:eastAsia="Arial" w:cs="Arial"/>
                <w:sz w:val="22"/>
                <w:szCs w:val="22"/>
              </w:rPr>
            </w:pPr>
            <w:r w:rsidRPr="00F0389D">
              <w:rPr>
                <w:rFonts w:ascii="Arial" w:hAnsi="Arial" w:eastAsia="Arial" w:cs="Arial"/>
                <w:sz w:val="22"/>
                <w:szCs w:val="22"/>
              </w:rPr>
              <w:t>18</w:t>
            </w:r>
          </w:p>
        </w:tc>
        <w:tc>
          <w:tcPr>
            <w:tcW w:w="1594" w:type="dxa"/>
            <w:tcMar>
              <w:left w:w="108" w:type="dxa"/>
              <w:right w:w="108" w:type="dxa"/>
            </w:tcMar>
            <w:vAlign w:val="center"/>
          </w:tcPr>
          <w:p w:rsidRPr="00F0389D" w:rsidR="41839B7F" w:rsidP="00270468" w:rsidRDefault="41839B7F" w14:paraId="7CF7B04D" w14:textId="4487D11E">
            <w:pPr>
              <w:spacing w:before="40" w:after="40" w:line="240" w:lineRule="auto"/>
              <w:ind w:left="155"/>
              <w:jc w:val="center"/>
              <w:rPr>
                <w:rFonts w:ascii="Arial" w:hAnsi="Arial" w:eastAsia="Arial" w:cs="Arial"/>
                <w:sz w:val="22"/>
                <w:szCs w:val="22"/>
              </w:rPr>
            </w:pPr>
            <w:r w:rsidRPr="00F0389D">
              <w:rPr>
                <w:rFonts w:ascii="Arial" w:hAnsi="Arial" w:eastAsia="Arial" w:cs="Arial"/>
                <w:sz w:val="22"/>
                <w:szCs w:val="22"/>
              </w:rPr>
              <w:t>12.6</w:t>
            </w:r>
          </w:p>
        </w:tc>
      </w:tr>
      <w:tr w:rsidRPr="00F0389D" w:rsidR="00F8571F" w:rsidTr="00127CA8" w14:paraId="496EE70D" w14:textId="77777777">
        <w:trPr>
          <w:trHeight w:val="297"/>
        </w:trPr>
        <w:tc>
          <w:tcPr>
            <w:tcW w:w="2250" w:type="dxa"/>
            <w:tcMar>
              <w:left w:w="108" w:type="dxa"/>
              <w:right w:w="108" w:type="dxa"/>
            </w:tcMar>
            <w:vAlign w:val="center"/>
          </w:tcPr>
          <w:p w:rsidRPr="00F0389D" w:rsidR="41839B7F" w:rsidP="005D7004" w:rsidRDefault="41839B7F" w14:paraId="5A94C1AB" w14:textId="3BD1CFA4">
            <w:pPr>
              <w:spacing w:before="40" w:after="40" w:line="240" w:lineRule="auto"/>
              <w:ind w:left="65"/>
              <w:rPr>
                <w:sz w:val="22"/>
                <w:szCs w:val="22"/>
              </w:rPr>
            </w:pPr>
            <w:r w:rsidRPr="00F0389D">
              <w:rPr>
                <w:rFonts w:ascii="Arial" w:hAnsi="Arial" w:eastAsia="Arial" w:cs="Arial"/>
                <w:sz w:val="22"/>
                <w:szCs w:val="22"/>
              </w:rPr>
              <w:t>Upper Newport Bay</w:t>
            </w:r>
          </w:p>
        </w:tc>
        <w:tc>
          <w:tcPr>
            <w:tcW w:w="1152" w:type="dxa"/>
            <w:tcMar>
              <w:left w:w="108" w:type="dxa"/>
              <w:right w:w="108" w:type="dxa"/>
            </w:tcMar>
            <w:vAlign w:val="center"/>
          </w:tcPr>
          <w:p w:rsidRPr="00F0389D" w:rsidR="41839B7F" w:rsidP="00270468" w:rsidRDefault="41839B7F" w14:paraId="1A20B10A" w14:textId="26425B7F">
            <w:pPr>
              <w:spacing w:before="40" w:after="40" w:line="240" w:lineRule="auto"/>
              <w:ind w:left="155"/>
              <w:jc w:val="center"/>
              <w:rPr>
                <w:rFonts w:ascii="Arial" w:hAnsi="Arial" w:eastAsia="Arial" w:cs="Arial"/>
                <w:sz w:val="22"/>
                <w:szCs w:val="22"/>
              </w:rPr>
            </w:pPr>
          </w:p>
        </w:tc>
        <w:tc>
          <w:tcPr>
            <w:tcW w:w="1229" w:type="dxa"/>
            <w:tcMar>
              <w:left w:w="108" w:type="dxa"/>
              <w:right w:w="108" w:type="dxa"/>
            </w:tcMar>
            <w:vAlign w:val="center"/>
          </w:tcPr>
          <w:p w:rsidRPr="00F0389D" w:rsidR="41839B7F" w:rsidP="00270468" w:rsidRDefault="41839B7F" w14:paraId="3956E52E" w14:textId="5ABCD134">
            <w:pPr>
              <w:spacing w:before="40" w:after="40" w:line="240" w:lineRule="auto"/>
              <w:ind w:left="155"/>
              <w:jc w:val="center"/>
              <w:rPr>
                <w:rFonts w:ascii="Arial" w:hAnsi="Arial" w:eastAsia="Arial" w:cs="Arial"/>
                <w:sz w:val="22"/>
                <w:szCs w:val="22"/>
              </w:rPr>
            </w:pPr>
          </w:p>
        </w:tc>
        <w:tc>
          <w:tcPr>
            <w:tcW w:w="1587" w:type="dxa"/>
            <w:tcMar>
              <w:left w:w="108" w:type="dxa"/>
              <w:right w:w="108" w:type="dxa"/>
            </w:tcMar>
            <w:vAlign w:val="center"/>
          </w:tcPr>
          <w:p w:rsidRPr="00F0389D" w:rsidR="41839B7F" w:rsidP="00270468" w:rsidRDefault="41839B7F" w14:paraId="6B99EEDF" w14:textId="389E519C">
            <w:pPr>
              <w:spacing w:before="40" w:after="40" w:line="240" w:lineRule="auto"/>
              <w:ind w:left="155"/>
              <w:jc w:val="center"/>
              <w:rPr>
                <w:rFonts w:ascii="Arial" w:hAnsi="Arial" w:eastAsia="Arial" w:cs="Arial"/>
                <w:sz w:val="22"/>
                <w:szCs w:val="22"/>
              </w:rPr>
            </w:pPr>
            <w:r w:rsidRPr="00F0389D">
              <w:rPr>
                <w:rFonts w:ascii="Arial" w:hAnsi="Arial" w:eastAsia="Arial" w:cs="Arial"/>
                <w:sz w:val="22"/>
                <w:szCs w:val="22"/>
              </w:rPr>
              <w:t>18</w:t>
            </w:r>
          </w:p>
        </w:tc>
        <w:tc>
          <w:tcPr>
            <w:tcW w:w="1594" w:type="dxa"/>
            <w:tcMar>
              <w:left w:w="108" w:type="dxa"/>
              <w:right w:w="108" w:type="dxa"/>
            </w:tcMar>
            <w:vAlign w:val="center"/>
          </w:tcPr>
          <w:p w:rsidRPr="00F0389D" w:rsidR="41839B7F" w:rsidP="00270468" w:rsidRDefault="41839B7F" w14:paraId="15D00954" w14:textId="52AC3B81">
            <w:pPr>
              <w:spacing w:before="40" w:after="40" w:line="240" w:lineRule="auto"/>
              <w:ind w:left="155"/>
              <w:jc w:val="center"/>
              <w:rPr>
                <w:rFonts w:ascii="Arial" w:hAnsi="Arial" w:eastAsia="Arial" w:cs="Arial"/>
                <w:sz w:val="22"/>
                <w:szCs w:val="22"/>
              </w:rPr>
            </w:pPr>
            <w:r w:rsidRPr="00F0389D">
              <w:rPr>
                <w:rFonts w:ascii="Arial" w:hAnsi="Arial" w:eastAsia="Arial" w:cs="Arial"/>
                <w:sz w:val="22"/>
                <w:szCs w:val="22"/>
              </w:rPr>
              <w:t>8.1</w:t>
            </w:r>
          </w:p>
        </w:tc>
      </w:tr>
    </w:tbl>
    <w:p w:rsidR="001B3345" w:rsidP="00127CA8" w:rsidRDefault="70567D2B" w14:paraId="7D03BE17" w14:textId="639C9E7C">
      <w:pPr>
        <w:ind w:left="1267"/>
      </w:pPr>
      <w:r w:rsidRPr="00F0389D">
        <w:rPr>
          <w:rFonts w:eastAsia="Arial" w:cs="Arial"/>
          <w:b/>
          <w:bCs/>
        </w:rPr>
        <w:t>Final Compliance Deadline</w:t>
      </w:r>
      <w:r w:rsidRPr="00F0389D">
        <w:rPr>
          <w:rFonts w:eastAsia="Arial" w:cs="Arial"/>
        </w:rPr>
        <w:t xml:space="preserve">: </w:t>
      </w:r>
      <w:r w:rsidRPr="00F0389D" w:rsidR="001B3345">
        <w:t>The final compliance deadline was December</w:t>
      </w:r>
      <w:r w:rsidR="00933395">
        <w:t> </w:t>
      </w:r>
      <w:r w:rsidRPr="00F0389D" w:rsidR="001B3345">
        <w:t>1, 2007. If the deadline has not been met, the Permittee may request a time schedule order from the Santa Ana Board Executive Officer, which will establish an implementation schedule for the Permittee to comply with the TMDL requirements, and will supersede the deadlines referenced in this Order. The TMDL was delisted April 6, 2018.</w:t>
      </w:r>
    </w:p>
    <w:p w:rsidRPr="000D48DD" w:rsidR="70567D2B" w:rsidP="000D48DD" w:rsidRDefault="00836361" w14:paraId="39343E62" w14:textId="21A7051B">
      <w:pPr>
        <w:pStyle w:val="Heading3"/>
        <w:tabs>
          <w:tab w:val="clear" w:pos="720"/>
          <w:tab w:val="left" w:pos="1260"/>
        </w:tabs>
        <w:ind w:left="1260" w:hanging="1260"/>
        <w:rPr>
          <w:i/>
          <w:iCs/>
        </w:rPr>
      </w:pPr>
      <w:r>
        <w:rPr>
          <w:i/>
          <w:iCs/>
        </w:rPr>
        <w:t>A13</w:t>
      </w:r>
      <w:r w:rsidRPr="000D48DD" w:rsidR="006376C0">
        <w:rPr>
          <w:i/>
          <w:iCs/>
        </w:rPr>
        <w:t>.8</w:t>
      </w:r>
      <w:r w:rsidR="00D3727B">
        <w:rPr>
          <w:i/>
          <w:iCs/>
        </w:rPr>
        <w:t>.</w:t>
      </w:r>
      <w:r w:rsidR="00FA66C0">
        <w:rPr>
          <w:i/>
          <w:iCs/>
        </w:rPr>
        <w:t>5</w:t>
      </w:r>
      <w:r w:rsidRPr="000D48DD" w:rsidR="70567D2B">
        <w:rPr>
          <w:i/>
          <w:iCs/>
        </w:rPr>
        <w:tab/>
      </w:r>
      <w:r w:rsidRPr="000D48DD" w:rsidR="70567D2B">
        <w:rPr>
          <w:i/>
          <w:iCs/>
        </w:rPr>
        <w:t>San Diego Creek and Newport Bay Toxic Pollutants (Metals) TMDL</w:t>
      </w:r>
    </w:p>
    <w:p w:rsidR="00462680" w:rsidP="001C0EC8" w:rsidRDefault="70567D2B" w14:paraId="503360CA" w14:textId="4085D8C6">
      <w:pPr>
        <w:spacing w:line="257" w:lineRule="auto"/>
        <w:ind w:left="1260"/>
      </w:pPr>
      <w:r w:rsidRPr="001C1E48">
        <w:rPr>
          <w:rFonts w:eastAsia="Arial" w:cs="Arial"/>
          <w:b/>
          <w:bCs/>
        </w:rPr>
        <w:t>Description</w:t>
      </w:r>
      <w:r w:rsidRPr="41839B7F">
        <w:rPr>
          <w:rFonts w:eastAsia="Arial" w:cs="Arial"/>
        </w:rPr>
        <w:t xml:space="preserve">: </w:t>
      </w:r>
      <w:r w:rsidRPr="00BF3775" w:rsidR="00462680">
        <w:t xml:space="preserve">The </w:t>
      </w:r>
      <w:r w:rsidRPr="00BF3775" w:rsidR="00276B30">
        <w:rPr>
          <w:i/>
          <w:iCs/>
        </w:rPr>
        <w:t>San Diego Creek and Newport Bay Toxic Pollutants (Metals) TMDL</w:t>
      </w:r>
      <w:r w:rsidRPr="00BF3775" w:rsidR="00276B30">
        <w:t xml:space="preserve"> </w:t>
      </w:r>
      <w:r w:rsidRPr="00BF3775" w:rsidR="00575AB8">
        <w:t>was</w:t>
      </w:r>
      <w:r w:rsidRPr="00BF3775" w:rsidR="00462680">
        <w:t xml:space="preserve"> </w:t>
      </w:r>
      <w:r w:rsidRPr="00BF3775" w:rsidR="000A2DA0">
        <w:t>established</w:t>
      </w:r>
      <w:r w:rsidRPr="00BF3775" w:rsidR="00462680">
        <w:t xml:space="preserve"> by </w:t>
      </w:r>
      <w:r w:rsidR="00766ACF">
        <w:t>USEPA</w:t>
      </w:r>
      <w:r w:rsidR="00C56C92">
        <w:t xml:space="preserve"> </w:t>
      </w:r>
      <w:r w:rsidRPr="00BF3775" w:rsidR="00462680">
        <w:t>on June 1</w:t>
      </w:r>
      <w:r w:rsidR="0035022D">
        <w:t>4</w:t>
      </w:r>
      <w:r w:rsidRPr="00BF3775" w:rsidR="00462680">
        <w:t>, 2002</w:t>
      </w:r>
      <w:r w:rsidR="0048720D">
        <w:t xml:space="preserve">. </w:t>
      </w:r>
      <w:r w:rsidRPr="00BF3775" w:rsidR="00462680">
        <w:t>San</w:t>
      </w:r>
      <w:r w:rsidR="00462680">
        <w:t xml:space="preserve"> Diego Creek and Newport Bay </w:t>
      </w:r>
      <w:r w:rsidR="00575AB8">
        <w:t>a</w:t>
      </w:r>
      <w:r w:rsidR="00B130AB">
        <w:t>re</w:t>
      </w:r>
      <w:r w:rsidR="00462680">
        <w:t xml:space="preserve"> impaired by dissolved metals. </w:t>
      </w:r>
      <w:r w:rsidR="008D42C6">
        <w:t>Urban</w:t>
      </w:r>
      <w:r w:rsidR="00462680">
        <w:t xml:space="preserve"> runoff is identified </w:t>
      </w:r>
      <w:r w:rsidR="008A2D7E">
        <w:t>as</w:t>
      </w:r>
      <w:r w:rsidR="00462680">
        <w:t xml:space="preserve"> a contributing source of metals</w:t>
      </w:r>
      <w:r w:rsidR="008301D1">
        <w:t xml:space="preserve"> and the </w:t>
      </w:r>
      <w:r w:rsidR="007C0720">
        <w:t xml:space="preserve">Santa Ana Water Board </w:t>
      </w:r>
      <w:r w:rsidR="008301D1">
        <w:t>Basin Plan states “</w:t>
      </w:r>
      <w:r w:rsidRPr="008301D1" w:rsidR="008301D1">
        <w:rPr>
          <w:i/>
          <w:iCs/>
        </w:rPr>
        <w:t>The TMDL allocates wasteloads to all dischargers in the watershed</w:t>
      </w:r>
      <w:r w:rsidR="008301D1">
        <w:t>.”</w:t>
      </w:r>
    </w:p>
    <w:p w:rsidR="70567D2B" w:rsidP="001C0EC8" w:rsidRDefault="70567D2B" w14:paraId="7CC7509E" w14:textId="19FE1CCE">
      <w:pPr>
        <w:spacing w:line="257" w:lineRule="auto"/>
        <w:ind w:left="1260"/>
      </w:pPr>
      <w:r w:rsidRPr="00196EBB">
        <w:rPr>
          <w:rFonts w:eastAsia="Arial" w:cs="Arial"/>
          <w:b/>
          <w:bCs/>
        </w:rPr>
        <w:t>Responsible Permittees</w:t>
      </w:r>
      <w:r w:rsidRPr="41839B7F">
        <w:rPr>
          <w:rFonts w:eastAsia="Arial" w:cs="Arial"/>
        </w:rPr>
        <w:t>: Orange County Fair &amp; Event Center</w:t>
      </w:r>
      <w:r w:rsidR="00D87D14">
        <w:rPr>
          <w:rFonts w:eastAsia="Arial" w:cs="Arial"/>
        </w:rPr>
        <w:t>;</w:t>
      </w:r>
      <w:r w:rsidRPr="41839B7F">
        <w:rPr>
          <w:rFonts w:eastAsia="Arial" w:cs="Arial"/>
        </w:rPr>
        <w:t xml:space="preserve"> University of California, Irvine</w:t>
      </w:r>
    </w:p>
    <w:p w:rsidR="70567D2B" w:rsidP="001C0EC8" w:rsidRDefault="70567D2B" w14:paraId="56BEA81B" w14:textId="6D6915D0">
      <w:pPr>
        <w:spacing w:line="257" w:lineRule="auto"/>
        <w:ind w:left="1260"/>
      </w:pPr>
      <w:r w:rsidRPr="00196EBB">
        <w:rPr>
          <w:rFonts w:eastAsia="Arial" w:cs="Arial"/>
          <w:b/>
          <w:bCs/>
        </w:rPr>
        <w:t>Wasteload Allocations</w:t>
      </w:r>
      <w:r w:rsidRPr="41839B7F">
        <w:rPr>
          <w:rFonts w:eastAsia="Arial" w:cs="Arial"/>
        </w:rPr>
        <w:t xml:space="preserve">: </w:t>
      </w:r>
      <w:r w:rsidR="005F67FF">
        <w:rPr>
          <w:rFonts w:eastAsia="Arial" w:cs="Arial"/>
        </w:rPr>
        <w:t>The assigned wasteload allocations are</w:t>
      </w:r>
      <w:r w:rsidR="00196EBB">
        <w:rPr>
          <w:rFonts w:eastAsia="Arial" w:cs="Arial"/>
        </w:rPr>
        <w:t xml:space="preserve"> provided in the table below,</w:t>
      </w:r>
      <w:r w:rsidR="006161CE">
        <w:rPr>
          <w:rFonts w:eastAsia="Arial" w:cs="Arial"/>
        </w:rPr>
        <w:t xml:space="preserve"> </w:t>
      </w:r>
      <w:r w:rsidR="005F67FF">
        <w:rPr>
          <w:rFonts w:eastAsia="Arial" w:cs="Arial"/>
        </w:rPr>
        <w:t>as follows:</w:t>
      </w:r>
    </w:p>
    <w:p w:rsidR="70567D2B" w:rsidP="00196EBB" w:rsidRDefault="70567D2B" w14:paraId="4032772B" w14:textId="25F2BB36">
      <w:pPr>
        <w:pStyle w:val="TableHead"/>
      </w:pPr>
      <w:r w:rsidRPr="41839B7F">
        <w:t>Metals Wasteload Allocations (</w:t>
      </w:r>
      <w:r w:rsidR="00196EBB">
        <w:t>micrograms per liter</w:t>
      </w:r>
      <w:r w:rsidR="00E304A3">
        <w:t>)</w:t>
      </w:r>
      <w:r w:rsidR="007945FB">
        <w:t xml:space="preserve"> </w:t>
      </w:r>
      <w:r w:rsidR="00E304A3">
        <w:t>B</w:t>
      </w:r>
      <w:r w:rsidRPr="41839B7F">
        <w:t xml:space="preserve">ased on </w:t>
      </w:r>
      <w:r w:rsidR="00E304A3">
        <w:t>F</w:t>
      </w:r>
      <w:r w:rsidRPr="41839B7F">
        <w:t xml:space="preserve">low </w:t>
      </w:r>
      <w:r w:rsidR="00E304A3">
        <w:t>T</w:t>
      </w:r>
      <w:r w:rsidRPr="41839B7F">
        <w:t>iers for San Diego Creek</w:t>
      </w:r>
      <w:r w:rsidR="00D2037F">
        <w:t xml:space="preserve"> in </w:t>
      </w:r>
      <w:r w:rsidR="007051EF">
        <w:t>C</w:t>
      </w:r>
      <w:r w:rsidR="00181A01">
        <w:t xml:space="preserve">ubic </w:t>
      </w:r>
      <w:r w:rsidR="007051EF">
        <w:t>F</w:t>
      </w:r>
      <w:r w:rsidR="00181A01">
        <w:t xml:space="preserve">eet per </w:t>
      </w:r>
      <w:r w:rsidR="007051EF">
        <w:t>S</w:t>
      </w:r>
      <w:r w:rsidR="00181A01">
        <w:t>econd (cfs)</w:t>
      </w:r>
    </w:p>
    <w:tbl>
      <w:tblPr>
        <w:tblStyle w:val="TableGrid"/>
        <w:tblW w:w="94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170"/>
        <w:gridCol w:w="1170"/>
        <w:gridCol w:w="1170"/>
        <w:gridCol w:w="1170"/>
        <w:gridCol w:w="1170"/>
        <w:gridCol w:w="1170"/>
        <w:gridCol w:w="1170"/>
        <w:gridCol w:w="1257"/>
      </w:tblGrid>
      <w:tr w:rsidRPr="001C0EC8" w:rsidR="41839B7F" w:rsidTr="009F5FB7" w14:paraId="564D3395" w14:textId="77777777">
        <w:trPr>
          <w:trHeight w:val="300"/>
          <w:tblHeader/>
        </w:trPr>
        <w:tc>
          <w:tcPr>
            <w:tcW w:w="1170" w:type="dxa"/>
            <w:shd w:val="clear" w:color="auto" w:fill="D6E3BC" w:themeFill="accent3" w:themeFillTint="66"/>
            <w:tcMar>
              <w:left w:w="108" w:type="dxa"/>
              <w:right w:w="108" w:type="dxa"/>
            </w:tcMar>
          </w:tcPr>
          <w:p w:rsidRPr="001C0EC8" w:rsidR="41839B7F" w:rsidP="009F705E" w:rsidRDefault="41839B7F" w14:paraId="6A24373E" w14:textId="38230B5C">
            <w:pPr>
              <w:jc w:val="center"/>
              <w:rPr>
                <w:b/>
                <w:bCs/>
                <w:sz w:val="20"/>
                <w:szCs w:val="20"/>
              </w:rPr>
            </w:pPr>
            <w:r w:rsidRPr="001C0EC8">
              <w:rPr>
                <w:rFonts w:ascii="Arial" w:hAnsi="Arial" w:eastAsia="Arial" w:cs="Arial"/>
                <w:b/>
                <w:bCs/>
                <w:sz w:val="20"/>
                <w:szCs w:val="20"/>
              </w:rPr>
              <w:t>Dissolved Metal</w:t>
            </w:r>
          </w:p>
        </w:tc>
        <w:tc>
          <w:tcPr>
            <w:tcW w:w="1170" w:type="dxa"/>
            <w:shd w:val="clear" w:color="auto" w:fill="D6E3BC" w:themeFill="accent3" w:themeFillTint="66"/>
            <w:tcMar>
              <w:left w:w="108" w:type="dxa"/>
              <w:right w:w="108" w:type="dxa"/>
            </w:tcMar>
          </w:tcPr>
          <w:p w:rsidRPr="001C0EC8" w:rsidR="41839B7F" w:rsidP="009F705E" w:rsidRDefault="41839B7F" w14:paraId="696D75BC" w14:textId="188385FB">
            <w:pPr>
              <w:jc w:val="center"/>
              <w:rPr>
                <w:b/>
                <w:bCs/>
                <w:sz w:val="20"/>
                <w:szCs w:val="20"/>
              </w:rPr>
            </w:pPr>
            <w:r w:rsidRPr="001C0EC8">
              <w:rPr>
                <w:rFonts w:ascii="Arial" w:hAnsi="Arial" w:eastAsia="Arial" w:cs="Arial"/>
                <w:b/>
                <w:bCs/>
                <w:sz w:val="20"/>
                <w:szCs w:val="20"/>
              </w:rPr>
              <w:t>Base Flows (&lt;20 cfs) hardness at 400 mg/L Acute</w:t>
            </w:r>
          </w:p>
        </w:tc>
        <w:tc>
          <w:tcPr>
            <w:tcW w:w="1170" w:type="dxa"/>
            <w:shd w:val="clear" w:color="auto" w:fill="D6E3BC" w:themeFill="accent3" w:themeFillTint="66"/>
            <w:tcMar>
              <w:left w:w="108" w:type="dxa"/>
              <w:right w:w="108" w:type="dxa"/>
            </w:tcMar>
          </w:tcPr>
          <w:p w:rsidRPr="001C0EC8" w:rsidR="41839B7F" w:rsidP="009F705E" w:rsidRDefault="41839B7F" w14:paraId="6F01F123" w14:textId="0848BBFE">
            <w:pPr>
              <w:jc w:val="center"/>
              <w:rPr>
                <w:b/>
                <w:bCs/>
                <w:sz w:val="20"/>
                <w:szCs w:val="20"/>
              </w:rPr>
            </w:pPr>
            <w:r w:rsidRPr="001C0EC8">
              <w:rPr>
                <w:rFonts w:ascii="Arial" w:hAnsi="Arial" w:eastAsia="Arial" w:cs="Arial"/>
                <w:b/>
                <w:bCs/>
                <w:sz w:val="20"/>
                <w:szCs w:val="20"/>
              </w:rPr>
              <w:t>Base Flows (&lt;20 cfs) hardness at 400 mg/L Chronic</w:t>
            </w:r>
          </w:p>
        </w:tc>
        <w:tc>
          <w:tcPr>
            <w:tcW w:w="1170" w:type="dxa"/>
            <w:shd w:val="clear" w:color="auto" w:fill="D6E3BC" w:themeFill="accent3" w:themeFillTint="66"/>
            <w:tcMar>
              <w:left w:w="108" w:type="dxa"/>
              <w:right w:w="108" w:type="dxa"/>
            </w:tcMar>
          </w:tcPr>
          <w:p w:rsidRPr="001C0EC8" w:rsidR="41839B7F" w:rsidP="009F705E" w:rsidRDefault="41839B7F" w14:paraId="5A45257E" w14:textId="3D5D256E">
            <w:pPr>
              <w:jc w:val="center"/>
              <w:rPr>
                <w:b/>
                <w:bCs/>
                <w:sz w:val="20"/>
                <w:szCs w:val="20"/>
              </w:rPr>
            </w:pPr>
            <w:r w:rsidRPr="001C0EC8">
              <w:rPr>
                <w:rFonts w:ascii="Arial" w:hAnsi="Arial" w:eastAsia="Arial" w:cs="Arial"/>
                <w:b/>
                <w:bCs/>
                <w:sz w:val="20"/>
                <w:szCs w:val="20"/>
              </w:rPr>
              <w:t>Small Flows (21-181 cfs) hardness at 322 mg/L Acute</w:t>
            </w:r>
          </w:p>
        </w:tc>
        <w:tc>
          <w:tcPr>
            <w:tcW w:w="1170" w:type="dxa"/>
            <w:shd w:val="clear" w:color="auto" w:fill="D6E3BC" w:themeFill="accent3" w:themeFillTint="66"/>
            <w:tcMar>
              <w:left w:w="108" w:type="dxa"/>
              <w:right w:w="108" w:type="dxa"/>
            </w:tcMar>
          </w:tcPr>
          <w:p w:rsidRPr="001C0EC8" w:rsidR="41839B7F" w:rsidP="009F705E" w:rsidRDefault="41839B7F" w14:paraId="0F78AA6F" w14:textId="5EB90310">
            <w:pPr>
              <w:jc w:val="center"/>
              <w:rPr>
                <w:b/>
                <w:bCs/>
                <w:sz w:val="20"/>
                <w:szCs w:val="20"/>
              </w:rPr>
            </w:pPr>
            <w:r w:rsidRPr="001C0EC8">
              <w:rPr>
                <w:rFonts w:ascii="Arial" w:hAnsi="Arial" w:eastAsia="Arial" w:cs="Arial"/>
                <w:b/>
                <w:bCs/>
                <w:sz w:val="20"/>
                <w:szCs w:val="20"/>
              </w:rPr>
              <w:t>Small Flows (21-181 cfs) hardness at 322 mg/L Chronic</w:t>
            </w:r>
          </w:p>
        </w:tc>
        <w:tc>
          <w:tcPr>
            <w:tcW w:w="1170" w:type="dxa"/>
            <w:shd w:val="clear" w:color="auto" w:fill="D6E3BC" w:themeFill="accent3" w:themeFillTint="66"/>
            <w:tcMar>
              <w:left w:w="108" w:type="dxa"/>
              <w:right w:w="108" w:type="dxa"/>
            </w:tcMar>
          </w:tcPr>
          <w:p w:rsidRPr="001C0EC8" w:rsidR="41839B7F" w:rsidP="009F705E" w:rsidRDefault="41839B7F" w14:paraId="38D275DE" w14:textId="694456A7">
            <w:pPr>
              <w:jc w:val="center"/>
              <w:rPr>
                <w:b/>
                <w:bCs/>
                <w:sz w:val="20"/>
                <w:szCs w:val="20"/>
              </w:rPr>
            </w:pPr>
            <w:r w:rsidRPr="001C0EC8">
              <w:rPr>
                <w:rFonts w:ascii="Arial" w:hAnsi="Arial" w:eastAsia="Arial" w:cs="Arial"/>
                <w:b/>
                <w:bCs/>
                <w:sz w:val="20"/>
                <w:szCs w:val="20"/>
              </w:rPr>
              <w:t>Medium Flows (182-815 cfs) hardness at 236 mg/L Acute</w:t>
            </w:r>
          </w:p>
        </w:tc>
        <w:tc>
          <w:tcPr>
            <w:tcW w:w="1170" w:type="dxa"/>
            <w:shd w:val="clear" w:color="auto" w:fill="D6E3BC" w:themeFill="accent3" w:themeFillTint="66"/>
            <w:tcMar>
              <w:left w:w="108" w:type="dxa"/>
              <w:right w:w="108" w:type="dxa"/>
            </w:tcMar>
          </w:tcPr>
          <w:p w:rsidRPr="001C0EC8" w:rsidR="41839B7F" w:rsidP="009F705E" w:rsidRDefault="41839B7F" w14:paraId="3B2738F0" w14:textId="7C40D38B">
            <w:pPr>
              <w:jc w:val="center"/>
              <w:rPr>
                <w:b/>
                <w:bCs/>
                <w:sz w:val="20"/>
                <w:szCs w:val="20"/>
              </w:rPr>
            </w:pPr>
            <w:r w:rsidRPr="001C0EC8">
              <w:rPr>
                <w:rFonts w:ascii="Arial" w:hAnsi="Arial" w:eastAsia="Arial" w:cs="Arial"/>
                <w:b/>
                <w:bCs/>
                <w:sz w:val="20"/>
                <w:szCs w:val="20"/>
              </w:rPr>
              <w:t>Medium Flows (182-815 cfs) hardness at 236 mg/L</w:t>
            </w:r>
            <w:r w:rsidR="005A0069">
              <w:rPr>
                <w:rFonts w:ascii="Arial" w:hAnsi="Arial" w:eastAsia="Arial" w:cs="Arial"/>
                <w:b/>
                <w:bCs/>
                <w:sz w:val="20"/>
                <w:szCs w:val="20"/>
              </w:rPr>
              <w:t xml:space="preserve"> </w:t>
            </w:r>
            <w:r w:rsidRPr="001C0EC8">
              <w:rPr>
                <w:rFonts w:ascii="Arial" w:hAnsi="Arial" w:eastAsia="Arial" w:cs="Arial"/>
                <w:b/>
                <w:bCs/>
                <w:sz w:val="20"/>
                <w:szCs w:val="20"/>
              </w:rPr>
              <w:t>Chronic</w:t>
            </w:r>
          </w:p>
        </w:tc>
        <w:tc>
          <w:tcPr>
            <w:tcW w:w="1257" w:type="dxa"/>
            <w:shd w:val="clear" w:color="auto" w:fill="D6E3BC" w:themeFill="accent3" w:themeFillTint="66"/>
            <w:tcMar>
              <w:left w:w="108" w:type="dxa"/>
              <w:right w:w="108" w:type="dxa"/>
            </w:tcMar>
          </w:tcPr>
          <w:p w:rsidRPr="001C0EC8" w:rsidR="41839B7F" w:rsidP="009F705E" w:rsidRDefault="41839B7F" w14:paraId="27C64605" w14:textId="3AD91061">
            <w:pPr>
              <w:jc w:val="center"/>
              <w:rPr>
                <w:b/>
                <w:bCs/>
                <w:sz w:val="20"/>
                <w:szCs w:val="20"/>
              </w:rPr>
            </w:pPr>
            <w:r w:rsidRPr="001C0EC8">
              <w:rPr>
                <w:rFonts w:ascii="Arial" w:hAnsi="Arial" w:eastAsia="Arial" w:cs="Arial"/>
                <w:b/>
                <w:bCs/>
                <w:sz w:val="20"/>
                <w:szCs w:val="20"/>
              </w:rPr>
              <w:t>Large Flows (&gt;815 cfs) at 197 mg/L</w:t>
            </w:r>
          </w:p>
        </w:tc>
      </w:tr>
      <w:tr w:rsidRPr="001C0EC8" w:rsidR="41839B7F" w:rsidTr="001C0EC8" w14:paraId="1A310F40" w14:textId="77777777">
        <w:trPr>
          <w:trHeight w:val="300"/>
        </w:trPr>
        <w:tc>
          <w:tcPr>
            <w:tcW w:w="1170" w:type="dxa"/>
            <w:tcMar>
              <w:left w:w="108" w:type="dxa"/>
              <w:right w:w="108" w:type="dxa"/>
            </w:tcMar>
          </w:tcPr>
          <w:p w:rsidRPr="00DF5E4C" w:rsidR="41839B7F" w:rsidP="41839B7F" w:rsidRDefault="41839B7F" w14:paraId="2AAAD254" w14:textId="1E137A4C">
            <w:pPr>
              <w:rPr>
                <w:sz w:val="22"/>
                <w:szCs w:val="22"/>
              </w:rPr>
            </w:pPr>
            <w:r w:rsidRPr="00DF5E4C">
              <w:rPr>
                <w:rFonts w:ascii="Arial" w:hAnsi="Arial" w:eastAsia="Arial" w:cs="Arial"/>
                <w:sz w:val="22"/>
                <w:szCs w:val="22"/>
              </w:rPr>
              <w:t>Cadmium</w:t>
            </w:r>
          </w:p>
        </w:tc>
        <w:tc>
          <w:tcPr>
            <w:tcW w:w="1170" w:type="dxa"/>
            <w:tcMar>
              <w:left w:w="108" w:type="dxa"/>
              <w:right w:w="108" w:type="dxa"/>
            </w:tcMar>
          </w:tcPr>
          <w:p w:rsidRPr="00DF5E4C" w:rsidR="41839B7F" w:rsidP="00C7204E" w:rsidRDefault="41839B7F" w14:paraId="682FE051" w14:textId="61F5E3E8">
            <w:pPr>
              <w:jc w:val="center"/>
              <w:rPr>
                <w:sz w:val="22"/>
                <w:szCs w:val="22"/>
              </w:rPr>
            </w:pPr>
            <w:r w:rsidRPr="00DF5E4C">
              <w:rPr>
                <w:rFonts w:ascii="Arial" w:hAnsi="Arial" w:eastAsia="Arial" w:cs="Arial"/>
                <w:sz w:val="22"/>
                <w:szCs w:val="22"/>
              </w:rPr>
              <w:t>19.1</w:t>
            </w:r>
          </w:p>
        </w:tc>
        <w:tc>
          <w:tcPr>
            <w:tcW w:w="1170" w:type="dxa"/>
            <w:tcMar>
              <w:left w:w="108" w:type="dxa"/>
              <w:right w:w="108" w:type="dxa"/>
            </w:tcMar>
          </w:tcPr>
          <w:p w:rsidRPr="00DF5E4C" w:rsidR="41839B7F" w:rsidP="00C7204E" w:rsidRDefault="41839B7F" w14:paraId="42D3F837" w14:textId="7674B24D">
            <w:pPr>
              <w:jc w:val="center"/>
              <w:rPr>
                <w:sz w:val="22"/>
                <w:szCs w:val="22"/>
              </w:rPr>
            </w:pPr>
            <w:r w:rsidRPr="00DF5E4C">
              <w:rPr>
                <w:rFonts w:ascii="Arial" w:hAnsi="Arial" w:eastAsia="Arial" w:cs="Arial"/>
                <w:sz w:val="22"/>
                <w:szCs w:val="22"/>
              </w:rPr>
              <w:t>6.2</w:t>
            </w:r>
          </w:p>
        </w:tc>
        <w:tc>
          <w:tcPr>
            <w:tcW w:w="1170" w:type="dxa"/>
            <w:tcMar>
              <w:left w:w="108" w:type="dxa"/>
              <w:right w:w="108" w:type="dxa"/>
            </w:tcMar>
          </w:tcPr>
          <w:p w:rsidRPr="00DF5E4C" w:rsidR="41839B7F" w:rsidP="00C7204E" w:rsidRDefault="41839B7F" w14:paraId="1AC8D18E" w14:textId="1FDDD092">
            <w:pPr>
              <w:jc w:val="center"/>
              <w:rPr>
                <w:sz w:val="22"/>
                <w:szCs w:val="22"/>
              </w:rPr>
            </w:pPr>
            <w:r w:rsidRPr="00DF5E4C">
              <w:rPr>
                <w:rFonts w:ascii="Arial" w:hAnsi="Arial" w:eastAsia="Arial" w:cs="Arial"/>
                <w:sz w:val="22"/>
                <w:szCs w:val="22"/>
              </w:rPr>
              <w:t>15.1</w:t>
            </w:r>
          </w:p>
        </w:tc>
        <w:tc>
          <w:tcPr>
            <w:tcW w:w="1170" w:type="dxa"/>
            <w:tcMar>
              <w:left w:w="108" w:type="dxa"/>
              <w:right w:w="108" w:type="dxa"/>
            </w:tcMar>
          </w:tcPr>
          <w:p w:rsidRPr="00DF5E4C" w:rsidR="41839B7F" w:rsidP="00C7204E" w:rsidRDefault="41839B7F" w14:paraId="3E43A6CC" w14:textId="15A8EC1B">
            <w:pPr>
              <w:jc w:val="center"/>
              <w:rPr>
                <w:sz w:val="22"/>
                <w:szCs w:val="22"/>
              </w:rPr>
            </w:pPr>
            <w:r w:rsidRPr="00DF5E4C">
              <w:rPr>
                <w:rFonts w:ascii="Arial" w:hAnsi="Arial" w:eastAsia="Arial" w:cs="Arial"/>
                <w:sz w:val="22"/>
                <w:szCs w:val="22"/>
              </w:rPr>
              <w:t>5.3</w:t>
            </w:r>
          </w:p>
        </w:tc>
        <w:tc>
          <w:tcPr>
            <w:tcW w:w="1170" w:type="dxa"/>
            <w:tcMar>
              <w:left w:w="108" w:type="dxa"/>
              <w:right w:w="108" w:type="dxa"/>
            </w:tcMar>
          </w:tcPr>
          <w:p w:rsidRPr="00DF5E4C" w:rsidR="41839B7F" w:rsidP="00C7204E" w:rsidRDefault="41839B7F" w14:paraId="4B66804E" w14:textId="7769C1E3">
            <w:pPr>
              <w:jc w:val="center"/>
              <w:rPr>
                <w:sz w:val="22"/>
                <w:szCs w:val="22"/>
              </w:rPr>
            </w:pPr>
            <w:r w:rsidRPr="00DF5E4C">
              <w:rPr>
                <w:rFonts w:ascii="Arial" w:hAnsi="Arial" w:eastAsia="Arial" w:cs="Arial"/>
                <w:sz w:val="22"/>
                <w:szCs w:val="22"/>
              </w:rPr>
              <w:t>10.8</w:t>
            </w:r>
          </w:p>
        </w:tc>
        <w:tc>
          <w:tcPr>
            <w:tcW w:w="1170" w:type="dxa"/>
            <w:tcMar>
              <w:left w:w="108" w:type="dxa"/>
              <w:right w:w="108" w:type="dxa"/>
            </w:tcMar>
          </w:tcPr>
          <w:p w:rsidRPr="00DF5E4C" w:rsidR="41839B7F" w:rsidP="00C7204E" w:rsidRDefault="41839B7F" w14:paraId="7BF7AE31" w14:textId="3A208B8F">
            <w:pPr>
              <w:jc w:val="center"/>
              <w:rPr>
                <w:sz w:val="22"/>
                <w:szCs w:val="22"/>
              </w:rPr>
            </w:pPr>
            <w:r w:rsidRPr="00DF5E4C">
              <w:rPr>
                <w:rFonts w:ascii="Arial" w:hAnsi="Arial" w:eastAsia="Arial" w:cs="Arial"/>
                <w:sz w:val="22"/>
                <w:szCs w:val="22"/>
              </w:rPr>
              <w:t>4.2</w:t>
            </w:r>
          </w:p>
        </w:tc>
        <w:tc>
          <w:tcPr>
            <w:tcW w:w="1257" w:type="dxa"/>
            <w:tcMar>
              <w:left w:w="108" w:type="dxa"/>
              <w:right w:w="108" w:type="dxa"/>
            </w:tcMar>
          </w:tcPr>
          <w:p w:rsidRPr="00DF5E4C" w:rsidR="41839B7F" w:rsidP="00C7204E" w:rsidRDefault="41839B7F" w14:paraId="5697B634" w14:textId="3AA914FC">
            <w:pPr>
              <w:jc w:val="center"/>
              <w:rPr>
                <w:sz w:val="22"/>
                <w:szCs w:val="22"/>
              </w:rPr>
            </w:pPr>
            <w:r w:rsidRPr="00DF5E4C">
              <w:rPr>
                <w:rFonts w:ascii="Arial" w:hAnsi="Arial" w:eastAsia="Arial" w:cs="Arial"/>
                <w:sz w:val="22"/>
                <w:szCs w:val="22"/>
              </w:rPr>
              <w:t>8.9</w:t>
            </w:r>
          </w:p>
        </w:tc>
      </w:tr>
      <w:tr w:rsidRPr="001C0EC8" w:rsidR="41839B7F" w:rsidTr="001C0EC8" w14:paraId="7009E979" w14:textId="77777777">
        <w:trPr>
          <w:trHeight w:val="300"/>
        </w:trPr>
        <w:tc>
          <w:tcPr>
            <w:tcW w:w="1170" w:type="dxa"/>
            <w:tcMar>
              <w:left w:w="108" w:type="dxa"/>
              <w:right w:w="108" w:type="dxa"/>
            </w:tcMar>
          </w:tcPr>
          <w:p w:rsidRPr="00DF5E4C" w:rsidR="41839B7F" w:rsidP="41839B7F" w:rsidRDefault="41839B7F" w14:paraId="4A49A89A" w14:textId="70ADD4B2">
            <w:pPr>
              <w:rPr>
                <w:sz w:val="22"/>
                <w:szCs w:val="22"/>
              </w:rPr>
            </w:pPr>
            <w:r w:rsidRPr="00DF5E4C">
              <w:rPr>
                <w:rFonts w:ascii="Arial" w:hAnsi="Arial" w:eastAsia="Arial" w:cs="Arial"/>
                <w:sz w:val="22"/>
                <w:szCs w:val="22"/>
              </w:rPr>
              <w:t>Copper</w:t>
            </w:r>
          </w:p>
        </w:tc>
        <w:tc>
          <w:tcPr>
            <w:tcW w:w="1170" w:type="dxa"/>
            <w:tcMar>
              <w:left w:w="108" w:type="dxa"/>
              <w:right w:w="108" w:type="dxa"/>
            </w:tcMar>
          </w:tcPr>
          <w:p w:rsidRPr="00DF5E4C" w:rsidR="41839B7F" w:rsidP="00C7204E" w:rsidRDefault="41839B7F" w14:paraId="728338D5" w14:textId="6A3D5A27">
            <w:pPr>
              <w:jc w:val="center"/>
              <w:rPr>
                <w:sz w:val="22"/>
                <w:szCs w:val="22"/>
              </w:rPr>
            </w:pPr>
            <w:r w:rsidRPr="00DF5E4C">
              <w:rPr>
                <w:rFonts w:ascii="Arial" w:hAnsi="Arial" w:eastAsia="Arial" w:cs="Arial"/>
                <w:sz w:val="22"/>
                <w:szCs w:val="22"/>
              </w:rPr>
              <w:t>50</w:t>
            </w:r>
          </w:p>
        </w:tc>
        <w:tc>
          <w:tcPr>
            <w:tcW w:w="1170" w:type="dxa"/>
            <w:tcMar>
              <w:left w:w="108" w:type="dxa"/>
              <w:right w:w="108" w:type="dxa"/>
            </w:tcMar>
          </w:tcPr>
          <w:p w:rsidRPr="00DF5E4C" w:rsidR="41839B7F" w:rsidP="00C7204E" w:rsidRDefault="41839B7F" w14:paraId="705B2BE7" w14:textId="2A0B4245">
            <w:pPr>
              <w:jc w:val="center"/>
              <w:rPr>
                <w:sz w:val="22"/>
                <w:szCs w:val="22"/>
              </w:rPr>
            </w:pPr>
            <w:r w:rsidRPr="00DF5E4C">
              <w:rPr>
                <w:rFonts w:ascii="Arial" w:hAnsi="Arial" w:eastAsia="Arial" w:cs="Arial"/>
                <w:sz w:val="22"/>
                <w:szCs w:val="22"/>
              </w:rPr>
              <w:t>29.3</w:t>
            </w:r>
          </w:p>
        </w:tc>
        <w:tc>
          <w:tcPr>
            <w:tcW w:w="1170" w:type="dxa"/>
            <w:tcMar>
              <w:left w:w="108" w:type="dxa"/>
              <w:right w:w="108" w:type="dxa"/>
            </w:tcMar>
          </w:tcPr>
          <w:p w:rsidRPr="00DF5E4C" w:rsidR="41839B7F" w:rsidP="00C7204E" w:rsidRDefault="41839B7F" w14:paraId="138BE000" w14:textId="706C2EDE">
            <w:pPr>
              <w:jc w:val="center"/>
              <w:rPr>
                <w:sz w:val="22"/>
                <w:szCs w:val="22"/>
              </w:rPr>
            </w:pPr>
            <w:r w:rsidRPr="00DF5E4C">
              <w:rPr>
                <w:rFonts w:ascii="Arial" w:hAnsi="Arial" w:eastAsia="Arial" w:cs="Arial"/>
                <w:sz w:val="22"/>
                <w:szCs w:val="22"/>
              </w:rPr>
              <w:t>40</w:t>
            </w:r>
          </w:p>
        </w:tc>
        <w:tc>
          <w:tcPr>
            <w:tcW w:w="1170" w:type="dxa"/>
            <w:tcMar>
              <w:left w:w="108" w:type="dxa"/>
              <w:right w:w="108" w:type="dxa"/>
            </w:tcMar>
          </w:tcPr>
          <w:p w:rsidRPr="00DF5E4C" w:rsidR="41839B7F" w:rsidP="00C7204E" w:rsidRDefault="41839B7F" w14:paraId="5755FB28" w14:textId="4F673E74">
            <w:pPr>
              <w:jc w:val="center"/>
              <w:rPr>
                <w:sz w:val="22"/>
                <w:szCs w:val="22"/>
              </w:rPr>
            </w:pPr>
            <w:r w:rsidRPr="00DF5E4C">
              <w:rPr>
                <w:rFonts w:ascii="Arial" w:hAnsi="Arial" w:eastAsia="Arial" w:cs="Arial"/>
                <w:sz w:val="22"/>
                <w:szCs w:val="22"/>
              </w:rPr>
              <w:t>24.3</w:t>
            </w:r>
          </w:p>
        </w:tc>
        <w:tc>
          <w:tcPr>
            <w:tcW w:w="1170" w:type="dxa"/>
            <w:tcMar>
              <w:left w:w="108" w:type="dxa"/>
              <w:right w:w="108" w:type="dxa"/>
            </w:tcMar>
          </w:tcPr>
          <w:p w:rsidRPr="00DF5E4C" w:rsidR="41839B7F" w:rsidP="00C7204E" w:rsidRDefault="41839B7F" w14:paraId="275ECCA5" w14:textId="3007E524">
            <w:pPr>
              <w:jc w:val="center"/>
              <w:rPr>
                <w:sz w:val="22"/>
                <w:szCs w:val="22"/>
              </w:rPr>
            </w:pPr>
            <w:r w:rsidRPr="00DF5E4C">
              <w:rPr>
                <w:rFonts w:ascii="Arial" w:hAnsi="Arial" w:eastAsia="Arial" w:cs="Arial"/>
                <w:sz w:val="22"/>
                <w:szCs w:val="22"/>
              </w:rPr>
              <w:t>30.2</w:t>
            </w:r>
          </w:p>
        </w:tc>
        <w:tc>
          <w:tcPr>
            <w:tcW w:w="1170" w:type="dxa"/>
            <w:tcMar>
              <w:left w:w="108" w:type="dxa"/>
              <w:right w:w="108" w:type="dxa"/>
            </w:tcMar>
          </w:tcPr>
          <w:p w:rsidRPr="00DF5E4C" w:rsidR="41839B7F" w:rsidP="00C7204E" w:rsidRDefault="41839B7F" w14:paraId="6C3F4442" w14:textId="55012E2F">
            <w:pPr>
              <w:jc w:val="center"/>
              <w:rPr>
                <w:sz w:val="22"/>
                <w:szCs w:val="22"/>
              </w:rPr>
            </w:pPr>
            <w:r w:rsidRPr="00DF5E4C">
              <w:rPr>
                <w:rFonts w:ascii="Arial" w:hAnsi="Arial" w:eastAsia="Arial" w:cs="Arial"/>
                <w:sz w:val="22"/>
                <w:szCs w:val="22"/>
              </w:rPr>
              <w:t>18.7</w:t>
            </w:r>
          </w:p>
        </w:tc>
        <w:tc>
          <w:tcPr>
            <w:tcW w:w="1257" w:type="dxa"/>
            <w:tcMar>
              <w:left w:w="108" w:type="dxa"/>
              <w:right w:w="108" w:type="dxa"/>
            </w:tcMar>
          </w:tcPr>
          <w:p w:rsidRPr="00DF5E4C" w:rsidR="41839B7F" w:rsidP="00C7204E" w:rsidRDefault="41839B7F" w14:paraId="203F17D0" w14:textId="1F197007">
            <w:pPr>
              <w:jc w:val="center"/>
              <w:rPr>
                <w:sz w:val="22"/>
                <w:szCs w:val="22"/>
              </w:rPr>
            </w:pPr>
            <w:r w:rsidRPr="00DF5E4C">
              <w:rPr>
                <w:rFonts w:ascii="Arial" w:hAnsi="Arial" w:eastAsia="Arial" w:cs="Arial"/>
                <w:sz w:val="22"/>
                <w:szCs w:val="22"/>
              </w:rPr>
              <w:t>25.5</w:t>
            </w:r>
          </w:p>
        </w:tc>
      </w:tr>
      <w:tr w:rsidRPr="001C0EC8" w:rsidR="41839B7F" w:rsidTr="001C0EC8" w14:paraId="4F98C64B" w14:textId="77777777">
        <w:trPr>
          <w:trHeight w:val="300"/>
        </w:trPr>
        <w:tc>
          <w:tcPr>
            <w:tcW w:w="1170" w:type="dxa"/>
            <w:tcMar>
              <w:left w:w="108" w:type="dxa"/>
              <w:right w:w="108" w:type="dxa"/>
            </w:tcMar>
          </w:tcPr>
          <w:p w:rsidRPr="00DF5E4C" w:rsidR="41839B7F" w:rsidP="41839B7F" w:rsidRDefault="41839B7F" w14:paraId="37D82E97" w14:textId="16FAC8D6">
            <w:pPr>
              <w:rPr>
                <w:sz w:val="22"/>
                <w:szCs w:val="22"/>
              </w:rPr>
            </w:pPr>
            <w:r w:rsidRPr="00DF5E4C">
              <w:rPr>
                <w:rFonts w:ascii="Arial" w:hAnsi="Arial" w:eastAsia="Arial" w:cs="Arial"/>
                <w:sz w:val="22"/>
                <w:szCs w:val="22"/>
              </w:rPr>
              <w:t>Lead</w:t>
            </w:r>
          </w:p>
        </w:tc>
        <w:tc>
          <w:tcPr>
            <w:tcW w:w="1170" w:type="dxa"/>
            <w:tcMar>
              <w:left w:w="108" w:type="dxa"/>
              <w:right w:w="108" w:type="dxa"/>
            </w:tcMar>
          </w:tcPr>
          <w:p w:rsidRPr="00DF5E4C" w:rsidR="41839B7F" w:rsidP="00C7204E" w:rsidRDefault="41839B7F" w14:paraId="6DF0D9D8" w14:textId="10E18A95">
            <w:pPr>
              <w:jc w:val="center"/>
              <w:rPr>
                <w:sz w:val="22"/>
                <w:szCs w:val="22"/>
              </w:rPr>
            </w:pPr>
            <w:r w:rsidRPr="00DF5E4C">
              <w:rPr>
                <w:rFonts w:ascii="Arial" w:hAnsi="Arial" w:eastAsia="Arial" w:cs="Arial"/>
                <w:sz w:val="22"/>
                <w:szCs w:val="22"/>
              </w:rPr>
              <w:t>281</w:t>
            </w:r>
          </w:p>
        </w:tc>
        <w:tc>
          <w:tcPr>
            <w:tcW w:w="1170" w:type="dxa"/>
            <w:tcMar>
              <w:left w:w="108" w:type="dxa"/>
              <w:right w:w="108" w:type="dxa"/>
            </w:tcMar>
          </w:tcPr>
          <w:p w:rsidRPr="00DF5E4C" w:rsidR="41839B7F" w:rsidP="00C7204E" w:rsidRDefault="41839B7F" w14:paraId="7EABB677" w14:textId="118C6E99">
            <w:pPr>
              <w:jc w:val="center"/>
              <w:rPr>
                <w:sz w:val="22"/>
                <w:szCs w:val="22"/>
              </w:rPr>
            </w:pPr>
            <w:r w:rsidRPr="00DF5E4C">
              <w:rPr>
                <w:rFonts w:ascii="Arial" w:hAnsi="Arial" w:eastAsia="Arial" w:cs="Arial"/>
                <w:sz w:val="22"/>
                <w:szCs w:val="22"/>
              </w:rPr>
              <w:t>10.9</w:t>
            </w:r>
          </w:p>
        </w:tc>
        <w:tc>
          <w:tcPr>
            <w:tcW w:w="1170" w:type="dxa"/>
            <w:tcMar>
              <w:left w:w="108" w:type="dxa"/>
              <w:right w:w="108" w:type="dxa"/>
            </w:tcMar>
          </w:tcPr>
          <w:p w:rsidRPr="00DF5E4C" w:rsidR="41839B7F" w:rsidP="00C7204E" w:rsidRDefault="41839B7F" w14:paraId="4D651FC9" w14:textId="06BBD36B">
            <w:pPr>
              <w:jc w:val="center"/>
              <w:rPr>
                <w:sz w:val="22"/>
                <w:szCs w:val="22"/>
              </w:rPr>
            </w:pPr>
            <w:r w:rsidRPr="00DF5E4C">
              <w:rPr>
                <w:rFonts w:ascii="Arial" w:hAnsi="Arial" w:eastAsia="Arial" w:cs="Arial"/>
                <w:sz w:val="22"/>
                <w:szCs w:val="22"/>
              </w:rPr>
              <w:t>224</w:t>
            </w:r>
          </w:p>
        </w:tc>
        <w:tc>
          <w:tcPr>
            <w:tcW w:w="1170" w:type="dxa"/>
            <w:tcMar>
              <w:left w:w="108" w:type="dxa"/>
              <w:right w:w="108" w:type="dxa"/>
            </w:tcMar>
          </w:tcPr>
          <w:p w:rsidRPr="00DF5E4C" w:rsidR="41839B7F" w:rsidP="00C7204E" w:rsidRDefault="41839B7F" w14:paraId="666C8E8D" w14:textId="67A78A22">
            <w:pPr>
              <w:jc w:val="center"/>
              <w:rPr>
                <w:sz w:val="22"/>
                <w:szCs w:val="22"/>
              </w:rPr>
            </w:pPr>
            <w:r w:rsidRPr="00DF5E4C">
              <w:rPr>
                <w:rFonts w:ascii="Arial" w:hAnsi="Arial" w:eastAsia="Arial" w:cs="Arial"/>
                <w:sz w:val="22"/>
                <w:szCs w:val="22"/>
              </w:rPr>
              <w:t>8.8</w:t>
            </w:r>
          </w:p>
        </w:tc>
        <w:tc>
          <w:tcPr>
            <w:tcW w:w="1170" w:type="dxa"/>
            <w:tcMar>
              <w:left w:w="108" w:type="dxa"/>
              <w:right w:w="108" w:type="dxa"/>
            </w:tcMar>
          </w:tcPr>
          <w:p w:rsidRPr="00DF5E4C" w:rsidR="41839B7F" w:rsidP="00C7204E" w:rsidRDefault="41839B7F" w14:paraId="3070F331" w14:textId="0052DBB2">
            <w:pPr>
              <w:jc w:val="center"/>
              <w:rPr>
                <w:sz w:val="22"/>
                <w:szCs w:val="22"/>
              </w:rPr>
            </w:pPr>
            <w:r w:rsidRPr="00DF5E4C">
              <w:rPr>
                <w:rFonts w:ascii="Arial" w:hAnsi="Arial" w:eastAsia="Arial" w:cs="Arial"/>
                <w:sz w:val="22"/>
                <w:szCs w:val="22"/>
              </w:rPr>
              <w:t>162</w:t>
            </w:r>
          </w:p>
        </w:tc>
        <w:tc>
          <w:tcPr>
            <w:tcW w:w="1170" w:type="dxa"/>
            <w:tcMar>
              <w:left w:w="108" w:type="dxa"/>
              <w:right w:w="108" w:type="dxa"/>
            </w:tcMar>
          </w:tcPr>
          <w:p w:rsidRPr="00DF5E4C" w:rsidR="41839B7F" w:rsidP="00C7204E" w:rsidRDefault="41839B7F" w14:paraId="41F15713" w14:textId="74F8A63A">
            <w:pPr>
              <w:jc w:val="center"/>
              <w:rPr>
                <w:sz w:val="22"/>
                <w:szCs w:val="22"/>
              </w:rPr>
            </w:pPr>
            <w:r w:rsidRPr="00DF5E4C">
              <w:rPr>
                <w:rFonts w:ascii="Arial" w:hAnsi="Arial" w:eastAsia="Arial" w:cs="Arial"/>
                <w:sz w:val="22"/>
                <w:szCs w:val="22"/>
              </w:rPr>
              <w:t>6.3</w:t>
            </w:r>
          </w:p>
        </w:tc>
        <w:tc>
          <w:tcPr>
            <w:tcW w:w="1257" w:type="dxa"/>
            <w:tcMar>
              <w:left w:w="108" w:type="dxa"/>
              <w:right w:w="108" w:type="dxa"/>
            </w:tcMar>
          </w:tcPr>
          <w:p w:rsidRPr="00DF5E4C" w:rsidR="41839B7F" w:rsidP="00C7204E" w:rsidRDefault="41839B7F" w14:paraId="25820B24" w14:textId="6A8D69AB">
            <w:pPr>
              <w:jc w:val="center"/>
              <w:rPr>
                <w:sz w:val="22"/>
                <w:szCs w:val="22"/>
              </w:rPr>
            </w:pPr>
            <w:r w:rsidRPr="00DF5E4C">
              <w:rPr>
                <w:rFonts w:ascii="Arial" w:hAnsi="Arial" w:eastAsia="Arial" w:cs="Arial"/>
                <w:sz w:val="22"/>
                <w:szCs w:val="22"/>
              </w:rPr>
              <w:t>134</w:t>
            </w:r>
          </w:p>
        </w:tc>
      </w:tr>
      <w:tr w:rsidRPr="001C0EC8" w:rsidR="41839B7F" w:rsidTr="001C0EC8" w14:paraId="469EB4F2" w14:textId="77777777">
        <w:trPr>
          <w:trHeight w:val="300"/>
        </w:trPr>
        <w:tc>
          <w:tcPr>
            <w:tcW w:w="1170" w:type="dxa"/>
            <w:tcMar>
              <w:left w:w="108" w:type="dxa"/>
              <w:right w:w="108" w:type="dxa"/>
            </w:tcMar>
          </w:tcPr>
          <w:p w:rsidRPr="00DF5E4C" w:rsidR="41839B7F" w:rsidP="41839B7F" w:rsidRDefault="41839B7F" w14:paraId="4CD645EB" w14:textId="5A405867">
            <w:pPr>
              <w:rPr>
                <w:sz w:val="22"/>
                <w:szCs w:val="22"/>
              </w:rPr>
            </w:pPr>
            <w:r w:rsidRPr="00DF5E4C">
              <w:rPr>
                <w:rFonts w:ascii="Arial" w:hAnsi="Arial" w:eastAsia="Arial" w:cs="Arial"/>
                <w:sz w:val="22"/>
                <w:szCs w:val="22"/>
              </w:rPr>
              <w:t>Zinc</w:t>
            </w:r>
          </w:p>
        </w:tc>
        <w:tc>
          <w:tcPr>
            <w:tcW w:w="1170" w:type="dxa"/>
            <w:tcMar>
              <w:left w:w="108" w:type="dxa"/>
              <w:right w:w="108" w:type="dxa"/>
            </w:tcMar>
          </w:tcPr>
          <w:p w:rsidRPr="00DF5E4C" w:rsidR="41839B7F" w:rsidP="00C7204E" w:rsidRDefault="41839B7F" w14:paraId="457CB27A" w14:textId="635C9CE9">
            <w:pPr>
              <w:jc w:val="center"/>
              <w:rPr>
                <w:sz w:val="22"/>
                <w:szCs w:val="22"/>
              </w:rPr>
            </w:pPr>
            <w:r w:rsidRPr="00DF5E4C">
              <w:rPr>
                <w:rFonts w:ascii="Arial" w:hAnsi="Arial" w:eastAsia="Arial" w:cs="Arial"/>
                <w:sz w:val="22"/>
                <w:szCs w:val="22"/>
              </w:rPr>
              <w:t>379</w:t>
            </w:r>
          </w:p>
        </w:tc>
        <w:tc>
          <w:tcPr>
            <w:tcW w:w="1170" w:type="dxa"/>
            <w:tcMar>
              <w:left w:w="108" w:type="dxa"/>
              <w:right w:w="108" w:type="dxa"/>
            </w:tcMar>
          </w:tcPr>
          <w:p w:rsidRPr="00DF5E4C" w:rsidR="41839B7F" w:rsidP="00C7204E" w:rsidRDefault="41839B7F" w14:paraId="6C393C38" w14:textId="77D88CBD">
            <w:pPr>
              <w:jc w:val="center"/>
              <w:rPr>
                <w:sz w:val="22"/>
                <w:szCs w:val="22"/>
              </w:rPr>
            </w:pPr>
            <w:r w:rsidRPr="00DF5E4C">
              <w:rPr>
                <w:rFonts w:ascii="Arial" w:hAnsi="Arial" w:eastAsia="Arial" w:cs="Arial"/>
                <w:sz w:val="22"/>
                <w:szCs w:val="22"/>
              </w:rPr>
              <w:t>382</w:t>
            </w:r>
          </w:p>
        </w:tc>
        <w:tc>
          <w:tcPr>
            <w:tcW w:w="1170" w:type="dxa"/>
            <w:tcMar>
              <w:left w:w="108" w:type="dxa"/>
              <w:right w:w="108" w:type="dxa"/>
            </w:tcMar>
          </w:tcPr>
          <w:p w:rsidRPr="00DF5E4C" w:rsidR="41839B7F" w:rsidP="00C7204E" w:rsidRDefault="41839B7F" w14:paraId="17083BA4" w14:textId="564C021A">
            <w:pPr>
              <w:jc w:val="center"/>
              <w:rPr>
                <w:sz w:val="22"/>
                <w:szCs w:val="22"/>
              </w:rPr>
            </w:pPr>
            <w:r w:rsidRPr="00DF5E4C">
              <w:rPr>
                <w:rFonts w:ascii="Arial" w:hAnsi="Arial" w:eastAsia="Arial" w:cs="Arial"/>
                <w:sz w:val="22"/>
                <w:szCs w:val="22"/>
              </w:rPr>
              <w:t>316</w:t>
            </w:r>
          </w:p>
        </w:tc>
        <w:tc>
          <w:tcPr>
            <w:tcW w:w="1170" w:type="dxa"/>
            <w:tcMar>
              <w:left w:w="108" w:type="dxa"/>
              <w:right w:w="108" w:type="dxa"/>
            </w:tcMar>
          </w:tcPr>
          <w:p w:rsidRPr="00DF5E4C" w:rsidR="41839B7F" w:rsidP="00C7204E" w:rsidRDefault="41839B7F" w14:paraId="52926DEA" w14:textId="1D3E42E0">
            <w:pPr>
              <w:jc w:val="center"/>
              <w:rPr>
                <w:sz w:val="22"/>
                <w:szCs w:val="22"/>
              </w:rPr>
            </w:pPr>
            <w:r w:rsidRPr="00DF5E4C">
              <w:rPr>
                <w:rFonts w:ascii="Arial" w:hAnsi="Arial" w:eastAsia="Arial" w:cs="Arial"/>
                <w:sz w:val="22"/>
                <w:szCs w:val="22"/>
              </w:rPr>
              <w:t>318</w:t>
            </w:r>
          </w:p>
        </w:tc>
        <w:tc>
          <w:tcPr>
            <w:tcW w:w="1170" w:type="dxa"/>
            <w:tcMar>
              <w:left w:w="108" w:type="dxa"/>
              <w:right w:w="108" w:type="dxa"/>
            </w:tcMar>
          </w:tcPr>
          <w:p w:rsidRPr="00DF5E4C" w:rsidR="41839B7F" w:rsidP="00C7204E" w:rsidRDefault="41839B7F" w14:paraId="6AF020C9" w14:textId="0055D373">
            <w:pPr>
              <w:jc w:val="center"/>
              <w:rPr>
                <w:sz w:val="22"/>
                <w:szCs w:val="22"/>
              </w:rPr>
            </w:pPr>
            <w:r w:rsidRPr="00DF5E4C">
              <w:rPr>
                <w:rFonts w:ascii="Arial" w:hAnsi="Arial" w:eastAsia="Arial" w:cs="Arial"/>
                <w:sz w:val="22"/>
                <w:szCs w:val="22"/>
              </w:rPr>
              <w:t>243</w:t>
            </w:r>
          </w:p>
        </w:tc>
        <w:tc>
          <w:tcPr>
            <w:tcW w:w="1170" w:type="dxa"/>
            <w:tcMar>
              <w:left w:w="108" w:type="dxa"/>
              <w:right w:w="108" w:type="dxa"/>
            </w:tcMar>
          </w:tcPr>
          <w:p w:rsidRPr="00DF5E4C" w:rsidR="41839B7F" w:rsidP="00C7204E" w:rsidRDefault="41839B7F" w14:paraId="4D293D76" w14:textId="1F018D54">
            <w:pPr>
              <w:jc w:val="center"/>
              <w:rPr>
                <w:sz w:val="22"/>
                <w:szCs w:val="22"/>
              </w:rPr>
            </w:pPr>
            <w:r w:rsidRPr="00DF5E4C">
              <w:rPr>
                <w:rFonts w:ascii="Arial" w:hAnsi="Arial" w:eastAsia="Arial" w:cs="Arial"/>
                <w:sz w:val="22"/>
                <w:szCs w:val="22"/>
              </w:rPr>
              <w:t>244</w:t>
            </w:r>
          </w:p>
        </w:tc>
        <w:tc>
          <w:tcPr>
            <w:tcW w:w="1257" w:type="dxa"/>
            <w:tcMar>
              <w:left w:w="108" w:type="dxa"/>
              <w:right w:w="108" w:type="dxa"/>
            </w:tcMar>
          </w:tcPr>
          <w:p w:rsidRPr="00DF5E4C" w:rsidR="41839B7F" w:rsidP="00C7204E" w:rsidRDefault="41839B7F" w14:paraId="70189AC1" w14:textId="3DBA9297">
            <w:pPr>
              <w:jc w:val="center"/>
              <w:rPr>
                <w:sz w:val="22"/>
                <w:szCs w:val="22"/>
              </w:rPr>
            </w:pPr>
            <w:r w:rsidRPr="00DF5E4C">
              <w:rPr>
                <w:rFonts w:ascii="Arial" w:hAnsi="Arial" w:eastAsia="Arial" w:cs="Arial"/>
                <w:sz w:val="22"/>
                <w:szCs w:val="22"/>
              </w:rPr>
              <w:t>208</w:t>
            </w:r>
          </w:p>
        </w:tc>
      </w:tr>
    </w:tbl>
    <w:p w:rsidR="70567D2B" w:rsidP="005A454A" w:rsidRDefault="70567D2B" w14:paraId="74F9927F" w14:textId="307BBE1C">
      <w:pPr>
        <w:pStyle w:val="TableHead"/>
        <w:ind w:left="1260"/>
      </w:pPr>
      <w:r w:rsidRPr="41839B7F">
        <w:t>Mass-based Wasteload Allocation for Metals in Newport Bay</w:t>
      </w:r>
      <w:r w:rsidR="00532CF1">
        <w:t xml:space="preserve"> </w:t>
      </w:r>
      <w:r w:rsidR="00807357">
        <w:br/>
      </w:r>
      <w:r w:rsidR="00532CF1">
        <w:t>(units in pounds per year)</w:t>
      </w:r>
    </w:p>
    <w:tbl>
      <w:tblPr>
        <w:tblStyle w:val="TableGrid"/>
        <w:tblW w:w="0" w:type="auto"/>
        <w:tblInd w:w="132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404"/>
        <w:gridCol w:w="1343"/>
        <w:gridCol w:w="1343"/>
        <w:gridCol w:w="1343"/>
        <w:gridCol w:w="1343"/>
      </w:tblGrid>
      <w:tr w:rsidRPr="000F590F" w:rsidR="41839B7F" w:rsidTr="005A454A" w14:paraId="2D048AF1" w14:textId="77777777">
        <w:trPr>
          <w:trHeight w:val="250"/>
        </w:trPr>
        <w:tc>
          <w:tcPr>
            <w:tcW w:w="1404" w:type="dxa"/>
            <w:shd w:val="clear" w:color="auto" w:fill="D6E3BC" w:themeFill="accent3" w:themeFillTint="66"/>
            <w:tcMar>
              <w:left w:w="108" w:type="dxa"/>
              <w:right w:w="108" w:type="dxa"/>
            </w:tcMar>
          </w:tcPr>
          <w:p w:rsidRPr="000F590F" w:rsidR="41839B7F" w:rsidP="005A454A" w:rsidRDefault="41839B7F" w14:paraId="0AB46724" w14:textId="5CA50035">
            <w:pPr>
              <w:jc w:val="center"/>
              <w:rPr>
                <w:b/>
                <w:bCs/>
                <w:sz w:val="22"/>
                <w:szCs w:val="22"/>
              </w:rPr>
            </w:pPr>
            <w:r w:rsidRPr="000F590F">
              <w:rPr>
                <w:rFonts w:ascii="Arial" w:hAnsi="Arial" w:eastAsia="Arial" w:cs="Arial"/>
                <w:b/>
                <w:bCs/>
                <w:sz w:val="22"/>
                <w:szCs w:val="22"/>
              </w:rPr>
              <w:t>Type</w:t>
            </w:r>
          </w:p>
        </w:tc>
        <w:tc>
          <w:tcPr>
            <w:tcW w:w="1343" w:type="dxa"/>
            <w:shd w:val="clear" w:color="auto" w:fill="D6E3BC" w:themeFill="accent3" w:themeFillTint="66"/>
            <w:tcMar>
              <w:left w:w="108" w:type="dxa"/>
              <w:right w:w="108" w:type="dxa"/>
            </w:tcMar>
          </w:tcPr>
          <w:p w:rsidRPr="000F590F" w:rsidR="41839B7F" w:rsidP="005A454A" w:rsidRDefault="41839B7F" w14:paraId="2BF5A39F" w14:textId="7846AE16">
            <w:pPr>
              <w:jc w:val="center"/>
              <w:rPr>
                <w:b/>
                <w:bCs/>
                <w:sz w:val="22"/>
                <w:szCs w:val="22"/>
              </w:rPr>
            </w:pPr>
            <w:r w:rsidRPr="000F590F">
              <w:rPr>
                <w:rFonts w:ascii="Arial" w:hAnsi="Arial" w:eastAsia="Arial" w:cs="Arial"/>
                <w:b/>
                <w:bCs/>
                <w:sz w:val="22"/>
                <w:szCs w:val="22"/>
              </w:rPr>
              <w:t>Copper</w:t>
            </w:r>
          </w:p>
        </w:tc>
        <w:tc>
          <w:tcPr>
            <w:tcW w:w="1343" w:type="dxa"/>
            <w:shd w:val="clear" w:color="auto" w:fill="D6E3BC" w:themeFill="accent3" w:themeFillTint="66"/>
            <w:tcMar>
              <w:left w:w="108" w:type="dxa"/>
              <w:right w:w="108" w:type="dxa"/>
            </w:tcMar>
          </w:tcPr>
          <w:p w:rsidRPr="000F590F" w:rsidR="41839B7F" w:rsidP="005A454A" w:rsidRDefault="41839B7F" w14:paraId="2908755A" w14:textId="610E8296">
            <w:pPr>
              <w:jc w:val="center"/>
              <w:rPr>
                <w:b/>
                <w:bCs/>
                <w:sz w:val="22"/>
                <w:szCs w:val="22"/>
              </w:rPr>
            </w:pPr>
            <w:r w:rsidRPr="000F590F">
              <w:rPr>
                <w:rFonts w:ascii="Arial" w:hAnsi="Arial" w:eastAsia="Arial" w:cs="Arial"/>
                <w:b/>
                <w:bCs/>
                <w:sz w:val="22"/>
                <w:szCs w:val="22"/>
              </w:rPr>
              <w:t>Zinc</w:t>
            </w:r>
          </w:p>
        </w:tc>
        <w:tc>
          <w:tcPr>
            <w:tcW w:w="1343" w:type="dxa"/>
            <w:shd w:val="clear" w:color="auto" w:fill="D6E3BC" w:themeFill="accent3" w:themeFillTint="66"/>
            <w:tcMar>
              <w:left w:w="108" w:type="dxa"/>
              <w:right w:w="108" w:type="dxa"/>
            </w:tcMar>
          </w:tcPr>
          <w:p w:rsidRPr="000F590F" w:rsidR="41839B7F" w:rsidP="005A454A" w:rsidRDefault="41839B7F" w14:paraId="0785A131" w14:textId="472EB76A">
            <w:pPr>
              <w:jc w:val="center"/>
              <w:rPr>
                <w:b/>
                <w:bCs/>
                <w:sz w:val="22"/>
                <w:szCs w:val="22"/>
              </w:rPr>
            </w:pPr>
            <w:r w:rsidRPr="000F590F">
              <w:rPr>
                <w:rFonts w:ascii="Arial" w:hAnsi="Arial" w:eastAsia="Arial" w:cs="Arial"/>
                <w:b/>
                <w:bCs/>
                <w:sz w:val="22"/>
                <w:szCs w:val="22"/>
              </w:rPr>
              <w:t>Lead</w:t>
            </w:r>
          </w:p>
        </w:tc>
        <w:tc>
          <w:tcPr>
            <w:tcW w:w="1343" w:type="dxa"/>
            <w:shd w:val="clear" w:color="auto" w:fill="D6E3BC" w:themeFill="accent3" w:themeFillTint="66"/>
            <w:tcMar>
              <w:left w:w="108" w:type="dxa"/>
              <w:right w:w="108" w:type="dxa"/>
            </w:tcMar>
          </w:tcPr>
          <w:p w:rsidRPr="000F590F" w:rsidR="41839B7F" w:rsidP="005A454A" w:rsidRDefault="41839B7F" w14:paraId="7AD5D5F6" w14:textId="531339C3">
            <w:pPr>
              <w:jc w:val="center"/>
              <w:rPr>
                <w:b/>
                <w:bCs/>
                <w:sz w:val="22"/>
                <w:szCs w:val="22"/>
              </w:rPr>
            </w:pPr>
            <w:r w:rsidRPr="000F590F">
              <w:rPr>
                <w:rFonts w:ascii="Arial" w:hAnsi="Arial" w:eastAsia="Arial" w:cs="Arial"/>
                <w:b/>
                <w:bCs/>
                <w:sz w:val="22"/>
                <w:szCs w:val="22"/>
              </w:rPr>
              <w:t>Cadmium*</w:t>
            </w:r>
          </w:p>
        </w:tc>
      </w:tr>
      <w:tr w:rsidRPr="000F590F" w:rsidR="41839B7F" w:rsidTr="005A454A" w14:paraId="0CF0C450" w14:textId="77777777">
        <w:trPr>
          <w:trHeight w:val="250"/>
        </w:trPr>
        <w:tc>
          <w:tcPr>
            <w:tcW w:w="1404" w:type="dxa"/>
            <w:tcMar>
              <w:left w:w="108" w:type="dxa"/>
              <w:right w:w="108" w:type="dxa"/>
            </w:tcMar>
          </w:tcPr>
          <w:p w:rsidRPr="000F590F" w:rsidR="41839B7F" w:rsidP="004D4E3E" w:rsidRDefault="41839B7F" w14:paraId="5876EBA5" w14:textId="6F1D15AE">
            <w:pPr>
              <w:jc w:val="center"/>
              <w:rPr>
                <w:sz w:val="22"/>
                <w:szCs w:val="22"/>
              </w:rPr>
            </w:pPr>
            <w:r w:rsidRPr="000F590F">
              <w:rPr>
                <w:rFonts w:ascii="Arial" w:hAnsi="Arial" w:eastAsia="Arial" w:cs="Arial"/>
                <w:sz w:val="22"/>
                <w:szCs w:val="22"/>
              </w:rPr>
              <w:t>Urban runoff</w:t>
            </w:r>
          </w:p>
        </w:tc>
        <w:tc>
          <w:tcPr>
            <w:tcW w:w="1343" w:type="dxa"/>
            <w:tcMar>
              <w:left w:w="108" w:type="dxa"/>
              <w:right w:w="108" w:type="dxa"/>
            </w:tcMar>
          </w:tcPr>
          <w:p w:rsidRPr="000F590F" w:rsidR="41839B7F" w:rsidP="004D4E3E" w:rsidRDefault="41839B7F" w14:paraId="05828B81" w14:textId="5C553B36">
            <w:pPr>
              <w:jc w:val="center"/>
              <w:rPr>
                <w:sz w:val="22"/>
                <w:szCs w:val="22"/>
              </w:rPr>
            </w:pPr>
            <w:r w:rsidRPr="000F590F">
              <w:rPr>
                <w:rFonts w:ascii="Arial" w:hAnsi="Arial" w:eastAsia="Arial" w:cs="Arial"/>
                <w:sz w:val="22"/>
                <w:szCs w:val="22"/>
              </w:rPr>
              <w:t>3,043</w:t>
            </w:r>
          </w:p>
        </w:tc>
        <w:tc>
          <w:tcPr>
            <w:tcW w:w="1343" w:type="dxa"/>
            <w:tcMar>
              <w:left w:w="108" w:type="dxa"/>
              <w:right w:w="108" w:type="dxa"/>
            </w:tcMar>
          </w:tcPr>
          <w:p w:rsidRPr="000F590F" w:rsidR="41839B7F" w:rsidP="004D4E3E" w:rsidRDefault="41839B7F" w14:paraId="5C163E0B" w14:textId="0E806941">
            <w:pPr>
              <w:jc w:val="center"/>
              <w:rPr>
                <w:sz w:val="22"/>
                <w:szCs w:val="22"/>
              </w:rPr>
            </w:pPr>
            <w:r w:rsidRPr="000F590F">
              <w:rPr>
                <w:rFonts w:ascii="Arial" w:hAnsi="Arial" w:eastAsia="Arial" w:cs="Arial"/>
                <w:sz w:val="22"/>
                <w:szCs w:val="22"/>
              </w:rPr>
              <w:t>174,057</w:t>
            </w:r>
          </w:p>
        </w:tc>
        <w:tc>
          <w:tcPr>
            <w:tcW w:w="1343" w:type="dxa"/>
            <w:tcMar>
              <w:left w:w="108" w:type="dxa"/>
              <w:right w:w="108" w:type="dxa"/>
            </w:tcMar>
          </w:tcPr>
          <w:p w:rsidRPr="000F590F" w:rsidR="41839B7F" w:rsidP="004D4E3E" w:rsidRDefault="41839B7F" w14:paraId="5C8D1FFE" w14:textId="0AE2A74F">
            <w:pPr>
              <w:jc w:val="center"/>
              <w:rPr>
                <w:sz w:val="22"/>
                <w:szCs w:val="22"/>
              </w:rPr>
            </w:pPr>
            <w:r w:rsidRPr="000F590F">
              <w:rPr>
                <w:rFonts w:ascii="Arial" w:hAnsi="Arial" w:eastAsia="Arial" w:cs="Arial"/>
                <w:sz w:val="22"/>
                <w:szCs w:val="22"/>
              </w:rPr>
              <w:t>17,638</w:t>
            </w:r>
          </w:p>
        </w:tc>
        <w:tc>
          <w:tcPr>
            <w:tcW w:w="1343" w:type="dxa"/>
            <w:tcMar>
              <w:left w:w="108" w:type="dxa"/>
              <w:right w:w="108" w:type="dxa"/>
            </w:tcMar>
          </w:tcPr>
          <w:p w:rsidRPr="000F590F" w:rsidR="41839B7F" w:rsidP="004D4E3E" w:rsidRDefault="41839B7F" w14:paraId="02F1AA2C" w14:textId="0EA2BBE1">
            <w:pPr>
              <w:jc w:val="center"/>
              <w:rPr>
                <w:sz w:val="22"/>
                <w:szCs w:val="22"/>
              </w:rPr>
            </w:pPr>
            <w:r w:rsidRPr="000F590F">
              <w:rPr>
                <w:rFonts w:ascii="Arial" w:hAnsi="Arial" w:eastAsia="Arial" w:cs="Arial"/>
                <w:sz w:val="22"/>
                <w:szCs w:val="22"/>
              </w:rPr>
              <w:t>9,589</w:t>
            </w:r>
          </w:p>
        </w:tc>
      </w:tr>
    </w:tbl>
    <w:p w:rsidR="70567D2B" w:rsidP="004D4E3E" w:rsidRDefault="70567D2B" w14:paraId="6DC787AF" w14:textId="6A902C2C">
      <w:pPr>
        <w:pStyle w:val="TableHead"/>
        <w:ind w:left="1260"/>
      </w:pPr>
      <w:r w:rsidRPr="41839B7F">
        <w:t>Concentration-</w:t>
      </w:r>
      <w:r w:rsidR="00631EA9">
        <w:t>B</w:t>
      </w:r>
      <w:r w:rsidRPr="41839B7F">
        <w:t xml:space="preserve">ased </w:t>
      </w:r>
      <w:r w:rsidR="00631EA9">
        <w:t>D</w:t>
      </w:r>
      <w:r w:rsidRPr="41839B7F">
        <w:t xml:space="preserve">issolved </w:t>
      </w:r>
      <w:r w:rsidR="00631EA9">
        <w:t>M</w:t>
      </w:r>
      <w:r w:rsidRPr="41839B7F">
        <w:t xml:space="preserve">etal </w:t>
      </w:r>
      <w:r w:rsidR="001F7C37">
        <w:t>Wasteload Allocations</w:t>
      </w:r>
      <w:r w:rsidRPr="41839B7F">
        <w:t xml:space="preserve"> for Newport Bay</w:t>
      </w:r>
      <w:r w:rsidR="00C7204E">
        <w:t xml:space="preserve"> (units in micrograms per litter)</w:t>
      </w:r>
    </w:p>
    <w:tbl>
      <w:tblPr>
        <w:tblStyle w:val="TableGrid"/>
        <w:tblW w:w="7267" w:type="dxa"/>
        <w:tblInd w:w="132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278"/>
        <w:gridCol w:w="3052"/>
        <w:gridCol w:w="2937"/>
      </w:tblGrid>
      <w:tr w:rsidRPr="00D11140" w:rsidR="41839B7F" w:rsidTr="004D4E3E" w14:paraId="74DD2F80" w14:textId="77777777">
        <w:trPr>
          <w:trHeight w:val="537"/>
          <w:tblHeader/>
        </w:trPr>
        <w:tc>
          <w:tcPr>
            <w:tcW w:w="1278" w:type="dxa"/>
            <w:shd w:val="clear" w:color="auto" w:fill="D6E3BC" w:themeFill="accent3" w:themeFillTint="66"/>
            <w:tcMar>
              <w:left w:w="108" w:type="dxa"/>
              <w:right w:w="108" w:type="dxa"/>
            </w:tcMar>
          </w:tcPr>
          <w:p w:rsidRPr="00D11140" w:rsidR="41839B7F" w:rsidP="004D4E3E" w:rsidRDefault="41839B7F" w14:paraId="60C0A3E8" w14:textId="23A63C71">
            <w:pPr>
              <w:spacing w:before="40" w:after="40" w:line="240" w:lineRule="auto"/>
              <w:rPr>
                <w:b/>
                <w:bCs/>
                <w:sz w:val="22"/>
                <w:szCs w:val="22"/>
              </w:rPr>
            </w:pPr>
            <w:r w:rsidRPr="00D11140">
              <w:rPr>
                <w:rFonts w:ascii="Arial" w:hAnsi="Arial" w:eastAsia="Arial" w:cs="Arial"/>
                <w:b/>
                <w:bCs/>
                <w:sz w:val="22"/>
                <w:szCs w:val="22"/>
              </w:rPr>
              <w:t>Metal</w:t>
            </w:r>
          </w:p>
        </w:tc>
        <w:tc>
          <w:tcPr>
            <w:tcW w:w="3052" w:type="dxa"/>
            <w:shd w:val="clear" w:color="auto" w:fill="D6E3BC" w:themeFill="accent3" w:themeFillTint="66"/>
            <w:tcMar>
              <w:left w:w="108" w:type="dxa"/>
              <w:right w:w="108" w:type="dxa"/>
            </w:tcMar>
          </w:tcPr>
          <w:p w:rsidRPr="00D11140" w:rsidR="41839B7F" w:rsidP="0056278C" w:rsidRDefault="41839B7F" w14:paraId="113B40CB" w14:textId="4B196C8F">
            <w:pPr>
              <w:spacing w:before="40" w:after="40" w:line="240" w:lineRule="auto"/>
              <w:jc w:val="center"/>
              <w:rPr>
                <w:b/>
                <w:bCs/>
                <w:sz w:val="22"/>
                <w:szCs w:val="22"/>
              </w:rPr>
            </w:pPr>
            <w:r w:rsidRPr="00D11140">
              <w:rPr>
                <w:rFonts w:ascii="Arial" w:hAnsi="Arial" w:eastAsia="Arial" w:cs="Arial"/>
                <w:b/>
                <w:bCs/>
                <w:sz w:val="22"/>
                <w:szCs w:val="22"/>
              </w:rPr>
              <w:t>Dissolved saltwater acute TMDLs and allocations (µg/L)</w:t>
            </w:r>
          </w:p>
        </w:tc>
        <w:tc>
          <w:tcPr>
            <w:tcW w:w="2937" w:type="dxa"/>
            <w:shd w:val="clear" w:color="auto" w:fill="D6E3BC" w:themeFill="accent3" w:themeFillTint="66"/>
            <w:tcMar>
              <w:left w:w="108" w:type="dxa"/>
              <w:right w:w="108" w:type="dxa"/>
            </w:tcMar>
          </w:tcPr>
          <w:p w:rsidRPr="00D11140" w:rsidR="41839B7F" w:rsidP="0056278C" w:rsidRDefault="41839B7F" w14:paraId="3317BEF0" w14:textId="79EA5FB0">
            <w:pPr>
              <w:spacing w:before="40" w:after="40" w:line="240" w:lineRule="auto"/>
              <w:jc w:val="center"/>
              <w:rPr>
                <w:b/>
                <w:bCs/>
                <w:sz w:val="22"/>
                <w:szCs w:val="22"/>
              </w:rPr>
            </w:pPr>
            <w:r w:rsidRPr="00D11140">
              <w:rPr>
                <w:rFonts w:ascii="Arial" w:hAnsi="Arial" w:eastAsia="Arial" w:cs="Arial"/>
                <w:b/>
                <w:bCs/>
                <w:sz w:val="22"/>
                <w:szCs w:val="22"/>
              </w:rPr>
              <w:t>Dissolved saltwater chronic TMDLs and allocations (µg/L)</w:t>
            </w:r>
          </w:p>
        </w:tc>
      </w:tr>
      <w:tr w:rsidRPr="00D11140" w:rsidR="41839B7F" w:rsidTr="004D4E3E" w14:paraId="0E515CB1" w14:textId="77777777">
        <w:trPr>
          <w:trHeight w:val="273"/>
        </w:trPr>
        <w:tc>
          <w:tcPr>
            <w:tcW w:w="1278" w:type="dxa"/>
            <w:tcMar>
              <w:left w:w="108" w:type="dxa"/>
              <w:right w:w="108" w:type="dxa"/>
            </w:tcMar>
          </w:tcPr>
          <w:p w:rsidRPr="00D11140" w:rsidR="41839B7F" w:rsidP="004D4E3E" w:rsidRDefault="41839B7F" w14:paraId="5E4ACD7E" w14:textId="309E82F7">
            <w:pPr>
              <w:spacing w:before="40" w:after="40" w:line="240" w:lineRule="auto"/>
              <w:rPr>
                <w:sz w:val="22"/>
                <w:szCs w:val="22"/>
              </w:rPr>
            </w:pPr>
            <w:r w:rsidRPr="00D11140">
              <w:rPr>
                <w:rFonts w:ascii="Arial" w:hAnsi="Arial" w:eastAsia="Arial" w:cs="Arial"/>
                <w:sz w:val="22"/>
                <w:szCs w:val="22"/>
              </w:rPr>
              <w:t>Cadmium*</w:t>
            </w:r>
          </w:p>
        </w:tc>
        <w:tc>
          <w:tcPr>
            <w:tcW w:w="3052" w:type="dxa"/>
            <w:tcMar>
              <w:left w:w="108" w:type="dxa"/>
              <w:right w:w="108" w:type="dxa"/>
            </w:tcMar>
          </w:tcPr>
          <w:p w:rsidRPr="00D11140" w:rsidR="41839B7F" w:rsidP="0056278C" w:rsidRDefault="41839B7F" w14:paraId="1A7688BF" w14:textId="1D4A50C3">
            <w:pPr>
              <w:spacing w:before="40" w:after="40" w:line="240" w:lineRule="auto"/>
              <w:jc w:val="center"/>
              <w:rPr>
                <w:sz w:val="22"/>
                <w:szCs w:val="22"/>
              </w:rPr>
            </w:pPr>
            <w:r w:rsidRPr="00D11140">
              <w:rPr>
                <w:rFonts w:ascii="Arial" w:hAnsi="Arial" w:eastAsia="Arial" w:cs="Arial"/>
                <w:sz w:val="22"/>
                <w:szCs w:val="22"/>
              </w:rPr>
              <w:t>42</w:t>
            </w:r>
          </w:p>
        </w:tc>
        <w:tc>
          <w:tcPr>
            <w:tcW w:w="2937" w:type="dxa"/>
            <w:tcMar>
              <w:left w:w="108" w:type="dxa"/>
              <w:right w:w="108" w:type="dxa"/>
            </w:tcMar>
          </w:tcPr>
          <w:p w:rsidRPr="00D11140" w:rsidR="41839B7F" w:rsidP="0056278C" w:rsidRDefault="41839B7F" w14:paraId="7A7FBFA8" w14:textId="7343112C">
            <w:pPr>
              <w:spacing w:before="40" w:after="40" w:line="240" w:lineRule="auto"/>
              <w:jc w:val="center"/>
              <w:rPr>
                <w:sz w:val="22"/>
                <w:szCs w:val="22"/>
              </w:rPr>
            </w:pPr>
            <w:r w:rsidRPr="00D11140">
              <w:rPr>
                <w:rFonts w:ascii="Arial" w:hAnsi="Arial" w:eastAsia="Arial" w:cs="Arial"/>
                <w:sz w:val="22"/>
                <w:szCs w:val="22"/>
              </w:rPr>
              <w:t>9.3</w:t>
            </w:r>
          </w:p>
        </w:tc>
      </w:tr>
      <w:tr w:rsidRPr="00D11140" w:rsidR="41839B7F" w:rsidTr="004D4E3E" w14:paraId="289B16A4" w14:textId="77777777">
        <w:trPr>
          <w:trHeight w:val="273"/>
        </w:trPr>
        <w:tc>
          <w:tcPr>
            <w:tcW w:w="1278" w:type="dxa"/>
            <w:tcMar>
              <w:left w:w="108" w:type="dxa"/>
              <w:right w:w="108" w:type="dxa"/>
            </w:tcMar>
          </w:tcPr>
          <w:p w:rsidRPr="00D11140" w:rsidR="41839B7F" w:rsidP="004D4E3E" w:rsidRDefault="41839B7F" w14:paraId="61E7FE55" w14:textId="49C8B439">
            <w:pPr>
              <w:spacing w:before="40" w:after="40" w:line="240" w:lineRule="auto"/>
              <w:rPr>
                <w:sz w:val="22"/>
                <w:szCs w:val="22"/>
              </w:rPr>
            </w:pPr>
            <w:r w:rsidRPr="00D11140">
              <w:rPr>
                <w:rFonts w:ascii="Arial" w:hAnsi="Arial" w:eastAsia="Arial" w:cs="Arial"/>
                <w:sz w:val="22"/>
                <w:szCs w:val="22"/>
              </w:rPr>
              <w:t>Copper</w:t>
            </w:r>
          </w:p>
        </w:tc>
        <w:tc>
          <w:tcPr>
            <w:tcW w:w="3052" w:type="dxa"/>
            <w:tcMar>
              <w:left w:w="108" w:type="dxa"/>
              <w:right w:w="108" w:type="dxa"/>
            </w:tcMar>
          </w:tcPr>
          <w:p w:rsidRPr="00D11140" w:rsidR="41839B7F" w:rsidP="0056278C" w:rsidRDefault="41839B7F" w14:paraId="2BEE9252" w14:textId="49C91004">
            <w:pPr>
              <w:spacing w:before="40" w:after="40" w:line="240" w:lineRule="auto"/>
              <w:jc w:val="center"/>
              <w:rPr>
                <w:sz w:val="22"/>
                <w:szCs w:val="22"/>
              </w:rPr>
            </w:pPr>
            <w:r w:rsidRPr="00D11140">
              <w:rPr>
                <w:rFonts w:ascii="Arial" w:hAnsi="Arial" w:eastAsia="Arial" w:cs="Arial"/>
                <w:sz w:val="22"/>
                <w:szCs w:val="22"/>
              </w:rPr>
              <w:t>4.8</w:t>
            </w:r>
          </w:p>
        </w:tc>
        <w:tc>
          <w:tcPr>
            <w:tcW w:w="2937" w:type="dxa"/>
            <w:tcMar>
              <w:left w:w="108" w:type="dxa"/>
              <w:right w:w="108" w:type="dxa"/>
            </w:tcMar>
          </w:tcPr>
          <w:p w:rsidRPr="00D11140" w:rsidR="41839B7F" w:rsidP="0056278C" w:rsidRDefault="41839B7F" w14:paraId="5E1F6F65" w14:textId="6E7FE1CB">
            <w:pPr>
              <w:spacing w:before="40" w:after="40" w:line="240" w:lineRule="auto"/>
              <w:jc w:val="center"/>
              <w:rPr>
                <w:sz w:val="22"/>
                <w:szCs w:val="22"/>
              </w:rPr>
            </w:pPr>
            <w:r w:rsidRPr="00D11140">
              <w:rPr>
                <w:rFonts w:ascii="Arial" w:hAnsi="Arial" w:eastAsia="Arial" w:cs="Arial"/>
                <w:sz w:val="22"/>
                <w:szCs w:val="22"/>
              </w:rPr>
              <w:t>3.1</w:t>
            </w:r>
          </w:p>
        </w:tc>
      </w:tr>
      <w:tr w:rsidRPr="00D11140" w:rsidR="41839B7F" w:rsidTr="004D4E3E" w14:paraId="54BF96E5" w14:textId="77777777">
        <w:trPr>
          <w:trHeight w:val="273"/>
        </w:trPr>
        <w:tc>
          <w:tcPr>
            <w:tcW w:w="1278" w:type="dxa"/>
            <w:tcMar>
              <w:left w:w="108" w:type="dxa"/>
              <w:right w:w="108" w:type="dxa"/>
            </w:tcMar>
          </w:tcPr>
          <w:p w:rsidRPr="00D11140" w:rsidR="41839B7F" w:rsidP="004D4E3E" w:rsidRDefault="41839B7F" w14:paraId="20D93D77" w14:textId="3EE3B9BE">
            <w:pPr>
              <w:spacing w:before="40" w:after="40" w:line="240" w:lineRule="auto"/>
              <w:rPr>
                <w:sz w:val="22"/>
                <w:szCs w:val="22"/>
              </w:rPr>
            </w:pPr>
            <w:r w:rsidRPr="00D11140">
              <w:rPr>
                <w:rFonts w:ascii="Arial" w:hAnsi="Arial" w:eastAsia="Arial" w:cs="Arial"/>
                <w:sz w:val="22"/>
                <w:szCs w:val="22"/>
              </w:rPr>
              <w:t>Lead</w:t>
            </w:r>
          </w:p>
        </w:tc>
        <w:tc>
          <w:tcPr>
            <w:tcW w:w="3052" w:type="dxa"/>
            <w:tcMar>
              <w:left w:w="108" w:type="dxa"/>
              <w:right w:w="108" w:type="dxa"/>
            </w:tcMar>
          </w:tcPr>
          <w:p w:rsidRPr="00D11140" w:rsidR="41839B7F" w:rsidP="0056278C" w:rsidRDefault="41839B7F" w14:paraId="7FB3D5B6" w14:textId="4BF5D150">
            <w:pPr>
              <w:spacing w:before="40" w:after="40" w:line="240" w:lineRule="auto"/>
              <w:jc w:val="center"/>
              <w:rPr>
                <w:sz w:val="22"/>
                <w:szCs w:val="22"/>
              </w:rPr>
            </w:pPr>
            <w:r w:rsidRPr="00D11140">
              <w:rPr>
                <w:rFonts w:ascii="Arial" w:hAnsi="Arial" w:eastAsia="Arial" w:cs="Arial"/>
                <w:sz w:val="22"/>
                <w:szCs w:val="22"/>
              </w:rPr>
              <w:t>210</w:t>
            </w:r>
          </w:p>
        </w:tc>
        <w:tc>
          <w:tcPr>
            <w:tcW w:w="2937" w:type="dxa"/>
            <w:tcMar>
              <w:left w:w="108" w:type="dxa"/>
              <w:right w:w="108" w:type="dxa"/>
            </w:tcMar>
          </w:tcPr>
          <w:p w:rsidRPr="00D11140" w:rsidR="41839B7F" w:rsidP="0056278C" w:rsidRDefault="41839B7F" w14:paraId="3F32732A" w14:textId="09518CA4">
            <w:pPr>
              <w:spacing w:before="40" w:after="40" w:line="240" w:lineRule="auto"/>
              <w:jc w:val="center"/>
              <w:rPr>
                <w:sz w:val="22"/>
                <w:szCs w:val="22"/>
              </w:rPr>
            </w:pPr>
            <w:r w:rsidRPr="00D11140">
              <w:rPr>
                <w:rFonts w:ascii="Arial" w:hAnsi="Arial" w:eastAsia="Arial" w:cs="Arial"/>
                <w:sz w:val="22"/>
                <w:szCs w:val="22"/>
              </w:rPr>
              <w:t>8.1</w:t>
            </w:r>
          </w:p>
        </w:tc>
      </w:tr>
      <w:tr w:rsidRPr="00D11140" w:rsidR="41839B7F" w:rsidTr="004D4E3E" w14:paraId="6024EA38" w14:textId="77777777">
        <w:trPr>
          <w:trHeight w:val="273"/>
        </w:trPr>
        <w:tc>
          <w:tcPr>
            <w:tcW w:w="1278" w:type="dxa"/>
            <w:tcMar>
              <w:left w:w="108" w:type="dxa"/>
              <w:right w:w="108" w:type="dxa"/>
            </w:tcMar>
          </w:tcPr>
          <w:p w:rsidRPr="00D11140" w:rsidR="41839B7F" w:rsidP="004D4E3E" w:rsidRDefault="41839B7F" w14:paraId="602DDC3D" w14:textId="4A35FA09">
            <w:pPr>
              <w:spacing w:before="40" w:after="40" w:line="240" w:lineRule="auto"/>
              <w:rPr>
                <w:sz w:val="22"/>
                <w:szCs w:val="22"/>
              </w:rPr>
            </w:pPr>
            <w:r w:rsidRPr="00D11140">
              <w:rPr>
                <w:rFonts w:ascii="Arial" w:hAnsi="Arial" w:eastAsia="Arial" w:cs="Arial"/>
                <w:sz w:val="22"/>
                <w:szCs w:val="22"/>
              </w:rPr>
              <w:t>Zinc</w:t>
            </w:r>
          </w:p>
        </w:tc>
        <w:tc>
          <w:tcPr>
            <w:tcW w:w="3052" w:type="dxa"/>
            <w:tcMar>
              <w:left w:w="108" w:type="dxa"/>
              <w:right w:w="108" w:type="dxa"/>
            </w:tcMar>
          </w:tcPr>
          <w:p w:rsidRPr="00D11140" w:rsidR="41839B7F" w:rsidP="0056278C" w:rsidRDefault="41839B7F" w14:paraId="191A81F3" w14:textId="650B7351">
            <w:pPr>
              <w:spacing w:before="40" w:after="40" w:line="240" w:lineRule="auto"/>
              <w:jc w:val="center"/>
              <w:rPr>
                <w:sz w:val="22"/>
                <w:szCs w:val="22"/>
              </w:rPr>
            </w:pPr>
            <w:r w:rsidRPr="00D11140">
              <w:rPr>
                <w:rFonts w:ascii="Arial" w:hAnsi="Arial" w:eastAsia="Arial" w:cs="Arial"/>
                <w:sz w:val="22"/>
                <w:szCs w:val="22"/>
              </w:rPr>
              <w:t>90</w:t>
            </w:r>
          </w:p>
        </w:tc>
        <w:tc>
          <w:tcPr>
            <w:tcW w:w="2937" w:type="dxa"/>
            <w:tcMar>
              <w:left w:w="108" w:type="dxa"/>
              <w:right w:w="108" w:type="dxa"/>
            </w:tcMar>
          </w:tcPr>
          <w:p w:rsidRPr="00D11140" w:rsidR="41839B7F" w:rsidP="0056278C" w:rsidRDefault="41839B7F" w14:paraId="20959F00" w14:textId="0B648653">
            <w:pPr>
              <w:spacing w:before="40" w:after="40" w:line="240" w:lineRule="auto"/>
              <w:jc w:val="center"/>
              <w:rPr>
                <w:sz w:val="22"/>
                <w:szCs w:val="22"/>
              </w:rPr>
            </w:pPr>
            <w:r w:rsidRPr="00D11140">
              <w:rPr>
                <w:rFonts w:ascii="Arial" w:hAnsi="Arial" w:eastAsia="Arial" w:cs="Arial"/>
                <w:sz w:val="22"/>
                <w:szCs w:val="22"/>
              </w:rPr>
              <w:t>81</w:t>
            </w:r>
          </w:p>
        </w:tc>
      </w:tr>
    </w:tbl>
    <w:p w:rsidRPr="0085736B" w:rsidR="00D11140" w:rsidP="00CC404A" w:rsidRDefault="00D11140" w14:paraId="704FF18E" w14:textId="186546CD">
      <w:pPr>
        <w:spacing w:after="0" w:line="257" w:lineRule="auto"/>
        <w:ind w:left="1620" w:hanging="360"/>
        <w:rPr>
          <w:rFonts w:eastAsia="Arial" w:cs="Arial"/>
          <w:sz w:val="22"/>
          <w:szCs w:val="22"/>
          <w:u w:val="single"/>
        </w:rPr>
      </w:pPr>
      <w:r w:rsidRPr="0085736B">
        <w:rPr>
          <w:rFonts w:eastAsia="Arial" w:cs="Arial"/>
          <w:sz w:val="22"/>
          <w:szCs w:val="22"/>
          <w:u w:val="single"/>
        </w:rPr>
        <w:t>Table Notes</w:t>
      </w:r>
    </w:p>
    <w:p w:rsidRPr="0085736B" w:rsidR="70567D2B" w:rsidP="00CC404A" w:rsidRDefault="70567D2B" w14:paraId="505EC672" w14:textId="0465982D">
      <w:pPr>
        <w:tabs>
          <w:tab w:val="left" w:pos="360"/>
        </w:tabs>
        <w:spacing w:after="0" w:line="257" w:lineRule="auto"/>
        <w:ind w:left="1620" w:hanging="360"/>
        <w:rPr>
          <w:sz w:val="22"/>
          <w:szCs w:val="22"/>
        </w:rPr>
      </w:pPr>
      <w:r w:rsidRPr="0085736B">
        <w:rPr>
          <w:rFonts w:eastAsia="Arial" w:cs="Arial"/>
          <w:sz w:val="22"/>
          <w:szCs w:val="22"/>
        </w:rPr>
        <w:t>*</w:t>
      </w:r>
      <w:r w:rsidR="00D83648">
        <w:rPr>
          <w:rFonts w:eastAsia="Arial" w:cs="Arial"/>
          <w:sz w:val="22"/>
          <w:szCs w:val="22"/>
        </w:rPr>
        <w:t xml:space="preserve"> </w:t>
      </w:r>
      <w:r w:rsidR="001C3CF5">
        <w:rPr>
          <w:rFonts w:eastAsia="Arial" w:cs="Arial"/>
          <w:sz w:val="22"/>
          <w:szCs w:val="22"/>
        </w:rPr>
        <w:tab/>
      </w:r>
      <w:r w:rsidRPr="0085736B">
        <w:rPr>
          <w:rFonts w:eastAsia="Arial" w:cs="Arial"/>
          <w:sz w:val="22"/>
          <w:szCs w:val="22"/>
        </w:rPr>
        <w:t>Cadmium values apply to Upper Bay only (estimated as 40% of Newport Bay volume)</w:t>
      </w:r>
    </w:p>
    <w:p w:rsidRPr="0085736B" w:rsidR="005B16DD" w:rsidP="0085736B" w:rsidRDefault="70567D2B" w14:paraId="728F0896" w14:textId="5B924DD0">
      <w:pPr>
        <w:spacing w:line="257" w:lineRule="auto"/>
        <w:ind w:left="1260"/>
      </w:pPr>
      <w:r w:rsidRPr="0085736B">
        <w:rPr>
          <w:rFonts w:eastAsia="Arial" w:cs="Arial"/>
          <w:b/>
          <w:bCs/>
        </w:rPr>
        <w:t xml:space="preserve">Final Compliance Deadline: </w:t>
      </w:r>
      <w:r w:rsidRPr="00CC404A" w:rsidR="0056278C">
        <w:rPr>
          <w:rFonts w:eastAsia="Arial" w:cs="Arial"/>
        </w:rPr>
        <w:t>A final</w:t>
      </w:r>
      <w:r w:rsidR="0056278C">
        <w:rPr>
          <w:rFonts w:eastAsia="Arial" w:cs="Arial"/>
          <w:b/>
          <w:bCs/>
        </w:rPr>
        <w:t xml:space="preserve"> </w:t>
      </w:r>
      <w:r w:rsidRPr="0056278C" w:rsidR="0056278C">
        <w:rPr>
          <w:rFonts w:eastAsia="Arial" w:cs="Arial"/>
        </w:rPr>
        <w:t>compliance</w:t>
      </w:r>
      <w:r w:rsidR="0056278C">
        <w:rPr>
          <w:rFonts w:eastAsia="Arial" w:cs="Arial"/>
        </w:rPr>
        <w:t xml:space="preserve"> deadline is not provided in the adopted TMDL.</w:t>
      </w:r>
    </w:p>
    <w:p w:rsidRPr="000D48DD" w:rsidR="70567D2B" w:rsidP="000D48DD" w:rsidRDefault="00836361" w14:paraId="7E71CE15" w14:textId="026BE9B7">
      <w:pPr>
        <w:pStyle w:val="Heading3"/>
        <w:tabs>
          <w:tab w:val="clear" w:pos="720"/>
          <w:tab w:val="left" w:pos="1260"/>
        </w:tabs>
        <w:ind w:left="1260" w:hanging="1260"/>
        <w:rPr>
          <w:i/>
          <w:iCs/>
        </w:rPr>
      </w:pPr>
      <w:r>
        <w:rPr>
          <w:i/>
          <w:iCs/>
        </w:rPr>
        <w:t>A13</w:t>
      </w:r>
      <w:r w:rsidRPr="000D48DD" w:rsidR="006376C0">
        <w:rPr>
          <w:i/>
          <w:iCs/>
        </w:rPr>
        <w:t>.8</w:t>
      </w:r>
      <w:r w:rsidRPr="000D48DD" w:rsidR="006F442A">
        <w:rPr>
          <w:i/>
          <w:iCs/>
        </w:rPr>
        <w:t>.</w:t>
      </w:r>
      <w:r w:rsidR="00AC156A">
        <w:rPr>
          <w:i/>
          <w:iCs/>
        </w:rPr>
        <w:t>8</w:t>
      </w:r>
      <w:r w:rsidRPr="000D48DD" w:rsidR="70567D2B">
        <w:rPr>
          <w:i/>
          <w:iCs/>
        </w:rPr>
        <w:tab/>
      </w:r>
      <w:r w:rsidRPr="000D48DD" w:rsidR="008E133F">
        <w:rPr>
          <w:i/>
          <w:iCs/>
        </w:rPr>
        <w:t xml:space="preserve">Selenium </w:t>
      </w:r>
      <w:r w:rsidR="003D2FEC">
        <w:rPr>
          <w:i/>
          <w:iCs/>
        </w:rPr>
        <w:t xml:space="preserve">TMDLs </w:t>
      </w:r>
      <w:r w:rsidRPr="000D48DD" w:rsidR="0071068A">
        <w:rPr>
          <w:i/>
          <w:iCs/>
        </w:rPr>
        <w:t>in Freshwater</w:t>
      </w:r>
      <w:r w:rsidR="003D2FEC">
        <w:rPr>
          <w:i/>
          <w:iCs/>
        </w:rPr>
        <w:t xml:space="preserve"> for</w:t>
      </w:r>
      <w:r w:rsidRPr="000D48DD" w:rsidR="70567D2B">
        <w:rPr>
          <w:i/>
          <w:iCs/>
        </w:rPr>
        <w:t xml:space="preserve"> Newport Bay Watershed</w:t>
      </w:r>
    </w:p>
    <w:p w:rsidR="70567D2B" w:rsidP="00B80AC8" w:rsidRDefault="70567D2B" w14:paraId="26A891AE" w14:textId="17E72FF0">
      <w:pPr>
        <w:spacing w:line="257" w:lineRule="auto"/>
        <w:ind w:left="1260"/>
      </w:pPr>
      <w:r w:rsidRPr="00763928">
        <w:rPr>
          <w:rFonts w:eastAsia="Arial" w:cs="Arial"/>
          <w:b/>
          <w:bCs/>
        </w:rPr>
        <w:t>Description</w:t>
      </w:r>
      <w:r w:rsidRPr="41839B7F">
        <w:rPr>
          <w:rFonts w:eastAsia="Arial" w:cs="Arial"/>
        </w:rPr>
        <w:t xml:space="preserve">: </w:t>
      </w:r>
      <w:r w:rsidR="00766ACF">
        <w:rPr>
          <w:rFonts w:eastAsia="Arial" w:cs="Arial"/>
        </w:rPr>
        <w:t>USEPA</w:t>
      </w:r>
      <w:r w:rsidR="00C56C92">
        <w:rPr>
          <w:rFonts w:eastAsia="Arial" w:cs="Arial"/>
        </w:rPr>
        <w:t xml:space="preserve"> </w:t>
      </w:r>
      <w:r w:rsidRPr="41839B7F">
        <w:rPr>
          <w:rFonts w:eastAsia="Arial" w:cs="Arial"/>
        </w:rPr>
        <w:t>approved the Selenium TMDL for the Newport Bay Watershed on June 20, 2019. The beneficial uses affected by selenium bioaccumulation include warm freshwater habitat, estuarine habitat, marine habitat, preservation of biological habitats of special significance, wildlife habitat, rare, threatened or endangered species, and spawning, reproduction, and development. Urban runoff is identified as a source of selenium.</w:t>
      </w:r>
      <w:r w:rsidR="00BF034F">
        <w:rPr>
          <w:rStyle w:val="FootnoteReference"/>
          <w:rFonts w:eastAsia="Arial" w:cs="Arial"/>
        </w:rPr>
        <w:footnoteReference w:id="29"/>
      </w:r>
      <w:r w:rsidR="00CF0680">
        <w:rPr>
          <w:rFonts w:eastAsia="Arial" w:cs="Arial"/>
        </w:rPr>
        <w:t xml:space="preserve"> </w:t>
      </w:r>
    </w:p>
    <w:p w:rsidR="70567D2B" w:rsidP="00B80AC8" w:rsidRDefault="70567D2B" w14:paraId="72EBC90F" w14:textId="1B07E71A">
      <w:pPr>
        <w:spacing w:line="257" w:lineRule="auto"/>
        <w:ind w:left="1260"/>
        <w:rPr>
          <w:rFonts w:eastAsia="Arial" w:cs="Arial"/>
        </w:rPr>
      </w:pPr>
      <w:r w:rsidRPr="00763928">
        <w:rPr>
          <w:rFonts w:eastAsia="Arial" w:cs="Arial"/>
          <w:b/>
          <w:bCs/>
        </w:rPr>
        <w:t>Responsible Permittees</w:t>
      </w:r>
      <w:r w:rsidRPr="41839B7F">
        <w:rPr>
          <w:rFonts w:eastAsia="Arial" w:cs="Arial"/>
        </w:rPr>
        <w:t xml:space="preserve">: Orange County Fair &amp; Event Center </w:t>
      </w:r>
      <w:r w:rsidR="00723427">
        <w:rPr>
          <w:rFonts w:eastAsia="Arial" w:cs="Arial"/>
        </w:rPr>
        <w:t xml:space="preserve">and </w:t>
      </w:r>
      <w:r w:rsidRPr="41839B7F">
        <w:rPr>
          <w:rFonts w:eastAsia="Arial" w:cs="Arial"/>
        </w:rPr>
        <w:t>University of California, Irvine</w:t>
      </w:r>
      <w:r w:rsidR="00823FFA">
        <w:rPr>
          <w:rFonts w:eastAsia="Arial" w:cs="Arial"/>
        </w:rPr>
        <w:t>.</w:t>
      </w:r>
    </w:p>
    <w:p w:rsidR="00F46B62" w:rsidP="00021B4D" w:rsidRDefault="70567D2B" w14:paraId="37EE8253" w14:textId="2755B620">
      <w:pPr>
        <w:spacing w:line="257" w:lineRule="auto"/>
        <w:ind w:left="1260"/>
        <w:rPr>
          <w:rFonts w:eastAsia="Arial" w:cs="Arial"/>
        </w:rPr>
      </w:pPr>
      <w:r w:rsidRPr="00763928">
        <w:rPr>
          <w:rFonts w:eastAsia="Arial" w:cs="Arial"/>
          <w:b/>
          <w:bCs/>
        </w:rPr>
        <w:t>Wasteload Allocations</w:t>
      </w:r>
      <w:r w:rsidRPr="41839B7F">
        <w:rPr>
          <w:rFonts w:eastAsia="Arial" w:cs="Arial"/>
        </w:rPr>
        <w:t xml:space="preserve">: </w:t>
      </w:r>
      <w:r w:rsidR="009678A6">
        <w:rPr>
          <w:rFonts w:eastAsia="Arial" w:cs="Arial"/>
        </w:rPr>
        <w:t xml:space="preserve">Wasteload allocations </w:t>
      </w:r>
      <w:r w:rsidR="002B432A">
        <w:rPr>
          <w:rFonts w:eastAsia="Arial" w:cs="Arial"/>
        </w:rPr>
        <w:t xml:space="preserve">are applied at the following </w:t>
      </w:r>
      <w:r w:rsidR="002847B1">
        <w:rPr>
          <w:rFonts w:eastAsia="Arial" w:cs="Arial"/>
        </w:rPr>
        <w:t xml:space="preserve">for </w:t>
      </w:r>
      <w:r w:rsidR="002B432A">
        <w:rPr>
          <w:rFonts w:eastAsia="Arial" w:cs="Arial"/>
        </w:rPr>
        <w:t>discharge locations</w:t>
      </w:r>
      <w:r w:rsidR="002847B1">
        <w:rPr>
          <w:rFonts w:eastAsia="Arial" w:cs="Arial"/>
        </w:rPr>
        <w:t xml:space="preserve"> and gauge stations</w:t>
      </w:r>
      <w:r w:rsidR="002B432A">
        <w:rPr>
          <w:rFonts w:eastAsia="Arial" w:cs="Arial"/>
        </w:rPr>
        <w:t>:</w:t>
      </w:r>
    </w:p>
    <w:p w:rsidR="009678A6" w:rsidP="00BE1CBE" w:rsidRDefault="009678A6" w14:paraId="09855E5A" w14:textId="77777777">
      <w:pPr>
        <w:ind w:left="1260"/>
      </w:pPr>
      <w:r>
        <w:rPr>
          <w:u w:val="single"/>
        </w:rPr>
        <w:t xml:space="preserve">Stormwater Runoff Discharges to </w:t>
      </w:r>
      <w:r w:rsidRPr="00107EA0">
        <w:rPr>
          <w:u w:val="single"/>
        </w:rPr>
        <w:t>Newport Bay at Costa Mesa Channel</w:t>
      </w:r>
      <w:r>
        <w:t xml:space="preserve">. Discharges of selenium in the permittee’s runoff to Newport Bay at Costa </w:t>
      </w:r>
      <w:r>
        <w:t>Mesa Channel must not exceed concentrations of 5 µg Se/L in the water column:</w:t>
      </w:r>
    </w:p>
    <w:p w:rsidR="009678A6" w:rsidP="00E8254E" w:rsidRDefault="009678A6" w14:paraId="5C816AC6" w14:textId="77777777">
      <w:pPr>
        <w:pStyle w:val="ListParagraph"/>
        <w:numPr>
          <w:ilvl w:val="0"/>
          <w:numId w:val="76"/>
        </w:numPr>
        <w:ind w:left="1620"/>
        <w:contextualSpacing w:val="0"/>
      </w:pPr>
      <w:r>
        <w:t xml:space="preserve">This wasteload allocation is derived from the </w:t>
      </w:r>
      <w:r w:rsidRPr="00107EA0">
        <w:t>California Toxics Rule</w:t>
      </w:r>
      <w:r>
        <w:t xml:space="preserve"> expressed as an arithmetic mean that is calculated semi-annually. The first semi-annual period used to calculate the arithmetic mean is April 1 through September 30. The second semi-annual period is October 1 through March 31.</w:t>
      </w:r>
    </w:p>
    <w:p w:rsidR="009678A6" w:rsidP="00E8254E" w:rsidRDefault="009678A6" w14:paraId="6BEA2417" w14:textId="77777777">
      <w:pPr>
        <w:pStyle w:val="ListParagraph"/>
        <w:numPr>
          <w:ilvl w:val="0"/>
          <w:numId w:val="76"/>
        </w:numPr>
        <w:ind w:left="1620"/>
        <w:contextualSpacing w:val="0"/>
      </w:pPr>
      <w:r>
        <w:t xml:space="preserve">This wasteload allocation applies to dry-weather conditions and wet-weather runoff produced by up to but excluding 0.1 inches of rain. Rainfall is measured at the Tustin-Irvine Ranch Rain Gauge Station. </w:t>
      </w:r>
    </w:p>
    <w:p w:rsidR="009678A6" w:rsidP="00BE1CBE" w:rsidRDefault="009678A6" w14:paraId="1077715B" w14:textId="77777777">
      <w:pPr>
        <w:ind w:left="1260"/>
      </w:pPr>
      <w:r>
        <w:rPr>
          <w:u w:val="single"/>
        </w:rPr>
        <w:t xml:space="preserve">Stormwater Runoff Discharges to </w:t>
      </w:r>
      <w:r w:rsidRPr="00107EA0">
        <w:rPr>
          <w:u w:val="single"/>
        </w:rPr>
        <w:t>San Diego Creek</w:t>
      </w:r>
      <w:r>
        <w:t xml:space="preserve">. The permittee’s discharges of selenium to San Diego Creek must not exceed 10 µg Se/L in the water column. </w:t>
      </w:r>
    </w:p>
    <w:p w:rsidR="009678A6" w:rsidP="00E8254E" w:rsidRDefault="009678A6" w14:paraId="51447238" w14:textId="77777777">
      <w:pPr>
        <w:pStyle w:val="ListParagraph"/>
        <w:numPr>
          <w:ilvl w:val="0"/>
          <w:numId w:val="77"/>
        </w:numPr>
        <w:ind w:left="1620"/>
        <w:contextualSpacing w:val="0"/>
      </w:pPr>
      <w:r>
        <w:t>This wasteload allocation is based on probable water column concentrations that are expected to achieve tissue-based numeric TMDL targets.</w:t>
      </w:r>
    </w:p>
    <w:p w:rsidR="009678A6" w:rsidP="00E8254E" w:rsidRDefault="009678A6" w14:paraId="49DEB718" w14:textId="77777777">
      <w:pPr>
        <w:pStyle w:val="ListParagraph"/>
        <w:numPr>
          <w:ilvl w:val="0"/>
          <w:numId w:val="77"/>
        </w:numPr>
        <w:ind w:left="1620"/>
        <w:contextualSpacing w:val="0"/>
      </w:pPr>
      <w:r>
        <w:t xml:space="preserve">This wasteload allocation applies to dry-weather conditions and wet-weather runoff produced by up to but excluding 0.1 inches of rain. Rainfall is measured at the Tustin-Irvine Ranch Rain Gauge Station. </w:t>
      </w:r>
    </w:p>
    <w:p w:rsidR="009678A6" w:rsidP="00BE1CBE" w:rsidRDefault="009678A6" w14:paraId="0022EB04" w14:textId="77777777">
      <w:pPr>
        <w:ind w:left="1260"/>
      </w:pPr>
      <w:r>
        <w:rPr>
          <w:u w:val="single"/>
        </w:rPr>
        <w:t xml:space="preserve">Stormwater Runoff Discharges to </w:t>
      </w:r>
      <w:r w:rsidRPr="00927DE5">
        <w:rPr>
          <w:u w:val="single"/>
        </w:rPr>
        <w:t>Santa Ana-Delhi Channel</w:t>
      </w:r>
      <w:r>
        <w:t xml:space="preserve">. The permittee’s discharges of selenium to the Santa Ana-Delhi Channel must not exceed 11 µg Se/L in the water column. </w:t>
      </w:r>
    </w:p>
    <w:p w:rsidR="009678A6" w:rsidP="00E8254E" w:rsidRDefault="009678A6" w14:paraId="569E9D04" w14:textId="77777777">
      <w:pPr>
        <w:pStyle w:val="ListParagraph"/>
        <w:numPr>
          <w:ilvl w:val="0"/>
          <w:numId w:val="78"/>
        </w:numPr>
        <w:ind w:left="1620"/>
        <w:contextualSpacing w:val="0"/>
      </w:pPr>
      <w:r>
        <w:t>This wasteload allocation is based on probable water column concentrations that are expected to achieve tissue-based numeric TMDL targets.</w:t>
      </w:r>
    </w:p>
    <w:p w:rsidR="009678A6" w:rsidP="00E8254E" w:rsidRDefault="009678A6" w14:paraId="1DFA94DF" w14:textId="77777777">
      <w:pPr>
        <w:pStyle w:val="ListParagraph"/>
        <w:numPr>
          <w:ilvl w:val="0"/>
          <w:numId w:val="78"/>
        </w:numPr>
        <w:ind w:left="1620"/>
        <w:contextualSpacing w:val="0"/>
      </w:pPr>
      <w:r>
        <w:t xml:space="preserve">This wasteload allocation applies to dry weather conditions and wet weather runoff produced by up to but excluding 0.1 inches of rain. Rainfall is measured at the Tustin-Irvine Ranch Rain Gauge Station. </w:t>
      </w:r>
    </w:p>
    <w:p w:rsidR="009678A6" w:rsidP="00BE1CBE" w:rsidRDefault="009678A6" w14:paraId="312DFEE3" w14:textId="77777777">
      <w:pPr>
        <w:ind w:left="1260"/>
      </w:pPr>
      <w:r>
        <w:rPr>
          <w:u w:val="single"/>
        </w:rPr>
        <w:t xml:space="preserve">Stormwater Runoff Discharges </w:t>
      </w:r>
      <w:r w:rsidRPr="00650662">
        <w:rPr>
          <w:u w:val="single"/>
        </w:rPr>
        <w:t>to Big Canyon Wash</w:t>
      </w:r>
      <w:r>
        <w:t xml:space="preserve">. The permittee’s discharges of selenium to Big Canyon Wash must not exceed 1 µg Se/L in the water column. </w:t>
      </w:r>
    </w:p>
    <w:p w:rsidR="009678A6" w:rsidP="00E8254E" w:rsidRDefault="009678A6" w14:paraId="4C981611" w14:textId="77777777">
      <w:pPr>
        <w:pStyle w:val="ListParagraph"/>
        <w:numPr>
          <w:ilvl w:val="0"/>
          <w:numId w:val="79"/>
        </w:numPr>
        <w:ind w:left="1620"/>
        <w:contextualSpacing w:val="0"/>
      </w:pPr>
      <w:r>
        <w:t>This wasteload allocation is based on probable water column concentrations that are expected to achieve tissue-based numeric TMDL targets.</w:t>
      </w:r>
    </w:p>
    <w:p w:rsidR="009678A6" w:rsidP="00E8254E" w:rsidRDefault="009678A6" w14:paraId="01936E95" w14:textId="77777777">
      <w:pPr>
        <w:pStyle w:val="ListParagraph"/>
        <w:numPr>
          <w:ilvl w:val="0"/>
          <w:numId w:val="79"/>
        </w:numPr>
        <w:ind w:left="1620"/>
        <w:contextualSpacing w:val="0"/>
      </w:pPr>
      <w:r>
        <w:t xml:space="preserve">This wasteload allocation applies to dry-weather conditions and wet-weather runoff produced by up to but excluding 0.1 inches of rain. Rainfall is measured at the Tustin-Irvine Ranch Rain Gauge Station. </w:t>
      </w:r>
    </w:p>
    <w:p w:rsidRPr="00476BC9" w:rsidR="00B6425C" w:rsidP="00476BC9" w:rsidRDefault="00950AD1" w14:paraId="29FF2918" w14:textId="547DB953">
      <w:pPr>
        <w:ind w:left="1267"/>
        <w:rPr>
          <w:rFonts w:cs="Arial"/>
        </w:rPr>
      </w:pPr>
      <w:r w:rsidRPr="00476BC9">
        <w:rPr>
          <w:rFonts w:eastAsia="Arial" w:cs="Arial"/>
          <w:b/>
          <w:bCs/>
        </w:rPr>
        <w:t>Final Compliance Deadline</w:t>
      </w:r>
      <w:r w:rsidRPr="00476BC9">
        <w:rPr>
          <w:rFonts w:eastAsia="Arial" w:cs="Arial"/>
        </w:rPr>
        <w:t>:</w:t>
      </w:r>
      <w:r w:rsidR="005A0069">
        <w:rPr>
          <w:rFonts w:eastAsia="Arial" w:cs="Arial"/>
        </w:rPr>
        <w:t xml:space="preserve"> </w:t>
      </w:r>
      <w:r w:rsidRPr="00476BC9" w:rsidR="0016555E">
        <w:rPr>
          <w:rFonts w:eastAsia="Arial" w:cs="Arial"/>
        </w:rPr>
        <w:t>F</w:t>
      </w:r>
      <w:r w:rsidRPr="00476BC9">
        <w:rPr>
          <w:rFonts w:eastAsia="Arial" w:cs="Arial"/>
        </w:rPr>
        <w:t xml:space="preserve">inal compliance </w:t>
      </w:r>
      <w:r w:rsidRPr="00476BC9" w:rsidR="00BE1CBE">
        <w:rPr>
          <w:rFonts w:eastAsia="Arial" w:cs="Arial"/>
        </w:rPr>
        <w:t xml:space="preserve">deadline </w:t>
      </w:r>
      <w:r w:rsidRPr="00476BC9">
        <w:rPr>
          <w:rFonts w:eastAsia="Arial" w:cs="Arial"/>
        </w:rPr>
        <w:t xml:space="preserve">is </w:t>
      </w:r>
      <w:r w:rsidRPr="00476BC9" w:rsidR="006177BF">
        <w:rPr>
          <w:rFonts w:eastAsia="Arial" w:cs="Arial"/>
        </w:rPr>
        <w:t>June 20, 2049</w:t>
      </w:r>
      <w:r w:rsidRPr="00476BC9" w:rsidR="00BE1CBE">
        <w:rPr>
          <w:rFonts w:eastAsia="Arial" w:cs="Arial"/>
        </w:rPr>
        <w:t>, which is 30 years after the TMDL effective date</w:t>
      </w:r>
      <w:r w:rsidRPr="00476BC9" w:rsidR="0016555E">
        <w:rPr>
          <w:rFonts w:eastAsia="Arial" w:cs="Arial"/>
        </w:rPr>
        <w:t>.</w:t>
      </w:r>
    </w:p>
    <w:p w:rsidRPr="00677A29" w:rsidR="00677A29" w:rsidP="00677A29" w:rsidRDefault="00677A29" w14:paraId="77AFD9BF" w14:textId="58145245">
      <w:pPr>
        <w:widowControl w:val="0"/>
        <w:tabs>
          <w:tab w:val="left" w:pos="720"/>
        </w:tabs>
        <w:autoSpaceDE w:val="0"/>
        <w:autoSpaceDN w:val="0"/>
        <w:snapToGrid w:val="0"/>
        <w:spacing w:before="0" w:after="0" w:line="240" w:lineRule="auto"/>
        <w:ind w:right="114"/>
        <w:rPr>
          <w:rFonts w:cs="Arial"/>
        </w:rPr>
      </w:pPr>
      <w:r w:rsidRPr="00677A29">
        <w:rPr>
          <w:rFonts w:cs="Arial"/>
        </w:rPr>
        <w:t>.</w:t>
      </w:r>
    </w:p>
    <w:p w:rsidRPr="00EF4ED5" w:rsidR="009052CE" w:rsidP="00C477F8" w:rsidRDefault="00EF4ED5" w14:paraId="05CFCFEA" w14:textId="57C8EA99">
      <w:pPr>
        <w:widowControl w:val="0"/>
        <w:tabs>
          <w:tab w:val="left" w:pos="720"/>
        </w:tabs>
        <w:autoSpaceDE w:val="0"/>
        <w:autoSpaceDN w:val="0"/>
        <w:snapToGrid w:val="0"/>
        <w:spacing w:before="0" w:after="0" w:line="240" w:lineRule="auto"/>
        <w:ind w:right="114"/>
        <w:rPr>
          <w:rFonts w:cs="Arial"/>
          <w:b/>
          <w:bCs/>
        </w:rPr>
      </w:pPr>
      <w:r w:rsidRPr="00EF4ED5">
        <w:rPr>
          <w:rFonts w:eastAsia="Arial" w:cs="Arial"/>
          <w:sz w:val="22"/>
          <w:szCs w:val="22"/>
          <w:lang w:eastAsia="en-US"/>
        </w:rPr>
        <w:t xml:space="preserve"> </w:t>
      </w:r>
      <w:r w:rsidRPr="00EF4ED5" w:rsidR="009052CE">
        <w:rPr>
          <w:rFonts w:cs="Arial"/>
          <w:b/>
          <w:bCs/>
        </w:rPr>
        <w:br w:type="page"/>
      </w:r>
    </w:p>
    <w:p w:rsidR="009052CE" w:rsidP="001A1BAA" w:rsidRDefault="00836361" w14:paraId="51396A59" w14:textId="0D46D941">
      <w:pPr>
        <w:pStyle w:val="Heading2"/>
      </w:pPr>
      <w:bookmarkStart w:name="_Toc226536098" w:id="95"/>
      <w:r>
        <w:t>A13</w:t>
      </w:r>
      <w:r w:rsidR="000C5212">
        <w:t>.9</w:t>
      </w:r>
      <w:r w:rsidRPr="00FD32A6" w:rsidR="006750DD">
        <w:tab/>
      </w:r>
      <w:r w:rsidRPr="00FD32A6" w:rsidR="00703072">
        <w:t>SAN DIEGO WATER BOARD TMDLS</w:t>
      </w:r>
      <w:bookmarkEnd w:id="95"/>
    </w:p>
    <w:p w:rsidRPr="00EF4ED5" w:rsidR="00EF4ED5" w:rsidP="00EF4ED5" w:rsidRDefault="00F36FA3" w14:paraId="623DD623" w14:textId="38552160">
      <w:pPr>
        <w:rPr>
          <w:lang w:eastAsia="en-US"/>
        </w:rPr>
      </w:pPr>
      <w:r>
        <w:rPr>
          <w:lang w:eastAsia="en-US"/>
        </w:rPr>
        <w:t xml:space="preserve">Information in the following two subsections has been summarized from the applicable TMDLs in the </w:t>
      </w:r>
      <w:hyperlink w:history="1" r:id="rId52">
        <w:r w:rsidRPr="000927C2">
          <w:rPr>
            <w:rStyle w:val="Hyperlink"/>
            <w:lang w:eastAsia="en-US"/>
          </w:rPr>
          <w:t>San Diego Water Board’s Basin Plan</w:t>
        </w:r>
      </w:hyperlink>
      <w:r w:rsidRPr="000927C2">
        <w:rPr>
          <w:lang w:eastAsia="en-US"/>
        </w:rPr>
        <w:t>.</w:t>
      </w:r>
    </w:p>
    <w:p w:rsidRPr="000D48DD" w:rsidR="00830830" w:rsidP="00830830" w:rsidRDefault="00836361" w14:paraId="1631A63A" w14:textId="01D72852">
      <w:pPr>
        <w:pStyle w:val="Heading3"/>
        <w:tabs>
          <w:tab w:val="clear" w:pos="720"/>
          <w:tab w:val="left" w:pos="1260"/>
        </w:tabs>
        <w:ind w:left="1260" w:hanging="1260"/>
        <w:rPr>
          <w:i/>
          <w:iCs/>
        </w:rPr>
      </w:pPr>
      <w:r>
        <w:rPr>
          <w:i/>
          <w:iCs/>
        </w:rPr>
        <w:t>A13</w:t>
      </w:r>
      <w:r w:rsidRPr="000D48DD" w:rsidR="00830830">
        <w:rPr>
          <w:i/>
          <w:iCs/>
        </w:rPr>
        <w:t>.9.</w:t>
      </w:r>
      <w:r w:rsidR="00830830">
        <w:rPr>
          <w:i/>
          <w:iCs/>
        </w:rPr>
        <w:t>1</w:t>
      </w:r>
      <w:r w:rsidRPr="000D48DD" w:rsidR="00830830">
        <w:rPr>
          <w:i/>
          <w:iCs/>
        </w:rPr>
        <w:tab/>
      </w:r>
      <w:r w:rsidR="00DA491E">
        <w:rPr>
          <w:i/>
          <w:iCs/>
        </w:rPr>
        <w:t xml:space="preserve">TMDL </w:t>
      </w:r>
      <w:r w:rsidR="00EA62B5">
        <w:rPr>
          <w:i/>
          <w:iCs/>
        </w:rPr>
        <w:t xml:space="preserve">for Sediment in </w:t>
      </w:r>
      <w:r w:rsidRPr="000D48DD" w:rsidR="00830830">
        <w:rPr>
          <w:i/>
          <w:iCs/>
        </w:rPr>
        <w:t>Los Peñasquitos Lagoon</w:t>
      </w:r>
    </w:p>
    <w:p w:rsidR="00830830" w:rsidP="00830830" w:rsidRDefault="00830830" w14:paraId="09C2CC8D" w14:textId="79E77B9D">
      <w:pPr>
        <w:snapToGrid w:val="0"/>
        <w:spacing w:line="257" w:lineRule="auto"/>
        <w:ind w:left="1260"/>
      </w:pPr>
      <w:r w:rsidRPr="41839B7F">
        <w:rPr>
          <w:rFonts w:eastAsia="Arial" w:cs="Arial"/>
          <w:b/>
          <w:bCs/>
        </w:rPr>
        <w:t xml:space="preserve">Description: </w:t>
      </w:r>
      <w:r w:rsidR="00766ACF">
        <w:rPr>
          <w:rFonts w:eastAsia="Arial" w:cs="Arial"/>
        </w:rPr>
        <w:t>USEPA</w:t>
      </w:r>
      <w:r w:rsidR="00C56C92">
        <w:rPr>
          <w:rFonts w:eastAsia="Arial" w:cs="Arial"/>
        </w:rPr>
        <w:t xml:space="preserve"> </w:t>
      </w:r>
      <w:r w:rsidRPr="41839B7F">
        <w:rPr>
          <w:rFonts w:eastAsia="Arial" w:cs="Arial"/>
        </w:rPr>
        <w:t>approved the Los Peñasquitos Lagoon Sediment TMDL on October 30, 2014. The Los Peñasquitos Lagoon is impaired by sediment. Anthropogenic disturbances have accelerated the natural processes of erosion and sedimentation in the watershed. Urban stormwater discharge has been identified as a contributing source of sediment discharge to this water body.</w:t>
      </w:r>
    </w:p>
    <w:p w:rsidR="00830830" w:rsidP="00830830" w:rsidRDefault="00830830" w14:paraId="112DE9A9" w14:textId="77C99EAB">
      <w:pPr>
        <w:snapToGrid w:val="0"/>
        <w:spacing w:line="257" w:lineRule="auto"/>
        <w:ind w:left="1260"/>
      </w:pPr>
      <w:r w:rsidRPr="41839B7F">
        <w:rPr>
          <w:rFonts w:eastAsia="Arial" w:cs="Arial"/>
          <w:b/>
          <w:bCs/>
        </w:rPr>
        <w:t xml:space="preserve">Responsible Permittees: </w:t>
      </w:r>
      <w:r w:rsidRPr="00F711E3" w:rsidR="00565790">
        <w:rPr>
          <w:rFonts w:eastAsia="Arial" w:cs="Arial"/>
        </w:rPr>
        <w:t>Marine Corps Air Station Miramar</w:t>
      </w:r>
      <w:r w:rsidR="00565790">
        <w:rPr>
          <w:rFonts w:cs="Arial"/>
        </w:rPr>
        <w:t>;</w:t>
      </w:r>
      <w:r w:rsidRPr="00F711E3" w:rsidR="00565790">
        <w:rPr>
          <w:rFonts w:cs="Arial"/>
        </w:rPr>
        <w:t xml:space="preserve"> North County Transit District</w:t>
      </w:r>
      <w:r w:rsidR="00565790">
        <w:rPr>
          <w:rFonts w:cs="Arial"/>
        </w:rPr>
        <w:t>;</w:t>
      </w:r>
      <w:r w:rsidR="00565790">
        <w:rPr>
          <w:rFonts w:eastAsia="Arial" w:cs="Arial"/>
        </w:rPr>
        <w:t xml:space="preserve"> </w:t>
      </w:r>
      <w:r w:rsidRPr="00F711E3" w:rsidR="00565790">
        <w:rPr>
          <w:rFonts w:eastAsia="Arial" w:cs="Arial"/>
        </w:rPr>
        <w:t>University of California</w:t>
      </w:r>
      <w:r w:rsidR="00565790">
        <w:rPr>
          <w:rFonts w:cs="Arial"/>
        </w:rPr>
        <w:t>,</w:t>
      </w:r>
      <w:r w:rsidRPr="00F711E3" w:rsidR="00565790">
        <w:rPr>
          <w:rFonts w:eastAsia="Arial" w:cs="Arial"/>
        </w:rPr>
        <w:t xml:space="preserve"> San Diego</w:t>
      </w:r>
      <w:r w:rsidR="00565790">
        <w:rPr>
          <w:rFonts w:cs="Arial"/>
        </w:rPr>
        <w:t>;</w:t>
      </w:r>
      <w:r w:rsidRPr="00F711E3" w:rsidR="00565790">
        <w:rPr>
          <w:rFonts w:cs="Arial"/>
        </w:rPr>
        <w:t xml:space="preserve"> </w:t>
      </w:r>
      <w:r w:rsidRPr="005F08AC" w:rsidR="00565790">
        <w:rPr>
          <w:rFonts w:cs="Arial"/>
        </w:rPr>
        <w:t>Veterans Affairs San Diego Healthcare System</w:t>
      </w:r>
    </w:p>
    <w:p w:rsidR="00830830" w:rsidP="00830830" w:rsidRDefault="00830830" w14:paraId="2969A0DC" w14:textId="77777777">
      <w:pPr>
        <w:snapToGrid w:val="0"/>
        <w:spacing w:line="257" w:lineRule="auto"/>
        <w:ind w:left="1260"/>
      </w:pPr>
      <w:r w:rsidRPr="41839B7F">
        <w:rPr>
          <w:rFonts w:eastAsia="Arial" w:cs="Arial"/>
          <w:b/>
          <w:bCs/>
        </w:rPr>
        <w:t>Wasteload Allocations</w:t>
      </w:r>
      <w:r w:rsidRPr="41839B7F">
        <w:rPr>
          <w:rFonts w:eastAsia="Arial" w:cs="Arial"/>
        </w:rPr>
        <w:t>: The Los Peñasquitos Lagoon TMDL has assigned interim and final wasteload allocations to all identified responsible parties. Wasteload allocations are expressed in effluent limitations. Responsible parties are jointly responsible for meeting these wasteload reduction allocations. As such, Permittees within the Los Peñasquitos watershed are required to either reduce site sediment loads to the receiving water body or demonstrate that the site discharges are not causing exceedances of the water quality-based effluent limitations. Permittees are also required to sample for total suspended solids (TSS) concentrations and representative, or estimated, flow rates from discharge locations in addition to quantify contributions of sediment loads from their sites that cause or threaten to cause an exceedance of the effluent limitations.</w:t>
      </w:r>
    </w:p>
    <w:p w:rsidRPr="00FF07FF" w:rsidR="00830830" w:rsidP="00830830" w:rsidRDefault="00830830" w14:paraId="544CCEB2" w14:textId="77777777">
      <w:pPr>
        <w:snapToGrid w:val="0"/>
        <w:spacing w:line="257" w:lineRule="auto"/>
        <w:ind w:left="1267"/>
      </w:pPr>
      <w:r w:rsidRPr="41839B7F">
        <w:rPr>
          <w:rFonts w:eastAsia="Arial" w:cs="Arial"/>
          <w:b/>
          <w:bCs/>
        </w:rPr>
        <w:t xml:space="preserve">Interim Wasteload Allocations: </w:t>
      </w:r>
      <w:r>
        <w:rPr>
          <w:rFonts w:eastAsia="Arial" w:cs="Arial"/>
        </w:rPr>
        <w:t>Interim wasteload allocations are provided in the following table:</w:t>
      </w:r>
    </w:p>
    <w:p w:rsidRPr="00B978D5" w:rsidR="00830830" w:rsidP="005A0808" w:rsidRDefault="00830830" w14:paraId="21A2540A" w14:textId="77777777">
      <w:pPr>
        <w:pStyle w:val="TableHead"/>
        <w:ind w:left="1170"/>
      </w:pPr>
      <w:r w:rsidRPr="00B978D5">
        <w:t>Interim Water Quality Based Effluent Sediment Limitations Expressed as a Wet Season Load in MS4 Discharges from the Watershed to Los Peñasquitos Lagoon</w:t>
      </w:r>
    </w:p>
    <w:tbl>
      <w:tblPr>
        <w:tblW w:w="0" w:type="auto"/>
        <w:tblInd w:w="1160" w:type="dxa"/>
        <w:tblLayout w:type="fixed"/>
        <w:tblLook w:val="04A0" w:firstRow="1" w:lastRow="0" w:firstColumn="1" w:lastColumn="0" w:noHBand="0" w:noVBand="1"/>
      </w:tblPr>
      <w:tblGrid>
        <w:gridCol w:w="4262"/>
        <w:gridCol w:w="3748"/>
      </w:tblGrid>
      <w:tr w:rsidRPr="004848F2" w:rsidR="00830830" w:rsidTr="005A0808" w14:paraId="2C416B35" w14:textId="77777777">
        <w:trPr>
          <w:trHeight w:val="300"/>
          <w:tblHeader/>
        </w:trPr>
        <w:tc>
          <w:tcPr>
            <w:tcW w:w="4262" w:type="dxa"/>
            <w:tcBorders>
              <w:top w:val="single" w:color="auto" w:sz="8" w:space="0"/>
              <w:left w:val="single" w:color="auto" w:sz="8" w:space="0"/>
              <w:bottom w:val="single" w:color="auto" w:sz="8" w:space="0"/>
              <w:right w:val="single" w:color="auto" w:sz="8" w:space="0"/>
            </w:tcBorders>
            <w:shd w:val="clear" w:color="auto" w:fill="D6E3BC" w:themeFill="accent3" w:themeFillTint="66"/>
            <w:tcMar>
              <w:top w:w="29" w:type="dxa"/>
              <w:left w:w="58" w:type="dxa"/>
              <w:bottom w:w="29" w:type="dxa"/>
              <w:right w:w="58" w:type="dxa"/>
            </w:tcMar>
            <w:vAlign w:val="center"/>
          </w:tcPr>
          <w:p w:rsidRPr="004848F2" w:rsidR="00830830" w:rsidP="006A0DB7" w:rsidRDefault="00830830" w14:paraId="6B7EC126" w14:textId="77777777">
            <w:pPr>
              <w:spacing w:line="257" w:lineRule="auto"/>
              <w:rPr>
                <w:rFonts w:eastAsia="Arial" w:cs="Arial"/>
                <w:b/>
                <w:bCs/>
                <w:sz w:val="22"/>
                <w:szCs w:val="22"/>
              </w:rPr>
            </w:pPr>
            <w:r w:rsidRPr="004848F2">
              <w:rPr>
                <w:rFonts w:eastAsia="Arial" w:cs="Arial"/>
                <w:b/>
                <w:bCs/>
                <w:sz w:val="22"/>
                <w:szCs w:val="22"/>
              </w:rPr>
              <w:t>Type of Limitation</w:t>
            </w:r>
          </w:p>
        </w:tc>
        <w:tc>
          <w:tcPr>
            <w:tcW w:w="3748" w:type="dxa"/>
            <w:tcBorders>
              <w:top w:val="single" w:color="auto" w:sz="8" w:space="0"/>
              <w:left w:val="single" w:color="auto" w:sz="8" w:space="0"/>
              <w:bottom w:val="single" w:color="auto" w:sz="8" w:space="0"/>
              <w:right w:val="single" w:color="auto" w:sz="8" w:space="0"/>
            </w:tcBorders>
            <w:shd w:val="clear" w:color="auto" w:fill="D6E3BC" w:themeFill="accent3" w:themeFillTint="66"/>
            <w:tcMar>
              <w:top w:w="29" w:type="dxa"/>
              <w:left w:w="58" w:type="dxa"/>
              <w:bottom w:w="29" w:type="dxa"/>
              <w:right w:w="58" w:type="dxa"/>
            </w:tcMar>
            <w:vAlign w:val="center"/>
          </w:tcPr>
          <w:p w:rsidRPr="004848F2" w:rsidR="00830830" w:rsidP="006A0DB7" w:rsidRDefault="00830830" w14:paraId="78C4AD83" w14:textId="666594A7">
            <w:pPr>
              <w:spacing w:before="0" w:after="0" w:line="257" w:lineRule="auto"/>
              <w:rPr>
                <w:rFonts w:eastAsia="Arial" w:cs="Arial"/>
                <w:b/>
                <w:bCs/>
                <w:sz w:val="22"/>
                <w:szCs w:val="22"/>
              </w:rPr>
            </w:pPr>
            <w:r w:rsidRPr="004848F2">
              <w:rPr>
                <w:rFonts w:eastAsia="Arial" w:cs="Arial"/>
                <w:b/>
                <w:bCs/>
                <w:sz w:val="22"/>
                <w:szCs w:val="22"/>
              </w:rPr>
              <w:t>Wasteload Allocation</w:t>
            </w:r>
            <w:r w:rsidR="000A71D6">
              <w:rPr>
                <w:rFonts w:eastAsia="Arial" w:cs="Arial"/>
                <w:b/>
                <w:bCs/>
                <w:sz w:val="22"/>
                <w:szCs w:val="22"/>
              </w:rPr>
              <w:t>*</w:t>
            </w:r>
          </w:p>
        </w:tc>
      </w:tr>
      <w:tr w:rsidRPr="004848F2" w:rsidR="00830830" w:rsidTr="005A0808" w14:paraId="54F97947" w14:textId="77777777">
        <w:trPr>
          <w:trHeight w:val="300"/>
        </w:trPr>
        <w:tc>
          <w:tcPr>
            <w:tcW w:w="4262"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4848F2" w:rsidR="00830830" w:rsidP="006A0DB7" w:rsidRDefault="00830830" w14:paraId="64BAAA64" w14:textId="77777777">
            <w:pPr>
              <w:spacing w:before="40" w:after="40" w:line="240" w:lineRule="auto"/>
              <w:ind w:firstLine="180"/>
              <w:rPr>
                <w:sz w:val="22"/>
                <w:szCs w:val="22"/>
              </w:rPr>
            </w:pPr>
            <w:r w:rsidRPr="004848F2">
              <w:rPr>
                <w:rFonts w:eastAsia="Arial" w:cs="Arial"/>
                <w:sz w:val="22"/>
                <w:szCs w:val="22"/>
              </w:rPr>
              <w:t>Interim Effluent Limitation #1</w:t>
            </w:r>
          </w:p>
        </w:tc>
        <w:tc>
          <w:tcPr>
            <w:tcW w:w="3748"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4848F2" w:rsidR="00830830" w:rsidP="006A0DB7" w:rsidRDefault="00830830" w14:paraId="6827ABDF" w14:textId="77777777">
            <w:pPr>
              <w:spacing w:before="40" w:after="40" w:line="240" w:lineRule="auto"/>
              <w:ind w:firstLine="92"/>
              <w:rPr>
                <w:sz w:val="22"/>
                <w:szCs w:val="22"/>
              </w:rPr>
            </w:pPr>
            <w:r w:rsidRPr="004848F2">
              <w:rPr>
                <w:rFonts w:eastAsia="Arial" w:cs="Arial"/>
                <w:sz w:val="22"/>
                <w:szCs w:val="22"/>
              </w:rPr>
              <w:t>6,691 tons/wet season</w:t>
            </w:r>
          </w:p>
        </w:tc>
      </w:tr>
      <w:tr w:rsidRPr="004848F2" w:rsidR="00830830" w:rsidTr="005A0808" w14:paraId="08FE18DB" w14:textId="77777777">
        <w:trPr>
          <w:trHeight w:val="300"/>
        </w:trPr>
        <w:tc>
          <w:tcPr>
            <w:tcW w:w="4262"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4848F2" w:rsidR="00830830" w:rsidP="006A0DB7" w:rsidRDefault="00830830" w14:paraId="01AE8EE2" w14:textId="77777777">
            <w:pPr>
              <w:spacing w:before="40" w:after="40" w:line="240" w:lineRule="auto"/>
              <w:ind w:firstLine="180"/>
              <w:rPr>
                <w:sz w:val="22"/>
                <w:szCs w:val="22"/>
              </w:rPr>
            </w:pPr>
            <w:r w:rsidRPr="004848F2">
              <w:rPr>
                <w:rFonts w:eastAsia="Arial" w:cs="Arial"/>
                <w:sz w:val="22"/>
                <w:szCs w:val="22"/>
              </w:rPr>
              <w:t>Interim Effluent Limitation #2</w:t>
            </w:r>
          </w:p>
        </w:tc>
        <w:tc>
          <w:tcPr>
            <w:tcW w:w="3748"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4848F2" w:rsidR="00830830" w:rsidP="006A0DB7" w:rsidRDefault="00830830" w14:paraId="20AC31C5" w14:textId="77777777">
            <w:pPr>
              <w:spacing w:before="40" w:after="40" w:line="240" w:lineRule="auto"/>
              <w:ind w:firstLine="92"/>
              <w:rPr>
                <w:sz w:val="22"/>
                <w:szCs w:val="22"/>
              </w:rPr>
            </w:pPr>
            <w:r w:rsidRPr="004848F2">
              <w:rPr>
                <w:rFonts w:eastAsia="Arial" w:cs="Arial"/>
                <w:sz w:val="22"/>
                <w:szCs w:val="22"/>
              </w:rPr>
              <w:t>5,663 tons/wet season</w:t>
            </w:r>
          </w:p>
        </w:tc>
      </w:tr>
      <w:tr w:rsidRPr="004848F2" w:rsidR="00830830" w:rsidTr="005A0808" w14:paraId="71309124" w14:textId="77777777">
        <w:trPr>
          <w:trHeight w:val="300"/>
        </w:trPr>
        <w:tc>
          <w:tcPr>
            <w:tcW w:w="4262"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4848F2" w:rsidR="00830830" w:rsidP="006A0DB7" w:rsidRDefault="00830830" w14:paraId="170C3C37" w14:textId="77777777">
            <w:pPr>
              <w:spacing w:before="40" w:after="40" w:line="240" w:lineRule="auto"/>
              <w:ind w:firstLine="180"/>
              <w:rPr>
                <w:sz w:val="22"/>
                <w:szCs w:val="22"/>
              </w:rPr>
            </w:pPr>
            <w:r w:rsidRPr="004848F2">
              <w:rPr>
                <w:rFonts w:eastAsia="Arial" w:cs="Arial"/>
                <w:sz w:val="22"/>
                <w:szCs w:val="22"/>
              </w:rPr>
              <w:t>Interim Effluent Limitation #3</w:t>
            </w:r>
          </w:p>
        </w:tc>
        <w:tc>
          <w:tcPr>
            <w:tcW w:w="3748"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4848F2" w:rsidR="00830830" w:rsidP="006A0DB7" w:rsidRDefault="00830830" w14:paraId="4B6EB55D" w14:textId="77777777">
            <w:pPr>
              <w:spacing w:before="40" w:after="40" w:line="240" w:lineRule="auto"/>
              <w:ind w:firstLine="92"/>
              <w:rPr>
                <w:sz w:val="22"/>
                <w:szCs w:val="22"/>
              </w:rPr>
            </w:pPr>
            <w:r w:rsidRPr="004848F2">
              <w:rPr>
                <w:rFonts w:eastAsia="Arial" w:cs="Arial"/>
                <w:sz w:val="22"/>
                <w:szCs w:val="22"/>
              </w:rPr>
              <w:t>4,636 tons/wet season</w:t>
            </w:r>
          </w:p>
        </w:tc>
      </w:tr>
      <w:tr w:rsidRPr="004848F2" w:rsidR="00830830" w:rsidTr="005A0808" w14:paraId="593F124F" w14:textId="77777777">
        <w:trPr>
          <w:trHeight w:val="300"/>
        </w:trPr>
        <w:tc>
          <w:tcPr>
            <w:tcW w:w="4262"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4848F2" w:rsidR="00830830" w:rsidP="006A0DB7" w:rsidRDefault="00830830" w14:paraId="6F3D028B" w14:textId="77777777">
            <w:pPr>
              <w:spacing w:before="40" w:after="40" w:line="240" w:lineRule="auto"/>
              <w:ind w:firstLine="180"/>
              <w:rPr>
                <w:sz w:val="22"/>
                <w:szCs w:val="22"/>
              </w:rPr>
            </w:pPr>
            <w:r w:rsidRPr="004848F2">
              <w:rPr>
                <w:rFonts w:eastAsia="Arial" w:cs="Arial"/>
                <w:sz w:val="22"/>
                <w:szCs w:val="22"/>
              </w:rPr>
              <w:t>Interim Effluent Limitation #4</w:t>
            </w:r>
          </w:p>
        </w:tc>
        <w:tc>
          <w:tcPr>
            <w:tcW w:w="3748"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4848F2" w:rsidR="00830830" w:rsidP="006A0DB7" w:rsidRDefault="00830830" w14:paraId="12978111" w14:textId="77777777">
            <w:pPr>
              <w:spacing w:before="40" w:after="40" w:line="240" w:lineRule="auto"/>
              <w:ind w:firstLine="92"/>
              <w:rPr>
                <w:sz w:val="22"/>
                <w:szCs w:val="22"/>
              </w:rPr>
            </w:pPr>
            <w:r w:rsidRPr="004848F2">
              <w:rPr>
                <w:rFonts w:eastAsia="Arial" w:cs="Arial"/>
                <w:sz w:val="22"/>
                <w:szCs w:val="22"/>
              </w:rPr>
              <w:t>3,608 tons/wet season</w:t>
            </w:r>
          </w:p>
        </w:tc>
      </w:tr>
    </w:tbl>
    <w:p w:rsidRPr="005A0808" w:rsidR="00830830" w:rsidP="004B067A" w:rsidRDefault="00830830" w14:paraId="63AE562F" w14:textId="77777777">
      <w:pPr>
        <w:keepNext/>
        <w:keepLines/>
        <w:snapToGrid w:val="0"/>
        <w:spacing w:line="257" w:lineRule="auto"/>
        <w:ind w:left="1620" w:hanging="446"/>
        <w:rPr>
          <w:rFonts w:eastAsia="Arial" w:cs="Arial"/>
          <w:sz w:val="22"/>
          <w:szCs w:val="22"/>
          <w:u w:val="single"/>
        </w:rPr>
      </w:pPr>
      <w:r w:rsidRPr="005A0808">
        <w:rPr>
          <w:rFonts w:eastAsia="Arial" w:cs="Arial"/>
          <w:sz w:val="22"/>
          <w:szCs w:val="22"/>
          <w:u w:val="single"/>
        </w:rPr>
        <w:t>Table Notes</w:t>
      </w:r>
    </w:p>
    <w:p w:rsidRPr="005A0808" w:rsidR="00830830" w:rsidP="004B067A" w:rsidRDefault="00830830" w14:paraId="322D4216" w14:textId="39E0AA35">
      <w:pPr>
        <w:keepNext/>
        <w:keepLines/>
        <w:tabs>
          <w:tab w:val="left" w:pos="1980"/>
        </w:tabs>
        <w:snapToGrid w:val="0"/>
        <w:spacing w:line="257" w:lineRule="auto"/>
        <w:ind w:left="1890" w:hanging="446"/>
        <w:rPr>
          <w:sz w:val="22"/>
          <w:szCs w:val="22"/>
        </w:rPr>
      </w:pPr>
      <w:r w:rsidRPr="000A71D6">
        <w:rPr>
          <w:rFonts w:eastAsia="Arial" w:cs="Arial"/>
          <w:b/>
          <w:bCs/>
          <w:sz w:val="22"/>
          <w:szCs w:val="22"/>
        </w:rPr>
        <w:t>*</w:t>
      </w:r>
      <w:r w:rsidR="005A0808">
        <w:rPr>
          <w:rFonts w:eastAsia="Arial" w:cs="Arial"/>
          <w:sz w:val="22"/>
          <w:szCs w:val="22"/>
        </w:rPr>
        <w:tab/>
      </w:r>
      <w:r w:rsidRPr="005A0808">
        <w:rPr>
          <w:rFonts w:eastAsia="Arial" w:cs="Arial"/>
          <w:sz w:val="22"/>
          <w:szCs w:val="22"/>
        </w:rPr>
        <w:t>Phase I MS4s, Phase II MS4s, Caltrans, and general construction and industrial permit dischargers are jointly responsible for achieving the interim and final effluent limitations.</w:t>
      </w:r>
    </w:p>
    <w:p w:rsidR="00830830" w:rsidP="00830830" w:rsidRDefault="00830830" w14:paraId="0D4D06E2" w14:textId="4D900590">
      <w:pPr>
        <w:snapToGrid w:val="0"/>
        <w:spacing w:line="257" w:lineRule="auto"/>
        <w:ind w:left="1260"/>
      </w:pPr>
      <w:r w:rsidRPr="41839B7F">
        <w:rPr>
          <w:rFonts w:eastAsia="Arial" w:cs="Arial"/>
          <w:b/>
          <w:bCs/>
        </w:rPr>
        <w:t xml:space="preserve">Final Wasteload Allocations: </w:t>
      </w:r>
      <w:r w:rsidRPr="41839B7F">
        <w:rPr>
          <w:rFonts w:eastAsia="Arial" w:cs="Arial"/>
        </w:rPr>
        <w:t xml:space="preserve">The final Watershed Wasteload Allocation of 2,580 tons/year is assigned collectively to all of the responsible parties identified in the TMDL and represents all current point and nonpoint sources of sediment from the watershed to the Lagoon. Attainment of the Final Watershed </w:t>
      </w:r>
      <w:r w:rsidR="00BD62F1">
        <w:rPr>
          <w:rFonts w:eastAsia="Arial" w:cs="Arial"/>
        </w:rPr>
        <w:t>Wasteload Allocation</w:t>
      </w:r>
      <w:r w:rsidRPr="41839B7F">
        <w:rPr>
          <w:rFonts w:eastAsia="Arial" w:cs="Arial"/>
        </w:rPr>
        <w:t xml:space="preserve"> requires a 67% total load reduction of sediment from the watershed.</w:t>
      </w:r>
    </w:p>
    <w:p w:rsidR="00830830" w:rsidP="00830830" w:rsidRDefault="00830830" w14:paraId="5F0DCB1D" w14:textId="6EA40970">
      <w:pPr>
        <w:snapToGrid w:val="0"/>
        <w:spacing w:line="257" w:lineRule="auto"/>
        <w:ind w:left="1260"/>
      </w:pPr>
      <w:r w:rsidRPr="41839B7F">
        <w:rPr>
          <w:rFonts w:eastAsia="Arial" w:cs="Arial"/>
          <w:b/>
          <w:bCs/>
        </w:rPr>
        <w:t xml:space="preserve">Final Compliance Deadline: </w:t>
      </w:r>
      <w:r w:rsidRPr="41839B7F">
        <w:rPr>
          <w:rFonts w:eastAsia="Arial" w:cs="Arial"/>
        </w:rPr>
        <w:t xml:space="preserve">The Los Peñasquitos Lagoon Sediment TMDL final </w:t>
      </w:r>
      <w:r w:rsidR="002E55D3">
        <w:rPr>
          <w:rFonts w:eastAsia="Arial" w:cs="Arial"/>
        </w:rPr>
        <w:t>compliance</w:t>
      </w:r>
      <w:r w:rsidRPr="41839B7F">
        <w:rPr>
          <w:rFonts w:eastAsia="Arial" w:cs="Arial"/>
        </w:rPr>
        <w:t xml:space="preserve"> </w:t>
      </w:r>
      <w:r w:rsidR="002E55D3">
        <w:rPr>
          <w:rFonts w:eastAsia="Arial" w:cs="Arial"/>
        </w:rPr>
        <w:t>deadline is</w:t>
      </w:r>
      <w:r w:rsidRPr="41839B7F">
        <w:rPr>
          <w:rFonts w:eastAsia="Arial" w:cs="Arial"/>
        </w:rPr>
        <w:t xml:space="preserve"> July 14, 2034.</w:t>
      </w:r>
    </w:p>
    <w:p w:rsidRPr="000D48DD" w:rsidR="002466E6" w:rsidP="000D48DD" w:rsidRDefault="00836361" w14:paraId="6615E3FB" w14:textId="5206BA20">
      <w:pPr>
        <w:pStyle w:val="Heading3"/>
        <w:tabs>
          <w:tab w:val="clear" w:pos="720"/>
          <w:tab w:val="left" w:pos="1260"/>
        </w:tabs>
        <w:ind w:left="1260" w:hanging="1260"/>
        <w:rPr>
          <w:i/>
          <w:iCs/>
        </w:rPr>
      </w:pPr>
      <w:r>
        <w:rPr>
          <w:i/>
          <w:iCs/>
        </w:rPr>
        <w:t>A13</w:t>
      </w:r>
      <w:r w:rsidRPr="000D48DD" w:rsidR="72E94BD3">
        <w:rPr>
          <w:i/>
          <w:iCs/>
        </w:rPr>
        <w:t>.9.</w:t>
      </w:r>
      <w:r w:rsidR="00830830">
        <w:rPr>
          <w:i/>
          <w:iCs/>
        </w:rPr>
        <w:t>2</w:t>
      </w:r>
      <w:r w:rsidRPr="000D48DD" w:rsidR="006750DD">
        <w:rPr>
          <w:i/>
          <w:iCs/>
        </w:rPr>
        <w:tab/>
      </w:r>
      <w:r w:rsidRPr="000D48DD" w:rsidR="72E94BD3">
        <w:rPr>
          <w:i/>
          <w:iCs/>
        </w:rPr>
        <w:t>TMDLs for Indicator Bacteria, Project I – Twenty Beaches and Creeks in the San Diego Region</w:t>
      </w:r>
    </w:p>
    <w:p w:rsidR="002466E6" w:rsidP="41839B7F" w:rsidRDefault="72E94BD3" w14:paraId="3D751697" w14:textId="6F847C2A">
      <w:pPr>
        <w:snapToGrid w:val="0"/>
        <w:ind w:left="1260"/>
      </w:pPr>
      <w:r w:rsidRPr="41839B7F">
        <w:rPr>
          <w:rFonts w:eastAsia="Arial" w:cs="Arial"/>
          <w:b/>
          <w:bCs/>
        </w:rPr>
        <w:t>Description:</w:t>
      </w:r>
      <w:r w:rsidRPr="41839B7F">
        <w:rPr>
          <w:rFonts w:eastAsia="Arial" w:cs="Arial"/>
        </w:rPr>
        <w:t xml:space="preserve"> </w:t>
      </w:r>
      <w:r w:rsidR="00766ACF">
        <w:rPr>
          <w:rFonts w:eastAsia="Arial" w:cs="Arial"/>
        </w:rPr>
        <w:t>USEPA</w:t>
      </w:r>
      <w:r w:rsidR="00C56C92">
        <w:rPr>
          <w:rFonts w:eastAsia="Arial" w:cs="Arial"/>
        </w:rPr>
        <w:t xml:space="preserve"> </w:t>
      </w:r>
      <w:r w:rsidRPr="41839B7F">
        <w:rPr>
          <w:rFonts w:eastAsia="Arial" w:cs="Arial"/>
        </w:rPr>
        <w:t>approved the TMDLs for Indicator Bacteria, Project</w:t>
      </w:r>
      <w:r w:rsidR="00163D37">
        <w:rPr>
          <w:rFonts w:eastAsia="Arial" w:cs="Arial"/>
        </w:rPr>
        <w:t> </w:t>
      </w:r>
      <w:r w:rsidRPr="41839B7F">
        <w:rPr>
          <w:rFonts w:eastAsia="Arial" w:cs="Arial"/>
        </w:rPr>
        <w:t>I – Twenty Beaches and Creeks in the San Diego Region on June 22, 2011. The twenty beaches and creeks are impaired by bacteria that have accumulated on land surfaces due to various anthropogenic land uses and natural processes. Urban stormwater discharge has been identified as a contributing source of washing off bacteria from land surfaces and into the water bodies.</w:t>
      </w:r>
    </w:p>
    <w:p w:rsidR="002466E6" w:rsidP="41839B7F" w:rsidRDefault="72E94BD3" w14:paraId="2DD0F853" w14:textId="34DE9196">
      <w:pPr>
        <w:snapToGrid w:val="0"/>
        <w:ind w:left="1260"/>
        <w:rPr>
          <w:rFonts w:eastAsia="Arial" w:cs="Arial"/>
        </w:rPr>
      </w:pPr>
      <w:r w:rsidRPr="41839B7F">
        <w:rPr>
          <w:rFonts w:eastAsia="Arial" w:cs="Arial"/>
          <w:b/>
          <w:bCs/>
        </w:rPr>
        <w:t xml:space="preserve">Responsible Permittees: </w:t>
      </w:r>
      <w:r w:rsidRPr="00F711E3" w:rsidR="001F0706">
        <w:rPr>
          <w:rFonts w:eastAsia="Arial" w:cs="Arial"/>
        </w:rPr>
        <w:t>22nd District Agricultural Association</w:t>
      </w:r>
      <w:r w:rsidR="001F0706">
        <w:rPr>
          <w:rFonts w:cs="Arial"/>
          <w:bCs/>
        </w:rPr>
        <w:t>;</w:t>
      </w:r>
      <w:r w:rsidRPr="00F711E3" w:rsidR="001F0706">
        <w:rPr>
          <w:rFonts w:eastAsia="Arial" w:cs="Arial"/>
        </w:rPr>
        <w:t xml:space="preserve"> California State University</w:t>
      </w:r>
      <w:r w:rsidR="001F0706">
        <w:rPr>
          <w:rFonts w:cs="Arial"/>
          <w:bCs/>
        </w:rPr>
        <w:t>,</w:t>
      </w:r>
      <w:r w:rsidRPr="00F711E3" w:rsidR="001F0706">
        <w:rPr>
          <w:rFonts w:eastAsia="Arial" w:cs="Arial"/>
        </w:rPr>
        <w:t xml:space="preserve"> San Marcos</w:t>
      </w:r>
      <w:r w:rsidR="001F0706">
        <w:rPr>
          <w:rFonts w:cs="Arial"/>
          <w:bCs/>
        </w:rPr>
        <w:t>;</w:t>
      </w:r>
      <w:r w:rsidRPr="00F711E3" w:rsidR="001F0706">
        <w:rPr>
          <w:rFonts w:cs="Arial"/>
          <w:bCs/>
        </w:rPr>
        <w:t xml:space="preserve"> Camp Pendleton</w:t>
      </w:r>
      <w:r w:rsidR="001F0706">
        <w:rPr>
          <w:rFonts w:cs="Arial"/>
          <w:bCs/>
        </w:rPr>
        <w:t>;</w:t>
      </w:r>
      <w:r w:rsidRPr="00F711E3" w:rsidR="001F0706">
        <w:rPr>
          <w:rFonts w:cs="Arial"/>
          <w:bCs/>
        </w:rPr>
        <w:t xml:space="preserve"> </w:t>
      </w:r>
      <w:r w:rsidR="001F0706">
        <w:rPr>
          <w:rFonts w:cs="Arial"/>
          <w:bCs/>
        </w:rPr>
        <w:t>Miramar</w:t>
      </w:r>
      <w:r w:rsidR="001F0706">
        <w:rPr>
          <w:rFonts w:eastAsia="Arial" w:cs="Arial"/>
        </w:rPr>
        <w:t xml:space="preserve"> </w:t>
      </w:r>
      <w:r w:rsidRPr="00F711E3" w:rsidR="001F0706">
        <w:rPr>
          <w:rFonts w:eastAsia="Arial" w:cs="Arial"/>
        </w:rPr>
        <w:t>Marine Corps Air Station</w:t>
      </w:r>
      <w:r w:rsidR="001F0706">
        <w:rPr>
          <w:rFonts w:cs="Arial"/>
          <w:bCs/>
        </w:rPr>
        <w:t>;</w:t>
      </w:r>
      <w:r w:rsidRPr="00F711E3" w:rsidR="001F0706">
        <w:rPr>
          <w:rFonts w:eastAsia="Arial" w:cs="Arial"/>
        </w:rPr>
        <w:t xml:space="preserve"> North County Transit District</w:t>
      </w:r>
      <w:r w:rsidR="001F0706">
        <w:rPr>
          <w:rFonts w:cs="Arial"/>
          <w:bCs/>
        </w:rPr>
        <w:t>;</w:t>
      </w:r>
      <w:r w:rsidRPr="00F711E3" w:rsidR="001F0706">
        <w:rPr>
          <w:rFonts w:cs="Arial"/>
          <w:bCs/>
        </w:rPr>
        <w:t xml:space="preserve"> San Diego Metropolitan Transit System</w:t>
      </w:r>
      <w:r w:rsidR="001F0706">
        <w:rPr>
          <w:rFonts w:cs="Arial"/>
          <w:bCs/>
        </w:rPr>
        <w:t>;</w:t>
      </w:r>
      <w:r w:rsidRPr="00F711E3" w:rsidR="001F0706">
        <w:rPr>
          <w:rFonts w:eastAsia="Arial" w:cs="Arial"/>
        </w:rPr>
        <w:t xml:space="preserve"> San Diego State University</w:t>
      </w:r>
      <w:r w:rsidR="001F0706">
        <w:rPr>
          <w:rFonts w:cs="Arial"/>
          <w:bCs/>
        </w:rPr>
        <w:t>;</w:t>
      </w:r>
      <w:r w:rsidRPr="00F711E3" w:rsidR="001F0706">
        <w:rPr>
          <w:rFonts w:eastAsia="Arial" w:cs="Arial"/>
        </w:rPr>
        <w:t xml:space="preserve"> University of California</w:t>
      </w:r>
      <w:r w:rsidR="001F0706">
        <w:rPr>
          <w:rFonts w:cs="Arial"/>
          <w:bCs/>
        </w:rPr>
        <w:t>,</w:t>
      </w:r>
      <w:r w:rsidRPr="00F711E3" w:rsidR="001F0706">
        <w:rPr>
          <w:rFonts w:eastAsia="Arial" w:cs="Arial"/>
        </w:rPr>
        <w:t xml:space="preserve"> San Diego</w:t>
      </w:r>
      <w:r w:rsidR="001F0706">
        <w:rPr>
          <w:rFonts w:cs="Arial"/>
          <w:bCs/>
        </w:rPr>
        <w:t>;</w:t>
      </w:r>
      <w:r w:rsidRPr="00F711E3" w:rsidR="001F0706">
        <w:rPr>
          <w:rFonts w:cs="Arial"/>
          <w:bCs/>
        </w:rPr>
        <w:t xml:space="preserve"> </w:t>
      </w:r>
      <w:r w:rsidRPr="004F449D" w:rsidR="001F0706">
        <w:rPr>
          <w:rFonts w:cs="Arial"/>
          <w:bCs/>
        </w:rPr>
        <w:t>Veterans Affairs San Diego Healthcare System</w:t>
      </w:r>
    </w:p>
    <w:p w:rsidR="002466E6" w:rsidP="41839B7F" w:rsidRDefault="72E94BD3" w14:paraId="463D036A" w14:textId="71B4C8E6">
      <w:pPr>
        <w:snapToGrid w:val="0"/>
        <w:ind w:left="1260"/>
        <w:rPr>
          <w:rFonts w:eastAsia="Arial" w:cs="Arial"/>
        </w:rPr>
      </w:pPr>
      <w:r w:rsidRPr="41839B7F">
        <w:rPr>
          <w:rFonts w:eastAsia="Arial" w:cs="Arial"/>
          <w:b/>
          <w:bCs/>
        </w:rPr>
        <w:t>Wasteload Allocations</w:t>
      </w:r>
      <w:r w:rsidRPr="41839B7F">
        <w:rPr>
          <w:rFonts w:eastAsia="Arial" w:cs="Arial"/>
        </w:rPr>
        <w:t xml:space="preserve">: The allowable wasteload allocations consist of two parts: </w:t>
      </w:r>
    </w:p>
    <w:p w:rsidR="002466E6" w:rsidP="000105F2" w:rsidRDefault="72E94BD3" w14:paraId="7DA28C5B" w14:textId="3E73FA48">
      <w:pPr>
        <w:widowControl w:val="0"/>
        <w:ind w:left="1267"/>
        <w:rPr>
          <w:rFonts w:eastAsia="Arial" w:cs="Arial"/>
        </w:rPr>
      </w:pPr>
      <w:r w:rsidRPr="41839B7F">
        <w:rPr>
          <w:u w:val="single"/>
        </w:rPr>
        <w:t>Dry Weather Wasteload Allocations:</w:t>
      </w:r>
      <w:r w:rsidRPr="41839B7F">
        <w:t xml:space="preserve"> </w:t>
      </w:r>
    </w:p>
    <w:p w:rsidR="002466E6" w:rsidP="000105F2" w:rsidRDefault="72E94BD3" w14:paraId="537A665E" w14:textId="54437D4D">
      <w:pPr>
        <w:widowControl w:val="0"/>
        <w:snapToGrid w:val="0"/>
        <w:ind w:left="1267"/>
        <w:rPr>
          <w:rFonts w:eastAsia="Arial" w:cs="Arial"/>
        </w:rPr>
      </w:pPr>
      <w:r w:rsidRPr="41839B7F">
        <w:rPr>
          <w:rFonts w:eastAsia="Arial" w:cs="Arial"/>
        </w:rPr>
        <w:t>The table below identifies the shared dry weather wasteload allocations assigned to Phase II Small MS4 Permittees within the impaired water quality segments. For dry weather days, there is no maximum allowable exceedance and it is set at 0 percent.</w:t>
      </w:r>
    </w:p>
    <w:p w:rsidR="002466E6" w:rsidP="000105F2" w:rsidRDefault="72E94BD3" w14:paraId="7CA4BCD8" w14:textId="56C11192">
      <w:pPr>
        <w:widowControl w:val="0"/>
        <w:ind w:left="1260"/>
        <w:rPr>
          <w:rFonts w:eastAsia="Arial" w:cs="Arial"/>
        </w:rPr>
      </w:pPr>
      <w:r w:rsidRPr="41839B7F">
        <w:rPr>
          <w:u w:val="single"/>
        </w:rPr>
        <w:t>Wet Weather Wasteload Allocations:</w:t>
      </w:r>
      <w:r w:rsidRPr="41839B7F">
        <w:t xml:space="preserve"> </w:t>
      </w:r>
    </w:p>
    <w:p w:rsidR="002466E6" w:rsidP="000105F2" w:rsidRDefault="72E94BD3" w14:paraId="1C0672B9" w14:textId="77051A14">
      <w:pPr>
        <w:widowControl w:val="0"/>
        <w:snapToGrid w:val="0"/>
        <w:ind w:left="1260"/>
        <w:rPr>
          <w:rFonts w:eastAsia="Arial" w:cs="Arial"/>
        </w:rPr>
      </w:pPr>
      <w:r w:rsidRPr="41839B7F">
        <w:rPr>
          <w:rFonts w:eastAsia="Arial" w:cs="Arial"/>
        </w:rPr>
        <w:t xml:space="preserve">The table below identifies the shared wet weather wasteload allocations assigned to Phase I and for Phase II Small MS4 Permittees within the impaired water quality segments. Wet weather days are the days with rainfall events of 0.2 inches or greater and the following 72 hours. </w:t>
      </w:r>
    </w:p>
    <w:p w:rsidR="002466E6" w:rsidP="000105F2" w:rsidRDefault="72E94BD3" w14:paraId="64DFA212" w14:textId="2BDFF7E3">
      <w:pPr>
        <w:widowControl w:val="0"/>
        <w:snapToGrid w:val="0"/>
        <w:spacing w:line="257" w:lineRule="auto"/>
        <w:ind w:left="1260"/>
        <w:rPr>
          <w:rFonts w:eastAsia="Arial" w:cs="Arial"/>
        </w:rPr>
      </w:pPr>
      <w:r w:rsidRPr="41839B7F">
        <w:rPr>
          <w:rFonts w:eastAsia="Arial" w:cs="Arial"/>
          <w:b/>
          <w:bCs/>
        </w:rPr>
        <w:t>Prioritized List of Impaired Beaches and Creeks:</w:t>
      </w:r>
      <w:r w:rsidR="006161CE">
        <w:rPr>
          <w:rFonts w:eastAsia="Arial" w:cs="Arial"/>
          <w:b/>
          <w:bCs/>
        </w:rPr>
        <w:t xml:space="preserve"> </w:t>
      </w:r>
      <w:r w:rsidRPr="41839B7F">
        <w:rPr>
          <w:rFonts w:eastAsia="Arial" w:cs="Arial"/>
        </w:rPr>
        <w:t xml:space="preserve">The table following the wasteload allocations is a prioritized list for implementing those wasteload allocations. </w:t>
      </w:r>
    </w:p>
    <w:p w:rsidR="00B0583C" w:rsidP="00B0583C" w:rsidRDefault="00B0583C" w14:paraId="4C4C088D" w14:textId="77777777">
      <w:pPr>
        <w:pStyle w:val="TableHead"/>
        <w:sectPr w:rsidR="00B0583C" w:rsidSect="00A86034">
          <w:pgSz w:w="12240" w:h="15840" w:orient="portrait"/>
          <w:pgMar w:top="1440" w:right="1440" w:bottom="1440" w:left="1440" w:header="630" w:footer="510" w:gutter="0"/>
          <w:cols w:space="720"/>
          <w:docGrid w:linePitch="360"/>
        </w:sectPr>
      </w:pPr>
    </w:p>
    <w:p w:rsidR="002466E6" w:rsidP="00B0583C" w:rsidRDefault="72E94BD3" w14:paraId="17DC8307" w14:textId="5070EA80">
      <w:pPr>
        <w:pStyle w:val="TableHead"/>
      </w:pPr>
      <w:r w:rsidRPr="41839B7F">
        <w:t>Twenty Beaches and Creeks Wasteload Allocations (Billion Most Probable Number per Year)</w:t>
      </w:r>
    </w:p>
    <w:tbl>
      <w:tblPr>
        <w:tblStyle w:val="TableGrid"/>
        <w:tblW w:w="0" w:type="auto"/>
        <w:tblLayout w:type="fixed"/>
        <w:tblLook w:val="0620" w:firstRow="1" w:lastRow="0" w:firstColumn="0" w:lastColumn="0" w:noHBand="1" w:noVBand="1"/>
      </w:tblPr>
      <w:tblGrid>
        <w:gridCol w:w="2240"/>
        <w:gridCol w:w="1652"/>
        <w:gridCol w:w="1805"/>
        <w:gridCol w:w="1805"/>
        <w:gridCol w:w="1805"/>
        <w:gridCol w:w="1805"/>
        <w:gridCol w:w="1805"/>
      </w:tblGrid>
      <w:tr w:rsidRPr="00EE752D" w:rsidR="41839B7F" w:rsidTr="00BB28A8" w14:paraId="7033DD58" w14:textId="77777777">
        <w:trPr>
          <w:tblHeader/>
        </w:trPr>
        <w:tc>
          <w:tcPr>
            <w:tcW w:w="2240"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EE752D" w:rsidR="41839B7F" w:rsidP="41839B7F" w:rsidRDefault="41839B7F" w14:paraId="4B84A96B" w14:textId="08720C6A">
            <w:pPr>
              <w:jc w:val="center"/>
              <w:rPr>
                <w:rFonts w:ascii="Arial" w:hAnsi="Arial" w:cs="Arial"/>
                <w:sz w:val="22"/>
                <w:szCs w:val="22"/>
              </w:rPr>
            </w:pPr>
            <w:r w:rsidRPr="00EE752D">
              <w:rPr>
                <w:rFonts w:ascii="Arial" w:hAnsi="Arial" w:eastAsia="Arial" w:cs="Arial"/>
                <w:b/>
                <w:bCs/>
                <w:color w:val="000000" w:themeColor="text1"/>
                <w:sz w:val="22"/>
                <w:szCs w:val="22"/>
              </w:rPr>
              <w:t>Watershed</w:t>
            </w:r>
          </w:p>
        </w:tc>
        <w:tc>
          <w:tcPr>
            <w:tcW w:w="1652"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EE752D" w:rsidR="41839B7F" w:rsidP="41839B7F" w:rsidRDefault="41839B7F" w14:paraId="7B0ACC71" w14:textId="2ED578C9">
            <w:pPr>
              <w:spacing w:before="0" w:after="0"/>
              <w:jc w:val="center"/>
              <w:rPr>
                <w:rFonts w:ascii="Arial" w:hAnsi="Arial" w:cs="Arial"/>
                <w:sz w:val="22"/>
                <w:szCs w:val="22"/>
              </w:rPr>
            </w:pPr>
            <w:r w:rsidRPr="00EE752D">
              <w:rPr>
                <w:rFonts w:ascii="Arial" w:hAnsi="Arial" w:eastAsia="Arial" w:cs="Arial"/>
                <w:b/>
                <w:bCs/>
                <w:color w:val="000000" w:themeColor="text1"/>
                <w:sz w:val="22"/>
                <w:szCs w:val="22"/>
              </w:rPr>
              <w:t>Fecal Coliform</w:t>
            </w:r>
            <w:r w:rsidRPr="00EE752D">
              <w:rPr>
                <w:rFonts w:ascii="Arial" w:hAnsi="Arial" w:cs="Arial"/>
                <w:sz w:val="22"/>
                <w:szCs w:val="22"/>
              </w:rPr>
              <w:br/>
            </w:r>
            <w:r w:rsidRPr="00EE752D">
              <w:rPr>
                <w:rFonts w:ascii="Arial" w:hAnsi="Arial" w:eastAsia="Arial" w:cs="Arial"/>
                <w:b/>
                <w:bCs/>
                <w:color w:val="000000" w:themeColor="text1"/>
                <w:sz w:val="22"/>
                <w:szCs w:val="22"/>
              </w:rPr>
              <w:t xml:space="preserve"> Wet Weather</w:t>
            </w:r>
          </w:p>
        </w:tc>
        <w:tc>
          <w:tcPr>
            <w:tcW w:w="1805"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EE752D" w:rsidR="41839B7F" w:rsidP="41839B7F" w:rsidRDefault="41839B7F" w14:paraId="63C9CF0E" w14:textId="17EF42D2">
            <w:pPr>
              <w:spacing w:before="0" w:after="0"/>
              <w:jc w:val="center"/>
              <w:rPr>
                <w:rFonts w:ascii="Arial" w:hAnsi="Arial" w:cs="Arial"/>
                <w:sz w:val="22"/>
                <w:szCs w:val="22"/>
              </w:rPr>
            </w:pPr>
            <w:r w:rsidRPr="00EE752D">
              <w:rPr>
                <w:rFonts w:ascii="Arial" w:hAnsi="Arial" w:eastAsia="Arial" w:cs="Arial"/>
                <w:b/>
                <w:bCs/>
                <w:color w:val="000000" w:themeColor="text1"/>
                <w:sz w:val="22"/>
                <w:szCs w:val="22"/>
              </w:rPr>
              <w:t>Fecal Coliform</w:t>
            </w:r>
            <w:r w:rsidRPr="00EE752D">
              <w:rPr>
                <w:rFonts w:ascii="Arial" w:hAnsi="Arial" w:cs="Arial"/>
                <w:sz w:val="22"/>
                <w:szCs w:val="22"/>
              </w:rPr>
              <w:br/>
            </w:r>
            <w:r w:rsidRPr="00EE752D">
              <w:rPr>
                <w:rFonts w:ascii="Arial" w:hAnsi="Arial" w:eastAsia="Arial" w:cs="Arial"/>
                <w:b/>
                <w:bCs/>
                <w:color w:val="000000" w:themeColor="text1"/>
                <w:sz w:val="22"/>
                <w:szCs w:val="22"/>
              </w:rPr>
              <w:t xml:space="preserve"> Dry Weather</w:t>
            </w:r>
          </w:p>
        </w:tc>
        <w:tc>
          <w:tcPr>
            <w:tcW w:w="1805"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EE752D" w:rsidR="41839B7F" w:rsidP="41839B7F" w:rsidRDefault="41839B7F" w14:paraId="08235E68" w14:textId="651539C1">
            <w:pPr>
              <w:spacing w:before="0" w:after="0"/>
              <w:jc w:val="center"/>
              <w:rPr>
                <w:rFonts w:ascii="Arial" w:hAnsi="Arial" w:cs="Arial"/>
                <w:sz w:val="22"/>
                <w:szCs w:val="22"/>
              </w:rPr>
            </w:pPr>
            <w:r w:rsidRPr="00977A12">
              <w:rPr>
                <w:rFonts w:ascii="Arial" w:hAnsi="Arial" w:eastAsia="Arial" w:cs="Arial"/>
                <w:b/>
                <w:bCs/>
                <w:i/>
                <w:iCs/>
                <w:color w:val="000000" w:themeColor="text1"/>
                <w:sz w:val="22"/>
                <w:szCs w:val="22"/>
              </w:rPr>
              <w:t>Enterococcus</w:t>
            </w:r>
            <w:r w:rsidRPr="00EE752D">
              <w:rPr>
                <w:rFonts w:ascii="Arial" w:hAnsi="Arial" w:cs="Arial"/>
                <w:sz w:val="22"/>
                <w:szCs w:val="22"/>
              </w:rPr>
              <w:br/>
            </w:r>
            <w:r w:rsidRPr="00EE752D">
              <w:rPr>
                <w:rFonts w:ascii="Arial" w:hAnsi="Arial" w:eastAsia="Arial" w:cs="Arial"/>
                <w:b/>
                <w:bCs/>
                <w:color w:val="000000" w:themeColor="text1"/>
                <w:sz w:val="22"/>
                <w:szCs w:val="22"/>
              </w:rPr>
              <w:t xml:space="preserve"> Wet Weather</w:t>
            </w:r>
          </w:p>
        </w:tc>
        <w:tc>
          <w:tcPr>
            <w:tcW w:w="1805"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EE752D" w:rsidR="41839B7F" w:rsidP="41839B7F" w:rsidRDefault="41839B7F" w14:paraId="7915B0A9" w14:textId="14268915">
            <w:pPr>
              <w:spacing w:before="0" w:after="0"/>
              <w:jc w:val="center"/>
              <w:rPr>
                <w:rFonts w:ascii="Arial" w:hAnsi="Arial" w:cs="Arial"/>
                <w:sz w:val="22"/>
                <w:szCs w:val="22"/>
              </w:rPr>
            </w:pPr>
            <w:r w:rsidRPr="00C64C1E">
              <w:rPr>
                <w:rFonts w:ascii="Arial" w:hAnsi="Arial" w:eastAsia="Arial" w:cs="Arial"/>
                <w:b/>
                <w:i/>
                <w:color w:val="000000" w:themeColor="text1"/>
                <w:sz w:val="22"/>
                <w:szCs w:val="22"/>
              </w:rPr>
              <w:t>Enterococcus</w:t>
            </w:r>
            <w:r w:rsidRPr="00EE752D">
              <w:rPr>
                <w:rFonts w:ascii="Arial" w:hAnsi="Arial" w:cs="Arial"/>
                <w:sz w:val="22"/>
                <w:szCs w:val="22"/>
              </w:rPr>
              <w:br/>
            </w:r>
            <w:r w:rsidRPr="00EE752D">
              <w:rPr>
                <w:rFonts w:ascii="Arial" w:hAnsi="Arial" w:eastAsia="Arial" w:cs="Arial"/>
                <w:b/>
                <w:bCs/>
                <w:color w:val="000000" w:themeColor="text1"/>
                <w:sz w:val="22"/>
                <w:szCs w:val="22"/>
              </w:rPr>
              <w:t xml:space="preserve"> Dry Weather</w:t>
            </w:r>
          </w:p>
        </w:tc>
        <w:tc>
          <w:tcPr>
            <w:tcW w:w="1805"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EE752D" w:rsidR="41839B7F" w:rsidP="41839B7F" w:rsidRDefault="41839B7F" w14:paraId="36FA7906" w14:textId="413A625A">
            <w:pPr>
              <w:spacing w:before="0" w:after="0"/>
              <w:jc w:val="center"/>
              <w:rPr>
                <w:rFonts w:ascii="Arial" w:hAnsi="Arial" w:cs="Arial"/>
                <w:sz w:val="22"/>
                <w:szCs w:val="22"/>
              </w:rPr>
            </w:pPr>
            <w:r w:rsidRPr="00EE752D">
              <w:rPr>
                <w:rFonts w:ascii="Arial" w:hAnsi="Arial" w:eastAsia="Arial" w:cs="Arial"/>
                <w:b/>
                <w:bCs/>
                <w:color w:val="000000" w:themeColor="text1"/>
                <w:sz w:val="22"/>
                <w:szCs w:val="22"/>
              </w:rPr>
              <w:t>Total Coliform</w:t>
            </w:r>
            <w:r w:rsidRPr="00EE752D">
              <w:rPr>
                <w:rFonts w:ascii="Arial" w:hAnsi="Arial" w:cs="Arial"/>
                <w:sz w:val="22"/>
                <w:szCs w:val="22"/>
              </w:rPr>
              <w:br/>
            </w:r>
            <w:r w:rsidRPr="00EE752D">
              <w:rPr>
                <w:rFonts w:ascii="Arial" w:hAnsi="Arial" w:eastAsia="Arial" w:cs="Arial"/>
                <w:b/>
                <w:bCs/>
                <w:color w:val="000000" w:themeColor="text1"/>
                <w:sz w:val="22"/>
                <w:szCs w:val="22"/>
              </w:rPr>
              <w:t xml:space="preserve"> Wet Weather</w:t>
            </w:r>
          </w:p>
        </w:tc>
        <w:tc>
          <w:tcPr>
            <w:tcW w:w="1805"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EE752D" w:rsidR="41839B7F" w:rsidP="41839B7F" w:rsidRDefault="41839B7F" w14:paraId="05DE67D0" w14:textId="176FCEB4">
            <w:pPr>
              <w:spacing w:before="0" w:after="0"/>
              <w:jc w:val="center"/>
              <w:rPr>
                <w:rFonts w:ascii="Arial" w:hAnsi="Arial" w:cs="Arial"/>
                <w:sz w:val="22"/>
                <w:szCs w:val="22"/>
              </w:rPr>
            </w:pPr>
            <w:r w:rsidRPr="00EE752D">
              <w:rPr>
                <w:rFonts w:ascii="Arial" w:hAnsi="Arial" w:eastAsia="Arial" w:cs="Arial"/>
                <w:b/>
                <w:bCs/>
                <w:color w:val="000000" w:themeColor="text1"/>
                <w:sz w:val="22"/>
                <w:szCs w:val="22"/>
              </w:rPr>
              <w:t>Total Coliform</w:t>
            </w:r>
            <w:r w:rsidRPr="00EE752D">
              <w:rPr>
                <w:rFonts w:ascii="Arial" w:hAnsi="Arial" w:cs="Arial"/>
                <w:sz w:val="22"/>
                <w:szCs w:val="22"/>
              </w:rPr>
              <w:br/>
            </w:r>
            <w:r w:rsidRPr="00EE752D">
              <w:rPr>
                <w:rFonts w:ascii="Arial" w:hAnsi="Arial" w:eastAsia="Arial" w:cs="Arial"/>
                <w:b/>
                <w:bCs/>
                <w:color w:val="000000" w:themeColor="text1"/>
                <w:sz w:val="22"/>
                <w:szCs w:val="22"/>
              </w:rPr>
              <w:t xml:space="preserve"> Dry Weather</w:t>
            </w:r>
          </w:p>
        </w:tc>
      </w:tr>
      <w:tr w:rsidRPr="00EE752D" w:rsidR="41839B7F" w:rsidTr="00BB28A8" w14:paraId="30727AA2"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9FCE065" w14:textId="6C44246D">
            <w:pPr>
              <w:rPr>
                <w:rFonts w:ascii="Arial" w:hAnsi="Arial" w:cs="Arial"/>
                <w:sz w:val="22"/>
                <w:szCs w:val="22"/>
              </w:rPr>
            </w:pPr>
            <w:r w:rsidRPr="00EE752D">
              <w:rPr>
                <w:rFonts w:ascii="Arial" w:hAnsi="Arial" w:eastAsia="Arial" w:cs="Arial"/>
                <w:sz w:val="22"/>
                <w:szCs w:val="22"/>
              </w:rPr>
              <w:t>San Joaquin Hills/</w:t>
            </w:r>
            <w:r w:rsidR="00BB28A8">
              <w:rPr>
                <w:rFonts w:ascii="Arial" w:hAnsi="Arial" w:eastAsia="Arial" w:cs="Arial"/>
                <w:sz w:val="22"/>
                <w:szCs w:val="22"/>
              </w:rPr>
              <w:t xml:space="preserve"> </w:t>
            </w:r>
            <w:r w:rsidRPr="00EE752D">
              <w:rPr>
                <w:rFonts w:ascii="Arial" w:hAnsi="Arial" w:eastAsia="Arial" w:cs="Arial"/>
                <w:sz w:val="22"/>
                <w:szCs w:val="22"/>
              </w:rPr>
              <w:t>Laguna Beach Hydrologic Subareas (901.11 and 901.12)</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6F08615" w14:textId="795D8C38">
            <w:pPr>
              <w:spacing w:before="0" w:after="0"/>
              <w:jc w:val="center"/>
              <w:rPr>
                <w:rFonts w:ascii="Arial" w:hAnsi="Arial" w:cs="Arial"/>
                <w:sz w:val="22"/>
                <w:szCs w:val="22"/>
              </w:rPr>
            </w:pPr>
            <w:r w:rsidRPr="00EE752D">
              <w:rPr>
                <w:rFonts w:ascii="Arial" w:hAnsi="Arial" w:eastAsia="Arial" w:cs="Arial"/>
                <w:sz w:val="22"/>
                <w:szCs w:val="22"/>
              </w:rPr>
              <w:t>37,167</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F1A6EEE" w14:textId="6AEDDE00">
            <w:pPr>
              <w:spacing w:before="0" w:after="0"/>
              <w:jc w:val="center"/>
              <w:rPr>
                <w:rFonts w:ascii="Arial" w:hAnsi="Arial" w:cs="Arial"/>
                <w:sz w:val="22"/>
                <w:szCs w:val="22"/>
              </w:rPr>
            </w:pPr>
            <w:r w:rsidRPr="00EE752D">
              <w:rPr>
                <w:rFonts w:ascii="Arial" w:hAnsi="Arial" w:eastAsia="Arial" w:cs="Arial"/>
                <w:sz w:val="22"/>
                <w:szCs w:val="22"/>
              </w:rPr>
              <w:t>227</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29A7E39" w14:textId="4CB30656">
            <w:pPr>
              <w:spacing w:before="0" w:after="0"/>
              <w:jc w:val="center"/>
              <w:rPr>
                <w:rFonts w:ascii="Arial" w:hAnsi="Arial" w:cs="Arial"/>
                <w:sz w:val="22"/>
                <w:szCs w:val="22"/>
              </w:rPr>
            </w:pPr>
            <w:r w:rsidRPr="00EE752D">
              <w:rPr>
                <w:rFonts w:ascii="Arial" w:hAnsi="Arial" w:eastAsia="Arial" w:cs="Arial"/>
                <w:sz w:val="22"/>
                <w:szCs w:val="22"/>
              </w:rPr>
              <w:t>66,417</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2F2A06D" w14:textId="7C3788A9">
            <w:pPr>
              <w:spacing w:before="0" w:after="0"/>
              <w:jc w:val="center"/>
              <w:rPr>
                <w:rFonts w:ascii="Arial" w:hAnsi="Arial" w:cs="Arial"/>
                <w:sz w:val="22"/>
                <w:szCs w:val="22"/>
              </w:rPr>
            </w:pPr>
            <w:r w:rsidRPr="00EE752D">
              <w:rPr>
                <w:rFonts w:ascii="Arial" w:hAnsi="Arial" w:eastAsia="Arial" w:cs="Arial"/>
                <w:sz w:val="22"/>
                <w:szCs w:val="22"/>
              </w:rPr>
              <w:t>40</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513F45E" w14:textId="3978FD69">
            <w:pPr>
              <w:spacing w:before="0" w:after="0"/>
              <w:jc w:val="center"/>
              <w:rPr>
                <w:rFonts w:ascii="Arial" w:hAnsi="Arial" w:cs="Arial"/>
                <w:sz w:val="22"/>
                <w:szCs w:val="22"/>
              </w:rPr>
            </w:pPr>
            <w:r w:rsidRPr="00EE752D">
              <w:rPr>
                <w:rFonts w:ascii="Arial" w:hAnsi="Arial" w:eastAsia="Arial" w:cs="Arial"/>
                <w:sz w:val="22"/>
                <w:szCs w:val="22"/>
              </w:rPr>
              <w:t>880,652</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1EFDBC5" w14:textId="404E17D4">
            <w:pPr>
              <w:spacing w:before="0" w:after="0"/>
              <w:jc w:val="center"/>
              <w:rPr>
                <w:rFonts w:ascii="Arial" w:hAnsi="Arial" w:cs="Arial"/>
                <w:sz w:val="22"/>
                <w:szCs w:val="22"/>
              </w:rPr>
            </w:pPr>
            <w:r w:rsidRPr="00EE752D">
              <w:rPr>
                <w:rFonts w:ascii="Arial" w:hAnsi="Arial" w:eastAsia="Arial" w:cs="Arial"/>
                <w:sz w:val="22"/>
                <w:szCs w:val="22"/>
              </w:rPr>
              <w:t>1,134</w:t>
            </w:r>
          </w:p>
        </w:tc>
      </w:tr>
      <w:tr w:rsidRPr="00EE752D" w:rsidR="41839B7F" w:rsidTr="00BB28A8" w14:paraId="3E55EBFC"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D1416DC" w14:textId="501C88C6">
            <w:pPr>
              <w:rPr>
                <w:rFonts w:ascii="Arial" w:hAnsi="Arial" w:cs="Arial"/>
                <w:sz w:val="22"/>
                <w:szCs w:val="22"/>
              </w:rPr>
            </w:pPr>
            <w:r w:rsidRPr="00EE752D">
              <w:rPr>
                <w:rFonts w:ascii="Arial" w:hAnsi="Arial" w:eastAsia="Arial" w:cs="Arial"/>
                <w:sz w:val="22"/>
                <w:szCs w:val="22"/>
              </w:rPr>
              <w:t>Aliso (Hydrologic Subarea 901.13)</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E0D5C6B" w14:textId="4D1E3074">
            <w:pPr>
              <w:spacing w:before="0" w:after="0"/>
              <w:jc w:val="center"/>
              <w:rPr>
                <w:rFonts w:ascii="Arial" w:hAnsi="Arial" w:cs="Arial"/>
                <w:sz w:val="22"/>
                <w:szCs w:val="22"/>
              </w:rPr>
            </w:pPr>
            <w:r w:rsidRPr="00EE752D">
              <w:rPr>
                <w:rFonts w:ascii="Arial" w:hAnsi="Arial" w:eastAsia="Arial" w:cs="Arial"/>
                <w:sz w:val="22"/>
                <w:szCs w:val="22"/>
              </w:rPr>
              <w:t>477,069</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740E577" w14:textId="31F589AE">
            <w:pPr>
              <w:spacing w:before="0" w:after="0"/>
              <w:jc w:val="center"/>
              <w:rPr>
                <w:rFonts w:ascii="Arial" w:hAnsi="Arial" w:cs="Arial"/>
                <w:sz w:val="22"/>
                <w:szCs w:val="22"/>
              </w:rPr>
            </w:pPr>
            <w:r w:rsidRPr="00EE752D">
              <w:rPr>
                <w:rFonts w:ascii="Arial" w:hAnsi="Arial" w:eastAsia="Arial" w:cs="Arial"/>
                <w:sz w:val="22"/>
                <w:szCs w:val="22"/>
              </w:rPr>
              <w:t>242</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674EA98" w14:textId="07CECEC8">
            <w:pPr>
              <w:spacing w:before="0" w:after="0"/>
              <w:jc w:val="center"/>
              <w:rPr>
                <w:rFonts w:ascii="Arial" w:hAnsi="Arial" w:cs="Arial"/>
                <w:sz w:val="22"/>
                <w:szCs w:val="22"/>
              </w:rPr>
            </w:pPr>
            <w:r w:rsidRPr="00EE752D">
              <w:rPr>
                <w:rFonts w:ascii="Arial" w:hAnsi="Arial" w:eastAsia="Arial" w:cs="Arial"/>
                <w:sz w:val="22"/>
                <w:szCs w:val="22"/>
              </w:rPr>
              <w:t>735,490</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3CE4EAD8" w14:textId="4022A368">
            <w:pPr>
              <w:spacing w:before="0" w:after="0"/>
              <w:jc w:val="center"/>
              <w:rPr>
                <w:rFonts w:ascii="Arial" w:hAnsi="Arial" w:cs="Arial"/>
                <w:sz w:val="22"/>
                <w:szCs w:val="22"/>
              </w:rPr>
            </w:pPr>
            <w:r w:rsidRPr="00EE752D">
              <w:rPr>
                <w:rFonts w:ascii="Arial" w:hAnsi="Arial" w:eastAsia="Arial" w:cs="Arial"/>
                <w:sz w:val="22"/>
                <w:szCs w:val="22"/>
              </w:rPr>
              <w:t>40</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CEF5061" w14:textId="43C688D9">
            <w:pPr>
              <w:spacing w:before="0" w:after="0"/>
              <w:jc w:val="center"/>
              <w:rPr>
                <w:rFonts w:ascii="Arial" w:hAnsi="Arial" w:cs="Arial"/>
                <w:sz w:val="22"/>
                <w:szCs w:val="22"/>
              </w:rPr>
            </w:pPr>
            <w:r w:rsidRPr="00EE752D">
              <w:rPr>
                <w:rFonts w:ascii="Arial" w:hAnsi="Arial" w:eastAsia="Arial" w:cs="Arial"/>
                <w:sz w:val="22"/>
                <w:szCs w:val="22"/>
              </w:rPr>
              <w:t>8,923,264</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B5E5070" w14:textId="5863EBED">
            <w:pPr>
              <w:spacing w:before="0" w:after="0"/>
              <w:jc w:val="center"/>
              <w:rPr>
                <w:rFonts w:ascii="Arial" w:hAnsi="Arial" w:cs="Arial"/>
                <w:sz w:val="22"/>
                <w:szCs w:val="22"/>
              </w:rPr>
            </w:pPr>
            <w:r w:rsidRPr="00EE752D">
              <w:rPr>
                <w:rFonts w:ascii="Arial" w:hAnsi="Arial" w:eastAsia="Arial" w:cs="Arial"/>
                <w:sz w:val="22"/>
                <w:szCs w:val="22"/>
              </w:rPr>
              <w:t>1,208</w:t>
            </w:r>
          </w:p>
        </w:tc>
      </w:tr>
      <w:tr w:rsidRPr="00EE752D" w:rsidR="41839B7F" w:rsidTr="00BB28A8" w14:paraId="69E31FCF"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C34BBAD" w14:textId="5F15A8D3">
            <w:pPr>
              <w:rPr>
                <w:rFonts w:ascii="Arial" w:hAnsi="Arial" w:cs="Arial"/>
                <w:sz w:val="22"/>
                <w:szCs w:val="22"/>
              </w:rPr>
            </w:pPr>
            <w:r w:rsidRPr="00EE752D">
              <w:rPr>
                <w:rFonts w:ascii="Arial" w:hAnsi="Arial" w:eastAsia="Arial" w:cs="Arial"/>
                <w:sz w:val="22"/>
                <w:szCs w:val="22"/>
              </w:rPr>
              <w:t>Dana Point Hydrologic Subarea (901.14)</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9949FE6" w14:textId="364FCCC1">
            <w:pPr>
              <w:spacing w:before="0" w:after="0"/>
              <w:jc w:val="center"/>
              <w:rPr>
                <w:rFonts w:ascii="Arial" w:hAnsi="Arial" w:cs="Arial"/>
                <w:sz w:val="22"/>
                <w:szCs w:val="22"/>
              </w:rPr>
            </w:pPr>
            <w:r w:rsidRPr="00EE752D">
              <w:rPr>
                <w:rFonts w:ascii="Arial" w:hAnsi="Arial" w:eastAsia="Arial" w:cs="Arial"/>
                <w:sz w:val="22"/>
                <w:szCs w:val="22"/>
              </w:rPr>
              <w:t>152,446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0AD24AF" w14:textId="6E7F55BE">
            <w:pPr>
              <w:spacing w:before="0" w:after="0"/>
              <w:jc w:val="center"/>
              <w:rPr>
                <w:rFonts w:ascii="Arial" w:hAnsi="Arial" w:cs="Arial"/>
                <w:sz w:val="22"/>
                <w:szCs w:val="22"/>
              </w:rPr>
            </w:pPr>
            <w:r w:rsidRPr="00EE752D">
              <w:rPr>
                <w:rFonts w:ascii="Arial" w:hAnsi="Arial" w:eastAsia="Arial" w:cs="Arial"/>
                <w:sz w:val="22"/>
                <w:szCs w:val="22"/>
              </w:rPr>
              <w:t>92</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5B80C2F" w14:textId="20D9D53C">
            <w:pPr>
              <w:spacing w:before="0" w:after="0"/>
              <w:jc w:val="center"/>
              <w:rPr>
                <w:rFonts w:ascii="Arial" w:hAnsi="Arial" w:cs="Arial"/>
                <w:sz w:val="22"/>
                <w:szCs w:val="22"/>
              </w:rPr>
            </w:pPr>
            <w:r w:rsidRPr="00EE752D">
              <w:rPr>
                <w:rFonts w:ascii="Arial" w:hAnsi="Arial" w:eastAsia="Arial" w:cs="Arial"/>
                <w:sz w:val="22"/>
                <w:szCs w:val="22"/>
              </w:rPr>
              <w:t>219,528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75FDFD7D" w14:textId="0B41CDB3">
            <w:pPr>
              <w:spacing w:before="0" w:after="0"/>
              <w:jc w:val="center"/>
              <w:rPr>
                <w:rFonts w:ascii="Arial" w:hAnsi="Arial" w:cs="Arial"/>
                <w:sz w:val="22"/>
                <w:szCs w:val="22"/>
              </w:rPr>
            </w:pPr>
            <w:r w:rsidRPr="00EE752D">
              <w:rPr>
                <w:rFonts w:ascii="Arial" w:hAnsi="Arial" w:eastAsia="Arial" w:cs="Arial"/>
                <w:sz w:val="22"/>
                <w:szCs w:val="22"/>
              </w:rPr>
              <w:t>16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79795654" w14:textId="526491EA">
            <w:pPr>
              <w:spacing w:before="0" w:after="0"/>
              <w:jc w:val="center"/>
              <w:rPr>
                <w:rFonts w:ascii="Arial" w:hAnsi="Arial" w:cs="Arial"/>
                <w:sz w:val="22"/>
                <w:szCs w:val="22"/>
              </w:rPr>
            </w:pPr>
            <w:r w:rsidRPr="00EE752D">
              <w:rPr>
                <w:rFonts w:ascii="Arial" w:hAnsi="Arial" w:eastAsia="Arial" w:cs="Arial"/>
                <w:sz w:val="22"/>
                <w:szCs w:val="22"/>
              </w:rPr>
              <w:t>3,404,008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9907B92" w14:textId="4F981F33">
            <w:pPr>
              <w:spacing w:before="0" w:after="0"/>
              <w:jc w:val="center"/>
              <w:rPr>
                <w:rFonts w:ascii="Arial" w:hAnsi="Arial" w:cs="Arial"/>
                <w:sz w:val="22"/>
                <w:szCs w:val="22"/>
              </w:rPr>
            </w:pPr>
            <w:r w:rsidRPr="00EE752D">
              <w:rPr>
                <w:rFonts w:ascii="Arial" w:hAnsi="Arial" w:eastAsia="Arial" w:cs="Arial"/>
                <w:sz w:val="22"/>
                <w:szCs w:val="22"/>
              </w:rPr>
              <w:t>462</w:t>
            </w:r>
          </w:p>
        </w:tc>
      </w:tr>
      <w:tr w:rsidRPr="00EE752D" w:rsidR="41839B7F" w:rsidTr="00BB28A8" w14:paraId="5754A502"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CB8CC1E" w14:textId="09DCCD5C">
            <w:pPr>
              <w:rPr>
                <w:rFonts w:ascii="Arial" w:hAnsi="Arial" w:cs="Arial"/>
                <w:sz w:val="22"/>
                <w:szCs w:val="22"/>
              </w:rPr>
            </w:pPr>
            <w:r w:rsidRPr="00EE752D">
              <w:rPr>
                <w:rFonts w:ascii="Arial" w:hAnsi="Arial" w:eastAsia="Arial" w:cs="Arial"/>
                <w:sz w:val="22"/>
                <w:szCs w:val="22"/>
              </w:rPr>
              <w:t>Lower San Juan Hydrologic Subarea (901.27)</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26DBCD1" w14:textId="61EC3CD4">
            <w:pPr>
              <w:spacing w:before="0" w:after="0"/>
              <w:jc w:val="center"/>
              <w:rPr>
                <w:rFonts w:ascii="Arial" w:hAnsi="Arial" w:cs="Arial"/>
                <w:sz w:val="22"/>
                <w:szCs w:val="22"/>
              </w:rPr>
            </w:pPr>
            <w:r w:rsidRPr="00EE752D">
              <w:rPr>
                <w:rFonts w:ascii="Arial" w:hAnsi="Arial" w:eastAsia="Arial" w:cs="Arial"/>
                <w:sz w:val="22"/>
                <w:szCs w:val="22"/>
              </w:rPr>
              <w:t>1,156,419</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C90E734" w14:textId="22EE1C02">
            <w:pPr>
              <w:spacing w:before="0" w:after="0"/>
              <w:jc w:val="center"/>
              <w:rPr>
                <w:rFonts w:ascii="Arial" w:hAnsi="Arial" w:cs="Arial"/>
                <w:sz w:val="22"/>
                <w:szCs w:val="22"/>
              </w:rPr>
            </w:pPr>
            <w:r w:rsidRPr="00EE752D">
              <w:rPr>
                <w:rFonts w:ascii="Arial" w:hAnsi="Arial" w:eastAsia="Arial" w:cs="Arial"/>
                <w:sz w:val="22"/>
                <w:szCs w:val="22"/>
              </w:rPr>
              <w:t>1,665</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65EF81C" w14:textId="546F29C1">
            <w:pPr>
              <w:spacing w:before="0" w:after="0"/>
              <w:jc w:val="center"/>
              <w:rPr>
                <w:rFonts w:ascii="Arial" w:hAnsi="Arial" w:cs="Arial"/>
                <w:sz w:val="22"/>
                <w:szCs w:val="22"/>
              </w:rPr>
            </w:pPr>
            <w:r w:rsidRPr="00EE752D">
              <w:rPr>
                <w:rFonts w:ascii="Arial" w:hAnsi="Arial" w:eastAsia="Arial" w:cs="Arial"/>
                <w:sz w:val="22"/>
                <w:szCs w:val="22"/>
              </w:rPr>
              <w:t>1,385,094</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1679D5B" w14:textId="71161867">
            <w:pPr>
              <w:spacing w:before="0" w:after="0"/>
              <w:jc w:val="center"/>
              <w:rPr>
                <w:rFonts w:ascii="Arial" w:hAnsi="Arial" w:cs="Arial"/>
                <w:sz w:val="22"/>
                <w:szCs w:val="22"/>
              </w:rPr>
            </w:pPr>
            <w:r w:rsidRPr="00EE752D">
              <w:rPr>
                <w:rFonts w:ascii="Arial" w:hAnsi="Arial" w:eastAsia="Arial" w:cs="Arial"/>
                <w:sz w:val="22"/>
                <w:szCs w:val="22"/>
              </w:rPr>
              <w:t>275</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304D143B" w14:textId="4CB8389D">
            <w:pPr>
              <w:spacing w:before="0" w:after="0"/>
              <w:jc w:val="center"/>
              <w:rPr>
                <w:rFonts w:ascii="Arial" w:hAnsi="Arial" w:cs="Arial"/>
                <w:sz w:val="22"/>
                <w:szCs w:val="22"/>
              </w:rPr>
            </w:pPr>
            <w:r w:rsidRPr="00EE752D">
              <w:rPr>
                <w:rFonts w:ascii="Arial" w:hAnsi="Arial" w:eastAsia="Arial" w:cs="Arial"/>
                <w:sz w:val="22"/>
                <w:szCs w:val="22"/>
              </w:rPr>
              <w:t>16,093,160</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3653B09" w14:textId="0A376BFC">
            <w:pPr>
              <w:spacing w:before="0" w:after="0"/>
              <w:jc w:val="center"/>
              <w:rPr>
                <w:rFonts w:ascii="Arial" w:hAnsi="Arial" w:cs="Arial"/>
                <w:sz w:val="22"/>
                <w:szCs w:val="22"/>
              </w:rPr>
            </w:pPr>
            <w:r w:rsidRPr="00EE752D">
              <w:rPr>
                <w:rFonts w:ascii="Arial" w:hAnsi="Arial" w:eastAsia="Arial" w:cs="Arial"/>
                <w:sz w:val="22"/>
                <w:szCs w:val="22"/>
              </w:rPr>
              <w:t>8,342</w:t>
            </w:r>
          </w:p>
        </w:tc>
      </w:tr>
      <w:tr w:rsidRPr="00EE752D" w:rsidR="41839B7F" w:rsidTr="00BB28A8" w14:paraId="19684250"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A7DCB0D" w14:textId="4473ABF7">
            <w:pPr>
              <w:rPr>
                <w:rFonts w:ascii="Arial" w:hAnsi="Arial" w:cs="Arial"/>
                <w:sz w:val="22"/>
                <w:szCs w:val="22"/>
              </w:rPr>
            </w:pPr>
            <w:r w:rsidRPr="00EE752D">
              <w:rPr>
                <w:rFonts w:ascii="Arial" w:hAnsi="Arial" w:eastAsia="Arial" w:cs="Arial"/>
                <w:sz w:val="22"/>
                <w:szCs w:val="22"/>
              </w:rPr>
              <w:t>San Clemente Hydrologic Area (901.30)</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7C1990E" w14:textId="27755FE0">
            <w:pPr>
              <w:spacing w:before="0" w:after="0"/>
              <w:jc w:val="center"/>
              <w:rPr>
                <w:rFonts w:ascii="Arial" w:hAnsi="Arial" w:cs="Arial"/>
                <w:sz w:val="22"/>
                <w:szCs w:val="22"/>
              </w:rPr>
            </w:pPr>
            <w:r w:rsidRPr="00EE752D">
              <w:rPr>
                <w:rFonts w:ascii="Arial" w:hAnsi="Arial" w:eastAsia="Arial" w:cs="Arial"/>
                <w:sz w:val="22"/>
                <w:szCs w:val="22"/>
              </w:rPr>
              <w:t>192,653</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258D17B" w14:textId="75527DAB">
            <w:pPr>
              <w:spacing w:before="0" w:after="0"/>
              <w:jc w:val="center"/>
              <w:rPr>
                <w:rFonts w:ascii="Arial" w:hAnsi="Arial" w:cs="Arial"/>
                <w:sz w:val="22"/>
                <w:szCs w:val="22"/>
              </w:rPr>
            </w:pPr>
            <w:r w:rsidRPr="00EE752D">
              <w:rPr>
                <w:rFonts w:ascii="Arial" w:hAnsi="Arial" w:eastAsia="Arial" w:cs="Arial"/>
                <w:sz w:val="22"/>
                <w:szCs w:val="22"/>
              </w:rPr>
              <w:t>192</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189F12E" w14:textId="0B5E758A">
            <w:pPr>
              <w:spacing w:before="0" w:after="0"/>
              <w:jc w:val="center"/>
              <w:rPr>
                <w:rFonts w:ascii="Arial" w:hAnsi="Arial" w:cs="Arial"/>
                <w:sz w:val="22"/>
                <w:szCs w:val="22"/>
              </w:rPr>
            </w:pPr>
            <w:r w:rsidRPr="00EE752D">
              <w:rPr>
                <w:rFonts w:ascii="Arial" w:hAnsi="Arial" w:eastAsia="Arial" w:cs="Arial"/>
                <w:sz w:val="22"/>
                <w:szCs w:val="22"/>
              </w:rPr>
              <w:t>295,668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E0C9217" w14:textId="0A371884">
            <w:pPr>
              <w:spacing w:before="0" w:after="0"/>
              <w:jc w:val="center"/>
              <w:rPr>
                <w:rFonts w:ascii="Arial" w:hAnsi="Arial" w:cs="Arial"/>
                <w:sz w:val="22"/>
                <w:szCs w:val="22"/>
              </w:rPr>
            </w:pPr>
            <w:r w:rsidRPr="00EE752D">
              <w:rPr>
                <w:rFonts w:ascii="Arial" w:hAnsi="Arial" w:eastAsia="Arial" w:cs="Arial"/>
                <w:sz w:val="22"/>
                <w:szCs w:val="22"/>
              </w:rPr>
              <w:t>33</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AEEC821" w14:textId="6338C21A">
            <w:pPr>
              <w:spacing w:before="0" w:after="0"/>
              <w:jc w:val="center"/>
              <w:rPr>
                <w:rFonts w:ascii="Arial" w:hAnsi="Arial" w:cs="Arial"/>
                <w:sz w:val="22"/>
                <w:szCs w:val="22"/>
              </w:rPr>
            </w:pPr>
            <w:r w:rsidRPr="00EE752D">
              <w:rPr>
                <w:rFonts w:ascii="Arial" w:hAnsi="Arial" w:eastAsia="Arial" w:cs="Arial"/>
                <w:sz w:val="22"/>
                <w:szCs w:val="22"/>
              </w:rPr>
              <w:t>3,477,739</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F4C4A4B" w14:textId="0549F59D">
            <w:pPr>
              <w:spacing w:before="0" w:after="0"/>
              <w:jc w:val="center"/>
              <w:rPr>
                <w:rFonts w:ascii="Arial" w:hAnsi="Arial" w:cs="Arial"/>
                <w:sz w:val="22"/>
                <w:szCs w:val="22"/>
              </w:rPr>
            </w:pPr>
            <w:r w:rsidRPr="00EE752D">
              <w:rPr>
                <w:rFonts w:ascii="Arial" w:hAnsi="Arial" w:eastAsia="Arial" w:cs="Arial"/>
                <w:sz w:val="22"/>
                <w:szCs w:val="22"/>
              </w:rPr>
              <w:t>958</w:t>
            </w:r>
          </w:p>
        </w:tc>
      </w:tr>
      <w:tr w:rsidRPr="00EE752D" w:rsidR="41839B7F" w:rsidTr="00BB28A8" w14:paraId="178460B4"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C6551B0" w14:textId="2864F61C">
            <w:pPr>
              <w:rPr>
                <w:rFonts w:ascii="Arial" w:hAnsi="Arial" w:cs="Arial"/>
                <w:sz w:val="22"/>
                <w:szCs w:val="22"/>
              </w:rPr>
            </w:pPr>
            <w:r w:rsidRPr="00EE752D">
              <w:rPr>
                <w:rFonts w:ascii="Arial" w:hAnsi="Arial" w:eastAsia="Arial" w:cs="Arial"/>
                <w:sz w:val="22"/>
                <w:szCs w:val="22"/>
              </w:rPr>
              <w:t>San Luis Rey Hydrologic Unit (903.00)</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5E7D400" w14:textId="7A1EDE1D">
            <w:pPr>
              <w:spacing w:before="0" w:after="0"/>
              <w:jc w:val="center"/>
              <w:rPr>
                <w:rFonts w:ascii="Arial" w:hAnsi="Arial" w:cs="Arial"/>
                <w:sz w:val="22"/>
                <w:szCs w:val="22"/>
              </w:rPr>
            </w:pPr>
            <w:r w:rsidRPr="00EE752D">
              <w:rPr>
                <w:rFonts w:ascii="Arial" w:hAnsi="Arial" w:eastAsia="Arial" w:cs="Arial"/>
                <w:sz w:val="22"/>
                <w:szCs w:val="22"/>
              </w:rPr>
              <w:t>914,026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F94EEC6" w14:textId="2E061236">
            <w:pPr>
              <w:spacing w:before="0" w:after="0"/>
              <w:jc w:val="center"/>
              <w:rPr>
                <w:rFonts w:ascii="Arial" w:hAnsi="Arial" w:cs="Arial"/>
                <w:sz w:val="22"/>
                <w:szCs w:val="22"/>
              </w:rPr>
            </w:pPr>
            <w:r w:rsidRPr="00EE752D">
              <w:rPr>
                <w:rFonts w:ascii="Arial" w:hAnsi="Arial" w:eastAsia="Arial" w:cs="Arial"/>
                <w:sz w:val="22"/>
                <w:szCs w:val="22"/>
              </w:rPr>
              <w:t>1,058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831991D" w14:textId="33F76C49">
            <w:pPr>
              <w:spacing w:before="0" w:after="0"/>
              <w:jc w:val="center"/>
              <w:rPr>
                <w:rFonts w:ascii="Arial" w:hAnsi="Arial" w:cs="Arial"/>
                <w:sz w:val="22"/>
                <w:szCs w:val="22"/>
              </w:rPr>
            </w:pPr>
            <w:r w:rsidRPr="00EE752D">
              <w:rPr>
                <w:rFonts w:ascii="Arial" w:hAnsi="Arial" w:eastAsia="Arial" w:cs="Arial"/>
                <w:sz w:val="22"/>
                <w:szCs w:val="22"/>
              </w:rPr>
              <w:t>1,300,235</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A489A42" w14:textId="0F600209">
            <w:pPr>
              <w:spacing w:before="0" w:after="0"/>
              <w:jc w:val="center"/>
              <w:rPr>
                <w:rFonts w:ascii="Arial" w:hAnsi="Arial" w:cs="Arial"/>
                <w:sz w:val="22"/>
                <w:szCs w:val="22"/>
              </w:rPr>
            </w:pPr>
            <w:r w:rsidRPr="00EE752D">
              <w:rPr>
                <w:rFonts w:ascii="Arial" w:hAnsi="Arial" w:eastAsia="Arial" w:cs="Arial"/>
                <w:sz w:val="22"/>
                <w:szCs w:val="22"/>
              </w:rPr>
              <w:t>185</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A4BF120" w14:textId="027F693B">
            <w:pPr>
              <w:spacing w:before="0" w:after="0"/>
              <w:jc w:val="center"/>
              <w:rPr>
                <w:rFonts w:ascii="Arial" w:hAnsi="Arial" w:cs="Arial"/>
                <w:sz w:val="22"/>
                <w:szCs w:val="22"/>
              </w:rPr>
            </w:pPr>
            <w:r w:rsidRPr="00EE752D">
              <w:rPr>
                <w:rFonts w:ascii="Arial" w:hAnsi="Arial" w:eastAsia="Arial" w:cs="Arial"/>
                <w:sz w:val="22"/>
                <w:szCs w:val="22"/>
              </w:rPr>
              <w:t>14,373,954</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32E80DED" w14:textId="6514624E">
            <w:pPr>
              <w:spacing w:before="0" w:after="0"/>
              <w:jc w:val="center"/>
              <w:rPr>
                <w:rFonts w:ascii="Arial" w:hAnsi="Arial" w:cs="Arial"/>
                <w:sz w:val="22"/>
                <w:szCs w:val="22"/>
              </w:rPr>
            </w:pPr>
            <w:r w:rsidRPr="00EE752D">
              <w:rPr>
                <w:rFonts w:ascii="Arial" w:hAnsi="Arial" w:eastAsia="Arial" w:cs="Arial"/>
                <w:sz w:val="22"/>
                <w:szCs w:val="22"/>
              </w:rPr>
              <w:t>5,289</w:t>
            </w:r>
          </w:p>
        </w:tc>
      </w:tr>
      <w:tr w:rsidRPr="00EE752D" w:rsidR="41839B7F" w:rsidTr="00BB28A8" w14:paraId="308D6D7D"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60C0282" w14:textId="250B84D3">
            <w:pPr>
              <w:rPr>
                <w:rFonts w:ascii="Arial" w:hAnsi="Arial" w:cs="Arial"/>
                <w:sz w:val="22"/>
                <w:szCs w:val="22"/>
              </w:rPr>
            </w:pPr>
            <w:r w:rsidRPr="00EE752D">
              <w:rPr>
                <w:rFonts w:ascii="Arial" w:hAnsi="Arial" w:eastAsia="Arial" w:cs="Arial"/>
                <w:sz w:val="22"/>
                <w:szCs w:val="22"/>
              </w:rPr>
              <w:t>San Marcos Hydrologic Area (904.50)</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320C9AB1" w14:textId="3127E110">
            <w:pPr>
              <w:spacing w:before="0" w:after="0"/>
              <w:jc w:val="center"/>
              <w:rPr>
                <w:rFonts w:ascii="Arial" w:hAnsi="Arial" w:cs="Arial"/>
                <w:sz w:val="22"/>
                <w:szCs w:val="22"/>
              </w:rPr>
            </w:pPr>
            <w:r w:rsidRPr="00EE752D">
              <w:rPr>
                <w:rFonts w:ascii="Arial" w:hAnsi="Arial" w:eastAsia="Arial" w:cs="Arial"/>
                <w:sz w:val="22"/>
                <w:szCs w:val="22"/>
              </w:rPr>
              <w:t>6,558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DCBFB6C" w14:textId="5E36766C">
            <w:pPr>
              <w:spacing w:before="0" w:after="0"/>
              <w:jc w:val="center"/>
              <w:rPr>
                <w:rFonts w:ascii="Arial" w:hAnsi="Arial" w:cs="Arial"/>
                <w:sz w:val="22"/>
                <w:szCs w:val="22"/>
              </w:rPr>
            </w:pPr>
            <w:r w:rsidRPr="00EE752D">
              <w:rPr>
                <w:rFonts w:ascii="Arial" w:hAnsi="Arial" w:eastAsia="Arial" w:cs="Arial"/>
                <w:sz w:val="22"/>
                <w:szCs w:val="22"/>
              </w:rPr>
              <w:t>26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A78D7C4" w14:textId="1E033641">
            <w:pPr>
              <w:spacing w:before="0" w:after="0"/>
              <w:jc w:val="center"/>
              <w:rPr>
                <w:rFonts w:ascii="Arial" w:hAnsi="Arial" w:cs="Arial"/>
                <w:sz w:val="22"/>
                <w:szCs w:val="22"/>
              </w:rPr>
            </w:pPr>
            <w:r w:rsidRPr="00EE752D">
              <w:rPr>
                <w:rFonts w:ascii="Arial" w:hAnsi="Arial" w:eastAsia="Arial" w:cs="Arial"/>
                <w:sz w:val="22"/>
                <w:szCs w:val="22"/>
              </w:rPr>
              <w:t>23,771</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8E8E363" w14:textId="4B4B87D4">
            <w:pPr>
              <w:spacing w:before="0" w:after="0"/>
              <w:jc w:val="center"/>
              <w:rPr>
                <w:rFonts w:ascii="Arial" w:hAnsi="Arial" w:cs="Arial"/>
                <w:sz w:val="22"/>
                <w:szCs w:val="22"/>
              </w:rPr>
            </w:pPr>
            <w:r w:rsidRPr="00EE752D">
              <w:rPr>
                <w:rFonts w:ascii="Arial" w:hAnsi="Arial" w:eastAsia="Arial" w:cs="Arial"/>
                <w:sz w:val="22"/>
                <w:szCs w:val="22"/>
              </w:rPr>
              <w:t>5</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5A42AD8" w14:textId="553D50C0">
            <w:pPr>
              <w:spacing w:before="0" w:after="0"/>
              <w:jc w:val="center"/>
              <w:rPr>
                <w:rFonts w:ascii="Arial" w:hAnsi="Arial" w:cs="Arial"/>
                <w:sz w:val="22"/>
                <w:szCs w:val="22"/>
              </w:rPr>
            </w:pPr>
            <w:r w:rsidRPr="00EE752D">
              <w:rPr>
                <w:rFonts w:ascii="Arial" w:hAnsi="Arial" w:eastAsia="Arial" w:cs="Arial"/>
                <w:sz w:val="22"/>
                <w:szCs w:val="22"/>
              </w:rPr>
              <w:t>298,430</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42B469A" w14:textId="766590B4">
            <w:pPr>
              <w:spacing w:before="0" w:after="0"/>
              <w:jc w:val="center"/>
              <w:rPr>
                <w:rFonts w:ascii="Arial" w:hAnsi="Arial" w:cs="Arial"/>
                <w:sz w:val="22"/>
                <w:szCs w:val="22"/>
              </w:rPr>
            </w:pPr>
            <w:r w:rsidRPr="00EE752D">
              <w:rPr>
                <w:rFonts w:ascii="Arial" w:hAnsi="Arial" w:eastAsia="Arial" w:cs="Arial"/>
                <w:sz w:val="22"/>
                <w:szCs w:val="22"/>
              </w:rPr>
              <w:t>129</w:t>
            </w:r>
          </w:p>
        </w:tc>
      </w:tr>
      <w:tr w:rsidRPr="00EE752D" w:rsidR="41839B7F" w:rsidTr="00BB28A8" w14:paraId="3BD82A3A"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FC2A2C0" w14:textId="05CC0E0E">
            <w:pPr>
              <w:rPr>
                <w:rFonts w:ascii="Arial" w:hAnsi="Arial" w:cs="Arial"/>
                <w:sz w:val="22"/>
                <w:szCs w:val="22"/>
              </w:rPr>
            </w:pPr>
            <w:r w:rsidRPr="00EE752D">
              <w:rPr>
                <w:rFonts w:ascii="Arial" w:hAnsi="Arial" w:eastAsia="Arial" w:cs="Arial"/>
                <w:sz w:val="22"/>
                <w:szCs w:val="22"/>
              </w:rPr>
              <w:t>San Dieguito Hydrologic Unit (905.50)</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421F595" w14:textId="7D82AA8A">
            <w:pPr>
              <w:spacing w:before="0" w:after="0"/>
              <w:jc w:val="center"/>
              <w:rPr>
                <w:rFonts w:ascii="Arial" w:hAnsi="Arial" w:cs="Arial"/>
                <w:sz w:val="22"/>
                <w:szCs w:val="22"/>
              </w:rPr>
            </w:pPr>
            <w:r w:rsidRPr="00EE752D">
              <w:rPr>
                <w:rFonts w:ascii="Arial" w:hAnsi="Arial" w:eastAsia="Arial" w:cs="Arial"/>
                <w:sz w:val="22"/>
                <w:szCs w:val="22"/>
              </w:rPr>
              <w:t>798,175</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7D1F957" w14:textId="4396CDE4">
            <w:pPr>
              <w:spacing w:before="0" w:after="0"/>
              <w:jc w:val="center"/>
              <w:rPr>
                <w:rFonts w:ascii="Arial" w:hAnsi="Arial" w:cs="Arial"/>
                <w:sz w:val="22"/>
                <w:szCs w:val="22"/>
              </w:rPr>
            </w:pPr>
            <w:r w:rsidRPr="00EE752D">
              <w:rPr>
                <w:rFonts w:ascii="Arial" w:hAnsi="Arial" w:eastAsia="Arial" w:cs="Arial"/>
                <w:sz w:val="22"/>
                <w:szCs w:val="22"/>
              </w:rPr>
              <w:t>1,293</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175299D" w14:textId="2A91ADB5">
            <w:pPr>
              <w:spacing w:before="0" w:after="0"/>
              <w:jc w:val="center"/>
              <w:rPr>
                <w:rFonts w:ascii="Arial" w:hAnsi="Arial" w:cs="Arial"/>
                <w:sz w:val="22"/>
                <w:szCs w:val="22"/>
              </w:rPr>
            </w:pPr>
            <w:r w:rsidRPr="00EE752D">
              <w:rPr>
                <w:rFonts w:ascii="Arial" w:hAnsi="Arial" w:eastAsia="Arial" w:cs="Arial"/>
                <w:sz w:val="22"/>
                <w:szCs w:val="22"/>
              </w:rPr>
              <w:t>1,763,603</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9F70802" w14:textId="587A612B">
            <w:pPr>
              <w:spacing w:before="0" w:after="0"/>
              <w:jc w:val="center"/>
              <w:rPr>
                <w:rFonts w:ascii="Arial" w:hAnsi="Arial" w:cs="Arial"/>
                <w:sz w:val="22"/>
                <w:szCs w:val="22"/>
              </w:rPr>
            </w:pPr>
            <w:r w:rsidRPr="00EE752D">
              <w:rPr>
                <w:rFonts w:ascii="Arial" w:hAnsi="Arial" w:eastAsia="Arial" w:cs="Arial"/>
                <w:sz w:val="22"/>
                <w:szCs w:val="22"/>
              </w:rPr>
              <w:t>226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56A6B80" w14:textId="715DABA0">
            <w:pPr>
              <w:spacing w:before="0" w:after="0"/>
              <w:jc w:val="center"/>
              <w:rPr>
                <w:rFonts w:ascii="Arial" w:hAnsi="Arial" w:cs="Arial"/>
                <w:sz w:val="22"/>
                <w:szCs w:val="22"/>
              </w:rPr>
            </w:pPr>
            <w:r w:rsidRPr="00EE752D">
              <w:rPr>
                <w:rFonts w:ascii="Arial" w:hAnsi="Arial" w:eastAsia="Arial" w:cs="Arial"/>
                <w:sz w:val="22"/>
                <w:szCs w:val="22"/>
              </w:rPr>
              <w:t>16,660,538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38E31F0" w14:textId="048C7756">
            <w:pPr>
              <w:spacing w:before="0" w:after="0"/>
              <w:jc w:val="center"/>
              <w:rPr>
                <w:rFonts w:ascii="Arial" w:hAnsi="Arial" w:cs="Arial"/>
                <w:sz w:val="22"/>
                <w:szCs w:val="22"/>
              </w:rPr>
            </w:pPr>
            <w:r w:rsidRPr="00EE752D">
              <w:rPr>
                <w:rFonts w:ascii="Arial" w:hAnsi="Arial" w:eastAsia="Arial" w:cs="Arial"/>
                <w:sz w:val="22"/>
                <w:szCs w:val="22"/>
              </w:rPr>
              <w:t>6,468</w:t>
            </w:r>
          </w:p>
        </w:tc>
      </w:tr>
      <w:tr w:rsidRPr="00EE752D" w:rsidR="41839B7F" w:rsidTr="00BB28A8" w14:paraId="3805C367"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6798DA2" w14:textId="5E72BF63">
            <w:pPr>
              <w:rPr>
                <w:rFonts w:ascii="Arial" w:hAnsi="Arial" w:cs="Arial"/>
                <w:sz w:val="22"/>
                <w:szCs w:val="22"/>
              </w:rPr>
            </w:pPr>
            <w:r w:rsidRPr="00EE752D">
              <w:rPr>
                <w:rFonts w:ascii="Arial" w:hAnsi="Arial" w:eastAsia="Arial" w:cs="Arial"/>
                <w:sz w:val="22"/>
                <w:szCs w:val="22"/>
              </w:rPr>
              <w:t>Miramar Reservoir Hydrologic Area (906.10)</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A476A87" w14:textId="6DCAB36A">
            <w:pPr>
              <w:spacing w:before="0" w:after="0"/>
              <w:jc w:val="center"/>
              <w:rPr>
                <w:rFonts w:ascii="Arial" w:hAnsi="Arial" w:cs="Arial"/>
                <w:sz w:val="22"/>
                <w:szCs w:val="22"/>
              </w:rPr>
            </w:pPr>
            <w:r w:rsidRPr="00EE752D">
              <w:rPr>
                <w:rFonts w:ascii="Arial" w:hAnsi="Arial" w:eastAsia="Arial" w:cs="Arial"/>
                <w:sz w:val="22"/>
                <w:szCs w:val="22"/>
              </w:rPr>
              <w:t>6,703</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6EA60C8" w14:textId="4B5D03ED">
            <w:pPr>
              <w:spacing w:before="0" w:after="0"/>
              <w:jc w:val="center"/>
              <w:rPr>
                <w:rFonts w:ascii="Arial" w:hAnsi="Arial" w:cs="Arial"/>
                <w:sz w:val="22"/>
                <w:szCs w:val="22"/>
              </w:rPr>
            </w:pPr>
            <w:r w:rsidRPr="00EE752D">
              <w:rPr>
                <w:rFonts w:ascii="Arial" w:hAnsi="Arial" w:eastAsia="Arial" w:cs="Arial"/>
                <w:sz w:val="22"/>
                <w:szCs w:val="22"/>
              </w:rPr>
              <w:t>7</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CD5F052" w14:textId="6027EBA3">
            <w:pPr>
              <w:spacing w:before="0" w:after="0"/>
              <w:jc w:val="center"/>
              <w:rPr>
                <w:rFonts w:ascii="Arial" w:hAnsi="Arial" w:cs="Arial"/>
                <w:sz w:val="22"/>
                <w:szCs w:val="22"/>
              </w:rPr>
            </w:pPr>
            <w:r w:rsidRPr="00EE752D">
              <w:rPr>
                <w:rFonts w:ascii="Arial" w:hAnsi="Arial" w:eastAsia="Arial" w:cs="Arial"/>
                <w:sz w:val="22"/>
                <w:szCs w:val="22"/>
              </w:rPr>
              <w:t>8,109</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1426021" w14:textId="7593153E">
            <w:pPr>
              <w:spacing w:before="0" w:after="0"/>
              <w:jc w:val="center"/>
              <w:rPr>
                <w:rFonts w:ascii="Arial" w:hAnsi="Arial" w:cs="Arial"/>
                <w:sz w:val="22"/>
                <w:szCs w:val="22"/>
              </w:rPr>
            </w:pPr>
            <w:r w:rsidRPr="00EE752D">
              <w:rPr>
                <w:rFonts w:ascii="Arial" w:hAnsi="Arial" w:eastAsia="Arial" w:cs="Arial"/>
                <w:sz w:val="22"/>
                <w:szCs w:val="22"/>
              </w:rPr>
              <w:t>1</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2A19C15" w14:textId="7BA6C77A">
            <w:pPr>
              <w:spacing w:before="0" w:after="0"/>
              <w:jc w:val="center"/>
              <w:rPr>
                <w:rFonts w:ascii="Arial" w:hAnsi="Arial" w:cs="Arial"/>
                <w:sz w:val="22"/>
                <w:szCs w:val="22"/>
              </w:rPr>
            </w:pPr>
            <w:r w:rsidRPr="00EE752D">
              <w:rPr>
                <w:rFonts w:ascii="Arial" w:hAnsi="Arial" w:eastAsia="Arial" w:cs="Arial"/>
                <w:sz w:val="22"/>
                <w:szCs w:val="22"/>
              </w:rPr>
              <w:t>171,436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D6C9C62" w14:textId="393442D8">
            <w:pPr>
              <w:spacing w:before="0" w:after="0"/>
              <w:jc w:val="center"/>
              <w:rPr>
                <w:rFonts w:ascii="Arial" w:hAnsi="Arial" w:cs="Arial"/>
                <w:sz w:val="22"/>
                <w:szCs w:val="22"/>
              </w:rPr>
            </w:pPr>
            <w:r w:rsidRPr="00EE752D">
              <w:rPr>
                <w:rFonts w:ascii="Arial" w:hAnsi="Arial" w:eastAsia="Arial" w:cs="Arial"/>
                <w:sz w:val="22"/>
                <w:szCs w:val="22"/>
              </w:rPr>
              <w:t>36</w:t>
            </w:r>
          </w:p>
        </w:tc>
      </w:tr>
      <w:tr w:rsidRPr="00EE752D" w:rsidR="41839B7F" w:rsidTr="00BB28A8" w14:paraId="6811EAD7"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03D323E" w14:textId="42EAA2E3">
            <w:pPr>
              <w:rPr>
                <w:rFonts w:ascii="Arial" w:hAnsi="Arial" w:cs="Arial"/>
                <w:sz w:val="22"/>
                <w:szCs w:val="22"/>
              </w:rPr>
            </w:pPr>
            <w:r w:rsidRPr="00EE752D">
              <w:rPr>
                <w:rFonts w:ascii="Arial" w:hAnsi="Arial" w:eastAsia="Arial" w:cs="Arial"/>
                <w:sz w:val="22"/>
                <w:szCs w:val="22"/>
              </w:rPr>
              <w:t>Scripps Hydrologic Area (906.30)</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99342FB" w14:textId="655EEDB6">
            <w:pPr>
              <w:spacing w:before="0" w:after="0"/>
              <w:jc w:val="center"/>
              <w:rPr>
                <w:rFonts w:ascii="Arial" w:hAnsi="Arial" w:cs="Arial"/>
                <w:sz w:val="22"/>
                <w:szCs w:val="22"/>
              </w:rPr>
            </w:pPr>
            <w:r w:rsidRPr="00EE752D">
              <w:rPr>
                <w:rFonts w:ascii="Arial" w:hAnsi="Arial" w:eastAsia="Arial" w:cs="Arial"/>
                <w:sz w:val="22"/>
                <w:szCs w:val="22"/>
              </w:rPr>
              <w:t>101,253</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366A8BF7" w14:textId="57CF0685">
            <w:pPr>
              <w:spacing w:before="0" w:after="0"/>
              <w:jc w:val="center"/>
              <w:rPr>
                <w:rFonts w:ascii="Arial" w:hAnsi="Arial" w:cs="Arial"/>
                <w:sz w:val="22"/>
                <w:szCs w:val="22"/>
              </w:rPr>
            </w:pPr>
            <w:r w:rsidRPr="00EE752D">
              <w:rPr>
                <w:rFonts w:ascii="Arial" w:hAnsi="Arial" w:eastAsia="Arial" w:cs="Arial"/>
                <w:sz w:val="22"/>
                <w:szCs w:val="22"/>
              </w:rPr>
              <w:t>119</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31CF9D83" w14:textId="3C6E9B1F">
            <w:pPr>
              <w:spacing w:before="0" w:after="0"/>
              <w:jc w:val="center"/>
              <w:rPr>
                <w:rFonts w:ascii="Arial" w:hAnsi="Arial" w:cs="Arial"/>
                <w:sz w:val="22"/>
                <w:szCs w:val="22"/>
              </w:rPr>
            </w:pPr>
            <w:r w:rsidRPr="00EE752D">
              <w:rPr>
                <w:rFonts w:ascii="Arial" w:hAnsi="Arial" w:eastAsia="Arial" w:cs="Arial"/>
                <w:sz w:val="22"/>
                <w:szCs w:val="22"/>
              </w:rPr>
              <w:t>232,035</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B0B3A8C" w14:textId="5C75B547">
            <w:pPr>
              <w:spacing w:before="0" w:after="0"/>
              <w:jc w:val="center"/>
              <w:rPr>
                <w:rFonts w:ascii="Arial" w:hAnsi="Arial" w:cs="Arial"/>
                <w:sz w:val="22"/>
                <w:szCs w:val="22"/>
              </w:rPr>
            </w:pPr>
            <w:r w:rsidRPr="00EE752D">
              <w:rPr>
                <w:rFonts w:ascii="Arial" w:hAnsi="Arial" w:eastAsia="Arial" w:cs="Arial"/>
                <w:sz w:val="22"/>
                <w:szCs w:val="22"/>
              </w:rPr>
              <w:t>21</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C3009A2" w14:textId="7BF349EF">
            <w:pPr>
              <w:spacing w:before="0" w:after="0"/>
              <w:jc w:val="center"/>
              <w:rPr>
                <w:rFonts w:ascii="Arial" w:hAnsi="Arial" w:cs="Arial"/>
                <w:sz w:val="22"/>
                <w:szCs w:val="22"/>
              </w:rPr>
            </w:pPr>
            <w:r w:rsidRPr="00EE752D">
              <w:rPr>
                <w:rFonts w:ascii="Arial" w:hAnsi="Arial" w:eastAsia="Arial" w:cs="Arial"/>
                <w:sz w:val="22"/>
                <w:szCs w:val="22"/>
              </w:rPr>
              <w:t>3,447,764</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FACBAF1" w14:textId="49E3756E">
            <w:pPr>
              <w:spacing w:before="0" w:after="0"/>
              <w:jc w:val="center"/>
              <w:rPr>
                <w:rFonts w:ascii="Arial" w:hAnsi="Arial" w:cs="Arial"/>
                <w:sz w:val="22"/>
                <w:szCs w:val="22"/>
              </w:rPr>
            </w:pPr>
            <w:r w:rsidRPr="00EE752D">
              <w:rPr>
                <w:rFonts w:ascii="Arial" w:hAnsi="Arial" w:eastAsia="Arial" w:cs="Arial"/>
                <w:sz w:val="22"/>
                <w:szCs w:val="22"/>
              </w:rPr>
              <w:t>594</w:t>
            </w:r>
          </w:p>
        </w:tc>
      </w:tr>
      <w:tr w:rsidRPr="00EE752D" w:rsidR="41839B7F" w:rsidTr="00BB28A8" w14:paraId="7DBA975B"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EF38EAB" w14:textId="4BCD205E">
            <w:pPr>
              <w:rPr>
                <w:rFonts w:ascii="Arial" w:hAnsi="Arial" w:cs="Arial"/>
                <w:sz w:val="22"/>
                <w:szCs w:val="22"/>
              </w:rPr>
            </w:pPr>
            <w:r w:rsidRPr="00EE752D">
              <w:rPr>
                <w:rFonts w:ascii="Arial" w:hAnsi="Arial" w:eastAsia="Arial" w:cs="Arial"/>
                <w:sz w:val="22"/>
                <w:szCs w:val="22"/>
              </w:rPr>
              <w:t>Tecolote Hydrologic Area (906.5)</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7D20618E" w14:textId="5780C1D5">
            <w:pPr>
              <w:spacing w:before="0" w:after="0"/>
              <w:jc w:val="center"/>
              <w:rPr>
                <w:rFonts w:ascii="Arial" w:hAnsi="Arial" w:cs="Arial"/>
                <w:sz w:val="22"/>
                <w:szCs w:val="22"/>
              </w:rPr>
            </w:pPr>
            <w:r w:rsidRPr="00EE752D">
              <w:rPr>
                <w:rFonts w:ascii="Arial" w:hAnsi="Arial" w:eastAsia="Arial" w:cs="Arial"/>
                <w:sz w:val="22"/>
                <w:szCs w:val="22"/>
              </w:rPr>
              <w:t>126,806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D4CAFB0" w14:textId="0CD86DD1">
            <w:pPr>
              <w:spacing w:before="0" w:after="0"/>
              <w:jc w:val="center"/>
              <w:rPr>
                <w:rFonts w:ascii="Arial" w:hAnsi="Arial" w:cs="Arial"/>
                <w:sz w:val="22"/>
                <w:szCs w:val="22"/>
              </w:rPr>
            </w:pPr>
            <w:r w:rsidRPr="00EE752D">
              <w:rPr>
                <w:rFonts w:ascii="Arial" w:hAnsi="Arial" w:eastAsia="Arial" w:cs="Arial"/>
                <w:sz w:val="22"/>
                <w:szCs w:val="22"/>
              </w:rPr>
              <w:t>234</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F6CD825" w14:textId="5937C8FD">
            <w:pPr>
              <w:spacing w:before="0" w:after="0"/>
              <w:jc w:val="center"/>
              <w:rPr>
                <w:rFonts w:ascii="Arial" w:hAnsi="Arial" w:cs="Arial"/>
                <w:sz w:val="22"/>
                <w:szCs w:val="22"/>
              </w:rPr>
            </w:pPr>
            <w:r w:rsidRPr="00EE752D">
              <w:rPr>
                <w:rFonts w:ascii="Arial" w:hAnsi="Arial" w:eastAsia="Arial" w:cs="Arial"/>
                <w:sz w:val="22"/>
                <w:szCs w:val="22"/>
              </w:rPr>
              <w:t>471,211</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5D5C8C0" w14:textId="687EDE0A">
            <w:pPr>
              <w:spacing w:before="0" w:after="0"/>
              <w:jc w:val="center"/>
              <w:rPr>
                <w:rFonts w:ascii="Arial" w:hAnsi="Arial" w:cs="Arial"/>
                <w:sz w:val="22"/>
                <w:szCs w:val="22"/>
              </w:rPr>
            </w:pPr>
            <w:r w:rsidRPr="00EE752D">
              <w:rPr>
                <w:rFonts w:ascii="Arial" w:hAnsi="Arial" w:eastAsia="Arial" w:cs="Arial"/>
                <w:sz w:val="22"/>
                <w:szCs w:val="22"/>
              </w:rPr>
              <w:t>39</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273313E" w14:textId="119AC6FB">
            <w:pPr>
              <w:spacing w:before="0" w:after="0"/>
              <w:jc w:val="center"/>
              <w:rPr>
                <w:rFonts w:ascii="Arial" w:hAnsi="Arial" w:cs="Arial"/>
                <w:sz w:val="22"/>
                <w:szCs w:val="22"/>
              </w:rPr>
            </w:pPr>
            <w:r w:rsidRPr="00EE752D">
              <w:rPr>
                <w:rFonts w:ascii="Arial" w:hAnsi="Arial" w:eastAsia="Arial" w:cs="Arial"/>
                <w:sz w:val="22"/>
                <w:szCs w:val="22"/>
              </w:rPr>
              <w:t>5,136,598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241BC27C" w14:textId="4BC94BA9">
            <w:pPr>
              <w:spacing w:before="0" w:after="0"/>
              <w:jc w:val="center"/>
              <w:rPr>
                <w:rFonts w:ascii="Arial" w:hAnsi="Arial" w:cs="Arial"/>
                <w:sz w:val="22"/>
                <w:szCs w:val="22"/>
              </w:rPr>
            </w:pPr>
            <w:r w:rsidRPr="00EE752D">
              <w:rPr>
                <w:rFonts w:ascii="Arial" w:hAnsi="Arial" w:eastAsia="Arial" w:cs="Arial"/>
                <w:sz w:val="22"/>
                <w:szCs w:val="22"/>
              </w:rPr>
              <w:t>1,171</w:t>
            </w:r>
          </w:p>
        </w:tc>
      </w:tr>
      <w:tr w:rsidRPr="00EE752D" w:rsidR="41839B7F" w:rsidTr="00BB28A8" w14:paraId="481420BB"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980D095" w14:textId="7EC47717">
            <w:pPr>
              <w:rPr>
                <w:rFonts w:ascii="Arial" w:hAnsi="Arial" w:cs="Arial"/>
                <w:sz w:val="22"/>
                <w:szCs w:val="22"/>
              </w:rPr>
            </w:pPr>
            <w:r w:rsidRPr="00EE752D">
              <w:rPr>
                <w:rFonts w:ascii="Arial" w:hAnsi="Arial" w:eastAsia="Arial" w:cs="Arial"/>
                <w:sz w:val="22"/>
                <w:szCs w:val="22"/>
              </w:rPr>
              <w:t>Mission San Diego/Santee Hydrologic Subareas (907.11 and 907.12)</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6841BC04" w14:textId="2B6F811D">
            <w:pPr>
              <w:spacing w:before="0" w:after="0"/>
              <w:jc w:val="center"/>
              <w:rPr>
                <w:rFonts w:ascii="Arial" w:hAnsi="Arial" w:cs="Arial"/>
                <w:sz w:val="22"/>
                <w:szCs w:val="22"/>
              </w:rPr>
            </w:pPr>
            <w:r w:rsidRPr="00EE752D">
              <w:rPr>
                <w:rFonts w:ascii="Arial" w:hAnsi="Arial" w:eastAsia="Arial" w:cs="Arial"/>
                <w:sz w:val="22"/>
                <w:szCs w:val="22"/>
              </w:rPr>
              <w:t>221,117</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34C97936" w14:textId="6967CE8C">
            <w:pPr>
              <w:spacing w:before="0" w:after="0"/>
              <w:jc w:val="center"/>
              <w:rPr>
                <w:rFonts w:ascii="Arial" w:hAnsi="Arial" w:cs="Arial"/>
                <w:sz w:val="22"/>
                <w:szCs w:val="22"/>
              </w:rPr>
            </w:pPr>
            <w:r w:rsidRPr="00EE752D">
              <w:rPr>
                <w:rFonts w:ascii="Arial" w:hAnsi="Arial" w:eastAsia="Arial" w:cs="Arial"/>
                <w:sz w:val="22"/>
                <w:szCs w:val="22"/>
              </w:rPr>
              <w:t>1,506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07722C7F" w14:textId="6352B0DA">
            <w:pPr>
              <w:spacing w:before="0" w:after="0"/>
              <w:jc w:val="center"/>
              <w:rPr>
                <w:rFonts w:ascii="Arial" w:hAnsi="Arial" w:cs="Arial"/>
                <w:sz w:val="22"/>
                <w:szCs w:val="22"/>
              </w:rPr>
            </w:pPr>
            <w:r w:rsidRPr="00EE752D">
              <w:rPr>
                <w:rFonts w:ascii="Arial" w:hAnsi="Arial" w:eastAsia="Arial" w:cs="Arial"/>
                <w:sz w:val="22"/>
                <w:szCs w:val="22"/>
              </w:rPr>
              <w:t>890,617</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3095A23" w14:textId="5527B763">
            <w:pPr>
              <w:spacing w:before="0" w:after="0"/>
              <w:jc w:val="center"/>
              <w:rPr>
                <w:rFonts w:ascii="Arial" w:hAnsi="Arial" w:cs="Arial"/>
                <w:sz w:val="22"/>
                <w:szCs w:val="22"/>
              </w:rPr>
            </w:pPr>
            <w:r w:rsidRPr="00EE752D">
              <w:rPr>
                <w:rFonts w:ascii="Arial" w:hAnsi="Arial" w:eastAsia="Arial" w:cs="Arial"/>
                <w:sz w:val="22"/>
                <w:szCs w:val="22"/>
              </w:rPr>
              <w:t>248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748769B8" w14:textId="0EE3BCF3">
            <w:pPr>
              <w:spacing w:before="0" w:after="0"/>
              <w:jc w:val="center"/>
              <w:rPr>
                <w:rFonts w:ascii="Arial" w:hAnsi="Arial" w:cs="Arial"/>
                <w:sz w:val="22"/>
                <w:szCs w:val="22"/>
              </w:rPr>
            </w:pPr>
            <w:r w:rsidRPr="00EE752D">
              <w:rPr>
                <w:rFonts w:ascii="Arial" w:hAnsi="Arial" w:eastAsia="Arial" w:cs="Arial"/>
                <w:sz w:val="22"/>
                <w:szCs w:val="22"/>
              </w:rPr>
              <w:t>10,790,520</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435653F8" w14:textId="75A68D40">
            <w:pPr>
              <w:spacing w:before="0" w:after="0"/>
              <w:jc w:val="center"/>
              <w:rPr>
                <w:rFonts w:ascii="Arial" w:hAnsi="Arial" w:cs="Arial"/>
                <w:sz w:val="22"/>
                <w:szCs w:val="22"/>
              </w:rPr>
            </w:pPr>
            <w:r w:rsidRPr="00EE752D">
              <w:rPr>
                <w:rFonts w:ascii="Arial" w:hAnsi="Arial" w:eastAsia="Arial" w:cs="Arial"/>
                <w:sz w:val="22"/>
                <w:szCs w:val="22"/>
              </w:rPr>
              <w:t>7,529</w:t>
            </w:r>
          </w:p>
        </w:tc>
      </w:tr>
      <w:tr w:rsidRPr="00EE752D" w:rsidR="41839B7F" w:rsidTr="00BB28A8" w14:paraId="0125416A" w14:textId="77777777">
        <w:tc>
          <w:tcPr>
            <w:tcW w:w="224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8F0D2B4" w14:textId="071D907A">
            <w:pPr>
              <w:rPr>
                <w:rFonts w:ascii="Arial" w:hAnsi="Arial" w:cs="Arial"/>
                <w:sz w:val="22"/>
                <w:szCs w:val="22"/>
              </w:rPr>
            </w:pPr>
            <w:r w:rsidRPr="00EE752D">
              <w:rPr>
                <w:rFonts w:ascii="Arial" w:hAnsi="Arial" w:eastAsia="Arial" w:cs="Arial"/>
                <w:sz w:val="22"/>
                <w:szCs w:val="22"/>
              </w:rPr>
              <w:t>Chollas Hydrologic Subarea (908.22)</w:t>
            </w:r>
          </w:p>
        </w:tc>
        <w:tc>
          <w:tcPr>
            <w:tcW w:w="1652"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8B8A20A" w14:textId="787FF41C">
            <w:pPr>
              <w:spacing w:before="0" w:after="0"/>
              <w:jc w:val="center"/>
              <w:rPr>
                <w:rFonts w:ascii="Arial" w:hAnsi="Arial" w:cs="Arial"/>
                <w:sz w:val="22"/>
                <w:szCs w:val="22"/>
              </w:rPr>
            </w:pPr>
            <w:r w:rsidRPr="00EE752D">
              <w:rPr>
                <w:rFonts w:ascii="Arial" w:hAnsi="Arial" w:eastAsia="Arial" w:cs="Arial"/>
                <w:sz w:val="22"/>
                <w:szCs w:val="22"/>
              </w:rPr>
              <w:t>252,479</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5C08EA2" w14:textId="1E40D758">
            <w:pPr>
              <w:spacing w:before="0" w:after="0"/>
              <w:jc w:val="center"/>
              <w:rPr>
                <w:rFonts w:ascii="Arial" w:hAnsi="Arial" w:cs="Arial"/>
                <w:sz w:val="22"/>
                <w:szCs w:val="22"/>
              </w:rPr>
            </w:pPr>
            <w:r w:rsidRPr="00EE752D">
              <w:rPr>
                <w:rFonts w:ascii="Arial" w:hAnsi="Arial" w:eastAsia="Arial" w:cs="Arial"/>
                <w:sz w:val="22"/>
                <w:szCs w:val="22"/>
              </w:rPr>
              <w:t>398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16C12784" w14:textId="1069F3AF">
            <w:pPr>
              <w:spacing w:before="0" w:after="0"/>
              <w:jc w:val="center"/>
              <w:rPr>
                <w:rFonts w:ascii="Arial" w:hAnsi="Arial" w:cs="Arial"/>
                <w:sz w:val="22"/>
                <w:szCs w:val="22"/>
              </w:rPr>
            </w:pPr>
            <w:r w:rsidRPr="00EE752D">
              <w:rPr>
                <w:rFonts w:ascii="Arial" w:hAnsi="Arial" w:eastAsia="Arial" w:cs="Arial"/>
                <w:sz w:val="22"/>
                <w:szCs w:val="22"/>
              </w:rPr>
              <w:t>802,918</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726CAD42" w14:textId="77162BAF">
            <w:pPr>
              <w:spacing w:before="0" w:after="0"/>
              <w:jc w:val="center"/>
              <w:rPr>
                <w:rFonts w:ascii="Arial" w:hAnsi="Arial" w:cs="Arial"/>
                <w:sz w:val="22"/>
                <w:szCs w:val="22"/>
              </w:rPr>
            </w:pPr>
            <w:r w:rsidRPr="00EE752D">
              <w:rPr>
                <w:rFonts w:ascii="Arial" w:hAnsi="Arial" w:eastAsia="Arial" w:cs="Arial"/>
                <w:sz w:val="22"/>
                <w:szCs w:val="22"/>
              </w:rPr>
              <w:t>66</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73C41110" w14:textId="5492D22B">
            <w:pPr>
              <w:spacing w:before="0" w:after="0"/>
              <w:jc w:val="center"/>
              <w:rPr>
                <w:rFonts w:ascii="Arial" w:hAnsi="Arial" w:cs="Arial"/>
                <w:sz w:val="22"/>
                <w:szCs w:val="22"/>
              </w:rPr>
            </w:pPr>
            <w:r w:rsidRPr="00EE752D">
              <w:rPr>
                <w:rFonts w:ascii="Arial" w:hAnsi="Arial" w:eastAsia="Arial" w:cs="Arial"/>
                <w:sz w:val="22"/>
                <w:szCs w:val="22"/>
              </w:rPr>
              <w:t>9,880,784</w:t>
            </w:r>
          </w:p>
        </w:tc>
        <w:tc>
          <w:tcPr>
            <w:tcW w:w="1805"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EE752D" w:rsidR="41839B7F" w:rsidP="41839B7F" w:rsidRDefault="41839B7F" w14:paraId="51270DE8" w14:textId="5D74D1D6">
            <w:pPr>
              <w:spacing w:before="0" w:after="0"/>
              <w:jc w:val="center"/>
              <w:rPr>
                <w:rFonts w:ascii="Arial" w:hAnsi="Arial" w:cs="Arial"/>
                <w:sz w:val="22"/>
                <w:szCs w:val="22"/>
              </w:rPr>
            </w:pPr>
            <w:r w:rsidRPr="00EE752D">
              <w:rPr>
                <w:rFonts w:ascii="Arial" w:hAnsi="Arial" w:eastAsia="Arial" w:cs="Arial"/>
                <w:sz w:val="22"/>
                <w:szCs w:val="22"/>
              </w:rPr>
              <w:t>1,991</w:t>
            </w:r>
          </w:p>
        </w:tc>
      </w:tr>
    </w:tbl>
    <w:p w:rsidR="002466E6" w:rsidP="00BB28A8" w:rsidRDefault="006251B8" w14:paraId="456BFA1D" w14:textId="29EDF517">
      <w:pPr>
        <w:pStyle w:val="TableHead"/>
        <w:keepNext/>
        <w:keepLines/>
      </w:pPr>
      <w:r w:rsidRPr="41839B7F">
        <w:t xml:space="preserve">Twenty Beaches and Creeks </w:t>
      </w:r>
      <w:r w:rsidRPr="41839B7F" w:rsidR="72E94BD3">
        <w:t>Prioritized List of Impaired Beaches and Creeks for Waste</w:t>
      </w:r>
      <w:r w:rsidR="008B3CAE">
        <w:t>l</w:t>
      </w:r>
      <w:r w:rsidRPr="41839B7F" w:rsidR="72E94BD3">
        <w:t>oad Allocation Implementation</w:t>
      </w:r>
    </w:p>
    <w:tbl>
      <w:tblPr>
        <w:tblStyle w:val="TableGrid"/>
        <w:tblW w:w="13349" w:type="dxa"/>
        <w:tblInd w:w="-39" w:type="dxa"/>
        <w:tblLayout w:type="fixed"/>
        <w:tblLook w:val="0620" w:firstRow="1" w:lastRow="0" w:firstColumn="0" w:lastColumn="0" w:noHBand="1" w:noVBand="1"/>
      </w:tblPr>
      <w:tblGrid>
        <w:gridCol w:w="890"/>
        <w:gridCol w:w="4359"/>
        <w:gridCol w:w="4410"/>
        <w:gridCol w:w="3690"/>
      </w:tblGrid>
      <w:tr w:rsidRPr="00C832A0" w:rsidR="41839B7F" w:rsidTr="00D26A13" w14:paraId="16DC76B7" w14:textId="77777777">
        <w:trPr>
          <w:trHeight w:val="645"/>
          <w:tblHeader/>
        </w:trPr>
        <w:tc>
          <w:tcPr>
            <w:tcW w:w="890"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C832A0" w:rsidR="41839B7F" w:rsidP="00C67448" w:rsidRDefault="41839B7F" w14:paraId="0D6998DB" w14:textId="2FBE6455">
            <w:pPr>
              <w:keepNext/>
              <w:keepLines/>
              <w:spacing w:before="40" w:after="40" w:line="240" w:lineRule="auto"/>
              <w:jc w:val="center"/>
              <w:rPr>
                <w:rFonts w:ascii="Arial" w:hAnsi="Arial" w:cs="Arial"/>
                <w:sz w:val="22"/>
                <w:szCs w:val="22"/>
              </w:rPr>
            </w:pPr>
            <w:r w:rsidRPr="00C832A0">
              <w:rPr>
                <w:rFonts w:ascii="Arial" w:hAnsi="Arial" w:eastAsia="Arial" w:cs="Arial"/>
                <w:b/>
                <w:bCs/>
                <w:color w:val="000000" w:themeColor="text1"/>
                <w:sz w:val="22"/>
                <w:szCs w:val="22"/>
              </w:rPr>
              <w:t>Priority</w:t>
            </w:r>
          </w:p>
        </w:tc>
        <w:tc>
          <w:tcPr>
            <w:tcW w:w="4359"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C832A0" w:rsidR="41839B7F" w:rsidP="00C67448" w:rsidRDefault="41839B7F" w14:paraId="497D6A0E" w14:textId="6C31EC15">
            <w:pPr>
              <w:keepNext/>
              <w:keepLines/>
              <w:spacing w:before="40" w:after="40" w:line="240" w:lineRule="auto"/>
              <w:jc w:val="center"/>
              <w:rPr>
                <w:rFonts w:ascii="Arial" w:hAnsi="Arial" w:cs="Arial"/>
                <w:sz w:val="22"/>
                <w:szCs w:val="22"/>
              </w:rPr>
            </w:pPr>
            <w:r w:rsidRPr="00C832A0">
              <w:rPr>
                <w:rFonts w:ascii="Arial" w:hAnsi="Arial" w:eastAsia="Arial" w:cs="Arial"/>
                <w:b/>
                <w:bCs/>
                <w:color w:val="000000" w:themeColor="text1"/>
                <w:sz w:val="22"/>
                <w:szCs w:val="22"/>
              </w:rPr>
              <w:t>Watershed</w:t>
            </w:r>
          </w:p>
        </w:tc>
        <w:tc>
          <w:tcPr>
            <w:tcW w:w="4410"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C832A0" w:rsidR="41839B7F" w:rsidP="00C67448" w:rsidRDefault="41839B7F" w14:paraId="5B69A92C" w14:textId="02AC8076">
            <w:pPr>
              <w:keepNext/>
              <w:keepLines/>
              <w:spacing w:before="40" w:after="40" w:line="240" w:lineRule="auto"/>
              <w:jc w:val="center"/>
              <w:rPr>
                <w:rFonts w:ascii="Arial" w:hAnsi="Arial" w:cs="Arial"/>
                <w:sz w:val="22"/>
                <w:szCs w:val="22"/>
              </w:rPr>
            </w:pPr>
            <w:r w:rsidRPr="00C832A0">
              <w:rPr>
                <w:rFonts w:ascii="Arial" w:hAnsi="Arial" w:eastAsia="Arial" w:cs="Arial"/>
                <w:b/>
                <w:bCs/>
                <w:color w:val="000000" w:themeColor="text1"/>
                <w:sz w:val="22"/>
                <w:szCs w:val="22"/>
              </w:rPr>
              <w:t>Waterbody</w:t>
            </w:r>
          </w:p>
        </w:tc>
        <w:tc>
          <w:tcPr>
            <w:tcW w:w="3690" w:type="dxa"/>
            <w:tcBorders>
              <w:top w:val="single" w:color="auto" w:sz="8" w:space="0"/>
              <w:left w:val="single" w:color="auto" w:sz="8" w:space="0"/>
              <w:bottom w:val="single" w:color="auto" w:sz="8" w:space="0"/>
              <w:right w:val="single" w:color="auto" w:sz="8" w:space="0"/>
            </w:tcBorders>
            <w:shd w:val="clear" w:color="auto" w:fill="C5E0B3"/>
            <w:tcMar>
              <w:top w:w="14" w:type="dxa"/>
              <w:left w:w="29" w:type="dxa"/>
              <w:bottom w:w="14" w:type="dxa"/>
              <w:right w:w="29" w:type="dxa"/>
            </w:tcMar>
            <w:vAlign w:val="center"/>
          </w:tcPr>
          <w:p w:rsidRPr="00C832A0" w:rsidR="41839B7F" w:rsidP="00C67448" w:rsidRDefault="41839B7F" w14:paraId="365277BE" w14:textId="2F7651C9">
            <w:pPr>
              <w:keepNext/>
              <w:keepLines/>
              <w:spacing w:before="40" w:after="40" w:line="240" w:lineRule="auto"/>
              <w:jc w:val="center"/>
              <w:rPr>
                <w:rFonts w:ascii="Arial" w:hAnsi="Arial" w:cs="Arial"/>
                <w:sz w:val="22"/>
                <w:szCs w:val="22"/>
              </w:rPr>
            </w:pPr>
            <w:r w:rsidRPr="00C832A0">
              <w:rPr>
                <w:rFonts w:ascii="Arial" w:hAnsi="Arial" w:eastAsia="Arial" w:cs="Arial"/>
                <w:b/>
                <w:bCs/>
                <w:color w:val="000000" w:themeColor="text1"/>
                <w:sz w:val="22"/>
                <w:szCs w:val="22"/>
              </w:rPr>
              <w:t>Segment or Area</w:t>
            </w:r>
          </w:p>
        </w:tc>
      </w:tr>
      <w:tr w:rsidRPr="00C832A0" w:rsidR="41839B7F" w:rsidTr="00D26A13" w14:paraId="515C74DA"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3C63A93F" w14:textId="5DDD1C56">
            <w:pPr>
              <w:keepNext/>
              <w:keepLines/>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B755271" w14:textId="50CA985A">
            <w:pPr>
              <w:keepNext/>
              <w:keepLines/>
              <w:spacing w:before="40" w:after="40" w:line="240" w:lineRule="auto"/>
              <w:ind w:left="103"/>
              <w:rPr>
                <w:rFonts w:ascii="Arial" w:hAnsi="Arial" w:cs="Arial"/>
                <w:sz w:val="22"/>
                <w:szCs w:val="22"/>
              </w:rPr>
            </w:pPr>
            <w:r w:rsidRPr="00C832A0">
              <w:rPr>
                <w:rFonts w:ascii="Arial" w:hAnsi="Arial" w:eastAsia="Arial" w:cs="Arial"/>
                <w:sz w:val="22"/>
                <w:szCs w:val="22"/>
              </w:rPr>
              <w:t>San Joaquin Hills /Laguna Beach Hydrologic Subareas (901.11 and 901.12)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E4CE751" w14:textId="72095EA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F607C25" w14:textId="756778B2">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Cameo Cove at Irvine Cove Dr. – Riviera Way</w:t>
            </w:r>
          </w:p>
        </w:tc>
      </w:tr>
      <w:tr w:rsidRPr="00C832A0" w:rsidR="41839B7F" w:rsidTr="00D26A13" w14:paraId="5928C63D"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4873EB3" w14:textId="115CFE88">
            <w:pPr>
              <w:keepNext/>
              <w:keepLines/>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AFB5AB6" w14:textId="133D3CFE">
            <w:pPr>
              <w:keepNext/>
              <w:keepLines/>
              <w:spacing w:before="40" w:after="40" w:line="240" w:lineRule="auto"/>
              <w:ind w:left="103"/>
              <w:rPr>
                <w:rFonts w:ascii="Arial" w:hAnsi="Arial" w:cs="Arial"/>
                <w:sz w:val="22"/>
                <w:szCs w:val="22"/>
              </w:rPr>
            </w:pPr>
            <w:r w:rsidRPr="00C832A0">
              <w:rPr>
                <w:rFonts w:ascii="Arial" w:hAnsi="Arial" w:eastAsia="Arial" w:cs="Arial"/>
                <w:sz w:val="22"/>
                <w:szCs w:val="22"/>
              </w:rPr>
              <w:t>San Joaquin Hills /Laguna Beach Hydrologic Subareas (901.11 and 901.12)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13F3693" w14:textId="19C6F77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7D68F8B6" w14:textId="4F6A31DE">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Heisler Park – North</w:t>
            </w:r>
          </w:p>
        </w:tc>
      </w:tr>
      <w:tr w:rsidRPr="00C832A0" w:rsidR="41839B7F" w:rsidTr="00D26A13" w14:paraId="65944BDB"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7B67FBB3" w14:textId="2F687722">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A24CADD" w14:textId="45C63D4C">
            <w:pPr>
              <w:spacing w:before="40" w:after="40" w:line="240" w:lineRule="auto"/>
              <w:ind w:left="103"/>
              <w:rPr>
                <w:rFonts w:ascii="Arial" w:hAnsi="Arial" w:cs="Arial"/>
                <w:sz w:val="22"/>
                <w:szCs w:val="22"/>
              </w:rPr>
            </w:pPr>
            <w:r w:rsidRPr="00C832A0">
              <w:rPr>
                <w:rFonts w:ascii="Arial" w:hAnsi="Arial" w:eastAsia="Arial" w:cs="Arial"/>
                <w:sz w:val="22"/>
                <w:szCs w:val="22"/>
              </w:rPr>
              <w:t>San Joaquin Hills /Laguna Beach Hydrologic Subareas (901.11 and 901.12)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DFE3AA9" w14:textId="4408319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0C58E80" w14:textId="500BCCA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Main Laguna Beach</w:t>
            </w:r>
          </w:p>
        </w:tc>
      </w:tr>
      <w:tr w:rsidRPr="00C832A0" w:rsidR="41839B7F" w:rsidTr="00D26A13" w14:paraId="2CF30821"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0DC0B23E" w14:textId="68B33F4D">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3349C8A" w14:textId="7CF51529">
            <w:pPr>
              <w:spacing w:before="40" w:after="40" w:line="240" w:lineRule="auto"/>
              <w:ind w:left="103"/>
              <w:rPr>
                <w:rFonts w:ascii="Arial" w:hAnsi="Arial" w:cs="Arial"/>
                <w:sz w:val="22"/>
                <w:szCs w:val="22"/>
              </w:rPr>
            </w:pPr>
            <w:r w:rsidRPr="00C832A0">
              <w:rPr>
                <w:rFonts w:ascii="Arial" w:hAnsi="Arial" w:eastAsia="Arial" w:cs="Arial"/>
                <w:sz w:val="22"/>
                <w:szCs w:val="22"/>
              </w:rPr>
              <w:t>San Joaquin Hills /Laguna Beach Hydrologic Subareas (901.11 and 901.12)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046B84F" w14:textId="686466A4">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EE6988A" w14:textId="4FD6F0B4">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Laguna Beach at Ocean Avenue</w:t>
            </w:r>
          </w:p>
        </w:tc>
      </w:tr>
      <w:tr w:rsidRPr="00C832A0" w:rsidR="41839B7F" w:rsidTr="00D26A13" w14:paraId="58785022"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571156CE" w14:textId="2EFBD924">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23D2CF3C" w14:textId="43E383D7">
            <w:pPr>
              <w:spacing w:before="40" w:after="40" w:line="240" w:lineRule="auto"/>
              <w:ind w:left="103"/>
              <w:rPr>
                <w:rFonts w:ascii="Arial" w:hAnsi="Arial" w:cs="Arial"/>
                <w:sz w:val="22"/>
                <w:szCs w:val="22"/>
              </w:rPr>
            </w:pPr>
            <w:r w:rsidRPr="00C832A0">
              <w:rPr>
                <w:rFonts w:ascii="Arial" w:hAnsi="Arial" w:eastAsia="Arial" w:cs="Arial"/>
                <w:sz w:val="22"/>
                <w:szCs w:val="22"/>
              </w:rPr>
              <w:t>San Joaquin Hills /Laguna Beach Hydrologic Subareas (901.11 and 901.12)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8EF8F0F" w14:textId="3AEEEF0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9A0F26C" w14:textId="41C498A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Laguna Beach at Laguna Avenue</w:t>
            </w:r>
          </w:p>
        </w:tc>
      </w:tr>
      <w:tr w:rsidRPr="00C832A0" w:rsidR="41839B7F" w:rsidTr="00D26A13" w14:paraId="0F8510F6"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08DA0B48" w14:textId="6BC3AAB6">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6283A7EA" w14:textId="1F8C8DFB">
            <w:pPr>
              <w:spacing w:before="40" w:after="40" w:line="240" w:lineRule="auto"/>
              <w:ind w:left="103"/>
              <w:rPr>
                <w:rFonts w:ascii="Arial" w:hAnsi="Arial" w:cs="Arial"/>
                <w:sz w:val="22"/>
                <w:szCs w:val="22"/>
              </w:rPr>
            </w:pPr>
            <w:r w:rsidRPr="00C832A0">
              <w:rPr>
                <w:rFonts w:ascii="Arial" w:hAnsi="Arial" w:eastAsia="Arial" w:cs="Arial"/>
                <w:sz w:val="22"/>
                <w:szCs w:val="22"/>
              </w:rPr>
              <w:t>San Joaquin Hills /Laguna Beach Hydrologic Subareas (901.11 and 901.12)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153BD3F" w14:textId="65510D40">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623CC1E" w14:textId="7D4CEB0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Laguna Beach at Cleo Street</w:t>
            </w:r>
          </w:p>
        </w:tc>
      </w:tr>
      <w:tr w:rsidRPr="00C832A0" w:rsidR="41839B7F" w:rsidTr="00D26A13" w14:paraId="019246AD"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5F7EDCB0" w14:textId="2F2063B7">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7B3E80C0" w14:textId="751C0C33">
            <w:pPr>
              <w:spacing w:before="40" w:after="40" w:line="240" w:lineRule="auto"/>
              <w:ind w:left="103"/>
              <w:rPr>
                <w:rFonts w:ascii="Arial" w:hAnsi="Arial" w:cs="Arial"/>
                <w:sz w:val="22"/>
                <w:szCs w:val="22"/>
              </w:rPr>
            </w:pPr>
            <w:r w:rsidRPr="00C832A0">
              <w:rPr>
                <w:rFonts w:ascii="Arial" w:hAnsi="Arial" w:eastAsia="Arial" w:cs="Arial"/>
                <w:sz w:val="22"/>
                <w:szCs w:val="22"/>
              </w:rPr>
              <w:t>San Joaquin Hills /Laguna Beach Hydrologic Subareas (901.11 and 901.12)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719B78D" w14:textId="47E8EA34">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5980F77" w14:textId="768E588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Arch Cove at Bluebird Canyon Road</w:t>
            </w:r>
          </w:p>
        </w:tc>
      </w:tr>
      <w:tr w:rsidRPr="00C832A0" w:rsidR="41839B7F" w:rsidTr="00D26A13" w14:paraId="7CD052E5"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647AFCF8" w14:textId="03DBC0EC">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6E730054" w14:textId="7C258220">
            <w:pPr>
              <w:spacing w:before="40" w:after="40" w:line="240" w:lineRule="auto"/>
              <w:ind w:left="103"/>
              <w:rPr>
                <w:rFonts w:ascii="Arial" w:hAnsi="Arial" w:cs="Arial"/>
                <w:sz w:val="22"/>
                <w:szCs w:val="22"/>
              </w:rPr>
            </w:pPr>
            <w:r w:rsidRPr="00C832A0">
              <w:rPr>
                <w:rFonts w:ascii="Arial" w:hAnsi="Arial" w:eastAsia="Arial" w:cs="Arial"/>
                <w:sz w:val="22"/>
                <w:szCs w:val="22"/>
              </w:rPr>
              <w:t>San Joaquin Hills /Laguna Beach Hydrologic Subareas (901.11 and 901.12)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7102B64D" w14:textId="24C309B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24F618E" w14:textId="21E425E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Laguna Beach at Dumond Drive</w:t>
            </w:r>
          </w:p>
        </w:tc>
      </w:tr>
      <w:tr w:rsidRPr="00C832A0" w:rsidR="41839B7F" w:rsidTr="00D26A13" w14:paraId="5E107346"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030796B2" w14:textId="2F631985">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6A49E20B" w14:textId="1FEC36B5">
            <w:pPr>
              <w:spacing w:before="40" w:after="40" w:line="240" w:lineRule="auto"/>
              <w:ind w:left="103"/>
              <w:rPr>
                <w:rFonts w:ascii="Arial" w:hAnsi="Arial" w:cs="Arial"/>
                <w:sz w:val="22"/>
                <w:szCs w:val="22"/>
              </w:rPr>
            </w:pPr>
            <w:r w:rsidRPr="00C832A0">
              <w:rPr>
                <w:rFonts w:ascii="Arial" w:hAnsi="Arial" w:eastAsia="Arial" w:cs="Arial"/>
                <w:sz w:val="22"/>
                <w:szCs w:val="22"/>
              </w:rPr>
              <w:t>Aliso (Hydrologic Subarea 901.13)</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6820C96" w14:textId="65FE67E7">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5E8B3A6" w14:textId="2C21D9A4">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Laguna Beach at Lagunita Place/Blue Lagoon Place at Aliso Beach</w:t>
            </w:r>
          </w:p>
        </w:tc>
      </w:tr>
      <w:tr w:rsidRPr="00C832A0" w:rsidR="41839B7F" w:rsidTr="00D26A13" w14:paraId="6883D194"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4ABBAC0A" w14:textId="586898F0">
            <w:pPr>
              <w:spacing w:before="40" w:after="40" w:line="240" w:lineRule="auto"/>
              <w:jc w:val="center"/>
              <w:rPr>
                <w:rFonts w:ascii="Arial" w:hAnsi="Arial" w:cs="Arial"/>
                <w:sz w:val="22"/>
                <w:szCs w:val="22"/>
              </w:rPr>
            </w:pPr>
            <w:r w:rsidRPr="00C832A0">
              <w:rPr>
                <w:rFonts w:ascii="Arial" w:hAnsi="Arial" w:eastAsia="Arial" w:cs="Arial"/>
                <w:sz w:val="22"/>
                <w:szCs w:val="22"/>
              </w:rPr>
              <w:t>3</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C4DE4F9" w14:textId="15C69755">
            <w:pPr>
              <w:spacing w:before="40" w:after="40" w:line="240" w:lineRule="auto"/>
              <w:ind w:left="103"/>
              <w:rPr>
                <w:rFonts w:ascii="Arial" w:hAnsi="Arial" w:cs="Arial"/>
                <w:sz w:val="22"/>
                <w:szCs w:val="22"/>
              </w:rPr>
            </w:pPr>
            <w:r w:rsidRPr="00C832A0">
              <w:rPr>
                <w:rFonts w:ascii="Arial" w:hAnsi="Arial" w:eastAsia="Arial" w:cs="Arial"/>
                <w:sz w:val="22"/>
                <w:szCs w:val="22"/>
              </w:rPr>
              <w:t>Aliso (Hydrologic Subarea 901.13)</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284FB1E" w14:textId="1E15F59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Aliso Creek</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1191FBE" w14:textId="2F5657C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The entire reach (7.2 miles) and associated tributaries Aliso Hills Channel, English Canyon Creek, Dairy Fork Creek, Sulphur Creek, and Wood Canyon Creek</w:t>
            </w:r>
          </w:p>
        </w:tc>
      </w:tr>
      <w:tr w:rsidRPr="00C832A0" w:rsidR="41839B7F" w:rsidTr="00D26A13" w14:paraId="2C2E9B36"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5E87E9C0" w14:textId="5FE1C378">
            <w:pPr>
              <w:spacing w:before="40" w:after="40" w:line="240" w:lineRule="auto"/>
              <w:jc w:val="center"/>
              <w:rPr>
                <w:rFonts w:ascii="Arial" w:hAnsi="Arial" w:cs="Arial"/>
                <w:sz w:val="22"/>
                <w:szCs w:val="22"/>
              </w:rPr>
            </w:pPr>
            <w:r w:rsidRPr="00C832A0">
              <w:rPr>
                <w:rFonts w:ascii="Arial" w:hAnsi="Arial" w:eastAsia="Arial" w:cs="Arial"/>
                <w:sz w:val="22"/>
                <w:szCs w:val="22"/>
              </w:rPr>
              <w:t>3</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2C4CF159" w14:textId="0EB5C41D">
            <w:pPr>
              <w:spacing w:before="40" w:after="40" w:line="240" w:lineRule="auto"/>
              <w:ind w:left="103"/>
              <w:rPr>
                <w:rFonts w:ascii="Arial" w:hAnsi="Arial" w:cs="Arial"/>
                <w:sz w:val="22"/>
                <w:szCs w:val="22"/>
              </w:rPr>
            </w:pPr>
            <w:r w:rsidRPr="00C832A0">
              <w:rPr>
                <w:rFonts w:ascii="Arial" w:hAnsi="Arial" w:eastAsia="Arial" w:cs="Arial"/>
                <w:sz w:val="22"/>
                <w:szCs w:val="22"/>
              </w:rPr>
              <w:t>Aliso (Hydrologic Subarea 901.13)</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4E0EFF6" w14:textId="05E28FA9">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Aliso Creek (mouth)</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D3AF9B3" w14:textId="4791EFF7">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creek mouth</w:t>
            </w:r>
          </w:p>
        </w:tc>
      </w:tr>
      <w:tr w:rsidRPr="00C832A0" w:rsidR="41839B7F" w:rsidTr="00D26A13" w14:paraId="7BDA077E"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660F42B" w14:textId="1DEB4EFE">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161AD9A5" w14:textId="3BBB050A">
            <w:pPr>
              <w:spacing w:before="40" w:after="40" w:line="240" w:lineRule="auto"/>
              <w:ind w:left="103"/>
              <w:rPr>
                <w:rFonts w:ascii="Arial" w:hAnsi="Arial" w:cs="Arial"/>
                <w:sz w:val="22"/>
                <w:szCs w:val="22"/>
              </w:rPr>
            </w:pPr>
            <w:r w:rsidRPr="00C832A0">
              <w:rPr>
                <w:rFonts w:ascii="Arial" w:hAnsi="Arial" w:eastAsia="Arial" w:cs="Arial"/>
                <w:sz w:val="22"/>
                <w:szCs w:val="22"/>
              </w:rPr>
              <w:t>Dana Point Hydrologic Subarea (901.14)</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BC33A51" w14:textId="234DCC8A">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B69C8F4" w14:textId="1D1B44D7">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Aliso Beach at West Street</w:t>
            </w:r>
          </w:p>
        </w:tc>
      </w:tr>
      <w:tr w:rsidRPr="00C832A0" w:rsidR="41839B7F" w:rsidTr="00D26A13" w14:paraId="0BBBF1B9"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01447938" w14:textId="6ADC50B2">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3EB75FA" w14:textId="182BB3EA">
            <w:pPr>
              <w:spacing w:before="40" w:after="40" w:line="240" w:lineRule="auto"/>
              <w:ind w:left="103"/>
              <w:rPr>
                <w:rFonts w:ascii="Arial" w:hAnsi="Arial" w:cs="Arial"/>
                <w:sz w:val="22"/>
                <w:szCs w:val="22"/>
              </w:rPr>
            </w:pPr>
            <w:r w:rsidRPr="00C832A0">
              <w:rPr>
                <w:rFonts w:ascii="Arial" w:hAnsi="Arial" w:eastAsia="Arial" w:cs="Arial"/>
                <w:sz w:val="22"/>
                <w:szCs w:val="22"/>
              </w:rPr>
              <w:t>Dana Point Hydrologic Subarea (901.14)</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9AA66F2" w14:textId="2A07C75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49E2C6B" w14:textId="509497BD">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Aliso Beach at Table Rock Drive</w:t>
            </w:r>
          </w:p>
        </w:tc>
      </w:tr>
      <w:tr w:rsidRPr="00C832A0" w:rsidR="41839B7F" w:rsidTr="00D26A13" w14:paraId="546B8448"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715E09D6" w14:textId="3B1BD35F">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0CC7D93" w14:textId="12FE68A0">
            <w:pPr>
              <w:spacing w:before="40" w:after="40" w:line="240" w:lineRule="auto"/>
              <w:ind w:left="103"/>
              <w:rPr>
                <w:rFonts w:ascii="Arial" w:hAnsi="Arial" w:cs="Arial"/>
                <w:sz w:val="22"/>
                <w:szCs w:val="22"/>
              </w:rPr>
            </w:pPr>
            <w:r w:rsidRPr="00C832A0">
              <w:rPr>
                <w:rFonts w:ascii="Arial" w:hAnsi="Arial" w:eastAsia="Arial" w:cs="Arial"/>
                <w:sz w:val="22"/>
                <w:szCs w:val="22"/>
              </w:rPr>
              <w:t>Dana Point Hydrologic Subarea (901.14)</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C2E9B3F" w14:textId="1A77ADBF">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D050E82" w14:textId="0AEA35C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1000 Steps Beach at Pacific Coast Hwy at Hospital (9th Avenue)</w:t>
            </w:r>
          </w:p>
        </w:tc>
      </w:tr>
      <w:tr w:rsidRPr="00C832A0" w:rsidR="41839B7F" w:rsidTr="00D26A13" w14:paraId="7FD52540"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7C158A4" w14:textId="01BF1E3C">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036E8196" w14:textId="1D7EE703">
            <w:pPr>
              <w:spacing w:before="40" w:after="40" w:line="240" w:lineRule="auto"/>
              <w:ind w:left="103"/>
              <w:rPr>
                <w:rFonts w:ascii="Arial" w:hAnsi="Arial" w:cs="Arial"/>
                <w:sz w:val="22"/>
                <w:szCs w:val="22"/>
              </w:rPr>
            </w:pPr>
            <w:r w:rsidRPr="00C832A0">
              <w:rPr>
                <w:rFonts w:ascii="Arial" w:hAnsi="Arial" w:eastAsia="Arial" w:cs="Arial"/>
                <w:sz w:val="22"/>
                <w:szCs w:val="22"/>
              </w:rPr>
              <w:t>Dana Point Hydrologic Subarea (901.14)</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81C369C" w14:textId="031915BC">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5C5B08E" w14:textId="28656E30">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 xml:space="preserve">1000 Steps Beach at Pacific Coast Hwy at Salt Creek (large outlet) </w:t>
            </w:r>
          </w:p>
        </w:tc>
      </w:tr>
      <w:tr w:rsidRPr="00C832A0" w:rsidR="41839B7F" w:rsidTr="00D26A13" w14:paraId="752357BD"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5F9319C7" w14:textId="3935BC6E">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4C96492" w14:textId="61095954">
            <w:pPr>
              <w:spacing w:before="40" w:after="40" w:line="240" w:lineRule="auto"/>
              <w:ind w:left="103"/>
              <w:rPr>
                <w:rFonts w:ascii="Arial" w:hAnsi="Arial" w:cs="Arial"/>
                <w:sz w:val="22"/>
                <w:szCs w:val="22"/>
              </w:rPr>
            </w:pPr>
            <w:r w:rsidRPr="00C832A0">
              <w:rPr>
                <w:rFonts w:ascii="Arial" w:hAnsi="Arial" w:eastAsia="Arial" w:cs="Arial"/>
                <w:sz w:val="22"/>
                <w:szCs w:val="22"/>
              </w:rPr>
              <w:t>Dana Point Hydrologic Subarea (901.14)</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82A004B" w14:textId="4E5384C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2E0B5FC" w14:textId="00AB648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Salt Creek Beach at Salt Creek service road</w:t>
            </w:r>
          </w:p>
        </w:tc>
      </w:tr>
      <w:tr w:rsidRPr="00C832A0" w:rsidR="41839B7F" w:rsidTr="00D26A13" w14:paraId="48DE0784"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F0EADE1" w14:textId="1188A120">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3442DAA" w14:textId="725E44FF">
            <w:pPr>
              <w:spacing w:before="40" w:after="40" w:line="240" w:lineRule="auto"/>
              <w:ind w:left="103"/>
              <w:rPr>
                <w:rFonts w:ascii="Arial" w:hAnsi="Arial" w:cs="Arial"/>
                <w:sz w:val="22"/>
                <w:szCs w:val="22"/>
              </w:rPr>
            </w:pPr>
            <w:r w:rsidRPr="00C832A0">
              <w:rPr>
                <w:rFonts w:ascii="Arial" w:hAnsi="Arial" w:eastAsia="Arial" w:cs="Arial"/>
                <w:sz w:val="22"/>
                <w:szCs w:val="22"/>
              </w:rPr>
              <w:t>Dana Point Hydrologic Subarea (901.14)</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310650A" w14:textId="7F1F304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133E4D9" w14:textId="45677404">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Salt Creek Beach at Dana Strand Road</w:t>
            </w:r>
          </w:p>
        </w:tc>
      </w:tr>
      <w:tr w:rsidRPr="00C832A0" w:rsidR="41839B7F" w:rsidTr="00D26A13" w14:paraId="25702831"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58E31C3D" w14:textId="3E8173A5">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2E6B2251" w14:textId="2795684B">
            <w:pPr>
              <w:spacing w:before="40" w:after="40" w:line="240" w:lineRule="auto"/>
              <w:ind w:left="103"/>
              <w:rPr>
                <w:rFonts w:ascii="Arial" w:hAnsi="Arial" w:cs="Arial"/>
                <w:sz w:val="22"/>
                <w:szCs w:val="22"/>
              </w:rPr>
            </w:pPr>
            <w:r w:rsidRPr="00C832A0">
              <w:rPr>
                <w:rFonts w:ascii="Arial" w:hAnsi="Arial" w:eastAsia="Arial" w:cs="Arial"/>
                <w:sz w:val="22"/>
                <w:szCs w:val="22"/>
              </w:rPr>
              <w:t>Lower San Juan Hydrologic Subarea (901.27)</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B9D8BA6" w14:textId="0792AE49">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8BB3BD2" w14:textId="47E50F42">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San Juan Creek</w:t>
            </w:r>
          </w:p>
        </w:tc>
      </w:tr>
      <w:tr w:rsidRPr="00C832A0" w:rsidR="41839B7F" w:rsidTr="00D26A13" w14:paraId="45995050"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125F33D" w14:textId="5EBEC9B6">
            <w:pPr>
              <w:spacing w:before="40" w:after="40" w:line="240" w:lineRule="auto"/>
              <w:jc w:val="center"/>
              <w:rPr>
                <w:rFonts w:ascii="Arial" w:hAnsi="Arial" w:cs="Arial"/>
                <w:sz w:val="22"/>
                <w:szCs w:val="22"/>
              </w:rPr>
            </w:pPr>
            <w:r w:rsidRPr="00C832A0">
              <w:rPr>
                <w:rFonts w:ascii="Arial" w:hAnsi="Arial" w:eastAsia="Arial" w:cs="Arial"/>
                <w:sz w:val="22"/>
                <w:szCs w:val="22"/>
              </w:rPr>
              <w:t>3</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7097E992" w14:textId="53A9CE91">
            <w:pPr>
              <w:spacing w:before="40" w:after="40" w:line="240" w:lineRule="auto"/>
              <w:ind w:left="103"/>
              <w:rPr>
                <w:rFonts w:ascii="Arial" w:hAnsi="Arial" w:cs="Arial"/>
                <w:sz w:val="22"/>
                <w:szCs w:val="22"/>
              </w:rPr>
            </w:pPr>
            <w:r w:rsidRPr="00C832A0">
              <w:rPr>
                <w:rFonts w:ascii="Arial" w:hAnsi="Arial" w:eastAsia="Arial" w:cs="Arial"/>
                <w:sz w:val="22"/>
                <w:szCs w:val="22"/>
              </w:rPr>
              <w:t>Lower San Juan Hydrologic Subarea (901.27)</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7235433" w14:textId="18FAE48F">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Juan Creek</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6470BCF" w14:textId="3AD5747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Lower 1 mile</w:t>
            </w:r>
          </w:p>
        </w:tc>
      </w:tr>
      <w:tr w:rsidRPr="00C832A0" w:rsidR="41839B7F" w:rsidTr="00D26A13" w14:paraId="1EBF0CFD"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ACC908A" w14:textId="14F08C67">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5D8A7BE" w14:textId="786DD49A">
            <w:pPr>
              <w:spacing w:before="40" w:after="40" w:line="240" w:lineRule="auto"/>
              <w:ind w:left="103"/>
              <w:rPr>
                <w:rFonts w:ascii="Arial" w:hAnsi="Arial" w:cs="Arial"/>
                <w:sz w:val="22"/>
                <w:szCs w:val="22"/>
              </w:rPr>
            </w:pPr>
            <w:r w:rsidRPr="00C832A0">
              <w:rPr>
                <w:rFonts w:ascii="Arial" w:hAnsi="Arial" w:eastAsia="Arial" w:cs="Arial"/>
                <w:sz w:val="22"/>
                <w:szCs w:val="22"/>
              </w:rPr>
              <w:t>Lower San Juan Hydrologic Subarea (901.27)</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3067AF8" w14:textId="268A467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Juan Creek (mouth)</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8B03F85" w14:textId="7C77DD3F">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creek mouth</w:t>
            </w:r>
          </w:p>
        </w:tc>
      </w:tr>
      <w:tr w:rsidRPr="00C832A0" w:rsidR="41839B7F" w:rsidTr="00D26A13" w14:paraId="63D9D372"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4B5F07B2" w14:textId="37E999BF">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103823A6" w14:textId="71A63F04">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A2EB0E3" w14:textId="45352B3D">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555850D" w14:textId="437ED36A">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Poche Beach (large outlet)</w:t>
            </w:r>
          </w:p>
        </w:tc>
      </w:tr>
      <w:tr w:rsidRPr="00C832A0" w:rsidR="41839B7F" w:rsidTr="00D26A13" w14:paraId="5B6E944C"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2D3F8DE" w14:textId="54845639">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AB5661B" w14:textId="1C40BFD9">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3C16104" w14:textId="2BE88F4D">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1937070" w14:textId="03A7DA67">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Ole Hanson Beach Club Beach at Pico Drain</w:t>
            </w:r>
          </w:p>
        </w:tc>
      </w:tr>
      <w:tr w:rsidRPr="00C832A0" w:rsidR="41839B7F" w:rsidTr="00D26A13" w14:paraId="46BB02FC"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3DEE8B01" w14:textId="4BA3CCE4">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7475844F" w14:textId="3EF54312">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0A95C78" w14:textId="5EAE1A37">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C44ED59" w14:textId="3C0606DC">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Clemente City Beach at Linda Lane</w:t>
            </w:r>
          </w:p>
        </w:tc>
      </w:tr>
      <w:tr w:rsidRPr="00C832A0" w:rsidR="41839B7F" w:rsidTr="00D26A13" w14:paraId="09D4A628"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2CF397E5" w14:textId="421941F8">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20B3F813" w14:textId="340B7F9B">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8D88227" w14:textId="59E307AA">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A816787" w14:textId="15EC18A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Clemente State Beach at Riviera Beach</w:t>
            </w:r>
          </w:p>
        </w:tc>
      </w:tr>
      <w:tr w:rsidRPr="00C832A0" w:rsidR="41839B7F" w:rsidTr="00D26A13" w14:paraId="5F06A821"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2C933BF7" w14:textId="1C633E28">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83BAA63" w14:textId="11972B8D">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F79A30A" w14:textId="094028F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18DA6F3" w14:textId="60A0E02F">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Clemente City Beach at Mariposa Street</w:t>
            </w:r>
          </w:p>
        </w:tc>
      </w:tr>
      <w:tr w:rsidRPr="00C832A0" w:rsidR="41839B7F" w:rsidTr="00D26A13" w14:paraId="3EB398D1"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5222E560" w14:textId="5AEE0350">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2C9ABB68" w14:textId="4364B9D1">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F1C3480" w14:textId="02F0CFC4">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4E43674" w14:textId="63794D4B">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Clemente City Beach at Cypress Shores</w:t>
            </w:r>
          </w:p>
        </w:tc>
      </w:tr>
      <w:tr w:rsidRPr="00C832A0" w:rsidR="41839B7F" w:rsidTr="00D26A13" w14:paraId="2A42CC98"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ECC29AB" w14:textId="6A1B2101">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DB215FE" w14:textId="58F5D7F9">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FCE00CD" w14:textId="5F0994E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8731026" w14:textId="7F575F9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Clemente City Beach at Lifeguard Headquarters</w:t>
            </w:r>
          </w:p>
        </w:tc>
      </w:tr>
      <w:tr w:rsidRPr="00C832A0" w:rsidR="41839B7F" w:rsidTr="00D26A13" w14:paraId="6F667BF7"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145B1FA" w14:textId="10F9CFA9">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C5C8B56" w14:textId="19191205">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7BB3589" w14:textId="083CBD67">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F8EDC46" w14:textId="48699622">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Under San Clemente Municipal Pier</w:t>
            </w:r>
          </w:p>
        </w:tc>
      </w:tr>
      <w:tr w:rsidRPr="00C832A0" w:rsidR="41839B7F" w:rsidTr="00D26A13" w14:paraId="1CDF89B4"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5B3764F0" w14:textId="57645944">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6218EF4" w14:textId="10F9FF63">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3D1E682" w14:textId="1E980670">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4A4B640" w14:textId="0F2ABD3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Clemente City Beach at El Portal Street Stairs</w:t>
            </w:r>
          </w:p>
        </w:tc>
      </w:tr>
      <w:tr w:rsidRPr="00C832A0" w:rsidR="41839B7F" w:rsidTr="00D26A13" w14:paraId="0A0484F4"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5C7E4A7" w14:textId="4A21B12C">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99DB562" w14:textId="3336374F">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EE8E608" w14:textId="3ED2CBBB">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10D2043" w14:textId="39F86B9A">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Clemente City Beach at South Linda Lane</w:t>
            </w:r>
          </w:p>
        </w:tc>
      </w:tr>
      <w:tr w:rsidRPr="00C832A0" w:rsidR="41839B7F" w:rsidTr="00D26A13" w14:paraId="2493CE65"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044D3D91" w14:textId="1BBAAC57">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1584D6ED" w14:textId="118E1C90">
            <w:pPr>
              <w:spacing w:before="40" w:after="40" w:line="240" w:lineRule="auto"/>
              <w:ind w:left="103"/>
              <w:rPr>
                <w:rFonts w:ascii="Arial" w:hAnsi="Arial" w:cs="Arial"/>
                <w:sz w:val="22"/>
                <w:szCs w:val="22"/>
              </w:rPr>
            </w:pPr>
            <w:r w:rsidRPr="00C832A0">
              <w:rPr>
                <w:rFonts w:ascii="Arial" w:hAnsi="Arial" w:eastAsia="Arial" w:cs="Arial"/>
                <w:sz w:val="22"/>
                <w:szCs w:val="22"/>
              </w:rPr>
              <w:t>San Clemente Hydrologic Area (901.30)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09C8A5A" w14:textId="7DAAD97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64E8101" w14:textId="3BB4799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Clemente City Beach at Trafalgar Canyon (Trafalgar Lane)</w:t>
            </w:r>
          </w:p>
        </w:tc>
      </w:tr>
      <w:tr w:rsidRPr="00C832A0" w:rsidR="41839B7F" w:rsidTr="00D26A13" w14:paraId="1DFBD667"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72106D47" w14:textId="142D1A6D">
            <w:pPr>
              <w:spacing w:before="40" w:after="40" w:line="240" w:lineRule="auto"/>
              <w:jc w:val="center"/>
              <w:rPr>
                <w:rFonts w:ascii="Arial" w:hAnsi="Arial" w:cs="Arial"/>
                <w:sz w:val="22"/>
                <w:szCs w:val="22"/>
              </w:rPr>
            </w:pPr>
            <w:r w:rsidRPr="00C832A0">
              <w:rPr>
                <w:rFonts w:ascii="Arial" w:hAnsi="Arial" w:eastAsia="Arial" w:cs="Arial"/>
                <w:sz w:val="22"/>
                <w:szCs w:val="22"/>
              </w:rPr>
              <w:t>2</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129BD08A" w14:textId="465FCAC6">
            <w:pPr>
              <w:spacing w:before="40" w:after="40" w:line="240" w:lineRule="auto"/>
              <w:ind w:left="103"/>
              <w:rPr>
                <w:rFonts w:ascii="Arial" w:hAnsi="Arial" w:cs="Arial"/>
                <w:sz w:val="22"/>
                <w:szCs w:val="22"/>
              </w:rPr>
            </w:pPr>
            <w:r w:rsidRPr="00C832A0">
              <w:rPr>
                <w:rFonts w:ascii="Arial" w:hAnsi="Arial" w:eastAsia="Arial" w:cs="Arial"/>
                <w:sz w:val="22"/>
                <w:szCs w:val="22"/>
              </w:rPr>
              <w:t>San Luis Rey Hydrologic Unit (903.00)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4E36FCE" w14:textId="0D323AFD">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338130E" w14:textId="635A56EB">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San Luis Rey River Mouth</w:t>
            </w:r>
          </w:p>
        </w:tc>
      </w:tr>
      <w:tr w:rsidRPr="00C832A0" w:rsidR="41839B7F" w:rsidTr="00D26A13" w14:paraId="5D4951C8"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6E993677" w14:textId="35DEA0C2">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4EF11237" w14:textId="13E44C95">
            <w:pPr>
              <w:spacing w:before="40" w:after="40" w:line="240" w:lineRule="auto"/>
              <w:ind w:left="103"/>
              <w:rPr>
                <w:rFonts w:ascii="Arial" w:hAnsi="Arial" w:cs="Arial"/>
                <w:sz w:val="22"/>
                <w:szCs w:val="22"/>
              </w:rPr>
            </w:pPr>
            <w:r w:rsidRPr="00C832A0">
              <w:rPr>
                <w:rFonts w:ascii="Arial" w:hAnsi="Arial" w:eastAsia="Arial" w:cs="Arial"/>
                <w:sz w:val="22"/>
                <w:szCs w:val="22"/>
              </w:rPr>
              <w:t>San Marcos Hydrologic Area (904.50)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5CBD7E7" w14:textId="5841E10D">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8269508" w14:textId="1C6EB8D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Moonlight State Beach</w:t>
            </w:r>
          </w:p>
        </w:tc>
      </w:tr>
      <w:tr w:rsidRPr="00C832A0" w:rsidR="41839B7F" w:rsidTr="00D26A13" w14:paraId="5A5FEB36"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58F8DC9" w14:textId="6F2DA86D">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0A2FEE98" w14:textId="4C959EDF">
            <w:pPr>
              <w:spacing w:before="40" w:after="40" w:line="240" w:lineRule="auto"/>
              <w:ind w:left="103"/>
              <w:rPr>
                <w:rFonts w:ascii="Arial" w:hAnsi="Arial" w:cs="Arial"/>
                <w:sz w:val="22"/>
                <w:szCs w:val="22"/>
              </w:rPr>
            </w:pPr>
            <w:r w:rsidRPr="00C832A0">
              <w:rPr>
                <w:rFonts w:ascii="Arial" w:hAnsi="Arial" w:eastAsia="Arial" w:cs="Arial"/>
                <w:sz w:val="22"/>
                <w:szCs w:val="22"/>
              </w:rPr>
              <w:t>San Dieguito Hydrologic Unit (905.50)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0FDEF8A" w14:textId="1E41090E">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F5D1735" w14:textId="7F9EE4FB">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San Dieguito Lagoon Mouth</w:t>
            </w:r>
          </w:p>
        </w:tc>
      </w:tr>
      <w:tr w:rsidRPr="00C832A0" w:rsidR="41839B7F" w:rsidTr="00D26A13" w14:paraId="581685BE"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60E5CA22" w14:textId="236FAC15">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0FCE1CA0" w14:textId="7E6AFC86">
            <w:pPr>
              <w:spacing w:before="40" w:after="40" w:line="240" w:lineRule="auto"/>
              <w:ind w:left="103"/>
              <w:rPr>
                <w:rFonts w:ascii="Arial" w:hAnsi="Arial" w:cs="Arial"/>
                <w:sz w:val="22"/>
                <w:szCs w:val="22"/>
              </w:rPr>
            </w:pPr>
            <w:r w:rsidRPr="00C832A0">
              <w:rPr>
                <w:rFonts w:ascii="Arial" w:hAnsi="Arial" w:eastAsia="Arial" w:cs="Arial"/>
                <w:sz w:val="22"/>
                <w:szCs w:val="22"/>
              </w:rPr>
              <w:t>Miramar Reservoir Hydrologic Area (906.10)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B04F6FF" w14:textId="1301FE1C">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00393019" w14:paraId="0AED18E5" w14:textId="5865DE36">
            <w:pPr>
              <w:keepNext/>
              <w:keepLines/>
              <w:spacing w:before="40" w:after="40" w:line="240" w:lineRule="auto"/>
              <w:ind w:left="103"/>
              <w:rPr>
                <w:rFonts w:ascii="Arial" w:hAnsi="Arial" w:eastAsia="Arial" w:cs="Arial"/>
                <w:sz w:val="22"/>
                <w:szCs w:val="22"/>
              </w:rPr>
            </w:pPr>
            <w:r>
              <w:rPr>
                <w:rFonts w:ascii="Arial" w:hAnsi="Arial" w:eastAsia="Arial" w:cs="Arial"/>
                <w:sz w:val="22"/>
                <w:szCs w:val="22"/>
              </w:rPr>
              <w:t>Veterans</w:t>
            </w:r>
            <w:r w:rsidRPr="00C832A0" w:rsidR="41839B7F">
              <w:rPr>
                <w:rFonts w:ascii="Arial" w:hAnsi="Arial" w:eastAsia="Arial" w:cs="Arial"/>
                <w:sz w:val="22"/>
                <w:szCs w:val="22"/>
              </w:rPr>
              <w:t xml:space="preserve"> Pines State Beach at Del Mar (Anderson Canyon)</w:t>
            </w:r>
          </w:p>
        </w:tc>
      </w:tr>
      <w:tr w:rsidRPr="00C832A0" w:rsidR="41839B7F" w:rsidTr="00D26A13" w14:paraId="2D874160"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05276632" w14:textId="67C16DA1">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A54F534" w14:textId="4114DCB0">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05F81B9" w14:textId="15214ED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73A3757" w14:textId="17CC875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 Jolla Shores Beach at El Paseo Grande</w:t>
            </w:r>
          </w:p>
        </w:tc>
      </w:tr>
      <w:tr w:rsidRPr="00C832A0" w:rsidR="41839B7F" w:rsidTr="00D26A13" w14:paraId="2D660CB2"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7FAC1C6A" w14:textId="067C876B">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19223417" w14:textId="4216E763">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3F92E0B" w14:textId="73EBD9BA">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052A629" w14:textId="184E81F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 Jolla Shores Beach at Caminito Del Oro</w:t>
            </w:r>
          </w:p>
        </w:tc>
      </w:tr>
      <w:tr w:rsidRPr="00C832A0" w:rsidR="41839B7F" w:rsidTr="00D26A13" w14:paraId="0A2B1516"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71E3C4DC" w14:textId="6B968EB6">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F19DED5" w14:textId="21C29109">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9BA5295" w14:textId="265B6A3A">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D342325" w14:textId="640D99A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 Jolla Shores Beach at Vallecitos</w:t>
            </w:r>
          </w:p>
        </w:tc>
      </w:tr>
      <w:tr w:rsidRPr="00C832A0" w:rsidR="41839B7F" w:rsidTr="00D26A13" w14:paraId="714682AC"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4766BB38" w14:textId="3FC86400">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2454159F" w14:textId="0AEAFF36">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A770BCD" w14:textId="1EDBB9F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B348BD7" w14:textId="2674A89A">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La Jolla Shores Beach at Avenue de la Playa</w:t>
            </w:r>
          </w:p>
        </w:tc>
      </w:tr>
      <w:tr w:rsidRPr="00C832A0" w:rsidR="41839B7F" w:rsidTr="00D26A13" w14:paraId="14243078"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27B7A22C" w14:textId="72B8FB5A">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4091C96B" w14:textId="32389355">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043ACEDE" w14:textId="6F9261FA">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56083A7" w14:textId="444646C9">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Casa Beach, Children's Pool</w:t>
            </w:r>
          </w:p>
        </w:tc>
      </w:tr>
      <w:tr w:rsidRPr="00C832A0" w:rsidR="41839B7F" w:rsidTr="00D26A13" w14:paraId="7ACD3638"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2C63C6EC" w14:textId="097F2CFD">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4960A13" w14:textId="1C3B3216">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EC24A51" w14:textId="776C8994">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740F9029" w14:textId="74914AAB">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South Casa Beach at Coast Blvd.</w:t>
            </w:r>
          </w:p>
        </w:tc>
      </w:tr>
      <w:tr w:rsidRPr="00C832A0" w:rsidR="41839B7F" w:rsidTr="00D26A13" w14:paraId="63F7691A"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197BFEF9" w14:textId="781CAEA2">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32A6BDD7" w14:textId="6FFB70BA">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DA46ED1" w14:textId="34D05892">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A059EE3" w14:textId="2712B1F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Whispering Sands Beach at Ravina Street</w:t>
            </w:r>
          </w:p>
        </w:tc>
      </w:tr>
      <w:tr w:rsidRPr="00C832A0" w:rsidR="41839B7F" w:rsidTr="00D26A13" w14:paraId="342D3D5A"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67332057" w14:textId="7D2F731C">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0A46E0AA" w14:textId="0136BA44">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76C6C2EC" w14:textId="45A41FF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41E5B79" w14:textId="453EB42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Windansea Beach at Vista de la Playa</w:t>
            </w:r>
          </w:p>
        </w:tc>
      </w:tr>
      <w:tr w:rsidRPr="00C832A0" w:rsidR="41839B7F" w:rsidTr="00D26A13" w14:paraId="37A4E6C1"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52EB6FF8" w14:textId="6DEA8D54">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08A34B70" w14:textId="550A73C2">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715C4E6F" w14:textId="722A5E5B">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7FE5BEB" w14:textId="2E04FC5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Windansea Beach at Bonair Street</w:t>
            </w:r>
          </w:p>
        </w:tc>
      </w:tr>
      <w:tr w:rsidRPr="00C832A0" w:rsidR="41839B7F" w:rsidTr="00D26A13" w14:paraId="723825E3"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33E3C9EE" w14:textId="04828FA4">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4D0FB23A" w14:textId="112D2F67">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F29E700" w14:textId="340C0133">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5755B22" w14:textId="2A313392">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Windansea Beach at Playa del Norte</w:t>
            </w:r>
          </w:p>
        </w:tc>
      </w:tr>
      <w:tr w:rsidRPr="00C832A0" w:rsidR="41839B7F" w:rsidTr="00D26A13" w14:paraId="272ABFC6"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3B8545CD" w14:textId="2E573936">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0C13CC62" w14:textId="0452C742">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3183CA5" w14:textId="7F19DE32">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5E96B7A" w14:textId="71ACD8C5">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Windansea Beach at Palomar Avenue.</w:t>
            </w:r>
          </w:p>
        </w:tc>
      </w:tr>
      <w:tr w:rsidRPr="00C832A0" w:rsidR="41839B7F" w:rsidTr="00D26A13" w14:paraId="6BE10F7E"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718C6A18" w14:textId="78E51F10">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1159CBB3" w14:textId="09D1911F">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E7F68E8" w14:textId="3F161AF7">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3F6F443" w14:textId="31D07C30">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Tourmaline Surf Park</w:t>
            </w:r>
          </w:p>
        </w:tc>
      </w:tr>
      <w:tr w:rsidRPr="00C832A0" w:rsidR="41839B7F" w:rsidTr="00D26A13" w14:paraId="586EC729"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77614D08" w14:textId="61463E1B">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4F337CC4" w14:textId="3775A742">
            <w:pPr>
              <w:spacing w:before="40" w:after="40" w:line="240" w:lineRule="auto"/>
              <w:ind w:left="103"/>
              <w:rPr>
                <w:rFonts w:ascii="Arial" w:hAnsi="Arial" w:cs="Arial"/>
                <w:sz w:val="22"/>
                <w:szCs w:val="22"/>
              </w:rPr>
            </w:pPr>
            <w:r w:rsidRPr="00C832A0">
              <w:rPr>
                <w:rFonts w:ascii="Arial" w:hAnsi="Arial" w:eastAsia="Arial" w:cs="Arial"/>
                <w:sz w:val="22"/>
                <w:szCs w:val="22"/>
              </w:rPr>
              <w:t>Scripps Hydrologic Area (906.30)</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0638175" w14:textId="233E8F7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B544503" w14:textId="63032E2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Beach at Grand Avenue.</w:t>
            </w:r>
          </w:p>
        </w:tc>
      </w:tr>
      <w:tr w:rsidRPr="00C832A0" w:rsidR="41839B7F" w:rsidTr="00D26A13" w14:paraId="32A58602"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2E85B77F" w14:textId="69943452">
            <w:pPr>
              <w:spacing w:before="40" w:after="40" w:line="240" w:lineRule="auto"/>
              <w:jc w:val="center"/>
              <w:rPr>
                <w:rFonts w:ascii="Arial" w:hAnsi="Arial" w:cs="Arial"/>
                <w:sz w:val="22"/>
                <w:szCs w:val="22"/>
              </w:rPr>
            </w:pPr>
            <w:r w:rsidRPr="00C832A0">
              <w:rPr>
                <w:rFonts w:ascii="Arial" w:hAnsi="Arial" w:eastAsia="Arial" w:cs="Arial"/>
                <w:sz w:val="22"/>
                <w:szCs w:val="22"/>
              </w:rPr>
              <w:t>1</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85EDA17" w14:textId="42158C3C">
            <w:pPr>
              <w:spacing w:before="40" w:after="40" w:line="240" w:lineRule="auto"/>
              <w:ind w:left="103"/>
              <w:rPr>
                <w:rFonts w:ascii="Arial" w:hAnsi="Arial" w:cs="Arial"/>
                <w:sz w:val="22"/>
                <w:szCs w:val="22"/>
              </w:rPr>
            </w:pPr>
            <w:r w:rsidRPr="00C832A0">
              <w:rPr>
                <w:rFonts w:ascii="Arial" w:hAnsi="Arial" w:eastAsia="Arial" w:cs="Arial"/>
                <w:sz w:val="22"/>
                <w:szCs w:val="22"/>
              </w:rPr>
              <w:t>Tecolote Hydrologic Area (906.5)</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D4A7965" w14:textId="5BCA0559">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Tecolote Creek</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1582914" w14:textId="2BE41A8F">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The entire reach and associated tributaries</w:t>
            </w:r>
          </w:p>
        </w:tc>
      </w:tr>
      <w:tr w:rsidRPr="00C832A0" w:rsidR="41839B7F" w:rsidTr="00D26A13" w14:paraId="5EBD3269"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466D71CB" w14:textId="2C592D7F">
            <w:pPr>
              <w:spacing w:before="40" w:after="40" w:line="240" w:lineRule="auto"/>
              <w:jc w:val="center"/>
              <w:rPr>
                <w:rFonts w:ascii="Arial" w:hAnsi="Arial" w:cs="Arial"/>
                <w:sz w:val="22"/>
                <w:szCs w:val="22"/>
              </w:rPr>
            </w:pPr>
            <w:r w:rsidRPr="00C832A0">
              <w:rPr>
                <w:rFonts w:ascii="Arial" w:hAnsi="Arial" w:eastAsia="Arial" w:cs="Arial"/>
                <w:sz w:val="22"/>
                <w:szCs w:val="22"/>
              </w:rPr>
              <w:t>3</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187CFBCB" w14:textId="2AA7DCB6">
            <w:pPr>
              <w:spacing w:before="40" w:after="40" w:line="240" w:lineRule="auto"/>
              <w:ind w:left="103"/>
              <w:rPr>
                <w:rFonts w:ascii="Arial" w:hAnsi="Arial" w:cs="Arial"/>
                <w:sz w:val="22"/>
                <w:szCs w:val="22"/>
              </w:rPr>
            </w:pPr>
            <w:r w:rsidRPr="00C832A0">
              <w:rPr>
                <w:rFonts w:ascii="Arial" w:hAnsi="Arial" w:eastAsia="Arial" w:cs="Arial"/>
                <w:sz w:val="22"/>
                <w:szCs w:val="22"/>
              </w:rPr>
              <w:t>Mission San Diego/Santee Hydrologic Subareas (907.11 and 907.12)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35C4A1CA" w14:textId="541EB1F1">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San Diego River, Lower</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2A70DEEB" w14:textId="30C79E9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Lower 6 miles</w:t>
            </w:r>
          </w:p>
        </w:tc>
      </w:tr>
      <w:tr w:rsidRPr="00C832A0" w:rsidR="41839B7F" w:rsidTr="00D26A13" w14:paraId="0E0269C5"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416F5641" w14:textId="186F395D">
            <w:pPr>
              <w:spacing w:before="40" w:after="40" w:line="240" w:lineRule="auto"/>
              <w:jc w:val="center"/>
              <w:rPr>
                <w:rFonts w:ascii="Arial" w:hAnsi="Arial" w:cs="Arial"/>
                <w:sz w:val="22"/>
                <w:szCs w:val="22"/>
              </w:rPr>
            </w:pPr>
            <w:r w:rsidRPr="00C832A0">
              <w:rPr>
                <w:rFonts w:ascii="Arial" w:hAnsi="Arial" w:eastAsia="Arial" w:cs="Arial"/>
                <w:sz w:val="22"/>
                <w:szCs w:val="22"/>
              </w:rPr>
              <w:t>3</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5D3A63F2" w14:textId="345D18D4">
            <w:pPr>
              <w:spacing w:before="40" w:after="40" w:line="240" w:lineRule="auto"/>
              <w:ind w:left="103"/>
              <w:rPr>
                <w:rFonts w:ascii="Arial" w:hAnsi="Arial" w:cs="Arial"/>
                <w:sz w:val="22"/>
                <w:szCs w:val="22"/>
              </w:rPr>
            </w:pPr>
            <w:r w:rsidRPr="00C832A0">
              <w:rPr>
                <w:rFonts w:ascii="Arial" w:hAnsi="Arial" w:eastAsia="Arial" w:cs="Arial"/>
                <w:sz w:val="22"/>
                <w:szCs w:val="22"/>
              </w:rPr>
              <w:t>Mission San Diego/Santee Hydrologic Subareas (907.11 and 907.12)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995C87A" w14:textId="5C7636D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Pacific Ocean Shoreline</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AB21911" w14:textId="0CE92872">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At San Diego River Mouth at Dog Beach</w:t>
            </w:r>
          </w:p>
        </w:tc>
      </w:tr>
      <w:tr w:rsidRPr="00C832A0" w:rsidR="41839B7F" w:rsidTr="00D26A13" w14:paraId="674A2F70"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0637FA23" w14:textId="2368D026">
            <w:pPr>
              <w:spacing w:before="40" w:after="40" w:line="240" w:lineRule="auto"/>
              <w:jc w:val="center"/>
              <w:rPr>
                <w:rFonts w:ascii="Arial" w:hAnsi="Arial" w:cs="Arial"/>
                <w:sz w:val="22"/>
                <w:szCs w:val="22"/>
              </w:rPr>
            </w:pPr>
            <w:r w:rsidRPr="00C832A0">
              <w:rPr>
                <w:rFonts w:ascii="Arial" w:hAnsi="Arial" w:eastAsia="Arial" w:cs="Arial"/>
                <w:sz w:val="22"/>
                <w:szCs w:val="22"/>
              </w:rPr>
              <w:t>3</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4AFE7C1F" w14:textId="612AA5FA">
            <w:pPr>
              <w:spacing w:before="40" w:after="40" w:line="240" w:lineRule="auto"/>
              <w:ind w:left="103"/>
              <w:rPr>
                <w:rFonts w:ascii="Arial" w:hAnsi="Arial" w:cs="Arial"/>
                <w:sz w:val="22"/>
                <w:szCs w:val="22"/>
              </w:rPr>
            </w:pPr>
            <w:r w:rsidRPr="00C832A0">
              <w:rPr>
                <w:rFonts w:ascii="Arial" w:hAnsi="Arial" w:eastAsia="Arial" w:cs="Arial"/>
                <w:sz w:val="22"/>
                <w:szCs w:val="22"/>
              </w:rPr>
              <w:t>Mission San Diego/Santee Hydrologic Subareas (907.11 and 907.12)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5AAF26FF" w14:textId="56BE5886">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Forrester Creek</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4F63C530" w14:textId="39FB8907">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Lower 1 mile</w:t>
            </w:r>
          </w:p>
        </w:tc>
      </w:tr>
      <w:tr w:rsidRPr="00C832A0" w:rsidR="41839B7F" w:rsidTr="00D26A13" w14:paraId="4705E55D" w14:textId="77777777">
        <w:trPr>
          <w:trHeight w:val="300"/>
        </w:trPr>
        <w:tc>
          <w:tcPr>
            <w:tcW w:w="8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C67448" w:rsidRDefault="41839B7F" w14:paraId="0EE2DA0C" w14:textId="5837AC39">
            <w:pPr>
              <w:spacing w:before="40" w:after="40" w:line="240" w:lineRule="auto"/>
              <w:jc w:val="center"/>
              <w:rPr>
                <w:rFonts w:ascii="Arial" w:hAnsi="Arial" w:cs="Arial"/>
                <w:sz w:val="22"/>
                <w:szCs w:val="22"/>
              </w:rPr>
            </w:pPr>
            <w:r w:rsidRPr="00C832A0">
              <w:rPr>
                <w:rFonts w:ascii="Arial" w:hAnsi="Arial" w:eastAsia="Arial" w:cs="Arial"/>
                <w:sz w:val="22"/>
                <w:szCs w:val="22"/>
              </w:rPr>
              <w:t>3</w:t>
            </w:r>
          </w:p>
        </w:tc>
        <w:tc>
          <w:tcPr>
            <w:tcW w:w="4359"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C832A0" w:rsidR="41839B7F" w:rsidP="00687A8C" w:rsidRDefault="41839B7F" w14:paraId="113773D7" w14:textId="356CD0F0">
            <w:pPr>
              <w:spacing w:before="40" w:after="40" w:line="240" w:lineRule="auto"/>
              <w:ind w:left="103"/>
              <w:rPr>
                <w:rFonts w:ascii="Arial" w:hAnsi="Arial" w:cs="Arial"/>
                <w:sz w:val="22"/>
                <w:szCs w:val="22"/>
              </w:rPr>
            </w:pPr>
            <w:r w:rsidRPr="00C832A0">
              <w:rPr>
                <w:rFonts w:ascii="Arial" w:hAnsi="Arial" w:eastAsia="Arial" w:cs="Arial"/>
                <w:sz w:val="22"/>
                <w:szCs w:val="22"/>
              </w:rPr>
              <w:t>Chollas Hydrologic Subarea (908.22)</w:t>
            </w:r>
          </w:p>
        </w:tc>
        <w:tc>
          <w:tcPr>
            <w:tcW w:w="441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145F2CBE" w14:textId="0FE38A56">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Chollas Creek</w:t>
            </w:r>
          </w:p>
        </w:tc>
        <w:tc>
          <w:tcPr>
            <w:tcW w:w="3690" w:type="dxa"/>
            <w:tcBorders>
              <w:top w:val="single" w:color="auto" w:sz="8" w:space="0"/>
              <w:left w:val="single" w:color="auto" w:sz="8" w:space="0"/>
              <w:bottom w:val="single" w:color="auto" w:sz="8" w:space="0"/>
              <w:right w:val="single" w:color="auto" w:sz="8" w:space="0"/>
            </w:tcBorders>
            <w:tcMar>
              <w:top w:w="14" w:type="dxa"/>
              <w:left w:w="29" w:type="dxa"/>
              <w:bottom w:w="14" w:type="dxa"/>
              <w:right w:w="29" w:type="dxa"/>
            </w:tcMar>
            <w:vAlign w:val="center"/>
          </w:tcPr>
          <w:p w:rsidRPr="00687A8C" w:rsidR="41839B7F" w:rsidP="00687A8C" w:rsidRDefault="41839B7F" w14:paraId="6A65157D" w14:textId="1D3BC658">
            <w:pPr>
              <w:keepNext/>
              <w:keepLines/>
              <w:spacing w:before="40" w:after="40" w:line="240" w:lineRule="auto"/>
              <w:ind w:left="103"/>
              <w:rPr>
                <w:rFonts w:ascii="Arial" w:hAnsi="Arial" w:eastAsia="Arial" w:cs="Arial"/>
                <w:sz w:val="22"/>
                <w:szCs w:val="22"/>
              </w:rPr>
            </w:pPr>
            <w:r w:rsidRPr="00C832A0">
              <w:rPr>
                <w:rFonts w:ascii="Arial" w:hAnsi="Arial" w:eastAsia="Arial" w:cs="Arial"/>
                <w:sz w:val="22"/>
                <w:szCs w:val="22"/>
              </w:rPr>
              <w:t>Bottom 1.2 miles</w:t>
            </w:r>
          </w:p>
        </w:tc>
      </w:tr>
    </w:tbl>
    <w:p w:rsidR="00D26A13" w:rsidRDefault="00D26A13" w14:paraId="371430BD" w14:textId="21A7788D">
      <w:pPr>
        <w:spacing w:before="0" w:line="247" w:lineRule="auto"/>
        <w:rPr>
          <w:rFonts w:eastAsia="Arial" w:cs="Arial"/>
          <w:b/>
          <w:bCs/>
          <w:sz w:val="22"/>
          <w:szCs w:val="22"/>
        </w:rPr>
      </w:pPr>
    </w:p>
    <w:p w:rsidR="002466E6" w:rsidP="009F3A36" w:rsidRDefault="006251B8" w14:paraId="610BA00E" w14:textId="28E03FDC">
      <w:pPr>
        <w:pStyle w:val="TableHead"/>
        <w:spacing w:before="120"/>
      </w:pPr>
      <w:r w:rsidRPr="41839B7F">
        <w:t xml:space="preserve">Twenty Beaches and Creeks </w:t>
      </w:r>
      <w:r w:rsidRPr="41839B7F" w:rsidR="72E94BD3">
        <w:t>Receiving Water Limitations for Beaches</w:t>
      </w:r>
    </w:p>
    <w:tbl>
      <w:tblPr>
        <w:tblW w:w="13092" w:type="dxa"/>
        <w:tblLayout w:type="fixed"/>
        <w:tblLook w:val="01E0" w:firstRow="1" w:lastRow="1" w:firstColumn="1" w:lastColumn="1" w:noHBand="0" w:noVBand="0"/>
      </w:tblPr>
      <w:tblGrid>
        <w:gridCol w:w="2263"/>
        <w:gridCol w:w="2841"/>
        <w:gridCol w:w="2884"/>
        <w:gridCol w:w="2175"/>
        <w:gridCol w:w="2929"/>
      </w:tblGrid>
      <w:tr w:rsidRPr="00C832A0" w:rsidR="41839B7F" w:rsidTr="00171C9A" w14:paraId="2E6C70D0" w14:textId="77777777">
        <w:trPr>
          <w:trHeight w:val="300"/>
          <w:tblHeader/>
        </w:trPr>
        <w:tc>
          <w:tcPr>
            <w:tcW w:w="22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C832A0" w:rsidR="41839B7F" w:rsidP="41839B7F" w:rsidRDefault="41839B7F" w14:paraId="4BAFCE0E" w14:textId="34CDBD05">
            <w:pPr>
              <w:jc w:val="center"/>
              <w:rPr>
                <w:sz w:val="22"/>
                <w:szCs w:val="22"/>
              </w:rPr>
            </w:pPr>
            <w:r w:rsidRPr="00C832A0">
              <w:rPr>
                <w:rFonts w:eastAsia="Arial" w:cs="Arial"/>
                <w:b/>
                <w:bCs/>
                <w:color w:val="000000" w:themeColor="text1"/>
                <w:sz w:val="22"/>
                <w:szCs w:val="22"/>
              </w:rPr>
              <w:t>Indicator Bacteria</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C832A0" w:rsidR="41839B7F" w:rsidP="41839B7F" w:rsidRDefault="41839B7F" w14:paraId="0BD5FAD5" w14:textId="1A598F01">
            <w:pPr>
              <w:jc w:val="center"/>
              <w:rPr>
                <w:sz w:val="22"/>
                <w:szCs w:val="22"/>
              </w:rPr>
            </w:pPr>
            <w:r w:rsidRPr="00C832A0">
              <w:rPr>
                <w:rFonts w:eastAsia="Arial" w:cs="Arial"/>
                <w:b/>
                <w:bCs/>
                <w:color w:val="000000" w:themeColor="text1"/>
                <w:sz w:val="22"/>
                <w:szCs w:val="22"/>
              </w:rPr>
              <w:t>Wet Weather Numeric Objective (MPN/100 mL)</w:t>
            </w:r>
          </w:p>
        </w:tc>
        <w:tc>
          <w:tcPr>
            <w:tcW w:w="2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C832A0" w:rsidR="41839B7F" w:rsidP="41839B7F" w:rsidRDefault="41839B7F" w14:paraId="7639EB25" w14:textId="74F083DE">
            <w:pPr>
              <w:jc w:val="center"/>
              <w:rPr>
                <w:sz w:val="22"/>
                <w:szCs w:val="22"/>
              </w:rPr>
            </w:pPr>
            <w:r w:rsidRPr="00C832A0">
              <w:rPr>
                <w:rFonts w:eastAsia="Arial" w:cs="Arial"/>
                <w:b/>
                <w:bCs/>
                <w:color w:val="000000" w:themeColor="text1"/>
                <w:sz w:val="22"/>
                <w:szCs w:val="22"/>
              </w:rPr>
              <w:t>Wet Weather Allowable Exceedance Frequency</w:t>
            </w:r>
          </w:p>
        </w:tc>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C832A0" w:rsidR="41839B7F" w:rsidP="41839B7F" w:rsidRDefault="41839B7F" w14:paraId="70610E59" w14:textId="093C1748">
            <w:pPr>
              <w:jc w:val="center"/>
              <w:rPr>
                <w:sz w:val="22"/>
                <w:szCs w:val="22"/>
              </w:rPr>
            </w:pPr>
            <w:r w:rsidRPr="00C832A0">
              <w:rPr>
                <w:rFonts w:eastAsia="Arial" w:cs="Arial"/>
                <w:b/>
                <w:bCs/>
                <w:color w:val="000000" w:themeColor="text1"/>
                <w:sz w:val="22"/>
                <w:szCs w:val="22"/>
              </w:rPr>
              <w:t>Dry Weather Numeric Objective (MPN/100 mL)</w:t>
            </w:r>
          </w:p>
        </w:tc>
        <w:tc>
          <w:tcPr>
            <w:tcW w:w="29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C832A0" w:rsidR="41839B7F" w:rsidP="41839B7F" w:rsidRDefault="41839B7F" w14:paraId="686B9008" w14:textId="44FBF9F2">
            <w:pPr>
              <w:jc w:val="center"/>
              <w:rPr>
                <w:sz w:val="22"/>
                <w:szCs w:val="22"/>
              </w:rPr>
            </w:pPr>
            <w:r w:rsidRPr="00C832A0">
              <w:rPr>
                <w:rFonts w:eastAsia="Arial" w:cs="Arial"/>
                <w:b/>
                <w:bCs/>
                <w:color w:val="000000" w:themeColor="text1"/>
                <w:sz w:val="22"/>
                <w:szCs w:val="22"/>
              </w:rPr>
              <w:t>Dry Weather Allowable Exceedance Frequency</w:t>
            </w:r>
          </w:p>
        </w:tc>
      </w:tr>
      <w:tr w:rsidRPr="00C832A0" w:rsidR="41839B7F" w:rsidTr="00F04227" w14:paraId="1B9DEC06" w14:textId="77777777">
        <w:trPr>
          <w:trHeight w:val="300"/>
        </w:trPr>
        <w:tc>
          <w:tcPr>
            <w:tcW w:w="22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2918CBC0" w14:textId="5D4CAE3C">
            <w:pPr>
              <w:rPr>
                <w:sz w:val="22"/>
                <w:szCs w:val="22"/>
              </w:rPr>
            </w:pPr>
            <w:r w:rsidRPr="00C832A0">
              <w:rPr>
                <w:rFonts w:eastAsia="Arial" w:cs="Arial"/>
                <w:color w:val="000000" w:themeColor="text1"/>
                <w:sz w:val="22"/>
                <w:szCs w:val="22"/>
              </w:rPr>
              <w:t>Fecal Coliform</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34CE4650" w14:textId="64DCA777">
            <w:pPr>
              <w:jc w:val="center"/>
              <w:rPr>
                <w:sz w:val="22"/>
                <w:szCs w:val="22"/>
              </w:rPr>
            </w:pPr>
            <w:r w:rsidRPr="00C832A0">
              <w:rPr>
                <w:rFonts w:eastAsia="Arial" w:cs="Arial"/>
                <w:color w:val="000000" w:themeColor="text1"/>
                <w:sz w:val="22"/>
                <w:szCs w:val="22"/>
              </w:rPr>
              <w:t>400</w:t>
            </w:r>
          </w:p>
        </w:tc>
        <w:tc>
          <w:tcPr>
            <w:tcW w:w="2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5CB56F38" w14:textId="170ED7F2">
            <w:pPr>
              <w:jc w:val="center"/>
              <w:rPr>
                <w:sz w:val="22"/>
                <w:szCs w:val="22"/>
              </w:rPr>
            </w:pPr>
            <w:r w:rsidRPr="00C832A0">
              <w:rPr>
                <w:rFonts w:eastAsia="Arial" w:cs="Arial"/>
                <w:color w:val="000000" w:themeColor="text1"/>
                <w:sz w:val="22"/>
                <w:szCs w:val="22"/>
              </w:rPr>
              <w:t>22%</w:t>
            </w:r>
          </w:p>
        </w:tc>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06A94BC1" w14:textId="36428379">
            <w:pPr>
              <w:jc w:val="center"/>
              <w:rPr>
                <w:sz w:val="22"/>
                <w:szCs w:val="22"/>
              </w:rPr>
            </w:pPr>
            <w:r w:rsidRPr="00C832A0">
              <w:rPr>
                <w:rFonts w:eastAsia="Arial" w:cs="Arial"/>
                <w:color w:val="000000" w:themeColor="text1"/>
                <w:sz w:val="22"/>
                <w:szCs w:val="22"/>
              </w:rPr>
              <w:t>200</w:t>
            </w:r>
          </w:p>
        </w:tc>
        <w:tc>
          <w:tcPr>
            <w:tcW w:w="29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62573ADB" w14:textId="799567E6">
            <w:pPr>
              <w:jc w:val="center"/>
              <w:rPr>
                <w:sz w:val="22"/>
                <w:szCs w:val="22"/>
              </w:rPr>
            </w:pPr>
            <w:r w:rsidRPr="00C832A0">
              <w:rPr>
                <w:rFonts w:eastAsia="Arial" w:cs="Arial"/>
                <w:color w:val="000000" w:themeColor="text1"/>
                <w:sz w:val="22"/>
                <w:szCs w:val="22"/>
              </w:rPr>
              <w:t>0%</w:t>
            </w:r>
          </w:p>
        </w:tc>
      </w:tr>
      <w:tr w:rsidRPr="00C832A0" w:rsidR="41839B7F" w:rsidTr="00F04227" w14:paraId="7BE2E49C" w14:textId="77777777">
        <w:trPr>
          <w:trHeight w:val="300"/>
        </w:trPr>
        <w:tc>
          <w:tcPr>
            <w:tcW w:w="22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786A1255" w14:textId="5F0F2872">
            <w:pPr>
              <w:rPr>
                <w:sz w:val="22"/>
                <w:szCs w:val="22"/>
              </w:rPr>
            </w:pPr>
            <w:r w:rsidRPr="00C832A0">
              <w:rPr>
                <w:rFonts w:eastAsia="Arial" w:cs="Arial"/>
                <w:color w:val="000000" w:themeColor="text1"/>
                <w:sz w:val="22"/>
                <w:szCs w:val="22"/>
              </w:rPr>
              <w:t>Total Coliform</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4F8764C9" w14:textId="02B569C3">
            <w:pPr>
              <w:jc w:val="center"/>
              <w:rPr>
                <w:sz w:val="22"/>
                <w:szCs w:val="22"/>
              </w:rPr>
            </w:pPr>
            <w:r w:rsidRPr="00C832A0">
              <w:rPr>
                <w:rFonts w:eastAsia="Arial" w:cs="Arial"/>
                <w:color w:val="000000" w:themeColor="text1"/>
                <w:sz w:val="22"/>
                <w:szCs w:val="22"/>
              </w:rPr>
              <w:t>10,000</w:t>
            </w:r>
          </w:p>
        </w:tc>
        <w:tc>
          <w:tcPr>
            <w:tcW w:w="2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1F17F2F9" w14:textId="0D4EFD89">
            <w:pPr>
              <w:jc w:val="center"/>
              <w:rPr>
                <w:sz w:val="22"/>
                <w:szCs w:val="22"/>
              </w:rPr>
            </w:pPr>
            <w:r w:rsidRPr="00C832A0">
              <w:rPr>
                <w:rFonts w:eastAsia="Arial" w:cs="Arial"/>
                <w:color w:val="000000" w:themeColor="text1"/>
                <w:sz w:val="22"/>
                <w:szCs w:val="22"/>
              </w:rPr>
              <w:t>22%</w:t>
            </w:r>
          </w:p>
        </w:tc>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51A3D716" w14:textId="45DF9386">
            <w:pPr>
              <w:jc w:val="center"/>
              <w:rPr>
                <w:sz w:val="22"/>
                <w:szCs w:val="22"/>
              </w:rPr>
            </w:pPr>
            <w:r w:rsidRPr="00C832A0">
              <w:rPr>
                <w:rFonts w:eastAsia="Arial" w:cs="Arial"/>
                <w:color w:val="000000" w:themeColor="text1"/>
                <w:sz w:val="22"/>
                <w:szCs w:val="22"/>
              </w:rPr>
              <w:t>1,000</w:t>
            </w:r>
          </w:p>
        </w:tc>
        <w:tc>
          <w:tcPr>
            <w:tcW w:w="29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33F98F8F" w14:textId="6CD5E2AB">
            <w:pPr>
              <w:jc w:val="center"/>
              <w:rPr>
                <w:sz w:val="22"/>
                <w:szCs w:val="22"/>
              </w:rPr>
            </w:pPr>
            <w:r w:rsidRPr="00C832A0">
              <w:rPr>
                <w:rFonts w:eastAsia="Arial" w:cs="Arial"/>
                <w:color w:val="000000" w:themeColor="text1"/>
                <w:sz w:val="22"/>
                <w:szCs w:val="22"/>
              </w:rPr>
              <w:t>0%</w:t>
            </w:r>
          </w:p>
        </w:tc>
      </w:tr>
      <w:tr w:rsidRPr="00C832A0" w:rsidR="41839B7F" w:rsidTr="00F04227" w14:paraId="7F16203E" w14:textId="77777777">
        <w:trPr>
          <w:trHeight w:val="300"/>
        </w:trPr>
        <w:tc>
          <w:tcPr>
            <w:tcW w:w="22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C460A" w:rsidR="41839B7F" w:rsidP="41839B7F" w:rsidRDefault="41839B7F" w14:paraId="6B4CA0DB" w14:textId="0056781E">
            <w:pPr>
              <w:rPr>
                <w:i/>
                <w:sz w:val="22"/>
                <w:szCs w:val="22"/>
              </w:rPr>
            </w:pPr>
            <w:r w:rsidRPr="006C460A">
              <w:rPr>
                <w:rFonts w:eastAsia="Arial" w:cs="Arial"/>
                <w:i/>
                <w:color w:val="000000" w:themeColor="text1"/>
                <w:sz w:val="22"/>
                <w:szCs w:val="22"/>
              </w:rPr>
              <w:t>Enterococcus</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726A059C" w14:textId="1DACC485">
            <w:pPr>
              <w:jc w:val="center"/>
              <w:rPr>
                <w:sz w:val="22"/>
                <w:szCs w:val="22"/>
              </w:rPr>
            </w:pPr>
            <w:r w:rsidRPr="00C832A0">
              <w:rPr>
                <w:rFonts w:eastAsia="Arial" w:cs="Arial"/>
                <w:color w:val="000000" w:themeColor="text1"/>
                <w:sz w:val="22"/>
                <w:szCs w:val="22"/>
              </w:rPr>
              <w:t>104</w:t>
            </w:r>
          </w:p>
        </w:tc>
        <w:tc>
          <w:tcPr>
            <w:tcW w:w="2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222E993A" w14:textId="01CB9085">
            <w:pPr>
              <w:jc w:val="center"/>
              <w:rPr>
                <w:sz w:val="22"/>
                <w:szCs w:val="22"/>
              </w:rPr>
            </w:pPr>
            <w:r w:rsidRPr="00C832A0">
              <w:rPr>
                <w:rFonts w:eastAsia="Arial" w:cs="Arial"/>
                <w:color w:val="000000" w:themeColor="text1"/>
                <w:sz w:val="22"/>
                <w:szCs w:val="22"/>
              </w:rPr>
              <w:t>22%</w:t>
            </w:r>
          </w:p>
        </w:tc>
        <w:tc>
          <w:tcPr>
            <w:tcW w:w="2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50645F8B" w14:textId="5E35496A">
            <w:pPr>
              <w:jc w:val="center"/>
              <w:rPr>
                <w:sz w:val="22"/>
                <w:szCs w:val="22"/>
              </w:rPr>
            </w:pPr>
            <w:r w:rsidRPr="00C832A0">
              <w:rPr>
                <w:rFonts w:eastAsia="Arial" w:cs="Arial"/>
                <w:color w:val="000000" w:themeColor="text1"/>
                <w:sz w:val="22"/>
                <w:szCs w:val="22"/>
              </w:rPr>
              <w:t>35</w:t>
            </w:r>
          </w:p>
        </w:tc>
        <w:tc>
          <w:tcPr>
            <w:tcW w:w="29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C832A0" w:rsidR="41839B7F" w:rsidP="41839B7F" w:rsidRDefault="41839B7F" w14:paraId="1B6253B2" w14:textId="4FD13662">
            <w:pPr>
              <w:jc w:val="center"/>
              <w:rPr>
                <w:sz w:val="22"/>
                <w:szCs w:val="22"/>
              </w:rPr>
            </w:pPr>
            <w:r w:rsidRPr="00C832A0">
              <w:rPr>
                <w:rFonts w:eastAsia="Arial" w:cs="Arial"/>
                <w:color w:val="000000" w:themeColor="text1"/>
                <w:sz w:val="22"/>
                <w:szCs w:val="22"/>
              </w:rPr>
              <w:t>0%</w:t>
            </w:r>
          </w:p>
        </w:tc>
      </w:tr>
    </w:tbl>
    <w:p w:rsidR="002466E6" w:rsidP="00A752A0" w:rsidRDefault="006251B8" w14:paraId="49309F6C" w14:textId="3DFE9FDB">
      <w:pPr>
        <w:pStyle w:val="TableHead"/>
        <w:keepNext/>
        <w:keepLines/>
      </w:pPr>
      <w:r w:rsidRPr="41839B7F">
        <w:t xml:space="preserve">Twenty Beaches and Creeks </w:t>
      </w:r>
      <w:r w:rsidRPr="41839B7F" w:rsidR="72E94BD3">
        <w:t>Receiving Water Limitations for Creeks</w:t>
      </w:r>
    </w:p>
    <w:tbl>
      <w:tblPr>
        <w:tblW w:w="13024" w:type="dxa"/>
        <w:tblLayout w:type="fixed"/>
        <w:tblLook w:val="01E0" w:firstRow="1" w:lastRow="1" w:firstColumn="1" w:lastColumn="1" w:noHBand="0" w:noVBand="0"/>
      </w:tblPr>
      <w:tblGrid>
        <w:gridCol w:w="2340"/>
        <w:gridCol w:w="2715"/>
        <w:gridCol w:w="2848"/>
        <w:gridCol w:w="2207"/>
        <w:gridCol w:w="2914"/>
      </w:tblGrid>
      <w:tr w:rsidRPr="00524232" w:rsidR="41839B7F" w:rsidTr="00F04227" w14:paraId="43627545" w14:textId="77777777">
        <w:trPr>
          <w:trHeight w:val="258"/>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524232" w:rsidR="41839B7F" w:rsidP="00A752A0" w:rsidRDefault="41839B7F" w14:paraId="444EC40D" w14:textId="238DA3FB">
            <w:pPr>
              <w:keepNext/>
              <w:keepLines/>
              <w:spacing w:line="257" w:lineRule="auto"/>
              <w:jc w:val="center"/>
              <w:rPr>
                <w:sz w:val="22"/>
                <w:szCs w:val="22"/>
              </w:rPr>
            </w:pPr>
            <w:r w:rsidRPr="00524232">
              <w:rPr>
                <w:rFonts w:eastAsia="Arial" w:cs="Arial"/>
                <w:b/>
                <w:bCs/>
                <w:color w:val="000000" w:themeColor="text1"/>
                <w:sz w:val="22"/>
                <w:szCs w:val="22"/>
              </w:rPr>
              <w:t>Indicator Bacteria</w:t>
            </w:r>
          </w:p>
        </w:tc>
        <w:tc>
          <w:tcPr>
            <w:tcW w:w="27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524232" w:rsidR="41839B7F" w:rsidP="00A752A0" w:rsidRDefault="41839B7F" w14:paraId="42E68FAD" w14:textId="1332868B">
            <w:pPr>
              <w:keepNext/>
              <w:keepLines/>
              <w:spacing w:line="257" w:lineRule="auto"/>
              <w:jc w:val="center"/>
              <w:rPr>
                <w:sz w:val="22"/>
                <w:szCs w:val="22"/>
              </w:rPr>
            </w:pPr>
            <w:r w:rsidRPr="00524232">
              <w:rPr>
                <w:rFonts w:eastAsia="Arial" w:cs="Arial"/>
                <w:b/>
                <w:bCs/>
                <w:color w:val="000000" w:themeColor="text1"/>
                <w:sz w:val="22"/>
                <w:szCs w:val="22"/>
              </w:rPr>
              <w:t>Wet Weather Numeric Objective (MPN/100 mL)</w:t>
            </w:r>
          </w:p>
        </w:tc>
        <w:tc>
          <w:tcPr>
            <w:tcW w:w="28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524232" w:rsidR="41839B7F" w:rsidP="00A752A0" w:rsidRDefault="41839B7F" w14:paraId="5F396A0C" w14:textId="350AC4FE">
            <w:pPr>
              <w:keepNext/>
              <w:keepLines/>
              <w:spacing w:line="257" w:lineRule="auto"/>
              <w:jc w:val="center"/>
              <w:rPr>
                <w:sz w:val="22"/>
                <w:szCs w:val="22"/>
              </w:rPr>
            </w:pPr>
            <w:r w:rsidRPr="00524232">
              <w:rPr>
                <w:rFonts w:eastAsia="Arial" w:cs="Arial"/>
                <w:b/>
                <w:bCs/>
                <w:color w:val="000000" w:themeColor="text1"/>
                <w:sz w:val="22"/>
                <w:szCs w:val="22"/>
              </w:rPr>
              <w:t>Wet Weather Allowable Exceedance Frequency</w:t>
            </w:r>
          </w:p>
        </w:tc>
        <w:tc>
          <w:tcPr>
            <w:tcW w:w="22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524232" w:rsidR="41839B7F" w:rsidP="00A752A0" w:rsidRDefault="41839B7F" w14:paraId="0CE4F5C5" w14:textId="027E804F">
            <w:pPr>
              <w:keepNext/>
              <w:keepLines/>
              <w:spacing w:line="257" w:lineRule="auto"/>
              <w:jc w:val="center"/>
              <w:rPr>
                <w:sz w:val="22"/>
                <w:szCs w:val="22"/>
              </w:rPr>
            </w:pPr>
            <w:r w:rsidRPr="00524232">
              <w:rPr>
                <w:rFonts w:eastAsia="Arial" w:cs="Arial"/>
                <w:b/>
                <w:bCs/>
                <w:color w:val="000000" w:themeColor="text1"/>
                <w:sz w:val="22"/>
                <w:szCs w:val="22"/>
              </w:rPr>
              <w:t>Dry Weather Numeric Objective (MPN/100 mL)</w:t>
            </w:r>
          </w:p>
        </w:tc>
        <w:tc>
          <w:tcPr>
            <w:tcW w:w="2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5E0B3"/>
          </w:tcPr>
          <w:p w:rsidRPr="00524232" w:rsidR="41839B7F" w:rsidP="00A752A0" w:rsidRDefault="41839B7F" w14:paraId="1E66ABEF" w14:textId="4AB2832D">
            <w:pPr>
              <w:keepNext/>
              <w:keepLines/>
              <w:spacing w:line="257" w:lineRule="auto"/>
              <w:jc w:val="center"/>
              <w:rPr>
                <w:sz w:val="22"/>
                <w:szCs w:val="22"/>
              </w:rPr>
            </w:pPr>
            <w:r w:rsidRPr="00524232">
              <w:rPr>
                <w:rFonts w:eastAsia="Arial" w:cs="Arial"/>
                <w:b/>
                <w:bCs/>
                <w:color w:val="000000" w:themeColor="text1"/>
                <w:sz w:val="22"/>
                <w:szCs w:val="22"/>
              </w:rPr>
              <w:t>Dry Weather Allowable Exceedance Frequency</w:t>
            </w:r>
          </w:p>
        </w:tc>
      </w:tr>
      <w:tr w:rsidRPr="00524232" w:rsidR="41839B7F" w:rsidTr="00F04227" w14:paraId="31823143" w14:textId="77777777">
        <w:trPr>
          <w:trHeight w:val="258"/>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118AA815" w14:textId="23DC88BA">
            <w:pPr>
              <w:keepNext/>
              <w:keepLines/>
              <w:spacing w:line="257" w:lineRule="auto"/>
              <w:rPr>
                <w:sz w:val="22"/>
                <w:szCs w:val="22"/>
              </w:rPr>
            </w:pPr>
            <w:r w:rsidRPr="00524232">
              <w:rPr>
                <w:rFonts w:eastAsia="Arial" w:cs="Arial"/>
                <w:color w:val="000000" w:themeColor="text1"/>
                <w:sz w:val="22"/>
                <w:szCs w:val="22"/>
              </w:rPr>
              <w:t>Fecal Coliform</w:t>
            </w:r>
          </w:p>
        </w:tc>
        <w:tc>
          <w:tcPr>
            <w:tcW w:w="27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1948AF2B" w14:textId="242B4D9F">
            <w:pPr>
              <w:keepNext/>
              <w:keepLines/>
              <w:spacing w:line="257" w:lineRule="auto"/>
              <w:jc w:val="center"/>
              <w:rPr>
                <w:sz w:val="22"/>
                <w:szCs w:val="22"/>
              </w:rPr>
            </w:pPr>
            <w:r w:rsidRPr="00524232">
              <w:rPr>
                <w:rFonts w:eastAsia="Arial" w:cs="Arial"/>
                <w:color w:val="000000" w:themeColor="text1"/>
                <w:sz w:val="22"/>
                <w:szCs w:val="22"/>
              </w:rPr>
              <w:t>400</w:t>
            </w:r>
          </w:p>
        </w:tc>
        <w:tc>
          <w:tcPr>
            <w:tcW w:w="28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1CC4708F" w14:textId="4F0A4106">
            <w:pPr>
              <w:keepNext/>
              <w:keepLines/>
              <w:spacing w:line="257" w:lineRule="auto"/>
              <w:jc w:val="center"/>
              <w:rPr>
                <w:sz w:val="22"/>
                <w:szCs w:val="22"/>
              </w:rPr>
            </w:pPr>
            <w:r w:rsidRPr="00524232">
              <w:rPr>
                <w:rFonts w:eastAsia="Arial" w:cs="Arial"/>
                <w:color w:val="000000" w:themeColor="text1"/>
                <w:sz w:val="22"/>
                <w:szCs w:val="22"/>
              </w:rPr>
              <w:t>22%</w:t>
            </w:r>
          </w:p>
        </w:tc>
        <w:tc>
          <w:tcPr>
            <w:tcW w:w="22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435C8119" w14:textId="40A9A532">
            <w:pPr>
              <w:keepNext/>
              <w:keepLines/>
              <w:spacing w:line="257" w:lineRule="auto"/>
              <w:jc w:val="center"/>
              <w:rPr>
                <w:sz w:val="22"/>
                <w:szCs w:val="22"/>
              </w:rPr>
            </w:pPr>
            <w:r w:rsidRPr="00524232">
              <w:rPr>
                <w:rFonts w:eastAsia="Arial" w:cs="Arial"/>
                <w:color w:val="000000" w:themeColor="text1"/>
                <w:sz w:val="22"/>
                <w:szCs w:val="22"/>
              </w:rPr>
              <w:t>200</w:t>
            </w:r>
          </w:p>
        </w:tc>
        <w:tc>
          <w:tcPr>
            <w:tcW w:w="2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3AF24080" w14:textId="3AF2CBFD">
            <w:pPr>
              <w:keepNext/>
              <w:keepLines/>
              <w:spacing w:line="257" w:lineRule="auto"/>
              <w:jc w:val="center"/>
              <w:rPr>
                <w:sz w:val="22"/>
                <w:szCs w:val="22"/>
              </w:rPr>
            </w:pPr>
            <w:r w:rsidRPr="00524232">
              <w:rPr>
                <w:rFonts w:eastAsia="Arial" w:cs="Arial"/>
                <w:color w:val="000000" w:themeColor="text1"/>
                <w:sz w:val="22"/>
                <w:szCs w:val="22"/>
              </w:rPr>
              <w:t>0%</w:t>
            </w:r>
          </w:p>
        </w:tc>
      </w:tr>
      <w:tr w:rsidRPr="00524232" w:rsidR="41839B7F" w:rsidTr="00F04227" w14:paraId="2F6549BB" w14:textId="77777777">
        <w:trPr>
          <w:trHeight w:val="258"/>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C460A" w:rsidR="41839B7F" w:rsidP="00A752A0" w:rsidRDefault="41839B7F" w14:paraId="12F473EC" w14:textId="0693B909">
            <w:pPr>
              <w:keepNext/>
              <w:keepLines/>
              <w:spacing w:line="257" w:lineRule="auto"/>
              <w:rPr>
                <w:i/>
                <w:sz w:val="22"/>
                <w:szCs w:val="22"/>
              </w:rPr>
            </w:pPr>
            <w:r w:rsidRPr="006C460A">
              <w:rPr>
                <w:rFonts w:eastAsia="Arial" w:cs="Arial"/>
                <w:i/>
                <w:color w:val="000000" w:themeColor="text1"/>
                <w:sz w:val="22"/>
                <w:szCs w:val="22"/>
              </w:rPr>
              <w:t>Enterococcus</w:t>
            </w:r>
          </w:p>
        </w:tc>
        <w:tc>
          <w:tcPr>
            <w:tcW w:w="27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448AB472" w14:textId="43355FB5">
            <w:pPr>
              <w:keepNext/>
              <w:keepLines/>
              <w:spacing w:line="257" w:lineRule="auto"/>
              <w:jc w:val="center"/>
              <w:rPr>
                <w:sz w:val="22"/>
                <w:szCs w:val="22"/>
              </w:rPr>
            </w:pPr>
            <w:r w:rsidRPr="00524232">
              <w:rPr>
                <w:rFonts w:eastAsia="Arial" w:cs="Arial"/>
                <w:color w:val="000000" w:themeColor="text1"/>
                <w:sz w:val="22"/>
                <w:szCs w:val="22"/>
              </w:rPr>
              <w:t>61</w:t>
            </w:r>
          </w:p>
        </w:tc>
        <w:tc>
          <w:tcPr>
            <w:tcW w:w="28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4D1FE2EE" w14:textId="551318AB">
            <w:pPr>
              <w:keepNext/>
              <w:keepLines/>
              <w:spacing w:line="257" w:lineRule="auto"/>
              <w:jc w:val="center"/>
              <w:rPr>
                <w:sz w:val="22"/>
                <w:szCs w:val="22"/>
              </w:rPr>
            </w:pPr>
            <w:r w:rsidRPr="00524232">
              <w:rPr>
                <w:rFonts w:eastAsia="Arial" w:cs="Arial"/>
                <w:color w:val="000000" w:themeColor="text1"/>
                <w:sz w:val="22"/>
                <w:szCs w:val="22"/>
              </w:rPr>
              <w:t>22%</w:t>
            </w:r>
          </w:p>
        </w:tc>
        <w:tc>
          <w:tcPr>
            <w:tcW w:w="22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387E29F1" w14:textId="6A0E7697">
            <w:pPr>
              <w:keepNext/>
              <w:keepLines/>
              <w:spacing w:line="257" w:lineRule="auto"/>
              <w:jc w:val="center"/>
              <w:rPr>
                <w:sz w:val="22"/>
                <w:szCs w:val="22"/>
              </w:rPr>
            </w:pPr>
            <w:r w:rsidRPr="00524232">
              <w:rPr>
                <w:rFonts w:eastAsia="Arial" w:cs="Arial"/>
                <w:color w:val="000000" w:themeColor="text1"/>
                <w:sz w:val="22"/>
                <w:szCs w:val="22"/>
              </w:rPr>
              <w:t>33</w:t>
            </w:r>
          </w:p>
        </w:tc>
        <w:tc>
          <w:tcPr>
            <w:tcW w:w="2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524232" w:rsidR="41839B7F" w:rsidP="00A752A0" w:rsidRDefault="41839B7F" w14:paraId="5E635A6B" w14:textId="28761596">
            <w:pPr>
              <w:keepNext/>
              <w:keepLines/>
              <w:spacing w:line="257" w:lineRule="auto"/>
              <w:jc w:val="center"/>
              <w:rPr>
                <w:sz w:val="22"/>
                <w:szCs w:val="22"/>
              </w:rPr>
            </w:pPr>
            <w:r w:rsidRPr="00524232">
              <w:rPr>
                <w:rFonts w:eastAsia="Arial" w:cs="Arial"/>
                <w:color w:val="000000" w:themeColor="text1"/>
                <w:sz w:val="22"/>
                <w:szCs w:val="22"/>
              </w:rPr>
              <w:t>0%</w:t>
            </w:r>
          </w:p>
        </w:tc>
      </w:tr>
    </w:tbl>
    <w:p w:rsidR="002466E6" w:rsidP="00FB7212" w:rsidRDefault="72E94BD3" w14:paraId="0E1D700F" w14:textId="693BEDC4">
      <w:pPr>
        <w:snapToGrid w:val="0"/>
        <w:spacing w:before="240" w:line="257" w:lineRule="auto"/>
        <w:ind w:left="1267"/>
      </w:pPr>
      <w:r w:rsidRPr="41839B7F">
        <w:rPr>
          <w:rFonts w:eastAsia="Arial" w:cs="Arial"/>
          <w:b/>
          <w:bCs/>
        </w:rPr>
        <w:t>Final Compliance Deadline</w:t>
      </w:r>
      <w:r w:rsidRPr="41839B7F">
        <w:rPr>
          <w:rFonts w:eastAsia="Arial" w:cs="Arial"/>
        </w:rPr>
        <w:t>: The final deadlines for compliance with the wasteload allocations are as shown in the table, below. The wet weather compliance deadline (in parenthesis in the table) applies if the applicable Storm</w:t>
      </w:r>
      <w:r w:rsidR="003253DD">
        <w:rPr>
          <w:rFonts w:eastAsia="Arial" w:cs="Arial"/>
        </w:rPr>
        <w:t>w</w:t>
      </w:r>
      <w:r w:rsidRPr="41839B7F">
        <w:rPr>
          <w:rFonts w:eastAsia="Arial" w:cs="Arial"/>
        </w:rPr>
        <w:t>ater Pollution Prevention Plan does not include load reduction programs for other constituents (e.g. metals, pesticides, trash, nutrients, sediment, etc.) together with bacteria load reduction requirements of this TMDL.</w:t>
      </w:r>
    </w:p>
    <w:p w:rsidR="002466E6" w:rsidP="00FB7212" w:rsidRDefault="006251B8" w14:paraId="5737158E" w14:textId="6C477297">
      <w:pPr>
        <w:pStyle w:val="TableHead"/>
        <w:widowControl w:val="0"/>
        <w:spacing w:before="120"/>
        <w:ind w:left="1181" w:hanging="1267"/>
      </w:pPr>
      <w:r w:rsidRPr="41839B7F">
        <w:t xml:space="preserve">Twenty Beaches and Creeks </w:t>
      </w:r>
      <w:r w:rsidR="004A7AD8">
        <w:t>Final Dry Weather and Wet Weather Compliance Dead</w:t>
      </w:r>
      <w:r w:rsidR="00D26A13">
        <w:t>l</w:t>
      </w:r>
      <w:r w:rsidR="004A7AD8">
        <w:t>ines</w:t>
      </w:r>
    </w:p>
    <w:tbl>
      <w:tblPr>
        <w:tblStyle w:val="TableGrid"/>
        <w:tblW w:w="13121" w:type="dxa"/>
        <w:tblInd w:w="-100" w:type="dxa"/>
        <w:tblLayout w:type="fixed"/>
        <w:tblLook w:val="0620" w:firstRow="1" w:lastRow="0" w:firstColumn="0" w:lastColumn="0" w:noHBand="1" w:noVBand="1"/>
      </w:tblPr>
      <w:tblGrid>
        <w:gridCol w:w="5040"/>
        <w:gridCol w:w="3870"/>
        <w:gridCol w:w="4211"/>
      </w:tblGrid>
      <w:tr w:rsidRPr="00A752A0" w:rsidR="41839B7F" w:rsidTr="00B93742" w14:paraId="3FC4306D" w14:textId="77777777">
        <w:trPr>
          <w:trHeight w:val="272"/>
        </w:trPr>
        <w:tc>
          <w:tcPr>
            <w:tcW w:w="5040" w:type="dxa"/>
            <w:tcBorders>
              <w:top w:val="single" w:color="auto" w:sz="8" w:space="0"/>
              <w:left w:val="single" w:color="auto" w:sz="8" w:space="0"/>
              <w:bottom w:val="single" w:color="auto" w:sz="8" w:space="0"/>
              <w:right w:val="single" w:color="auto" w:sz="8" w:space="0"/>
            </w:tcBorders>
            <w:shd w:val="clear" w:color="auto" w:fill="C5E0B3"/>
            <w:tcMar>
              <w:top w:w="29" w:type="dxa"/>
              <w:left w:w="58" w:type="dxa"/>
              <w:bottom w:w="29" w:type="dxa"/>
              <w:right w:w="58" w:type="dxa"/>
            </w:tcMar>
            <w:vAlign w:val="center"/>
          </w:tcPr>
          <w:p w:rsidRPr="00A752A0" w:rsidR="41839B7F" w:rsidP="00FB7212" w:rsidRDefault="41839B7F" w14:paraId="02623B93" w14:textId="5A40CB74">
            <w:pPr>
              <w:widowControl w:val="0"/>
              <w:spacing w:before="0" w:after="0" w:line="240" w:lineRule="auto"/>
              <w:jc w:val="center"/>
              <w:rPr>
                <w:sz w:val="22"/>
                <w:szCs w:val="22"/>
              </w:rPr>
            </w:pPr>
            <w:r w:rsidRPr="00A752A0">
              <w:rPr>
                <w:rFonts w:ascii="Arial" w:hAnsi="Arial" w:eastAsia="Arial" w:cs="Arial"/>
                <w:b/>
                <w:bCs/>
                <w:color w:val="000000" w:themeColor="text1"/>
                <w:sz w:val="22"/>
                <w:szCs w:val="22"/>
              </w:rPr>
              <w:t>Constituent</w:t>
            </w:r>
          </w:p>
        </w:tc>
        <w:tc>
          <w:tcPr>
            <w:tcW w:w="3870" w:type="dxa"/>
            <w:tcBorders>
              <w:top w:val="single" w:color="auto" w:sz="8" w:space="0"/>
              <w:left w:val="single" w:color="auto" w:sz="8" w:space="0"/>
              <w:bottom w:val="single" w:color="auto" w:sz="8" w:space="0"/>
              <w:right w:val="single" w:color="auto" w:sz="8" w:space="0"/>
            </w:tcBorders>
            <w:shd w:val="clear" w:color="auto" w:fill="C5E0B3"/>
            <w:tcMar>
              <w:top w:w="29" w:type="dxa"/>
              <w:left w:w="58" w:type="dxa"/>
              <w:bottom w:w="29" w:type="dxa"/>
              <w:right w:w="58" w:type="dxa"/>
            </w:tcMar>
            <w:vAlign w:val="center"/>
          </w:tcPr>
          <w:p w:rsidRPr="00A752A0" w:rsidR="41839B7F" w:rsidP="00FB7212" w:rsidRDefault="41839B7F" w14:paraId="07758584" w14:textId="2AC7062E">
            <w:pPr>
              <w:widowControl w:val="0"/>
              <w:spacing w:before="0" w:after="0" w:line="240" w:lineRule="auto"/>
              <w:jc w:val="center"/>
              <w:rPr>
                <w:sz w:val="22"/>
                <w:szCs w:val="22"/>
              </w:rPr>
            </w:pPr>
            <w:r w:rsidRPr="00A752A0">
              <w:rPr>
                <w:rFonts w:ascii="Arial" w:hAnsi="Arial" w:eastAsia="Arial" w:cs="Arial"/>
                <w:b/>
                <w:bCs/>
                <w:color w:val="000000" w:themeColor="text1"/>
                <w:sz w:val="22"/>
                <w:szCs w:val="22"/>
              </w:rPr>
              <w:t>Dry Weather Compliance Deadline</w:t>
            </w:r>
          </w:p>
        </w:tc>
        <w:tc>
          <w:tcPr>
            <w:tcW w:w="4211" w:type="dxa"/>
            <w:tcBorders>
              <w:top w:val="single" w:color="auto" w:sz="8" w:space="0"/>
              <w:left w:val="single" w:color="auto" w:sz="8" w:space="0"/>
              <w:bottom w:val="single" w:color="auto" w:sz="8" w:space="0"/>
              <w:right w:val="single" w:color="auto" w:sz="8" w:space="0"/>
            </w:tcBorders>
            <w:shd w:val="clear" w:color="auto" w:fill="C5E0B3"/>
            <w:tcMar>
              <w:top w:w="29" w:type="dxa"/>
              <w:left w:w="58" w:type="dxa"/>
              <w:bottom w:w="29" w:type="dxa"/>
              <w:right w:w="58" w:type="dxa"/>
            </w:tcMar>
            <w:vAlign w:val="center"/>
          </w:tcPr>
          <w:p w:rsidRPr="00A752A0" w:rsidR="41839B7F" w:rsidP="00FB7212" w:rsidRDefault="41839B7F" w14:paraId="1453A451" w14:textId="14E70674">
            <w:pPr>
              <w:widowControl w:val="0"/>
              <w:spacing w:before="0" w:after="0" w:line="240" w:lineRule="auto"/>
              <w:jc w:val="center"/>
              <w:rPr>
                <w:sz w:val="22"/>
                <w:szCs w:val="22"/>
              </w:rPr>
            </w:pPr>
            <w:r w:rsidRPr="00A752A0">
              <w:rPr>
                <w:rFonts w:ascii="Arial" w:hAnsi="Arial" w:eastAsia="Arial" w:cs="Arial"/>
                <w:b/>
                <w:bCs/>
                <w:color w:val="000000" w:themeColor="text1"/>
                <w:sz w:val="22"/>
                <w:szCs w:val="22"/>
              </w:rPr>
              <w:t>Wet Weather Compliance Deadline</w:t>
            </w:r>
          </w:p>
        </w:tc>
      </w:tr>
      <w:tr w:rsidRPr="00A752A0" w:rsidR="41839B7F" w:rsidTr="00B93742" w14:paraId="7595ACE3" w14:textId="77777777">
        <w:trPr>
          <w:trHeight w:val="272"/>
        </w:trPr>
        <w:tc>
          <w:tcPr>
            <w:tcW w:w="5040"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A752A0" w:rsidR="41839B7F" w:rsidP="00FB7212" w:rsidRDefault="41839B7F" w14:paraId="36A476F4" w14:textId="12130D70">
            <w:pPr>
              <w:widowControl w:val="0"/>
              <w:spacing w:before="0" w:after="0" w:line="240" w:lineRule="auto"/>
              <w:jc w:val="center"/>
              <w:rPr>
                <w:sz w:val="22"/>
                <w:szCs w:val="22"/>
              </w:rPr>
            </w:pPr>
            <w:r w:rsidRPr="00A752A0">
              <w:rPr>
                <w:rFonts w:ascii="Arial" w:hAnsi="Arial" w:eastAsia="Arial" w:cs="Arial"/>
                <w:sz w:val="22"/>
                <w:szCs w:val="22"/>
              </w:rPr>
              <w:t>Total Coliform;</w:t>
            </w:r>
            <w:r w:rsidRPr="00A752A0">
              <w:rPr>
                <w:sz w:val="22"/>
                <w:szCs w:val="22"/>
              </w:rPr>
              <w:br/>
            </w:r>
            <w:r w:rsidRPr="00A752A0">
              <w:rPr>
                <w:rFonts w:ascii="Arial" w:hAnsi="Arial" w:eastAsia="Arial" w:cs="Arial"/>
                <w:sz w:val="22"/>
                <w:szCs w:val="22"/>
              </w:rPr>
              <w:t>Fecal Coliform;</w:t>
            </w:r>
            <w:r w:rsidRPr="00A752A0">
              <w:rPr>
                <w:sz w:val="22"/>
                <w:szCs w:val="22"/>
              </w:rPr>
              <w:br/>
            </w:r>
            <w:r w:rsidRPr="006C460A">
              <w:rPr>
                <w:rFonts w:ascii="Arial" w:hAnsi="Arial" w:eastAsia="Arial" w:cs="Arial"/>
                <w:i/>
                <w:sz w:val="22"/>
                <w:szCs w:val="22"/>
              </w:rPr>
              <w:t>Enterococcus</w:t>
            </w:r>
          </w:p>
        </w:tc>
        <w:tc>
          <w:tcPr>
            <w:tcW w:w="3870"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A752A0" w:rsidR="41839B7F" w:rsidP="00FB7212" w:rsidRDefault="41839B7F" w14:paraId="5AFD9D55" w14:textId="65243CBA">
            <w:pPr>
              <w:widowControl w:val="0"/>
              <w:spacing w:before="0" w:after="0" w:line="240" w:lineRule="auto"/>
              <w:jc w:val="center"/>
              <w:rPr>
                <w:sz w:val="22"/>
                <w:szCs w:val="22"/>
              </w:rPr>
            </w:pPr>
            <w:r w:rsidRPr="00A752A0">
              <w:rPr>
                <w:rFonts w:ascii="Arial" w:hAnsi="Arial" w:eastAsia="Arial" w:cs="Arial"/>
                <w:sz w:val="22"/>
                <w:szCs w:val="22"/>
              </w:rPr>
              <w:t>April 4, 2021</w:t>
            </w:r>
          </w:p>
        </w:tc>
        <w:tc>
          <w:tcPr>
            <w:tcW w:w="4211" w:type="dxa"/>
            <w:tcBorders>
              <w:top w:val="single" w:color="auto" w:sz="8" w:space="0"/>
              <w:left w:val="single" w:color="auto" w:sz="8" w:space="0"/>
              <w:bottom w:val="single" w:color="auto" w:sz="8" w:space="0"/>
              <w:right w:val="single" w:color="auto" w:sz="8" w:space="0"/>
            </w:tcBorders>
            <w:tcMar>
              <w:top w:w="29" w:type="dxa"/>
              <w:left w:w="58" w:type="dxa"/>
              <w:bottom w:w="29" w:type="dxa"/>
              <w:right w:w="58" w:type="dxa"/>
            </w:tcMar>
            <w:vAlign w:val="center"/>
          </w:tcPr>
          <w:p w:rsidRPr="00A752A0" w:rsidR="41839B7F" w:rsidP="00FB7212" w:rsidRDefault="41839B7F" w14:paraId="673C3035" w14:textId="601D31E2">
            <w:pPr>
              <w:widowControl w:val="0"/>
              <w:spacing w:before="0" w:after="0" w:line="240" w:lineRule="auto"/>
              <w:jc w:val="center"/>
              <w:rPr>
                <w:sz w:val="22"/>
                <w:szCs w:val="22"/>
              </w:rPr>
            </w:pPr>
            <w:r w:rsidRPr="00A752A0">
              <w:rPr>
                <w:rFonts w:ascii="Arial" w:hAnsi="Arial" w:eastAsia="Arial" w:cs="Arial"/>
                <w:sz w:val="22"/>
                <w:szCs w:val="22"/>
              </w:rPr>
              <w:t>April 4, 2031</w:t>
            </w:r>
          </w:p>
          <w:p w:rsidRPr="00A752A0" w:rsidR="41839B7F" w:rsidP="00FB7212" w:rsidRDefault="41839B7F" w14:paraId="67EF79FF" w14:textId="5A6A19D4">
            <w:pPr>
              <w:widowControl w:val="0"/>
              <w:spacing w:before="0" w:after="0" w:line="240" w:lineRule="auto"/>
              <w:jc w:val="center"/>
              <w:rPr>
                <w:sz w:val="22"/>
                <w:szCs w:val="22"/>
              </w:rPr>
            </w:pPr>
            <w:r w:rsidRPr="00A752A0">
              <w:rPr>
                <w:rFonts w:ascii="Arial" w:hAnsi="Arial" w:eastAsia="Arial" w:cs="Arial"/>
                <w:sz w:val="22"/>
                <w:szCs w:val="22"/>
              </w:rPr>
              <w:t>(April 4, 2021)</w:t>
            </w:r>
          </w:p>
        </w:tc>
      </w:tr>
    </w:tbl>
    <w:p w:rsidRPr="00A40AE6" w:rsidR="009052CE" w:rsidP="00FB7212" w:rsidRDefault="009052CE" w14:paraId="52D2B60E" w14:textId="449C1908">
      <w:pPr>
        <w:snapToGrid w:val="0"/>
        <w:spacing w:line="257" w:lineRule="auto"/>
      </w:pPr>
    </w:p>
    <w:sectPr w:rsidRPr="00A40AE6" w:rsidR="009052CE" w:rsidSect="00A86034">
      <w:pgSz w:w="15840" w:h="12240" w:orient="landscape"/>
      <w:pgMar w:top="1440" w:right="1440" w:bottom="1440" w:left="1440" w:header="63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980" w:rsidRDefault="00141980" w14:paraId="2162C55A" w14:textId="77777777">
      <w:r>
        <w:separator/>
      </w:r>
    </w:p>
  </w:endnote>
  <w:endnote w:type="continuationSeparator" w:id="0">
    <w:p w:rsidR="00141980" w:rsidRDefault="00141980" w14:paraId="77497D66" w14:textId="77777777">
      <w:r>
        <w:continuationSeparator/>
      </w:r>
    </w:p>
  </w:endnote>
  <w:endnote w:type="continuationNotice" w:id="1">
    <w:p w:rsidR="00141980" w:rsidRDefault="00141980" w14:paraId="529452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466E6" w:rsidR="00B455C1" w:rsidP="00B56766" w:rsidRDefault="00B455C1" w14:paraId="36EE489A" w14:textId="4C27AC9B">
    <w:pPr>
      <w:pStyle w:val="Footer"/>
      <w:spacing w:before="240"/>
      <w:rPr>
        <w:sz w:val="22"/>
      </w:rPr>
    </w:pPr>
    <w:r w:rsidRPr="002466E6">
      <w:rPr>
        <w:sz w:val="22"/>
      </w:rPr>
      <w:t xml:space="preserve">ATTACHMENT </w:t>
    </w:r>
    <w:r w:rsidR="00280BF0">
      <w:rPr>
        <w:sz w:val="22"/>
      </w:rPr>
      <w:t>A</w:t>
    </w:r>
    <w:r w:rsidRPr="002466E6">
      <w:rPr>
        <w:sz w:val="22"/>
      </w:rPr>
      <w:t xml:space="preserve"> </w:t>
    </w:r>
    <w:r w:rsidRPr="002466E6">
      <w:rPr>
        <w:rFonts w:cs="Arial"/>
        <w:sz w:val="22"/>
      </w:rPr>
      <w:t xml:space="preserve">− </w:t>
    </w:r>
    <w:r w:rsidRPr="002466E6">
      <w:rPr>
        <w:sz w:val="22"/>
      </w:rPr>
      <w:t>FACT SHEET</w:t>
    </w:r>
    <w:r w:rsidRPr="002466E6">
      <w:rPr>
        <w:sz w:val="22"/>
      </w:rPr>
      <w:tab/>
    </w:r>
    <w:r w:rsidR="003A776A">
      <w:rPr>
        <w:sz w:val="22"/>
      </w:rPr>
      <w:t>A</w:t>
    </w:r>
    <w:r w:rsidRPr="002466E6">
      <w:rPr>
        <w:sz w:val="22"/>
      </w:rPr>
      <w:t>-</w:t>
    </w:r>
    <w:sdt>
      <w:sdtPr>
        <w:rPr>
          <w:color w:val="2B579A"/>
          <w:sz w:val="22"/>
          <w:shd w:val="clear" w:color="auto" w:fill="E6E6E6"/>
        </w:rPr>
        <w:id w:val="281546734"/>
        <w:docPartObj>
          <w:docPartGallery w:val="Page Numbers (Bottom of Page)"/>
          <w:docPartUnique/>
        </w:docPartObj>
      </w:sdtPr>
      <w:sdtEndPr>
        <w:rPr>
          <w:color w:val="808080" w:themeColor="background1" w:themeShade="80"/>
          <w:spacing w:val="60"/>
        </w:rPr>
      </w:sdtEndPr>
      <w:sdtContent>
        <w:r w:rsidRPr="002466E6">
          <w:rPr>
            <w:sz w:val="22"/>
            <w:shd w:val="clear" w:color="auto" w:fill="E6E6E6"/>
          </w:rPr>
          <w:fldChar w:fldCharType="begin"/>
        </w:r>
        <w:r w:rsidRPr="002466E6">
          <w:rPr>
            <w:sz w:val="22"/>
          </w:rPr>
          <w:instrText xml:space="preserve"> PAGE   \* MERGEFORMAT </w:instrText>
        </w:r>
        <w:r w:rsidRPr="002466E6">
          <w:rPr>
            <w:sz w:val="22"/>
            <w:shd w:val="clear" w:color="auto" w:fill="E6E6E6"/>
          </w:rPr>
          <w:fldChar w:fldCharType="separate"/>
        </w:r>
        <w:r w:rsidRPr="002466E6">
          <w:rPr>
            <w:sz w:val="22"/>
          </w:rPr>
          <w:t>164</w:t>
        </w:r>
        <w:r w:rsidRPr="002466E6">
          <w:rPr>
            <w:sz w:val="22"/>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466E6" w:rsidR="006761ED" w:rsidP="006761ED" w:rsidRDefault="006761ED" w14:paraId="7D660217" w14:textId="5EEC29B3">
    <w:pPr>
      <w:pStyle w:val="Footer"/>
      <w:spacing w:before="240"/>
      <w:rPr>
        <w:sz w:val="22"/>
      </w:rPr>
    </w:pPr>
    <w:r w:rsidRPr="002466E6">
      <w:rPr>
        <w:sz w:val="22"/>
      </w:rPr>
      <w:t xml:space="preserve">ATTACHMENT B </w:t>
    </w:r>
    <w:r w:rsidRPr="002466E6">
      <w:rPr>
        <w:rFonts w:cs="Arial"/>
        <w:sz w:val="22"/>
      </w:rPr>
      <w:t xml:space="preserve">− </w:t>
    </w:r>
    <w:r w:rsidRPr="002466E6">
      <w:rPr>
        <w:sz w:val="22"/>
      </w:rPr>
      <w:t>FACT SHEET</w:t>
    </w:r>
    <w:r w:rsidRPr="002466E6">
      <w:rPr>
        <w:sz w:val="22"/>
      </w:rPr>
      <w:tab/>
    </w:r>
    <w:r>
      <w:rPr>
        <w:sz w:val="22"/>
      </w:rPr>
      <w:t>B</w:t>
    </w:r>
    <w:r w:rsidRPr="002466E6">
      <w:rPr>
        <w:sz w:val="22"/>
      </w:rPr>
      <w:t>-</w:t>
    </w:r>
    <w:sdt>
      <w:sdtPr>
        <w:rPr>
          <w:color w:val="2B579A"/>
          <w:sz w:val="22"/>
          <w:shd w:val="clear" w:color="auto" w:fill="E6E6E6"/>
        </w:rPr>
        <w:id w:val="1617955589"/>
        <w:docPartObj>
          <w:docPartGallery w:val="Page Numbers (Bottom of Page)"/>
          <w:docPartUnique/>
        </w:docPartObj>
      </w:sdtPr>
      <w:sdtEndPr>
        <w:rPr>
          <w:color w:val="808080" w:themeColor="background1" w:themeShade="80"/>
          <w:spacing w:val="60"/>
        </w:rPr>
      </w:sdtEndPr>
      <w:sdtContent>
        <w:r w:rsidRPr="002466E6">
          <w:rPr>
            <w:sz w:val="22"/>
            <w:shd w:val="clear" w:color="auto" w:fill="E6E6E6"/>
          </w:rPr>
          <w:fldChar w:fldCharType="begin"/>
        </w:r>
        <w:r w:rsidRPr="002466E6">
          <w:rPr>
            <w:sz w:val="22"/>
          </w:rPr>
          <w:instrText xml:space="preserve"> PAGE   \* MERGEFORMAT </w:instrText>
        </w:r>
        <w:r w:rsidRPr="002466E6">
          <w:rPr>
            <w:sz w:val="22"/>
            <w:shd w:val="clear" w:color="auto" w:fill="E6E6E6"/>
          </w:rPr>
          <w:fldChar w:fldCharType="separate"/>
        </w:r>
        <w:r>
          <w:rPr>
            <w:sz w:val="22"/>
            <w:shd w:val="clear" w:color="auto" w:fill="E6E6E6"/>
          </w:rPr>
          <w:t>71</w:t>
        </w:r>
        <w:r w:rsidRPr="002466E6">
          <w:rPr>
            <w:sz w:val="22"/>
            <w:shd w:val="clear" w:color="auto" w:fill="E6E6E6"/>
          </w:rPr>
          <w:fldChar w:fldCharType="end"/>
        </w:r>
      </w:sdtContent>
    </w:sdt>
  </w:p>
  <w:p w:rsidRPr="006761ED" w:rsidR="00B455C1" w:rsidP="006761ED" w:rsidRDefault="00B455C1" w14:paraId="7D9486C8" w14:textId="5C18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980" w:rsidRDefault="00141980" w14:paraId="7282D1FC" w14:textId="77777777">
      <w:r>
        <w:separator/>
      </w:r>
    </w:p>
  </w:footnote>
  <w:footnote w:type="continuationSeparator" w:id="0">
    <w:p w:rsidR="00141980" w:rsidRDefault="00141980" w14:paraId="72643DED" w14:textId="77777777">
      <w:r>
        <w:continuationSeparator/>
      </w:r>
    </w:p>
  </w:footnote>
  <w:footnote w:type="continuationNotice" w:id="1">
    <w:p w:rsidR="00141980" w:rsidRDefault="00141980" w14:paraId="7F92483E" w14:textId="77777777"/>
  </w:footnote>
  <w:footnote w:id="2">
    <w:p w:rsidR="007D1E66" w:rsidRDefault="007D1E66" w14:paraId="3A2A1691" w14:textId="145A8965">
      <w:pPr>
        <w:pStyle w:val="FootnoteText"/>
      </w:pPr>
      <w:r>
        <w:rPr>
          <w:rStyle w:val="FootnoteReference"/>
        </w:rPr>
        <w:footnoteRef/>
      </w:r>
      <w:r>
        <w:t xml:space="preserve"> Urban Area: </w:t>
      </w:r>
      <w:r w:rsidRPr="00D87BCD">
        <w:t>According to the 2020 Census, an urban area represents densely developed territory, and encompass residential, commercial, and other nonresidential urban land uses. Each urban area must encompass at least 2,000 housing units or at least 5,000 people. See FAQ p. 2 for more information (</w:t>
      </w:r>
      <w:r w:rsidRPr="00D87BCD">
        <w:rPr>
          <w:color w:val="0070C0"/>
          <w:u w:val="single"/>
        </w:rPr>
        <w:t>2020 Urban Areas Frequently Asked Questions (census.gov</w:t>
      </w:r>
      <w:r w:rsidRPr="00D87BCD">
        <w:t>)).</w:t>
      </w:r>
    </w:p>
  </w:footnote>
  <w:footnote w:id="3">
    <w:p w:rsidR="00B22BEF" w:rsidP="00B22BEF" w:rsidRDefault="00B22BEF" w14:paraId="07359D59" w14:textId="79888F9F">
      <w:pPr>
        <w:pStyle w:val="FootnoteText"/>
      </w:pPr>
      <w:r>
        <w:rPr>
          <w:rStyle w:val="FootnoteReference"/>
        </w:rPr>
        <w:footnoteRef/>
      </w:r>
      <w:r>
        <w:t xml:space="preserve"> </w:t>
      </w:r>
      <w:r w:rsidR="00766ACF">
        <w:rPr>
          <w:sz w:val="20"/>
          <w:szCs w:val="20"/>
        </w:rPr>
        <w:t>USEPA</w:t>
      </w:r>
      <w:r>
        <w:rPr>
          <w:sz w:val="20"/>
          <w:szCs w:val="20"/>
        </w:rPr>
        <w:t xml:space="preserve"> </w:t>
      </w:r>
      <w:hyperlink w:history="1" r:id="rId1">
        <w:r w:rsidRPr="00FC1460">
          <w:rPr>
            <w:rStyle w:val="Hyperlink"/>
            <w:sz w:val="20"/>
            <w:szCs w:val="20"/>
          </w:rPr>
          <w:t>fact sheet</w:t>
        </w:r>
      </w:hyperlink>
      <w:r w:rsidRPr="00B75811">
        <w:rPr>
          <w:sz w:val="20"/>
          <w:szCs w:val="20"/>
        </w:rPr>
        <w:t xml:space="preserve"> for the Stormwater Phase II Rule, August 2023, Page </w:t>
      </w:r>
      <w:r w:rsidR="000C670E">
        <w:rPr>
          <w:sz w:val="20"/>
          <w:szCs w:val="20"/>
        </w:rPr>
        <w:t>4</w:t>
      </w:r>
      <w:r w:rsidRPr="00B75811">
        <w:rPr>
          <w:sz w:val="20"/>
          <w:szCs w:val="20"/>
        </w:rPr>
        <w:t>.</w:t>
      </w:r>
      <w:r>
        <w:t xml:space="preserve"> </w:t>
      </w:r>
    </w:p>
  </w:footnote>
  <w:footnote w:id="4">
    <w:p w:rsidR="00072AF4" w:rsidP="00F5449F" w:rsidRDefault="00072AF4" w14:paraId="1D71E5B0" w14:textId="248AC2C9">
      <w:pPr>
        <w:shd w:val="clear" w:color="auto" w:fill="FFFFFF"/>
        <w:spacing w:after="0" w:line="240" w:lineRule="auto"/>
      </w:pPr>
      <w:r w:rsidRPr="002B03FC">
        <w:rPr>
          <w:rStyle w:val="FootnoteReference"/>
          <w:rFonts w:cs="Arial"/>
          <w:sz w:val="20"/>
          <w:szCs w:val="20"/>
        </w:rPr>
        <w:footnoteRef/>
      </w:r>
      <w:r w:rsidRPr="002B03FC">
        <w:rPr>
          <w:rFonts w:cs="Arial"/>
          <w:sz w:val="20"/>
          <w:szCs w:val="20"/>
        </w:rPr>
        <w:t xml:space="preserve"> </w:t>
      </w:r>
      <w:r w:rsidRPr="002B03FC" w:rsidR="00610D98">
        <w:rPr>
          <w:rFonts w:cs="Arial"/>
          <w:sz w:val="20"/>
          <w:szCs w:val="20"/>
        </w:rPr>
        <w:t>Water Quality Control Plan Ocean Water of California (</w:t>
      </w:r>
      <w:hyperlink w:history="1" r:id="rId2">
        <w:r w:rsidRPr="002C1F52" w:rsidR="008611E9">
          <w:rPr>
            <w:rStyle w:val="Hyperlink"/>
            <w:rFonts w:cs="Arial"/>
            <w:sz w:val="20"/>
            <w:szCs w:val="20"/>
          </w:rPr>
          <w:t>Ocean Plan</w:t>
        </w:r>
      </w:hyperlink>
      <w:r w:rsidRPr="002B03FC" w:rsidR="00610D98">
        <w:rPr>
          <w:rFonts w:cs="Arial"/>
          <w:sz w:val="20"/>
          <w:szCs w:val="20"/>
        </w:rPr>
        <w:t>)</w:t>
      </w:r>
      <w:r w:rsidRPr="002B03FC" w:rsidR="008611E9">
        <w:rPr>
          <w:rFonts w:cs="Arial"/>
          <w:sz w:val="20"/>
          <w:szCs w:val="20"/>
        </w:rPr>
        <w:t xml:space="preserve"> </w:t>
      </w:r>
      <w:r w:rsidRPr="002B03FC" w:rsidR="00C9159F">
        <w:rPr>
          <w:rFonts w:cs="Arial"/>
          <w:color w:val="333333"/>
          <w:sz w:val="20"/>
          <w:szCs w:val="20"/>
          <w:shd w:val="clear" w:color="auto" w:fill="FFFFFF"/>
        </w:rPr>
        <w:t>Final Trash Amendment to the Ocean Plan (</w:t>
      </w:r>
      <w:r w:rsidR="0054775C">
        <w:rPr>
          <w:rFonts w:cs="Arial"/>
          <w:color w:val="333333"/>
          <w:sz w:val="20"/>
          <w:szCs w:val="20"/>
          <w:shd w:val="clear" w:color="auto" w:fill="FFFFFF"/>
        </w:rPr>
        <w:t>§§</w:t>
      </w:r>
      <w:r w:rsidRPr="002B03FC" w:rsidR="00C9159F">
        <w:rPr>
          <w:rFonts w:cs="Arial"/>
          <w:color w:val="333333"/>
          <w:sz w:val="20"/>
          <w:szCs w:val="20"/>
          <w:shd w:val="clear" w:color="auto" w:fill="FFFFFF"/>
        </w:rPr>
        <w:t xml:space="preserve">II.C.5, III.I.6, and III. L) and </w:t>
      </w:r>
      <w:hyperlink w:history="1" r:id="rId3">
        <w:r w:rsidRPr="002B03FC" w:rsidR="008611E9">
          <w:rPr>
            <w:rStyle w:val="Hyperlink"/>
            <w:rFonts w:cs="Arial"/>
            <w:color w:val="2F77A0"/>
            <w:sz w:val="20"/>
            <w:szCs w:val="20"/>
          </w:rPr>
          <w:t>Trash Provisions</w:t>
        </w:r>
      </w:hyperlink>
      <w:r w:rsidR="00B7271E">
        <w:rPr>
          <w:rFonts w:cs="Arial"/>
          <w:color w:val="333333"/>
          <w:sz w:val="20"/>
          <w:szCs w:val="20"/>
        </w:rPr>
        <w:t xml:space="preserve"> </w:t>
      </w:r>
      <w:r w:rsidRPr="002B03FC" w:rsidR="008611E9">
        <w:rPr>
          <w:rFonts w:cs="Arial"/>
          <w:color w:val="333333"/>
          <w:sz w:val="20"/>
          <w:szCs w:val="20"/>
        </w:rPr>
        <w:t>for Inland Surface Waters, Enclosed Bays and Estuaries</w:t>
      </w:r>
      <w:r w:rsidR="00F5449F">
        <w:rPr>
          <w:rFonts w:cs="Arial"/>
          <w:color w:val="333333"/>
          <w:sz w:val="20"/>
          <w:szCs w:val="20"/>
        </w:rPr>
        <w:t xml:space="preserve">. </w:t>
      </w:r>
    </w:p>
  </w:footnote>
  <w:footnote w:id="5">
    <w:p w:rsidR="00CC03E9" w:rsidRDefault="00CC03E9" w14:paraId="48880E2E" w14:textId="5C41CC45">
      <w:pPr>
        <w:pStyle w:val="FootnoteText"/>
      </w:pPr>
      <w:r>
        <w:rPr>
          <w:rStyle w:val="FootnoteReference"/>
        </w:rPr>
        <w:footnoteRef/>
      </w:r>
      <w:r>
        <w:t xml:space="preserve"> </w:t>
      </w:r>
      <w:hyperlink w:history="1" r:id="rId4">
        <w:r w:rsidRPr="00CC03E9">
          <w:rPr>
            <w:rStyle w:val="Hyperlink"/>
          </w:rPr>
          <w:t>Best Management Practices Handbook, Tahoe Regional Planning Agency, May 2014</w:t>
        </w:r>
      </w:hyperlink>
      <w:r>
        <w:t xml:space="preserve"> </w:t>
      </w:r>
    </w:p>
  </w:footnote>
  <w:footnote w:id="6">
    <w:p w:rsidR="00E1328B" w:rsidRDefault="00E1328B" w14:paraId="6A7DE56D" w14:textId="634648EF">
      <w:pPr>
        <w:pStyle w:val="FootnoteText"/>
      </w:pPr>
      <w:r>
        <w:rPr>
          <w:rStyle w:val="FootnoteReference"/>
        </w:rPr>
        <w:footnoteRef/>
      </w:r>
      <w:r>
        <w:t xml:space="preserve"> </w:t>
      </w:r>
      <w:hyperlink w:history="1" r:id="rId5">
        <w:r w:rsidRPr="003D3382">
          <w:rPr>
            <w:rStyle w:val="Hyperlink"/>
          </w:rPr>
          <w:t>Caltrans FINAL</w:t>
        </w:r>
        <w:r w:rsidRPr="003D3382" w:rsidR="003D3382">
          <w:rPr>
            <w:rStyle w:val="Hyperlink"/>
          </w:rPr>
          <w:t xml:space="preserve"> Construction Site Best Management Practices Manual, March 2024</w:t>
        </w:r>
      </w:hyperlink>
      <w:r w:rsidR="003D3382">
        <w:t xml:space="preserve"> </w:t>
      </w:r>
    </w:p>
  </w:footnote>
  <w:footnote w:id="7">
    <w:p w:rsidR="00531FBC" w:rsidRDefault="00531FBC" w14:paraId="243DCAC1" w14:textId="63F1936C">
      <w:pPr>
        <w:pStyle w:val="FootnoteText"/>
      </w:pPr>
      <w:r>
        <w:rPr>
          <w:rStyle w:val="FootnoteReference"/>
        </w:rPr>
        <w:footnoteRef/>
      </w:r>
      <w:r>
        <w:t xml:space="preserve"> </w:t>
      </w:r>
      <w:r w:rsidR="000A34F8">
        <w:t xml:space="preserve">California Water Code, </w:t>
      </w:r>
      <w:hyperlink w:history="1" r:id="rId6">
        <w:r w:rsidRPr="005B6E70" w:rsidR="007F1FA1">
          <w:rPr>
            <w:rStyle w:val="Hyperlink"/>
            <w:color w:val="0070C0"/>
            <w:shd w:val="clear" w:color="auto" w:fill="FFFFFF"/>
          </w:rPr>
          <w:t>Porter-Cologne Water Quality Control Act</w:t>
        </w:r>
      </w:hyperlink>
      <w:r w:rsidR="00577AB1">
        <w:rPr>
          <w:shd w:val="clear" w:color="auto" w:fill="FFFFFF"/>
        </w:rPr>
        <w:t xml:space="preserve">, </w:t>
      </w:r>
      <w:r w:rsidR="007D70F1">
        <w:rPr>
          <w:shd w:val="clear" w:color="auto" w:fill="FFFFFF"/>
        </w:rPr>
        <w:t>February 2025</w:t>
      </w:r>
      <w:r w:rsidR="00577AB1">
        <w:rPr>
          <w:shd w:val="clear" w:color="auto" w:fill="FFFFFF"/>
        </w:rPr>
        <w:t>.</w:t>
      </w:r>
    </w:p>
  </w:footnote>
  <w:footnote w:id="8">
    <w:p w:rsidR="00F64B69" w:rsidRDefault="00F64B69" w14:paraId="74C96235" w14:textId="17F0478E">
      <w:pPr>
        <w:pStyle w:val="FootnoteText"/>
      </w:pPr>
      <w:r>
        <w:rPr>
          <w:rStyle w:val="FootnoteReference"/>
        </w:rPr>
        <w:footnoteRef/>
      </w:r>
      <w:r>
        <w:t xml:space="preserve"> </w:t>
      </w:r>
      <w:r w:rsidR="00B251DE">
        <w:t xml:space="preserve">Assembly Bil 2108 requires the </w:t>
      </w:r>
      <w:r w:rsidRPr="00B251DE" w:rsidR="00B251DE">
        <w:t>Water Board</w:t>
      </w:r>
      <w:r w:rsidR="00B251DE">
        <w:t>s</w:t>
      </w:r>
      <w:r w:rsidRPr="00B251DE" w:rsidR="00B251DE">
        <w:t xml:space="preserve"> to incorporate environmental justice considerations into water policy, planning, and permitting processes</w:t>
      </w:r>
      <w:r w:rsidR="00572E41">
        <w:t xml:space="preserve">. </w:t>
      </w:r>
    </w:p>
  </w:footnote>
  <w:footnote w:id="9">
    <w:p w:rsidR="005F78C4" w:rsidRDefault="005F78C4" w14:paraId="33237035" w14:textId="5ED47BA9">
      <w:pPr>
        <w:pStyle w:val="FootnoteText"/>
      </w:pPr>
      <w:r>
        <w:rPr>
          <w:rStyle w:val="FootnoteReference"/>
        </w:rPr>
        <w:footnoteRef/>
      </w:r>
      <w:r>
        <w:t xml:space="preserve"> </w:t>
      </w:r>
      <w:r w:rsidRPr="005F78C4">
        <w:t>State Water Board Storm Water Panel of Experts, The Feasibility of Numeric Effluent Limits Applicable to Discharges of Storm Water Associated with Municipal, Industrial and Construction Activities (June 19, 2006)</w:t>
      </w:r>
    </w:p>
  </w:footnote>
  <w:footnote w:id="10">
    <w:p w:rsidRPr="008A1810" w:rsidR="005210B7" w:rsidP="00B34DBE" w:rsidRDefault="005210B7" w14:paraId="1EFD5579" w14:textId="691F805B">
      <w:pPr>
        <w:pStyle w:val="FootnoteText"/>
      </w:pPr>
      <w:r>
        <w:rPr>
          <w:rStyle w:val="FootnoteReference"/>
        </w:rPr>
        <w:footnoteRef/>
      </w:r>
      <w:r w:rsidR="00B7271E">
        <w:t xml:space="preserve"> </w:t>
      </w:r>
      <w:r w:rsidRPr="008A1810">
        <w:t>Final Rule, page 68754, Program Requirements</w:t>
      </w:r>
    </w:p>
  </w:footnote>
  <w:footnote w:id="11">
    <w:p w:rsidR="00C8609D" w:rsidRDefault="00C8609D" w14:paraId="6E0A047D" w14:textId="3892CCF1">
      <w:pPr>
        <w:pStyle w:val="FootnoteText"/>
      </w:pPr>
      <w:r>
        <w:rPr>
          <w:rStyle w:val="FootnoteReference"/>
        </w:rPr>
        <w:footnoteRef/>
      </w:r>
      <w:r>
        <w:t xml:space="preserve"> </w:t>
      </w:r>
      <w:r w:rsidR="00E96A26">
        <w:rPr>
          <w:iCs/>
        </w:rPr>
        <w:t>In 2015</w:t>
      </w:r>
      <w:r w:rsidRPr="002F4238" w:rsidR="00E96A26">
        <w:rPr>
          <w:iCs/>
        </w:rPr>
        <w:t xml:space="preserve"> the State Water Board adopted </w:t>
      </w:r>
      <w:r w:rsidR="00E96A26">
        <w:rPr>
          <w:iCs/>
        </w:rPr>
        <w:t>the</w:t>
      </w:r>
      <w:r w:rsidRPr="002F4238" w:rsidR="00E96A26">
        <w:rPr>
          <w:iCs/>
        </w:rPr>
        <w:t xml:space="preserve"> </w:t>
      </w:r>
      <w:r w:rsidR="00E96A26">
        <w:rPr>
          <w:iCs/>
        </w:rPr>
        <w:t xml:space="preserve">Trash </w:t>
      </w:r>
      <w:r w:rsidRPr="002F4238" w:rsidR="00E96A26">
        <w:rPr>
          <w:iCs/>
        </w:rPr>
        <w:t>Amendment</w:t>
      </w:r>
      <w:r w:rsidR="00E96A26">
        <w:rPr>
          <w:iCs/>
        </w:rPr>
        <w:t>s</w:t>
      </w:r>
      <w:r w:rsidRPr="002F4238" w:rsidR="00E96A26">
        <w:rPr>
          <w:iCs/>
        </w:rPr>
        <w:t xml:space="preserve"> to the Water Quality Control Plan for Ocean Waters of California (</w:t>
      </w:r>
      <w:hyperlink w:history="1" r:id="rId7">
        <w:r w:rsidRPr="00390F69" w:rsidR="00E96A26">
          <w:rPr>
            <w:rStyle w:val="Hyperlink"/>
            <w:iCs/>
          </w:rPr>
          <w:t>Ocean Plan</w:t>
        </w:r>
      </w:hyperlink>
      <w:r w:rsidR="00E96A26">
        <w:rPr>
          <w:iCs/>
        </w:rPr>
        <w:t xml:space="preserve">, </w:t>
      </w:r>
      <w:r w:rsidR="0054775C">
        <w:rPr>
          <w:iCs/>
        </w:rPr>
        <w:t>§§</w:t>
      </w:r>
      <w:r w:rsidR="00E96A26">
        <w:rPr>
          <w:iCs/>
        </w:rPr>
        <w:t>II.C.5, III.I.6, and III.L</w:t>
      </w:r>
      <w:r w:rsidRPr="002F4238" w:rsidR="00E96A26">
        <w:rPr>
          <w:iCs/>
        </w:rPr>
        <w:t xml:space="preserve">) to Control Trash and </w:t>
      </w:r>
      <w:hyperlink w:history="1" r:id="rId8">
        <w:r w:rsidRPr="00390F69" w:rsidR="00E96A26">
          <w:rPr>
            <w:rStyle w:val="Hyperlink"/>
            <w:iCs/>
          </w:rPr>
          <w:t>Appendix E: Part 1 Trash Provision of the Water Quality Control Plan for Inland Surface Waters, Enclosed Bays, and Estuaries</w:t>
        </w:r>
      </w:hyperlink>
      <w:r w:rsidRPr="002F4238" w:rsidR="00E96A26">
        <w:rPr>
          <w:iCs/>
        </w:rPr>
        <w:t>. Together, the</w:t>
      </w:r>
      <w:r w:rsidR="00E96A26">
        <w:rPr>
          <w:iCs/>
        </w:rPr>
        <w:t xml:space="preserve"> Trash Amendments</w:t>
      </w:r>
      <w:r w:rsidRPr="002F4238" w:rsidR="00E96A26">
        <w:rPr>
          <w:iCs/>
        </w:rPr>
        <w:t xml:space="preserve"> are collectively referred to as the </w:t>
      </w:r>
      <w:r w:rsidR="00E96A26">
        <w:rPr>
          <w:iCs/>
        </w:rPr>
        <w:t>‘</w:t>
      </w:r>
      <w:r w:rsidRPr="002F4238" w:rsidR="00E96A26">
        <w:rPr>
          <w:iCs/>
        </w:rPr>
        <w:t xml:space="preserve">Trash </w:t>
      </w:r>
      <w:r w:rsidR="00E96A26">
        <w:rPr>
          <w:iCs/>
        </w:rPr>
        <w:t>Provisions</w:t>
      </w:r>
      <w:r w:rsidRPr="002F4238" w:rsidR="00E96A26">
        <w:rPr>
          <w:iCs/>
        </w:rPr>
        <w:t>'.</w:t>
      </w:r>
    </w:p>
  </w:footnote>
  <w:footnote w:id="12">
    <w:p w:rsidR="00500F18" w:rsidP="00500F18" w:rsidRDefault="00500F18" w14:paraId="1BF9308F" w14:textId="77777777">
      <w:pPr>
        <w:pStyle w:val="FootnoteText"/>
      </w:pPr>
      <w:r>
        <w:rPr>
          <w:rStyle w:val="FootnoteReference"/>
        </w:rPr>
        <w:footnoteRef/>
      </w:r>
      <w:r>
        <w:t xml:space="preserve"> The formula is from the San Francisco Bay Water Board’s </w:t>
      </w:r>
      <w:r w:rsidRPr="009B1A5E">
        <w:t>Phase I MS4 permit</w:t>
      </w:r>
      <w:r>
        <w:t xml:space="preserve"> (</w:t>
      </w:r>
      <w:hyperlink w:history="1" r:id="rId9">
        <w:r w:rsidRPr="00475717">
          <w:rPr>
            <w:rStyle w:val="Hyperlink"/>
          </w:rPr>
          <w:t>Order R2-2022-0018</w:t>
        </w:r>
      </w:hyperlink>
      <w:r>
        <w:t>) and is incorporated into section 11 of Attachment H of this Order.</w:t>
      </w:r>
    </w:p>
  </w:footnote>
  <w:footnote w:id="13">
    <w:p w:rsidR="00731E47" w:rsidRDefault="00731E47" w14:paraId="33672F63" w14:textId="5692D737">
      <w:pPr>
        <w:pStyle w:val="FootnoteText"/>
      </w:pPr>
      <w:r>
        <w:rPr>
          <w:rStyle w:val="FootnoteReference"/>
        </w:rPr>
        <w:footnoteRef/>
      </w:r>
      <w:r>
        <w:t xml:space="preserve"> </w:t>
      </w:r>
      <w:hyperlink w:history="1" r:id="rId10">
        <w:r w:rsidRPr="0099689C" w:rsidR="002671BF">
          <w:rPr>
            <w:rStyle w:val="Hyperlink"/>
          </w:rPr>
          <w:t>Final Draft Water Quality Control Policy for Standardized Cost Reporting in Municipal Stormwater Permits, December 2024.</w:t>
        </w:r>
      </w:hyperlink>
    </w:p>
  </w:footnote>
  <w:footnote w:id="14">
    <w:p w:rsidRPr="001C6A38" w:rsidR="0022751E" w:rsidP="00B34DBE" w:rsidRDefault="0022751E" w14:paraId="1C8C151D" w14:textId="77777777">
      <w:pPr>
        <w:pStyle w:val="FootnoteText"/>
      </w:pPr>
      <w:r w:rsidRPr="001C6A38">
        <w:rPr>
          <w:rStyle w:val="FootnoteReference"/>
        </w:rPr>
        <w:footnoteRef/>
      </w:r>
      <w:r w:rsidRPr="001C6A38">
        <w:t xml:space="preserve"> </w:t>
      </w:r>
      <w:hyperlink w:history="1" r:id="rId11">
        <w:r w:rsidRPr="001C6A38">
          <w:rPr>
            <w:rStyle w:val="Hyperlink"/>
          </w:rPr>
          <w:t>Lower Eel River Temperature TMDL</w:t>
        </w:r>
      </w:hyperlink>
      <w:r w:rsidRPr="001C6A38">
        <w:t>, December 18, 2007, pages 43-44</w:t>
      </w:r>
    </w:p>
  </w:footnote>
  <w:footnote w:id="15">
    <w:p w:rsidR="00CA01BC" w:rsidRDefault="00CA01BC" w14:paraId="36C08EAB" w14:textId="5FA3C167">
      <w:pPr>
        <w:pStyle w:val="FootnoteText"/>
      </w:pPr>
      <w:r>
        <w:rPr>
          <w:rStyle w:val="FootnoteReference"/>
        </w:rPr>
        <w:footnoteRef/>
      </w:r>
      <w:r>
        <w:t xml:space="preserve"> </w:t>
      </w:r>
      <w:hyperlink w:history="1" r:id="rId12">
        <w:r w:rsidRPr="001C6A38" w:rsidR="00E4713D">
          <w:rPr>
            <w:rStyle w:val="Hyperlink"/>
          </w:rPr>
          <w:t>Lower Eel River Temperature TMDL</w:t>
        </w:r>
      </w:hyperlink>
      <w:r w:rsidRPr="001C6A38" w:rsidR="00E4713D">
        <w:t>, December 18, 2007,</w:t>
      </w:r>
      <w:r w:rsidR="00E4713D">
        <w:t xml:space="preserve"> p</w:t>
      </w:r>
      <w:r>
        <w:t>age</w:t>
      </w:r>
      <w:r w:rsidR="00457D2B">
        <w:t>s 6</w:t>
      </w:r>
      <w:r w:rsidR="00A0174E">
        <w:t>3-</w:t>
      </w:r>
      <w:r w:rsidR="00E4713D">
        <w:t>64</w:t>
      </w:r>
    </w:p>
  </w:footnote>
  <w:footnote w:id="16">
    <w:p w:rsidR="00FE6C44" w:rsidP="00FE6C44" w:rsidRDefault="00FE6C44" w14:paraId="241B3F83" w14:textId="77777777">
      <w:pPr>
        <w:pStyle w:val="FootnoteText"/>
      </w:pPr>
      <w:r>
        <w:rPr>
          <w:rStyle w:val="FootnoteReference"/>
        </w:rPr>
        <w:footnoteRef/>
      </w:r>
      <w:r>
        <w:t xml:space="preserve"> San Francisco Bay Water Board </w:t>
      </w:r>
      <w:hyperlink w:history="1" r:id="rId13">
        <w:r w:rsidRPr="00E121C9">
          <w:rPr>
            <w:rStyle w:val="Hyperlink"/>
          </w:rPr>
          <w:t>Basin Plan</w:t>
        </w:r>
      </w:hyperlink>
      <w:r>
        <w:t>, Table 7.8.5-2</w:t>
      </w:r>
    </w:p>
  </w:footnote>
  <w:footnote w:id="17">
    <w:p w:rsidR="00425C70" w:rsidRDefault="00425C70" w14:paraId="6B2D2B66" w14:textId="4E89EA9B">
      <w:pPr>
        <w:pStyle w:val="FootnoteText"/>
      </w:pPr>
      <w:r>
        <w:rPr>
          <w:rStyle w:val="FootnoteReference"/>
        </w:rPr>
        <w:footnoteRef/>
      </w:r>
      <w:r>
        <w:t xml:space="preserve"> Sonoma </w:t>
      </w:r>
      <w:r w:rsidR="00325EAE">
        <w:t xml:space="preserve">County </w:t>
      </w:r>
      <w:r>
        <w:t xml:space="preserve">Water Agency changed its name to </w:t>
      </w:r>
      <w:r w:rsidR="00325EAE">
        <w:t>Sonoma Water</w:t>
      </w:r>
    </w:p>
  </w:footnote>
  <w:footnote w:id="18">
    <w:p w:rsidRPr="00602A48" w:rsidR="00C35C4C" w:rsidP="00C35C4C" w:rsidRDefault="00C35C4C" w14:paraId="4F44EBAC" w14:textId="77777777">
      <w:pPr>
        <w:pStyle w:val="FootnoteText"/>
      </w:pPr>
      <w:r w:rsidRPr="00602A48">
        <w:rPr>
          <w:rStyle w:val="FootnoteReference"/>
        </w:rPr>
        <w:footnoteRef/>
      </w:r>
      <w:r w:rsidRPr="00602A48">
        <w:t xml:space="preserve"> San Francisco Bay Water Board, </w:t>
      </w:r>
      <w:hyperlink w:history="1" r:id="rId14">
        <w:r w:rsidRPr="00602A48">
          <w:rPr>
            <w:rStyle w:val="Hyperlink"/>
          </w:rPr>
          <w:t>Basin Plan</w:t>
        </w:r>
      </w:hyperlink>
      <w:r w:rsidRPr="00602A48">
        <w:t xml:space="preserve"> Chapter 7, Table 7.2.2-2</w:t>
      </w:r>
    </w:p>
  </w:footnote>
  <w:footnote w:id="19">
    <w:p w:rsidR="005F4C33" w:rsidP="00B34DBE" w:rsidRDefault="005F4C33" w14:paraId="7225F669" w14:textId="77777777">
      <w:pPr>
        <w:pStyle w:val="FootnoteText"/>
      </w:pPr>
      <w:r>
        <w:rPr>
          <w:rStyle w:val="FootnoteReference"/>
        </w:rPr>
        <w:footnoteRef/>
      </w:r>
      <w:r>
        <w:t xml:space="preserve"> </w:t>
      </w:r>
      <w:hyperlink w:history="1" r:id="rId15">
        <w:r w:rsidRPr="0013319D">
          <w:rPr>
            <w:rStyle w:val="Hyperlink"/>
          </w:rPr>
          <w:t>Technical Report</w:t>
        </w:r>
      </w:hyperlink>
      <w:r>
        <w:t>, San Luis Obispo Creek TMDL and Implementation Plan for Nitrate-N</w:t>
      </w:r>
    </w:p>
  </w:footnote>
  <w:footnote w:id="20">
    <w:p w:rsidR="007356D6" w:rsidRDefault="007356D6" w14:paraId="20F8C377" w14:textId="7876A289">
      <w:pPr>
        <w:pStyle w:val="FootnoteText"/>
      </w:pPr>
      <w:r>
        <w:rPr>
          <w:rStyle w:val="FootnoteReference"/>
        </w:rPr>
        <w:footnoteRef/>
      </w:r>
      <w:r>
        <w:t xml:space="preserve"> </w:t>
      </w:r>
      <w:hyperlink w:history="1" r:id="rId16">
        <w:r w:rsidRPr="006458DF" w:rsidR="000A7E6B">
          <w:rPr>
            <w:rStyle w:val="Hyperlink"/>
          </w:rPr>
          <w:t>Total Maximum Daily Load for Total Phosphorus to Address Cyanobacteria Blooms in Pinto Lake and a TMDL Implementation Strategy for the Pinto Lake Catchment</w:t>
        </w:r>
      </w:hyperlink>
    </w:p>
  </w:footnote>
  <w:footnote w:id="21">
    <w:p w:rsidR="00127E4B" w:rsidRDefault="00127E4B" w14:paraId="6C0077FB" w14:textId="04BCE0E1">
      <w:pPr>
        <w:pStyle w:val="FootnoteText"/>
      </w:pPr>
      <w:r>
        <w:rPr>
          <w:rStyle w:val="FootnoteReference"/>
        </w:rPr>
        <w:footnoteRef/>
      </w:r>
      <w:r>
        <w:t xml:space="preserve"> Map of Gabilan Creek Watershed</w:t>
      </w:r>
      <w:r w:rsidR="00942693">
        <w:t>,</w:t>
      </w:r>
      <w:r w:rsidR="00CE5928">
        <w:t xml:space="preserve"> </w:t>
      </w:r>
      <w:hyperlink w:history="1" r:id="rId17">
        <w:r w:rsidRPr="00942693" w:rsidR="00942693">
          <w:rPr>
            <w:rStyle w:val="Hyperlink"/>
          </w:rPr>
          <w:t>Project Location and Area Maps</w:t>
        </w:r>
      </w:hyperlink>
    </w:p>
  </w:footnote>
  <w:footnote w:id="22">
    <w:p w:rsidR="00CC0D8B" w:rsidRDefault="00CC0D8B" w14:paraId="7B5482C2" w14:textId="78543320">
      <w:pPr>
        <w:pStyle w:val="FootnoteText"/>
      </w:pPr>
      <w:r>
        <w:rPr>
          <w:rStyle w:val="FootnoteReference"/>
        </w:rPr>
        <w:footnoteRef/>
      </w:r>
      <w:r>
        <w:t xml:space="preserve"> </w:t>
      </w:r>
      <w:r w:rsidR="004E0A43">
        <w:t xml:space="preserve">From Table 2 in the </w:t>
      </w:r>
      <w:hyperlink w:history="1" r:id="rId18">
        <w:r w:rsidRPr="004E0A43" w:rsidR="004E0A43">
          <w:rPr>
            <w:rStyle w:val="Hyperlink"/>
          </w:rPr>
          <w:t>TMDL for Turbidity in Gabilan Creek Watershed</w:t>
        </w:r>
      </w:hyperlink>
      <w:r w:rsidR="004E0A43">
        <w:t xml:space="preserve"> </w:t>
      </w:r>
    </w:p>
  </w:footnote>
  <w:footnote w:id="23">
    <w:p w:rsidRPr="00B34DBE" w:rsidR="008713E2" w:rsidP="00B34DBE" w:rsidRDefault="008713E2" w14:paraId="5FC9E780" w14:textId="76636C6F">
      <w:pPr>
        <w:pStyle w:val="FootnoteText"/>
      </w:pPr>
      <w:r w:rsidRPr="00B34DBE">
        <w:rPr>
          <w:rStyle w:val="FootnoteReference"/>
        </w:rPr>
        <w:footnoteRef/>
      </w:r>
      <w:r w:rsidRPr="00B34DBE">
        <w:t xml:space="preserve"> </w:t>
      </w:r>
      <w:r w:rsidRPr="00B34DBE" w:rsidR="007B3028">
        <w:t>FORTRAN</w:t>
      </w:r>
      <w:r w:rsidRPr="00B34DBE" w:rsidR="00F6356E">
        <w:t xml:space="preserve"> (HSPF)</w:t>
      </w:r>
      <w:r w:rsidRPr="00B34DBE" w:rsidR="00081C03">
        <w:t>,</w:t>
      </w:r>
      <w:r w:rsidRPr="00B34DBE" w:rsidR="007A0B32">
        <w:t xml:space="preserve"> </w:t>
      </w:r>
      <w:hyperlink w:history="1" r:id="rId19">
        <w:r w:rsidR="00766ACF">
          <w:rPr>
            <w:rStyle w:val="Hyperlink"/>
          </w:rPr>
          <w:t>USEPA</w:t>
        </w:r>
        <w:r w:rsidR="00C56C92">
          <w:rPr>
            <w:rStyle w:val="Hyperlink"/>
          </w:rPr>
          <w:t xml:space="preserve"> </w:t>
        </w:r>
        <w:r w:rsidRPr="00B34DBE" w:rsidR="00081C03">
          <w:rPr>
            <w:rStyle w:val="Hyperlink"/>
          </w:rPr>
          <w:t>Executive Summary</w:t>
        </w:r>
      </w:hyperlink>
      <w:r w:rsidRPr="00B34DBE" w:rsidR="00F6356E">
        <w:t xml:space="preserve"> </w:t>
      </w:r>
    </w:p>
  </w:footnote>
  <w:footnote w:id="24">
    <w:p w:rsidR="00A3095D" w:rsidP="00B34DBE" w:rsidRDefault="00A3095D" w14:paraId="68A1B13D" w14:textId="2C48408F">
      <w:pPr>
        <w:pStyle w:val="FootnoteText"/>
      </w:pPr>
      <w:r>
        <w:rPr>
          <w:rStyle w:val="FootnoteReference"/>
        </w:rPr>
        <w:footnoteRef/>
      </w:r>
      <w:r>
        <w:t xml:space="preserve"> </w:t>
      </w:r>
      <w:r w:rsidR="00766ACF">
        <w:t>USEPA</w:t>
      </w:r>
      <w:r w:rsidR="008A0506">
        <w:t xml:space="preserve"> </w:t>
      </w:r>
      <w:r>
        <w:t xml:space="preserve">, </w:t>
      </w:r>
      <w:hyperlink w:history="1" r:id="rId20">
        <w:r w:rsidRPr="003A6CD1">
          <w:rPr>
            <w:rStyle w:val="Hyperlink"/>
          </w:rPr>
          <w:t>TMDL for Metals and Selenium, San Grabriel River and Impaired Tributaries</w:t>
        </w:r>
      </w:hyperlink>
      <w:r>
        <w:t xml:space="preserve">, Section 6.3, </w:t>
      </w:r>
      <w:r w:rsidRPr="002A38A7">
        <w:t>Table 6-7 Selenium allocations for San Jose Creek Reach 1 and Reach 2 (total recoverable metals)</w:t>
      </w:r>
    </w:p>
  </w:footnote>
  <w:footnote w:id="25">
    <w:p w:rsidRPr="00360058" w:rsidR="00A3095D" w:rsidP="00A3095D" w:rsidRDefault="00A3095D" w14:paraId="1E196CB8" w14:textId="77777777">
      <w:pPr>
        <w:pStyle w:val="Default"/>
        <w:rPr>
          <w:sz w:val="20"/>
          <w:szCs w:val="20"/>
        </w:rPr>
      </w:pPr>
      <w:r w:rsidRPr="00360058">
        <w:rPr>
          <w:rStyle w:val="FootnoteReference"/>
          <w:sz w:val="20"/>
          <w:szCs w:val="20"/>
        </w:rPr>
        <w:footnoteRef/>
      </w:r>
      <w:r w:rsidRPr="00360058">
        <w:rPr>
          <w:sz w:val="20"/>
          <w:szCs w:val="20"/>
        </w:rPr>
        <w:t xml:space="preserve"> Los Angeles Water Board, </w:t>
      </w:r>
      <w:hyperlink w:history="1" r:id="rId21">
        <w:r w:rsidRPr="00360058">
          <w:rPr>
            <w:rStyle w:val="Hyperlink"/>
            <w:sz w:val="20"/>
            <w:szCs w:val="20"/>
          </w:rPr>
          <w:t>Basin Plan</w:t>
        </w:r>
      </w:hyperlink>
      <w:r w:rsidRPr="00360058">
        <w:rPr>
          <w:sz w:val="20"/>
          <w:szCs w:val="20"/>
        </w:rPr>
        <w:t>, Chapter 7, Table 7-3.2 Ballona Creek Watershed Trash TMDL: Implementation Schedule, (Baseline Wasteload Allocations expressed as cubic feet of uncompressed trash and % reduction.)</w:t>
      </w:r>
    </w:p>
  </w:footnote>
  <w:footnote w:id="26">
    <w:p w:rsidRPr="00360058" w:rsidR="00A3095D" w:rsidP="00B34DBE" w:rsidRDefault="00A3095D" w14:paraId="506C9679" w14:textId="77777777">
      <w:pPr>
        <w:pStyle w:val="FootnoteText"/>
      </w:pPr>
      <w:r w:rsidRPr="00360058">
        <w:rPr>
          <w:rStyle w:val="FootnoteReference"/>
          <w:sz w:val="20"/>
          <w:szCs w:val="20"/>
        </w:rPr>
        <w:footnoteRef/>
      </w:r>
      <w:r w:rsidRPr="00360058">
        <w:t xml:space="preserve"> Los Angeles Water Board, </w:t>
      </w:r>
      <w:hyperlink w:history="1" r:id="rId22">
        <w:r w:rsidRPr="00360058">
          <w:rPr>
            <w:rStyle w:val="Hyperlink"/>
            <w:sz w:val="20"/>
            <w:szCs w:val="20"/>
          </w:rPr>
          <w:t>Basin Plan</w:t>
        </w:r>
      </w:hyperlink>
      <w:r w:rsidRPr="00360058">
        <w:t>, Chapter 7, Table 7-2.2 Los Angeles River Watershed Trash TMDL: Implementation Schedule, (Baseline Wasteload Allocations expressed as cubic feet of uncompressed trash and % reduction.)</w:t>
      </w:r>
    </w:p>
  </w:footnote>
  <w:footnote w:id="27">
    <w:p w:rsidR="003A50C8" w:rsidRDefault="003A50C8" w14:paraId="62594FF4" w14:textId="3DA1090D">
      <w:pPr>
        <w:pStyle w:val="FootnoteText"/>
      </w:pPr>
      <w:r>
        <w:rPr>
          <w:rStyle w:val="FootnoteReference"/>
        </w:rPr>
        <w:footnoteRef/>
      </w:r>
      <w:r>
        <w:t xml:space="preserve"> </w:t>
      </w:r>
      <w:r w:rsidR="00634CB4">
        <w:t xml:space="preserve">See Table </w:t>
      </w:r>
      <w:r w:rsidR="00B1369B">
        <w:t>4-2,</w:t>
      </w:r>
      <w:r w:rsidR="007C2B1D">
        <w:t xml:space="preserve"> Numeric Triggers for Pyrethroid Pesticides, </w:t>
      </w:r>
      <w:hyperlink w:history="1" r:id="rId23">
        <w:r w:rsidRPr="007C2B1D" w:rsidR="00B1369B">
          <w:rPr>
            <w:rStyle w:val="Hyperlink"/>
          </w:rPr>
          <w:t>Central Valley Water Board Basin Plan</w:t>
        </w:r>
      </w:hyperlink>
    </w:p>
  </w:footnote>
  <w:footnote w:id="28">
    <w:p w:rsidR="00D658B9" w:rsidP="00E72001" w:rsidRDefault="00D658B9" w14:paraId="530A4B33" w14:textId="61380DF8">
      <w:pPr>
        <w:pStyle w:val="FootnoteText"/>
      </w:pPr>
      <w:r>
        <w:rPr>
          <w:rStyle w:val="FootnoteReference"/>
        </w:rPr>
        <w:footnoteRef/>
      </w:r>
      <w:r w:rsidR="00E56CF2">
        <w:t xml:space="preserve"> </w:t>
      </w:r>
      <w:r w:rsidR="00766ACF">
        <w:t>USEPA</w:t>
      </w:r>
      <w:r w:rsidR="00C56C92">
        <w:t xml:space="preserve"> </w:t>
      </w:r>
      <w:r w:rsidR="00E72001">
        <w:t xml:space="preserve">TMDLs </w:t>
      </w:r>
      <w:r w:rsidR="002A5E90">
        <w:t>f</w:t>
      </w:r>
      <w:r w:rsidR="00E72001">
        <w:t xml:space="preserve">or Toxic Pollutants San Diego Creek and Newport Bay, </w:t>
      </w:r>
      <w:r w:rsidR="002A5E90">
        <w:t xml:space="preserve">June 14, 2002, </w:t>
      </w:r>
      <w:r w:rsidR="00E72001">
        <w:t>page</w:t>
      </w:r>
      <w:r w:rsidR="00212554">
        <w:t xml:space="preserve"> </w:t>
      </w:r>
      <w:r w:rsidR="00E72001">
        <w:t>26</w:t>
      </w:r>
      <w:r w:rsidR="00734C75">
        <w:t xml:space="preserve">. Contact </w:t>
      </w:r>
      <w:r w:rsidR="007455E4">
        <w:t xml:space="preserve">the </w:t>
      </w:r>
      <w:hyperlink w:history="1" r:id="rId24">
        <w:r w:rsidRPr="00603A37" w:rsidR="007455E4">
          <w:rPr>
            <w:rStyle w:val="Hyperlink"/>
          </w:rPr>
          <w:t>Santa Ana Water Board</w:t>
        </w:r>
      </w:hyperlink>
      <w:r w:rsidR="00734C75">
        <w:t xml:space="preserve"> for a copy of the TMDL</w:t>
      </w:r>
    </w:p>
  </w:footnote>
  <w:footnote w:id="29">
    <w:p w:rsidR="00BF034F" w:rsidRDefault="00BF034F" w14:paraId="11B9EA8A" w14:textId="469D9338">
      <w:pPr>
        <w:pStyle w:val="FootnoteText"/>
      </w:pPr>
      <w:r>
        <w:rPr>
          <w:rStyle w:val="FootnoteReference"/>
        </w:rPr>
        <w:footnoteRef/>
      </w:r>
      <w:r>
        <w:t xml:space="preserve"> </w:t>
      </w:r>
      <w:hyperlink w:history="1" r:id="rId25">
        <w:r w:rsidRPr="009753D5" w:rsidR="00713851">
          <w:rPr>
            <w:rStyle w:val="Hyperlink"/>
          </w:rPr>
          <w:t>Santa Ana Water Board Basin Plan</w:t>
        </w:r>
        <w:r w:rsidRPr="009753D5" w:rsidR="008B1C61">
          <w:rPr>
            <w:rStyle w:val="Hyperlink"/>
          </w:rPr>
          <w:t>, Chapter 6, TMDLS</w:t>
        </w:r>
      </w:hyperlink>
      <w:r w:rsidR="008B1C61">
        <w:t xml:space="preserve">, Newport Bay Watershed, section 4.c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75E97" w:rsidR="00695BD6" w:rsidP="00544E53" w:rsidRDefault="00695BD6" w14:paraId="0EB3B311" w14:textId="77777777">
    <w:pPr>
      <w:pStyle w:val="Header"/>
      <w:shd w:val="clear" w:color="auto" w:fill="FFFFFF" w:themeFill="background1"/>
      <w:tabs>
        <w:tab w:val="clear" w:pos="4680"/>
        <w:tab w:val="right" w:pos="17280"/>
      </w:tabs>
      <w:spacing w:before="0" w:after="0" w:line="240" w:lineRule="auto"/>
      <w:rPr>
        <w:rFonts w:cs="Arial"/>
        <w:bCs/>
        <w:szCs w:val="24"/>
      </w:rPr>
    </w:pPr>
    <w:r>
      <w:rPr>
        <w:rFonts w:cs="Arial"/>
        <w:bCs/>
        <w:color w:val="FF0000"/>
        <w:szCs w:val="24"/>
      </w:rPr>
      <w:t>XXXX</w:t>
    </w:r>
    <w:r w:rsidRPr="00D75E97">
      <w:rPr>
        <w:rFonts w:cs="Arial"/>
        <w:bCs/>
        <w:color w:val="FF0000"/>
        <w:szCs w:val="24"/>
      </w:rPr>
      <w:t xml:space="preserve"> 202</w:t>
    </w:r>
    <w:r>
      <w:rPr>
        <w:rFonts w:cs="Arial"/>
        <w:bCs/>
        <w:color w:val="FF0000"/>
        <w:szCs w:val="24"/>
      </w:rPr>
      <w:t>6</w:t>
    </w:r>
    <w:r w:rsidRPr="00D75E97">
      <w:rPr>
        <w:rFonts w:cs="Arial"/>
        <w:bCs/>
        <w:color w:val="FF0000"/>
        <w:szCs w:val="24"/>
      </w:rPr>
      <w:tab/>
    </w:r>
    <w:r w:rsidRPr="00D75E97">
      <w:rPr>
        <w:rFonts w:cs="Arial"/>
        <w:bCs/>
        <w:szCs w:val="24"/>
      </w:rPr>
      <w:t>Order WQ 20XX-XXXX-DWQ</w:t>
    </w:r>
  </w:p>
  <w:p w:rsidRPr="0051601B" w:rsidR="00DF5B66" w:rsidP="00544E53" w:rsidRDefault="00695BD6" w14:paraId="4D964DDD" w14:textId="1EE94FB8">
    <w:pPr>
      <w:pStyle w:val="Header"/>
      <w:shd w:val="clear" w:color="auto" w:fill="FFFFFF" w:themeFill="background1"/>
      <w:tabs>
        <w:tab w:val="clear" w:pos="4680"/>
        <w:tab w:val="right" w:pos="17280"/>
      </w:tabs>
      <w:spacing w:before="0" w:after="0" w:line="240" w:lineRule="auto"/>
      <w:rPr>
        <w:rFonts w:cs="Arial"/>
        <w:bCs/>
      </w:rPr>
    </w:pPr>
    <w:r>
      <w:rPr>
        <w:rFonts w:cs="Arial"/>
        <w:bCs/>
        <w:color w:val="FF0000"/>
        <w:szCs w:val="24"/>
      </w:rPr>
      <w:t xml:space="preserve">Draft </w:t>
    </w:r>
    <w:r w:rsidRPr="00D75E97">
      <w:rPr>
        <w:rFonts w:cs="Arial"/>
        <w:bCs/>
        <w:color w:val="FF0000"/>
        <w:szCs w:val="24"/>
      </w:rPr>
      <w:t xml:space="preserve">Small MS4 Permit </w:t>
    </w:r>
    <w:r>
      <w:rPr>
        <w:rFonts w:cs="Arial"/>
        <w:bCs/>
        <w:color w:val="FF0000"/>
        <w:szCs w:val="24"/>
      </w:rPr>
      <w:t>for Public Comment</w:t>
    </w:r>
    <w:r w:rsidRPr="00D75E97">
      <w:rPr>
        <w:rFonts w:cs="Arial"/>
        <w:bCs/>
        <w:color w:val="FF0000"/>
        <w:szCs w:val="24"/>
      </w:rPr>
      <w:tab/>
    </w:r>
    <w:r w:rsidRPr="00D75E97">
      <w:rPr>
        <w:rFonts w:cs="Arial"/>
        <w:bCs/>
        <w:szCs w:val="24"/>
      </w:rPr>
      <w:t xml:space="preserve">NPDES No. </w:t>
    </w:r>
    <w:r w:rsidRPr="00D75E97">
      <w:rPr>
        <w:rFonts w:cs="Arial"/>
        <w:bCs/>
      </w:rPr>
      <w:t>CAS000004</w:t>
    </w:r>
  </w:p>
  <w:p w:rsidRPr="001E3BDD" w:rsidR="00DF5B66" w:rsidP="00544E53" w:rsidRDefault="00DF5B66" w14:paraId="1A35E703" w14:textId="77777777">
    <w:pPr>
      <w:pStyle w:val="Header"/>
      <w:spacing w:before="0" w:after="0" w:line="240" w:lineRule="auto"/>
      <w:ind w:firstLine="4"/>
    </w:pPr>
  </w:p>
</w:hdr>
</file>

<file path=word/intelligence.xml><?xml version="1.0" encoding="utf-8"?>
<int:Intelligence xmlns:int="http://schemas.microsoft.com/office/intelligence/2019/intelligence">
  <int:IntelligenceSettings/>
  <int:Manifest>
    <int:ParagraphRange paragraphId="651068220" textId="268917931" start="304" length="7" invalidationStart="304" invalidationLength="7" id="ORuxGWne"/>
  </int:Manifest>
  <int:Observations>
    <int:Content id="ORuxGWn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hybridMultilevel"/>
    <w:tmpl w:val="285CA5F4"/>
    <w:lvl w:ilvl="0" w:tplc="EA8E0D12">
      <w:start w:val="1"/>
      <w:numFmt w:val="decimal"/>
      <w:pStyle w:val="ListNumber"/>
      <w:lvlText w:val="%1."/>
      <w:lvlJc w:val="left"/>
      <w:pPr>
        <w:tabs>
          <w:tab w:val="num" w:pos="360"/>
        </w:tabs>
        <w:ind w:left="360" w:hanging="360"/>
      </w:pPr>
      <w:rPr>
        <w:sz w:val="20"/>
        <w:szCs w:val="20"/>
      </w:rPr>
    </w:lvl>
    <w:lvl w:ilvl="1" w:tplc="D0A83C36">
      <w:numFmt w:val="decimal"/>
      <w:lvlText w:val=""/>
      <w:lvlJc w:val="left"/>
    </w:lvl>
    <w:lvl w:ilvl="2" w:tplc="5F7CA13E">
      <w:numFmt w:val="decimal"/>
      <w:lvlText w:val=""/>
      <w:lvlJc w:val="left"/>
    </w:lvl>
    <w:lvl w:ilvl="3" w:tplc="5C046600">
      <w:numFmt w:val="decimal"/>
      <w:lvlText w:val=""/>
      <w:lvlJc w:val="left"/>
    </w:lvl>
    <w:lvl w:ilvl="4" w:tplc="6EE0FC3A">
      <w:numFmt w:val="decimal"/>
      <w:lvlText w:val=""/>
      <w:lvlJc w:val="left"/>
    </w:lvl>
    <w:lvl w:ilvl="5" w:tplc="E662C64C">
      <w:numFmt w:val="decimal"/>
      <w:lvlText w:val=""/>
      <w:lvlJc w:val="left"/>
    </w:lvl>
    <w:lvl w:ilvl="6" w:tplc="F156F42A">
      <w:numFmt w:val="decimal"/>
      <w:lvlText w:val=""/>
      <w:lvlJc w:val="left"/>
    </w:lvl>
    <w:lvl w:ilvl="7" w:tplc="B78A9D6C">
      <w:numFmt w:val="decimal"/>
      <w:lvlText w:val=""/>
      <w:lvlJc w:val="left"/>
    </w:lvl>
    <w:lvl w:ilvl="8" w:tplc="C3EE1894">
      <w:numFmt w:val="decimal"/>
      <w:lvlText w:val=""/>
      <w:lvlJc w:val="left"/>
    </w:lvl>
  </w:abstractNum>
  <w:abstractNum w:abstractNumId="1" w15:restartNumberingAfterBreak="0">
    <w:nsid w:val="012A5024"/>
    <w:multiLevelType w:val="hybridMultilevel"/>
    <w:tmpl w:val="70E0D712"/>
    <w:lvl w:ilvl="0" w:tplc="04090019">
      <w:start w:val="1"/>
      <w:numFmt w:val="lowerLetter"/>
      <w:lvlText w:val="%1."/>
      <w:lvlJc w:val="left"/>
      <w:pPr>
        <w:ind w:left="460" w:hanging="360"/>
      </w:pPr>
      <w:rPr>
        <w:rFonts w:hint="default"/>
        <w:b w:val="0"/>
        <w:bCs w:val="0"/>
        <w:i w:val="0"/>
        <w:iCs w:val="0"/>
        <w:spacing w:val="0"/>
        <w:w w:val="100"/>
        <w:sz w:val="24"/>
        <w:szCs w:val="24"/>
        <w:lang w:val="en-US" w:eastAsia="en-US" w:bidi="ar-SA"/>
      </w:rPr>
    </w:lvl>
    <w:lvl w:ilvl="1" w:tplc="FFFFFFFF">
      <w:numFmt w:val="bullet"/>
      <w:lvlText w:val="•"/>
      <w:lvlJc w:val="left"/>
      <w:pPr>
        <w:ind w:left="1382" w:hanging="360"/>
      </w:pPr>
      <w:rPr>
        <w:rFonts w:hint="default"/>
        <w:lang w:val="en-US" w:eastAsia="en-US" w:bidi="ar-SA"/>
      </w:rPr>
    </w:lvl>
    <w:lvl w:ilvl="2" w:tplc="FFFFFFFF">
      <w:numFmt w:val="bullet"/>
      <w:lvlText w:val="•"/>
      <w:lvlJc w:val="left"/>
      <w:pPr>
        <w:ind w:left="2304" w:hanging="360"/>
      </w:pPr>
      <w:rPr>
        <w:rFonts w:hint="default"/>
        <w:lang w:val="en-US" w:eastAsia="en-US" w:bidi="ar-SA"/>
      </w:rPr>
    </w:lvl>
    <w:lvl w:ilvl="3" w:tplc="FFFFFFFF">
      <w:numFmt w:val="bullet"/>
      <w:lvlText w:val="•"/>
      <w:lvlJc w:val="left"/>
      <w:pPr>
        <w:ind w:left="3226" w:hanging="360"/>
      </w:pPr>
      <w:rPr>
        <w:rFonts w:hint="default"/>
        <w:lang w:val="en-US" w:eastAsia="en-US" w:bidi="ar-SA"/>
      </w:rPr>
    </w:lvl>
    <w:lvl w:ilvl="4" w:tplc="FFFFFFFF">
      <w:numFmt w:val="bullet"/>
      <w:lvlText w:val="•"/>
      <w:lvlJc w:val="left"/>
      <w:pPr>
        <w:ind w:left="4148"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992" w:hanging="360"/>
      </w:pPr>
      <w:rPr>
        <w:rFonts w:hint="default"/>
        <w:lang w:val="en-US" w:eastAsia="en-US" w:bidi="ar-SA"/>
      </w:rPr>
    </w:lvl>
    <w:lvl w:ilvl="7" w:tplc="FFFFFFFF">
      <w:numFmt w:val="bullet"/>
      <w:lvlText w:val="•"/>
      <w:lvlJc w:val="left"/>
      <w:pPr>
        <w:ind w:left="6914" w:hanging="360"/>
      </w:pPr>
      <w:rPr>
        <w:rFonts w:hint="default"/>
        <w:lang w:val="en-US" w:eastAsia="en-US" w:bidi="ar-SA"/>
      </w:rPr>
    </w:lvl>
    <w:lvl w:ilvl="8" w:tplc="FFFFFFFF">
      <w:numFmt w:val="bullet"/>
      <w:lvlText w:val="•"/>
      <w:lvlJc w:val="left"/>
      <w:pPr>
        <w:ind w:left="7836" w:hanging="360"/>
      </w:pPr>
      <w:rPr>
        <w:rFonts w:hint="default"/>
        <w:lang w:val="en-US" w:eastAsia="en-US" w:bidi="ar-SA"/>
      </w:rPr>
    </w:lvl>
  </w:abstractNum>
  <w:abstractNum w:abstractNumId="2" w15:restartNumberingAfterBreak="0">
    <w:nsid w:val="01EC5CA7"/>
    <w:multiLevelType w:val="hybridMultilevel"/>
    <w:tmpl w:val="77F0A076"/>
    <w:name w:val="GP_MS4_T.T222222222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0C294C"/>
    <w:multiLevelType w:val="hybridMultilevel"/>
    <w:tmpl w:val="FAA8B58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27E5838"/>
    <w:multiLevelType w:val="hybridMultilevel"/>
    <w:tmpl w:val="4BB83D50"/>
    <w:styleLink w:val="ListAttG"/>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31E4C55"/>
    <w:multiLevelType w:val="hybridMultilevel"/>
    <w:tmpl w:val="36E8AA12"/>
    <w:lvl w:ilvl="0" w:tplc="CA829A36">
      <w:start w:val="1"/>
      <w:numFmt w:val="lowerLetter"/>
      <w:pStyle w:val="List"/>
      <w:lvlText w:val="%1."/>
      <w:lvlJc w:val="left"/>
      <w:pPr>
        <w:tabs>
          <w:tab w:val="num" w:pos="720"/>
        </w:tabs>
        <w:ind w:left="720" w:hanging="360"/>
      </w:pPr>
      <w:rPr>
        <w:rFonts w:hint="default"/>
      </w:rPr>
    </w:lvl>
    <w:lvl w:ilvl="1" w:tplc="8EEED820">
      <w:start w:val="1"/>
      <w:numFmt w:val="bullet"/>
      <w:lvlText w:val=""/>
      <w:lvlJc w:val="left"/>
      <w:pPr>
        <w:tabs>
          <w:tab w:val="num" w:pos="1080"/>
        </w:tabs>
        <w:ind w:left="1080" w:hanging="360"/>
      </w:pPr>
      <w:rPr>
        <w:rFonts w:hint="default" w:ascii="Symbol" w:hAnsi="Symbol"/>
        <w:b w:val="0"/>
        <w:i w:val="0"/>
      </w:rPr>
    </w:lvl>
    <w:lvl w:ilvl="2" w:tplc="C0CE3778">
      <w:start w:val="1"/>
      <w:numFmt w:val="lowerRoman"/>
      <w:lvlText w:val="%3)"/>
      <w:lvlJc w:val="left"/>
      <w:pPr>
        <w:tabs>
          <w:tab w:val="num" w:pos="1080"/>
        </w:tabs>
        <w:ind w:left="1080" w:hanging="360"/>
      </w:pPr>
      <w:rPr>
        <w:rFonts w:hint="default"/>
      </w:rPr>
    </w:lvl>
    <w:lvl w:ilvl="3" w:tplc="4CA6E394">
      <w:start w:val="1"/>
      <w:numFmt w:val="decimal"/>
      <w:lvlText w:val="(%4)"/>
      <w:lvlJc w:val="left"/>
      <w:pPr>
        <w:tabs>
          <w:tab w:val="num" w:pos="1440"/>
        </w:tabs>
        <w:ind w:left="1440" w:hanging="360"/>
      </w:pPr>
      <w:rPr>
        <w:rFonts w:hint="default"/>
      </w:rPr>
    </w:lvl>
    <w:lvl w:ilvl="4" w:tplc="65C81EEC">
      <w:start w:val="1"/>
      <w:numFmt w:val="lowerLetter"/>
      <w:lvlText w:val="(%5)"/>
      <w:lvlJc w:val="left"/>
      <w:pPr>
        <w:tabs>
          <w:tab w:val="num" w:pos="1800"/>
        </w:tabs>
        <w:ind w:left="1800" w:hanging="360"/>
      </w:pPr>
      <w:rPr>
        <w:rFonts w:hint="default"/>
      </w:rPr>
    </w:lvl>
    <w:lvl w:ilvl="5" w:tplc="AB405250">
      <w:start w:val="1"/>
      <w:numFmt w:val="lowerRoman"/>
      <w:lvlText w:val="(%6)"/>
      <w:lvlJc w:val="left"/>
      <w:pPr>
        <w:tabs>
          <w:tab w:val="num" w:pos="2160"/>
        </w:tabs>
        <w:ind w:left="2160" w:hanging="360"/>
      </w:pPr>
      <w:rPr>
        <w:rFonts w:hint="default"/>
      </w:rPr>
    </w:lvl>
    <w:lvl w:ilvl="6" w:tplc="25582354">
      <w:start w:val="1"/>
      <w:numFmt w:val="decimal"/>
      <w:lvlText w:val="%7."/>
      <w:lvlJc w:val="left"/>
      <w:pPr>
        <w:tabs>
          <w:tab w:val="num" w:pos="2520"/>
        </w:tabs>
        <w:ind w:left="2520" w:hanging="360"/>
      </w:pPr>
      <w:rPr>
        <w:rFonts w:hint="default"/>
      </w:rPr>
    </w:lvl>
    <w:lvl w:ilvl="7" w:tplc="CEAC4470">
      <w:start w:val="1"/>
      <w:numFmt w:val="lowerLetter"/>
      <w:lvlText w:val="%8."/>
      <w:lvlJc w:val="left"/>
      <w:pPr>
        <w:tabs>
          <w:tab w:val="num" w:pos="2880"/>
        </w:tabs>
        <w:ind w:left="2880" w:hanging="360"/>
      </w:pPr>
      <w:rPr>
        <w:rFonts w:hint="default"/>
      </w:rPr>
    </w:lvl>
    <w:lvl w:ilvl="8" w:tplc="028C1BFA">
      <w:start w:val="1"/>
      <w:numFmt w:val="lowerRoman"/>
      <w:lvlText w:val="%9."/>
      <w:lvlJc w:val="left"/>
      <w:pPr>
        <w:tabs>
          <w:tab w:val="num" w:pos="3240"/>
        </w:tabs>
        <w:ind w:left="3240" w:hanging="360"/>
      </w:pPr>
      <w:rPr>
        <w:rFonts w:hint="default"/>
      </w:rPr>
    </w:lvl>
  </w:abstractNum>
  <w:abstractNum w:abstractNumId="6" w15:restartNumberingAfterBreak="0">
    <w:nsid w:val="039810E7"/>
    <w:multiLevelType w:val="hybridMultilevel"/>
    <w:tmpl w:val="319C9400"/>
    <w:name w:val="LISTIE2222222222222222"/>
    <w:lvl w:ilvl="0" w:tplc="E2208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6080F"/>
    <w:multiLevelType w:val="hybridMultilevel"/>
    <w:tmpl w:val="5122D5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86D7C96"/>
    <w:multiLevelType w:val="hybridMultilevel"/>
    <w:tmpl w:val="BB86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112A93"/>
    <w:multiLevelType w:val="hybridMultilevel"/>
    <w:tmpl w:val="20746D4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0C316CA6"/>
    <w:multiLevelType w:val="hybridMultilevel"/>
    <w:tmpl w:val="4BD0ECD8"/>
    <w:lvl w:ilvl="0" w:tplc="76DA2810">
      <w:start w:val="1"/>
      <w:numFmt w:val="upperRoman"/>
      <w:pStyle w:val="Headings1-D"/>
      <w:lvlText w:val="%1."/>
      <w:lvlJc w:val="left"/>
      <w:pPr>
        <w:tabs>
          <w:tab w:val="num" w:pos="468"/>
        </w:tabs>
        <w:ind w:left="468" w:hanging="468"/>
      </w:pPr>
      <w:rPr>
        <w:rFonts w:hint="default" w:ascii="Arial Bold" w:hAnsi="Arial Bold"/>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C0C52"/>
    <w:multiLevelType w:val="hybridMultilevel"/>
    <w:tmpl w:val="5B6C909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0CFF5280"/>
    <w:multiLevelType w:val="hybridMultilevel"/>
    <w:tmpl w:val="A028BCF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10C219D7"/>
    <w:multiLevelType w:val="hybridMultilevel"/>
    <w:tmpl w:val="8CDEC41A"/>
    <w:lvl w:ilvl="0" w:tplc="04090019">
      <w:start w:val="1"/>
      <w:numFmt w:val="lowerLetter"/>
      <w:lvlText w:val="%1."/>
      <w:lvlJc w:val="left"/>
      <w:pPr>
        <w:ind w:left="1980" w:hanging="360"/>
      </w:pPr>
      <w:rPr>
        <w:rFonts w:hint="default"/>
      </w:rPr>
    </w:lvl>
    <w:lvl w:ilvl="1" w:tplc="04090003">
      <w:start w:val="1"/>
      <w:numFmt w:val="bullet"/>
      <w:lvlText w:val="o"/>
      <w:lvlJc w:val="left"/>
      <w:pPr>
        <w:ind w:left="2700" w:hanging="360"/>
      </w:pPr>
      <w:rPr>
        <w:rFonts w:hint="default" w:ascii="Courier New" w:hAnsi="Courier New" w:cs="Courier New"/>
      </w:rPr>
    </w:lvl>
    <w:lvl w:ilvl="2" w:tplc="04090005" w:tentative="1">
      <w:start w:val="1"/>
      <w:numFmt w:val="bullet"/>
      <w:lvlText w:val=""/>
      <w:lvlJc w:val="left"/>
      <w:pPr>
        <w:ind w:left="3420" w:hanging="360"/>
      </w:pPr>
      <w:rPr>
        <w:rFonts w:hint="default" w:ascii="Wingdings" w:hAnsi="Wingdings"/>
      </w:rPr>
    </w:lvl>
    <w:lvl w:ilvl="3" w:tplc="04090001" w:tentative="1">
      <w:start w:val="1"/>
      <w:numFmt w:val="bullet"/>
      <w:lvlText w:val=""/>
      <w:lvlJc w:val="left"/>
      <w:pPr>
        <w:ind w:left="4140" w:hanging="360"/>
      </w:pPr>
      <w:rPr>
        <w:rFonts w:hint="default" w:ascii="Symbol" w:hAnsi="Symbol"/>
      </w:rPr>
    </w:lvl>
    <w:lvl w:ilvl="4" w:tplc="04090003" w:tentative="1">
      <w:start w:val="1"/>
      <w:numFmt w:val="bullet"/>
      <w:lvlText w:val="o"/>
      <w:lvlJc w:val="left"/>
      <w:pPr>
        <w:ind w:left="4860" w:hanging="360"/>
      </w:pPr>
      <w:rPr>
        <w:rFonts w:hint="default" w:ascii="Courier New" w:hAnsi="Courier New" w:cs="Courier New"/>
      </w:rPr>
    </w:lvl>
    <w:lvl w:ilvl="5" w:tplc="04090005" w:tentative="1">
      <w:start w:val="1"/>
      <w:numFmt w:val="bullet"/>
      <w:lvlText w:val=""/>
      <w:lvlJc w:val="left"/>
      <w:pPr>
        <w:ind w:left="5580" w:hanging="360"/>
      </w:pPr>
      <w:rPr>
        <w:rFonts w:hint="default" w:ascii="Wingdings" w:hAnsi="Wingdings"/>
      </w:rPr>
    </w:lvl>
    <w:lvl w:ilvl="6" w:tplc="04090001" w:tentative="1">
      <w:start w:val="1"/>
      <w:numFmt w:val="bullet"/>
      <w:lvlText w:val=""/>
      <w:lvlJc w:val="left"/>
      <w:pPr>
        <w:ind w:left="6300" w:hanging="360"/>
      </w:pPr>
      <w:rPr>
        <w:rFonts w:hint="default" w:ascii="Symbol" w:hAnsi="Symbol"/>
      </w:rPr>
    </w:lvl>
    <w:lvl w:ilvl="7" w:tplc="04090003" w:tentative="1">
      <w:start w:val="1"/>
      <w:numFmt w:val="bullet"/>
      <w:lvlText w:val="o"/>
      <w:lvlJc w:val="left"/>
      <w:pPr>
        <w:ind w:left="7020" w:hanging="360"/>
      </w:pPr>
      <w:rPr>
        <w:rFonts w:hint="default" w:ascii="Courier New" w:hAnsi="Courier New" w:cs="Courier New"/>
      </w:rPr>
    </w:lvl>
    <w:lvl w:ilvl="8" w:tplc="04090005" w:tentative="1">
      <w:start w:val="1"/>
      <w:numFmt w:val="bullet"/>
      <w:lvlText w:val=""/>
      <w:lvlJc w:val="left"/>
      <w:pPr>
        <w:ind w:left="7740" w:hanging="360"/>
      </w:pPr>
      <w:rPr>
        <w:rFonts w:hint="default" w:ascii="Wingdings" w:hAnsi="Wingdings"/>
      </w:rPr>
    </w:lvl>
  </w:abstractNum>
  <w:abstractNum w:abstractNumId="14" w15:restartNumberingAfterBreak="0">
    <w:nsid w:val="14733E54"/>
    <w:multiLevelType w:val="multilevel"/>
    <w:tmpl w:val="15748874"/>
    <w:lvl w:ilvl="0">
      <w:start w:val="1"/>
      <w:numFmt w:val="lowerLetter"/>
      <w:lvlText w:val="%1."/>
      <w:lvlJc w:val="left"/>
      <w:pPr>
        <w:ind w:left="1350" w:hanging="360"/>
      </w:pPr>
      <w:rPr>
        <w:rFonts w:hint="default"/>
        <w:color w:val="000000" w:themeColor="text1"/>
      </w:rPr>
    </w:lvl>
    <w:lvl w:ilvl="1">
      <w:start w:val="3"/>
      <w:numFmt w:val="decimal"/>
      <w:isLgl/>
      <w:lvlText w:val="%1.%2"/>
      <w:lvlJc w:val="left"/>
      <w:pPr>
        <w:ind w:left="2070" w:hanging="1080"/>
      </w:pPr>
      <w:rPr>
        <w:rFonts w:hint="default"/>
      </w:rPr>
    </w:lvl>
    <w:lvl w:ilvl="2">
      <w:start w:val="2"/>
      <w:numFmt w:val="decimal"/>
      <w:isLgl/>
      <w:lvlText w:val="%1.%2.%3"/>
      <w:lvlJc w:val="left"/>
      <w:pPr>
        <w:ind w:left="1710" w:hanging="108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15" w15:restartNumberingAfterBreak="0">
    <w:nsid w:val="159A766F"/>
    <w:multiLevelType w:val="hybridMultilevel"/>
    <w:tmpl w:val="8B860FBC"/>
    <w:lvl w:ilvl="0" w:tplc="169CAE44">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77B18"/>
    <w:multiLevelType w:val="hybridMultilevel"/>
    <w:tmpl w:val="2A5C73BC"/>
    <w:lvl w:ilvl="0" w:tplc="30C8B5D0">
      <w:start w:val="1"/>
      <w:numFmt w:val="decimal"/>
      <w:lvlText w:val="%1."/>
      <w:lvlJc w:val="left"/>
      <w:pPr>
        <w:ind w:left="7020" w:hanging="360"/>
      </w:pPr>
      <w:rPr>
        <w:rFonts w:hint="default" w:ascii="Arial" w:hAnsi="Arial"/>
        <w:b w:val="0"/>
        <w:i w:val="0"/>
        <w:sz w:val="24"/>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7" w15:restartNumberingAfterBreak="0">
    <w:nsid w:val="15FE6300"/>
    <w:multiLevelType w:val="hybridMultilevel"/>
    <w:tmpl w:val="5B6C9094"/>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8" w15:restartNumberingAfterBreak="0">
    <w:nsid w:val="185E0D5C"/>
    <w:multiLevelType w:val="hybridMultilevel"/>
    <w:tmpl w:val="9E6638AA"/>
    <w:lvl w:ilvl="0" w:tplc="0409000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9" w15:restartNumberingAfterBreak="0">
    <w:nsid w:val="19993917"/>
    <w:multiLevelType w:val="hybridMultilevel"/>
    <w:tmpl w:val="0AB04566"/>
    <w:lvl w:ilvl="0" w:tplc="B5643DC4">
      <w:start w:val="1"/>
      <w:numFmt w:val="upperLetter"/>
      <w:pStyle w:val="Headings2"/>
      <w:lvlText w:val="%1."/>
      <w:lvlJc w:val="left"/>
      <w:pPr>
        <w:tabs>
          <w:tab w:val="num" w:pos="936"/>
        </w:tabs>
        <w:ind w:left="936" w:hanging="468"/>
      </w:pPr>
      <w:rPr>
        <w:rFonts w:hint="default" w:ascii="Arial Bold" w:hAnsi="Arial Bold"/>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273FA7"/>
    <w:multiLevelType w:val="hybridMultilevel"/>
    <w:tmpl w:val="24D45BBC"/>
    <w:lvl w:ilvl="0" w:tplc="A732CDDA">
      <w:start w:val="1"/>
      <w:numFmt w:val="lowerLetter"/>
      <w:lvlText w:val="%1."/>
      <w:lvlJc w:val="left"/>
      <w:pPr>
        <w:ind w:left="345" w:hanging="238"/>
      </w:pPr>
      <w:rPr>
        <w:rFonts w:hint="default" w:ascii="Arial" w:hAnsi="Arial" w:eastAsia="Arial" w:cs="Arial"/>
        <w:b w:val="0"/>
        <w:bCs w:val="0"/>
        <w:i w:val="0"/>
        <w:iCs w:val="0"/>
        <w:spacing w:val="-1"/>
        <w:w w:val="100"/>
        <w:sz w:val="24"/>
        <w:szCs w:val="24"/>
        <w:vertAlign w:val="superscript"/>
        <w:lang w:val="en-US" w:eastAsia="en-US" w:bidi="ar-SA"/>
      </w:rPr>
    </w:lvl>
    <w:lvl w:ilvl="1" w:tplc="9F9A72F8">
      <w:numFmt w:val="bullet"/>
      <w:lvlText w:val="•"/>
      <w:lvlJc w:val="left"/>
      <w:pPr>
        <w:ind w:left="1232" w:hanging="238"/>
      </w:pPr>
      <w:rPr>
        <w:rFonts w:hint="default"/>
        <w:lang w:val="en-US" w:eastAsia="en-US" w:bidi="ar-SA"/>
      </w:rPr>
    </w:lvl>
    <w:lvl w:ilvl="2" w:tplc="05EA5636">
      <w:numFmt w:val="bullet"/>
      <w:lvlText w:val="•"/>
      <w:lvlJc w:val="left"/>
      <w:pPr>
        <w:ind w:left="2124" w:hanging="238"/>
      </w:pPr>
      <w:rPr>
        <w:rFonts w:hint="default"/>
        <w:lang w:val="en-US" w:eastAsia="en-US" w:bidi="ar-SA"/>
      </w:rPr>
    </w:lvl>
    <w:lvl w:ilvl="3" w:tplc="C20002F4">
      <w:numFmt w:val="bullet"/>
      <w:lvlText w:val="•"/>
      <w:lvlJc w:val="left"/>
      <w:pPr>
        <w:ind w:left="3016" w:hanging="238"/>
      </w:pPr>
      <w:rPr>
        <w:rFonts w:hint="default"/>
        <w:lang w:val="en-US" w:eastAsia="en-US" w:bidi="ar-SA"/>
      </w:rPr>
    </w:lvl>
    <w:lvl w:ilvl="4" w:tplc="9D6477E2">
      <w:numFmt w:val="bullet"/>
      <w:lvlText w:val="•"/>
      <w:lvlJc w:val="left"/>
      <w:pPr>
        <w:ind w:left="3908" w:hanging="238"/>
      </w:pPr>
      <w:rPr>
        <w:rFonts w:hint="default"/>
        <w:lang w:val="en-US" w:eastAsia="en-US" w:bidi="ar-SA"/>
      </w:rPr>
    </w:lvl>
    <w:lvl w:ilvl="5" w:tplc="814EEC00">
      <w:numFmt w:val="bullet"/>
      <w:lvlText w:val="•"/>
      <w:lvlJc w:val="left"/>
      <w:pPr>
        <w:ind w:left="4800" w:hanging="238"/>
      </w:pPr>
      <w:rPr>
        <w:rFonts w:hint="default"/>
        <w:lang w:val="en-US" w:eastAsia="en-US" w:bidi="ar-SA"/>
      </w:rPr>
    </w:lvl>
    <w:lvl w:ilvl="6" w:tplc="49BC3F86">
      <w:numFmt w:val="bullet"/>
      <w:lvlText w:val="•"/>
      <w:lvlJc w:val="left"/>
      <w:pPr>
        <w:ind w:left="5692" w:hanging="238"/>
      </w:pPr>
      <w:rPr>
        <w:rFonts w:hint="default"/>
        <w:lang w:val="en-US" w:eastAsia="en-US" w:bidi="ar-SA"/>
      </w:rPr>
    </w:lvl>
    <w:lvl w:ilvl="7" w:tplc="855463E8">
      <w:numFmt w:val="bullet"/>
      <w:lvlText w:val="•"/>
      <w:lvlJc w:val="left"/>
      <w:pPr>
        <w:ind w:left="6584" w:hanging="238"/>
      </w:pPr>
      <w:rPr>
        <w:rFonts w:hint="default"/>
        <w:lang w:val="en-US" w:eastAsia="en-US" w:bidi="ar-SA"/>
      </w:rPr>
    </w:lvl>
    <w:lvl w:ilvl="8" w:tplc="237CCB7A">
      <w:numFmt w:val="bullet"/>
      <w:lvlText w:val="•"/>
      <w:lvlJc w:val="left"/>
      <w:pPr>
        <w:ind w:left="7476" w:hanging="238"/>
      </w:pPr>
      <w:rPr>
        <w:rFonts w:hint="default"/>
        <w:lang w:val="en-US" w:eastAsia="en-US" w:bidi="ar-SA"/>
      </w:rPr>
    </w:lvl>
  </w:abstractNum>
  <w:abstractNum w:abstractNumId="21" w15:restartNumberingAfterBreak="0">
    <w:nsid w:val="1CCD147A"/>
    <w:multiLevelType w:val="hybridMultilevel"/>
    <w:tmpl w:val="0264EEE4"/>
    <w:lvl w:ilvl="0" w:tplc="0409000F">
      <w:start w:val="1"/>
      <w:numFmt w:val="decimal"/>
      <w:lvlText w:val="%1."/>
      <w:lvlJc w:val="left"/>
      <w:pPr>
        <w:ind w:left="1980" w:hanging="360"/>
      </w:pPr>
      <w:rPr>
        <w:rFonts w:hint="default"/>
      </w:rPr>
    </w:lvl>
    <w:lvl w:ilvl="1" w:tplc="FFFFFFFF" w:tentative="1">
      <w:start w:val="1"/>
      <w:numFmt w:val="bullet"/>
      <w:lvlText w:val="o"/>
      <w:lvlJc w:val="left"/>
      <w:pPr>
        <w:ind w:left="2700" w:hanging="360"/>
      </w:pPr>
      <w:rPr>
        <w:rFonts w:hint="default" w:ascii="Courier New" w:hAnsi="Courier New" w:cs="Courier New"/>
      </w:rPr>
    </w:lvl>
    <w:lvl w:ilvl="2" w:tplc="FFFFFFFF" w:tentative="1">
      <w:start w:val="1"/>
      <w:numFmt w:val="bullet"/>
      <w:lvlText w:val=""/>
      <w:lvlJc w:val="left"/>
      <w:pPr>
        <w:ind w:left="3420" w:hanging="360"/>
      </w:pPr>
      <w:rPr>
        <w:rFonts w:hint="default" w:ascii="Wingdings" w:hAnsi="Wingdings"/>
      </w:rPr>
    </w:lvl>
    <w:lvl w:ilvl="3" w:tplc="FFFFFFFF" w:tentative="1">
      <w:start w:val="1"/>
      <w:numFmt w:val="bullet"/>
      <w:lvlText w:val=""/>
      <w:lvlJc w:val="left"/>
      <w:pPr>
        <w:ind w:left="4140" w:hanging="360"/>
      </w:pPr>
      <w:rPr>
        <w:rFonts w:hint="default" w:ascii="Symbol" w:hAnsi="Symbol"/>
      </w:rPr>
    </w:lvl>
    <w:lvl w:ilvl="4" w:tplc="FFFFFFFF" w:tentative="1">
      <w:start w:val="1"/>
      <w:numFmt w:val="bullet"/>
      <w:lvlText w:val="o"/>
      <w:lvlJc w:val="left"/>
      <w:pPr>
        <w:ind w:left="4860" w:hanging="360"/>
      </w:pPr>
      <w:rPr>
        <w:rFonts w:hint="default" w:ascii="Courier New" w:hAnsi="Courier New" w:cs="Courier New"/>
      </w:rPr>
    </w:lvl>
    <w:lvl w:ilvl="5" w:tplc="FFFFFFFF" w:tentative="1">
      <w:start w:val="1"/>
      <w:numFmt w:val="bullet"/>
      <w:lvlText w:val=""/>
      <w:lvlJc w:val="left"/>
      <w:pPr>
        <w:ind w:left="5580" w:hanging="360"/>
      </w:pPr>
      <w:rPr>
        <w:rFonts w:hint="default" w:ascii="Wingdings" w:hAnsi="Wingdings"/>
      </w:rPr>
    </w:lvl>
    <w:lvl w:ilvl="6" w:tplc="FFFFFFFF" w:tentative="1">
      <w:start w:val="1"/>
      <w:numFmt w:val="bullet"/>
      <w:lvlText w:val=""/>
      <w:lvlJc w:val="left"/>
      <w:pPr>
        <w:ind w:left="6300" w:hanging="360"/>
      </w:pPr>
      <w:rPr>
        <w:rFonts w:hint="default" w:ascii="Symbol" w:hAnsi="Symbol"/>
      </w:rPr>
    </w:lvl>
    <w:lvl w:ilvl="7" w:tplc="FFFFFFFF" w:tentative="1">
      <w:start w:val="1"/>
      <w:numFmt w:val="bullet"/>
      <w:lvlText w:val="o"/>
      <w:lvlJc w:val="left"/>
      <w:pPr>
        <w:ind w:left="7020" w:hanging="360"/>
      </w:pPr>
      <w:rPr>
        <w:rFonts w:hint="default" w:ascii="Courier New" w:hAnsi="Courier New" w:cs="Courier New"/>
      </w:rPr>
    </w:lvl>
    <w:lvl w:ilvl="8" w:tplc="FFFFFFFF" w:tentative="1">
      <w:start w:val="1"/>
      <w:numFmt w:val="bullet"/>
      <w:lvlText w:val=""/>
      <w:lvlJc w:val="left"/>
      <w:pPr>
        <w:ind w:left="7740" w:hanging="360"/>
      </w:pPr>
      <w:rPr>
        <w:rFonts w:hint="default" w:ascii="Wingdings" w:hAnsi="Wingdings"/>
      </w:rPr>
    </w:lvl>
  </w:abstractNum>
  <w:abstractNum w:abstractNumId="22" w15:restartNumberingAfterBreak="0">
    <w:nsid w:val="1FD73907"/>
    <w:multiLevelType w:val="hybridMultilevel"/>
    <w:tmpl w:val="08202642"/>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3" w15:restartNumberingAfterBreak="0">
    <w:nsid w:val="207C5D6E"/>
    <w:multiLevelType w:val="hybridMultilevel"/>
    <w:tmpl w:val="E7C06E32"/>
    <w:lvl w:ilvl="0" w:tplc="91BA17C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21AE4BCA"/>
    <w:multiLevelType w:val="hybridMultilevel"/>
    <w:tmpl w:val="CD2EF0C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21C8201F"/>
    <w:multiLevelType w:val="hybridMultilevel"/>
    <w:tmpl w:val="A6661268"/>
    <w:lvl w:ilvl="0" w:tplc="7CDEB7B8">
      <w:start w:val="1"/>
      <w:numFmt w:val="decimal"/>
      <w:lvlText w:val="%1"/>
      <w:lvlJc w:val="left"/>
      <w:pPr>
        <w:ind w:left="2520" w:hanging="360"/>
      </w:pPr>
      <w:rPr>
        <w:rFonts w:ascii="Arial" w:hAnsi="Arial" w:cs="Arial" w:eastAsiaTheme="minorHAnsi"/>
        <w:vertAlign w:val="superscrip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32740A1"/>
    <w:multiLevelType w:val="hybridMultilevel"/>
    <w:tmpl w:val="BDA4D4F2"/>
    <w:lvl w:ilvl="0" w:tplc="3D5C5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3884C9D"/>
    <w:multiLevelType w:val="hybridMultilevel"/>
    <w:tmpl w:val="D7A091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65619C"/>
    <w:multiLevelType w:val="hybridMultilevel"/>
    <w:tmpl w:val="43962CC2"/>
    <w:lvl w:ilvl="0" w:tplc="04090019">
      <w:start w:val="1"/>
      <w:numFmt w:val="lowerLetter"/>
      <w:lvlText w:val="%1."/>
      <w:lvlJc w:val="left"/>
      <w:pPr>
        <w:ind w:left="1980" w:hanging="360"/>
      </w:pPr>
      <w:rPr>
        <w:rFonts w:hint="default"/>
      </w:rPr>
    </w:lvl>
    <w:lvl w:ilvl="1" w:tplc="FFFFFFFF">
      <w:start w:val="1"/>
      <w:numFmt w:val="bullet"/>
      <w:lvlText w:val="o"/>
      <w:lvlJc w:val="left"/>
      <w:pPr>
        <w:ind w:left="2700" w:hanging="360"/>
      </w:pPr>
      <w:rPr>
        <w:rFonts w:hint="default" w:ascii="Courier New" w:hAnsi="Courier New" w:cs="Courier New"/>
      </w:rPr>
    </w:lvl>
    <w:lvl w:ilvl="2" w:tplc="FFFFFFFF" w:tentative="1">
      <w:start w:val="1"/>
      <w:numFmt w:val="bullet"/>
      <w:lvlText w:val=""/>
      <w:lvlJc w:val="left"/>
      <w:pPr>
        <w:ind w:left="3420" w:hanging="360"/>
      </w:pPr>
      <w:rPr>
        <w:rFonts w:hint="default" w:ascii="Wingdings" w:hAnsi="Wingdings"/>
      </w:rPr>
    </w:lvl>
    <w:lvl w:ilvl="3" w:tplc="FFFFFFFF" w:tentative="1">
      <w:start w:val="1"/>
      <w:numFmt w:val="bullet"/>
      <w:lvlText w:val=""/>
      <w:lvlJc w:val="left"/>
      <w:pPr>
        <w:ind w:left="4140" w:hanging="360"/>
      </w:pPr>
      <w:rPr>
        <w:rFonts w:hint="default" w:ascii="Symbol" w:hAnsi="Symbol"/>
      </w:rPr>
    </w:lvl>
    <w:lvl w:ilvl="4" w:tplc="FFFFFFFF" w:tentative="1">
      <w:start w:val="1"/>
      <w:numFmt w:val="bullet"/>
      <w:lvlText w:val="o"/>
      <w:lvlJc w:val="left"/>
      <w:pPr>
        <w:ind w:left="4860" w:hanging="360"/>
      </w:pPr>
      <w:rPr>
        <w:rFonts w:hint="default" w:ascii="Courier New" w:hAnsi="Courier New" w:cs="Courier New"/>
      </w:rPr>
    </w:lvl>
    <w:lvl w:ilvl="5" w:tplc="FFFFFFFF" w:tentative="1">
      <w:start w:val="1"/>
      <w:numFmt w:val="bullet"/>
      <w:lvlText w:val=""/>
      <w:lvlJc w:val="left"/>
      <w:pPr>
        <w:ind w:left="5580" w:hanging="360"/>
      </w:pPr>
      <w:rPr>
        <w:rFonts w:hint="default" w:ascii="Wingdings" w:hAnsi="Wingdings"/>
      </w:rPr>
    </w:lvl>
    <w:lvl w:ilvl="6" w:tplc="FFFFFFFF" w:tentative="1">
      <w:start w:val="1"/>
      <w:numFmt w:val="bullet"/>
      <w:lvlText w:val=""/>
      <w:lvlJc w:val="left"/>
      <w:pPr>
        <w:ind w:left="6300" w:hanging="360"/>
      </w:pPr>
      <w:rPr>
        <w:rFonts w:hint="default" w:ascii="Symbol" w:hAnsi="Symbol"/>
      </w:rPr>
    </w:lvl>
    <w:lvl w:ilvl="7" w:tplc="FFFFFFFF" w:tentative="1">
      <w:start w:val="1"/>
      <w:numFmt w:val="bullet"/>
      <w:lvlText w:val="o"/>
      <w:lvlJc w:val="left"/>
      <w:pPr>
        <w:ind w:left="7020" w:hanging="360"/>
      </w:pPr>
      <w:rPr>
        <w:rFonts w:hint="default" w:ascii="Courier New" w:hAnsi="Courier New" w:cs="Courier New"/>
      </w:rPr>
    </w:lvl>
    <w:lvl w:ilvl="8" w:tplc="FFFFFFFF" w:tentative="1">
      <w:start w:val="1"/>
      <w:numFmt w:val="bullet"/>
      <w:lvlText w:val=""/>
      <w:lvlJc w:val="left"/>
      <w:pPr>
        <w:ind w:left="7740" w:hanging="360"/>
      </w:pPr>
      <w:rPr>
        <w:rFonts w:hint="default" w:ascii="Wingdings" w:hAnsi="Wingdings"/>
      </w:rPr>
    </w:lvl>
  </w:abstractNum>
  <w:abstractNum w:abstractNumId="29" w15:restartNumberingAfterBreak="0">
    <w:nsid w:val="255453A5"/>
    <w:multiLevelType w:val="hybridMultilevel"/>
    <w:tmpl w:val="9A10F5FC"/>
    <w:lvl w:ilvl="0" w:tplc="0409000F">
      <w:start w:val="1"/>
      <w:numFmt w:val="decimal"/>
      <w:lvlText w:val="%1."/>
      <w:lvlJc w:val="left"/>
      <w:pPr>
        <w:ind w:left="1980" w:hanging="360"/>
      </w:pPr>
      <w:rPr>
        <w:rFonts w:hint="default"/>
      </w:rPr>
    </w:lvl>
    <w:lvl w:ilvl="1" w:tplc="FFFFFFFF">
      <w:start w:val="1"/>
      <w:numFmt w:val="bullet"/>
      <w:lvlText w:val="o"/>
      <w:lvlJc w:val="left"/>
      <w:pPr>
        <w:ind w:left="2700" w:hanging="360"/>
      </w:pPr>
      <w:rPr>
        <w:rFonts w:hint="default" w:ascii="Courier New" w:hAnsi="Courier New" w:cs="Courier New"/>
      </w:rPr>
    </w:lvl>
    <w:lvl w:ilvl="2" w:tplc="FFFFFFFF" w:tentative="1">
      <w:start w:val="1"/>
      <w:numFmt w:val="bullet"/>
      <w:lvlText w:val=""/>
      <w:lvlJc w:val="left"/>
      <w:pPr>
        <w:ind w:left="3420" w:hanging="360"/>
      </w:pPr>
      <w:rPr>
        <w:rFonts w:hint="default" w:ascii="Wingdings" w:hAnsi="Wingdings"/>
      </w:rPr>
    </w:lvl>
    <w:lvl w:ilvl="3" w:tplc="FFFFFFFF" w:tentative="1">
      <w:start w:val="1"/>
      <w:numFmt w:val="bullet"/>
      <w:lvlText w:val=""/>
      <w:lvlJc w:val="left"/>
      <w:pPr>
        <w:ind w:left="4140" w:hanging="360"/>
      </w:pPr>
      <w:rPr>
        <w:rFonts w:hint="default" w:ascii="Symbol" w:hAnsi="Symbol"/>
      </w:rPr>
    </w:lvl>
    <w:lvl w:ilvl="4" w:tplc="FFFFFFFF" w:tentative="1">
      <w:start w:val="1"/>
      <w:numFmt w:val="bullet"/>
      <w:lvlText w:val="o"/>
      <w:lvlJc w:val="left"/>
      <w:pPr>
        <w:ind w:left="4860" w:hanging="360"/>
      </w:pPr>
      <w:rPr>
        <w:rFonts w:hint="default" w:ascii="Courier New" w:hAnsi="Courier New" w:cs="Courier New"/>
      </w:rPr>
    </w:lvl>
    <w:lvl w:ilvl="5" w:tplc="FFFFFFFF" w:tentative="1">
      <w:start w:val="1"/>
      <w:numFmt w:val="bullet"/>
      <w:lvlText w:val=""/>
      <w:lvlJc w:val="left"/>
      <w:pPr>
        <w:ind w:left="5580" w:hanging="360"/>
      </w:pPr>
      <w:rPr>
        <w:rFonts w:hint="default" w:ascii="Wingdings" w:hAnsi="Wingdings"/>
      </w:rPr>
    </w:lvl>
    <w:lvl w:ilvl="6" w:tplc="FFFFFFFF" w:tentative="1">
      <w:start w:val="1"/>
      <w:numFmt w:val="bullet"/>
      <w:lvlText w:val=""/>
      <w:lvlJc w:val="left"/>
      <w:pPr>
        <w:ind w:left="6300" w:hanging="360"/>
      </w:pPr>
      <w:rPr>
        <w:rFonts w:hint="default" w:ascii="Symbol" w:hAnsi="Symbol"/>
      </w:rPr>
    </w:lvl>
    <w:lvl w:ilvl="7" w:tplc="FFFFFFFF" w:tentative="1">
      <w:start w:val="1"/>
      <w:numFmt w:val="bullet"/>
      <w:lvlText w:val="o"/>
      <w:lvlJc w:val="left"/>
      <w:pPr>
        <w:ind w:left="7020" w:hanging="360"/>
      </w:pPr>
      <w:rPr>
        <w:rFonts w:hint="default" w:ascii="Courier New" w:hAnsi="Courier New" w:cs="Courier New"/>
      </w:rPr>
    </w:lvl>
    <w:lvl w:ilvl="8" w:tplc="FFFFFFFF" w:tentative="1">
      <w:start w:val="1"/>
      <w:numFmt w:val="bullet"/>
      <w:lvlText w:val=""/>
      <w:lvlJc w:val="left"/>
      <w:pPr>
        <w:ind w:left="7740" w:hanging="360"/>
      </w:pPr>
      <w:rPr>
        <w:rFonts w:hint="default" w:ascii="Wingdings" w:hAnsi="Wingdings"/>
      </w:rPr>
    </w:lvl>
  </w:abstractNum>
  <w:abstractNum w:abstractNumId="30" w15:restartNumberingAfterBreak="0">
    <w:nsid w:val="26D02785"/>
    <w:multiLevelType w:val="hybridMultilevel"/>
    <w:tmpl w:val="8AD46836"/>
    <w:lvl w:ilvl="0" w:tplc="B8E0FD36">
      <w:start w:val="1"/>
      <w:numFmt w:val="upperRoman"/>
      <w:pStyle w:val="Headings1-E"/>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826C86"/>
    <w:multiLevelType w:val="hybridMultilevel"/>
    <w:tmpl w:val="C07E3336"/>
    <w:lvl w:ilvl="0" w:tplc="26FA901A">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0A4241"/>
    <w:multiLevelType w:val="hybridMultilevel"/>
    <w:tmpl w:val="1856102E"/>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3" w15:restartNumberingAfterBreak="0">
    <w:nsid w:val="292B06C3"/>
    <w:multiLevelType w:val="hybridMultilevel"/>
    <w:tmpl w:val="4516E902"/>
    <w:lvl w:ilvl="0" w:tplc="04090001">
      <w:start w:val="1"/>
      <w:numFmt w:val="bullet"/>
      <w:lvlText w:val=""/>
      <w:lvlJc w:val="left"/>
      <w:pPr>
        <w:ind w:left="1980" w:hanging="360"/>
      </w:pPr>
      <w:rPr>
        <w:rFonts w:hint="default" w:ascii="Symbol" w:hAnsi="Symbol"/>
      </w:rPr>
    </w:lvl>
    <w:lvl w:ilvl="1" w:tplc="04090003" w:tentative="1">
      <w:start w:val="1"/>
      <w:numFmt w:val="bullet"/>
      <w:lvlText w:val="o"/>
      <w:lvlJc w:val="left"/>
      <w:pPr>
        <w:ind w:left="2700" w:hanging="360"/>
      </w:pPr>
      <w:rPr>
        <w:rFonts w:hint="default" w:ascii="Courier New" w:hAnsi="Courier New" w:cs="Courier New"/>
      </w:rPr>
    </w:lvl>
    <w:lvl w:ilvl="2" w:tplc="04090005" w:tentative="1">
      <w:start w:val="1"/>
      <w:numFmt w:val="bullet"/>
      <w:lvlText w:val=""/>
      <w:lvlJc w:val="left"/>
      <w:pPr>
        <w:ind w:left="3420" w:hanging="360"/>
      </w:pPr>
      <w:rPr>
        <w:rFonts w:hint="default" w:ascii="Wingdings" w:hAnsi="Wingdings"/>
      </w:rPr>
    </w:lvl>
    <w:lvl w:ilvl="3" w:tplc="04090001" w:tentative="1">
      <w:start w:val="1"/>
      <w:numFmt w:val="bullet"/>
      <w:lvlText w:val=""/>
      <w:lvlJc w:val="left"/>
      <w:pPr>
        <w:ind w:left="4140" w:hanging="360"/>
      </w:pPr>
      <w:rPr>
        <w:rFonts w:hint="default" w:ascii="Symbol" w:hAnsi="Symbol"/>
      </w:rPr>
    </w:lvl>
    <w:lvl w:ilvl="4" w:tplc="04090003" w:tentative="1">
      <w:start w:val="1"/>
      <w:numFmt w:val="bullet"/>
      <w:lvlText w:val="o"/>
      <w:lvlJc w:val="left"/>
      <w:pPr>
        <w:ind w:left="4860" w:hanging="360"/>
      </w:pPr>
      <w:rPr>
        <w:rFonts w:hint="default" w:ascii="Courier New" w:hAnsi="Courier New" w:cs="Courier New"/>
      </w:rPr>
    </w:lvl>
    <w:lvl w:ilvl="5" w:tplc="04090005" w:tentative="1">
      <w:start w:val="1"/>
      <w:numFmt w:val="bullet"/>
      <w:lvlText w:val=""/>
      <w:lvlJc w:val="left"/>
      <w:pPr>
        <w:ind w:left="5580" w:hanging="360"/>
      </w:pPr>
      <w:rPr>
        <w:rFonts w:hint="default" w:ascii="Wingdings" w:hAnsi="Wingdings"/>
      </w:rPr>
    </w:lvl>
    <w:lvl w:ilvl="6" w:tplc="04090001" w:tentative="1">
      <w:start w:val="1"/>
      <w:numFmt w:val="bullet"/>
      <w:lvlText w:val=""/>
      <w:lvlJc w:val="left"/>
      <w:pPr>
        <w:ind w:left="6300" w:hanging="360"/>
      </w:pPr>
      <w:rPr>
        <w:rFonts w:hint="default" w:ascii="Symbol" w:hAnsi="Symbol"/>
      </w:rPr>
    </w:lvl>
    <w:lvl w:ilvl="7" w:tplc="04090003" w:tentative="1">
      <w:start w:val="1"/>
      <w:numFmt w:val="bullet"/>
      <w:lvlText w:val="o"/>
      <w:lvlJc w:val="left"/>
      <w:pPr>
        <w:ind w:left="7020" w:hanging="360"/>
      </w:pPr>
      <w:rPr>
        <w:rFonts w:hint="default" w:ascii="Courier New" w:hAnsi="Courier New" w:cs="Courier New"/>
      </w:rPr>
    </w:lvl>
    <w:lvl w:ilvl="8" w:tplc="04090005" w:tentative="1">
      <w:start w:val="1"/>
      <w:numFmt w:val="bullet"/>
      <w:lvlText w:val=""/>
      <w:lvlJc w:val="left"/>
      <w:pPr>
        <w:ind w:left="7740" w:hanging="360"/>
      </w:pPr>
      <w:rPr>
        <w:rFonts w:hint="default" w:ascii="Wingdings" w:hAnsi="Wingdings"/>
      </w:rPr>
    </w:lvl>
  </w:abstractNum>
  <w:abstractNum w:abstractNumId="34" w15:restartNumberingAfterBreak="0">
    <w:nsid w:val="2F563DD7"/>
    <w:multiLevelType w:val="hybridMultilevel"/>
    <w:tmpl w:val="0BD2F916"/>
    <w:lvl w:ilvl="0" w:tplc="04090019">
      <w:start w:val="1"/>
      <w:numFmt w:val="lowerLetter"/>
      <w:lvlText w:val="%1."/>
      <w:lvlJc w:val="left"/>
      <w:pPr>
        <w:ind w:left="2160" w:hanging="360"/>
      </w:pPr>
    </w:lvl>
    <w:lvl w:ilvl="1" w:tplc="77AC8844">
      <w:start w:val="1"/>
      <w:numFmt w:val="lowerLetter"/>
      <w:pStyle w:val="Letters-LowerCase"/>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FD412E0"/>
    <w:multiLevelType w:val="hybridMultilevel"/>
    <w:tmpl w:val="BF3C1200"/>
    <w:lvl w:ilvl="0" w:tplc="FFFFFFFF">
      <w:start w:val="1"/>
      <w:numFmt w:val="decimal"/>
      <w:pStyle w:val="NumberedList"/>
      <w:lvlText w:val="%1)"/>
      <w:lvlJc w:val="left"/>
      <w:pPr>
        <w:tabs>
          <w:tab w:val="left" w:pos="360"/>
        </w:tabs>
      </w:pPr>
      <w:rPr>
        <w:rFonts w:ascii="Times New Roman" w:hAnsi="Times New Roman"/>
        <w:b/>
        <w:i w:val="0"/>
        <w:caps w:val="0"/>
        <w:strike w:val="0"/>
        <w:dstrike w:val="0"/>
        <w:color w:val="000000"/>
        <w:sz w:val="22"/>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36" w15:restartNumberingAfterBreak="0">
    <w:nsid w:val="315412BF"/>
    <w:multiLevelType w:val="hybridMultilevel"/>
    <w:tmpl w:val="EC2C0F3A"/>
    <w:lvl w:ilvl="0" w:tplc="4AECD320">
      <w:start w:val="1"/>
      <w:numFmt w:val="decimal"/>
      <w:pStyle w:val="Headings3-F"/>
      <w:lvlText w:val="%1."/>
      <w:lvlJc w:val="left"/>
      <w:pPr>
        <w:tabs>
          <w:tab w:val="num" w:pos="1404"/>
        </w:tabs>
        <w:ind w:left="1404" w:hanging="468"/>
      </w:pPr>
      <w:rPr>
        <w:rFonts w:hint="default" w:ascii="Arial Bold" w:hAnsi="Arial Bold"/>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7F6684"/>
    <w:multiLevelType w:val="hybridMultilevel"/>
    <w:tmpl w:val="8CDEC41A"/>
    <w:lvl w:ilvl="0" w:tplc="FFFFFFFF">
      <w:start w:val="1"/>
      <w:numFmt w:val="lowerLetter"/>
      <w:lvlText w:val="%1."/>
      <w:lvlJc w:val="left"/>
      <w:pPr>
        <w:ind w:left="1980" w:hanging="360"/>
      </w:pPr>
      <w:rPr>
        <w:rFonts w:hint="default"/>
      </w:rPr>
    </w:lvl>
    <w:lvl w:ilvl="1" w:tplc="FFFFFFFF">
      <w:start w:val="1"/>
      <w:numFmt w:val="bullet"/>
      <w:lvlText w:val="o"/>
      <w:lvlJc w:val="left"/>
      <w:pPr>
        <w:ind w:left="2700" w:hanging="360"/>
      </w:pPr>
      <w:rPr>
        <w:rFonts w:hint="default" w:ascii="Courier New" w:hAnsi="Courier New" w:cs="Courier New"/>
      </w:rPr>
    </w:lvl>
    <w:lvl w:ilvl="2" w:tplc="FFFFFFFF" w:tentative="1">
      <w:start w:val="1"/>
      <w:numFmt w:val="bullet"/>
      <w:lvlText w:val=""/>
      <w:lvlJc w:val="left"/>
      <w:pPr>
        <w:ind w:left="3420" w:hanging="360"/>
      </w:pPr>
      <w:rPr>
        <w:rFonts w:hint="default" w:ascii="Wingdings" w:hAnsi="Wingdings"/>
      </w:rPr>
    </w:lvl>
    <w:lvl w:ilvl="3" w:tplc="FFFFFFFF" w:tentative="1">
      <w:start w:val="1"/>
      <w:numFmt w:val="bullet"/>
      <w:lvlText w:val=""/>
      <w:lvlJc w:val="left"/>
      <w:pPr>
        <w:ind w:left="4140" w:hanging="360"/>
      </w:pPr>
      <w:rPr>
        <w:rFonts w:hint="default" w:ascii="Symbol" w:hAnsi="Symbol"/>
      </w:rPr>
    </w:lvl>
    <w:lvl w:ilvl="4" w:tplc="FFFFFFFF" w:tentative="1">
      <w:start w:val="1"/>
      <w:numFmt w:val="bullet"/>
      <w:lvlText w:val="o"/>
      <w:lvlJc w:val="left"/>
      <w:pPr>
        <w:ind w:left="4860" w:hanging="360"/>
      </w:pPr>
      <w:rPr>
        <w:rFonts w:hint="default" w:ascii="Courier New" w:hAnsi="Courier New" w:cs="Courier New"/>
      </w:rPr>
    </w:lvl>
    <w:lvl w:ilvl="5" w:tplc="FFFFFFFF" w:tentative="1">
      <w:start w:val="1"/>
      <w:numFmt w:val="bullet"/>
      <w:lvlText w:val=""/>
      <w:lvlJc w:val="left"/>
      <w:pPr>
        <w:ind w:left="5580" w:hanging="360"/>
      </w:pPr>
      <w:rPr>
        <w:rFonts w:hint="default" w:ascii="Wingdings" w:hAnsi="Wingdings"/>
      </w:rPr>
    </w:lvl>
    <w:lvl w:ilvl="6" w:tplc="FFFFFFFF" w:tentative="1">
      <w:start w:val="1"/>
      <w:numFmt w:val="bullet"/>
      <w:lvlText w:val=""/>
      <w:lvlJc w:val="left"/>
      <w:pPr>
        <w:ind w:left="6300" w:hanging="360"/>
      </w:pPr>
      <w:rPr>
        <w:rFonts w:hint="default" w:ascii="Symbol" w:hAnsi="Symbol"/>
      </w:rPr>
    </w:lvl>
    <w:lvl w:ilvl="7" w:tplc="FFFFFFFF" w:tentative="1">
      <w:start w:val="1"/>
      <w:numFmt w:val="bullet"/>
      <w:lvlText w:val="o"/>
      <w:lvlJc w:val="left"/>
      <w:pPr>
        <w:ind w:left="7020" w:hanging="360"/>
      </w:pPr>
      <w:rPr>
        <w:rFonts w:hint="default" w:ascii="Courier New" w:hAnsi="Courier New" w:cs="Courier New"/>
      </w:rPr>
    </w:lvl>
    <w:lvl w:ilvl="8" w:tplc="FFFFFFFF" w:tentative="1">
      <w:start w:val="1"/>
      <w:numFmt w:val="bullet"/>
      <w:lvlText w:val=""/>
      <w:lvlJc w:val="left"/>
      <w:pPr>
        <w:ind w:left="7740" w:hanging="360"/>
      </w:pPr>
      <w:rPr>
        <w:rFonts w:hint="default" w:ascii="Wingdings" w:hAnsi="Wingdings"/>
      </w:rPr>
    </w:lvl>
  </w:abstractNum>
  <w:abstractNum w:abstractNumId="38" w15:restartNumberingAfterBreak="0">
    <w:nsid w:val="340B53FF"/>
    <w:multiLevelType w:val="hybridMultilevel"/>
    <w:tmpl w:val="E93A1E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D2089C"/>
    <w:multiLevelType w:val="hybridMultilevel"/>
    <w:tmpl w:val="96A4930C"/>
    <w:lvl w:ilvl="0" w:tplc="9D0099D2">
      <w:start w:val="1"/>
      <w:numFmt w:val="upperRoman"/>
      <w:pStyle w:val="Headings1-F"/>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57F1C"/>
    <w:multiLevelType w:val="hybridMultilevel"/>
    <w:tmpl w:val="2F007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A54547"/>
    <w:multiLevelType w:val="hybridMultilevel"/>
    <w:tmpl w:val="CE4CAF3C"/>
    <w:lvl w:ilvl="0" w:tplc="F88EF220">
      <w:start w:val="1"/>
      <w:numFmt w:val="decimal"/>
      <w:pStyle w:val="Prohibitions1"/>
      <w:lvlText w:val="%1)"/>
      <w:lvlJc w:val="left"/>
      <w:pPr>
        <w:tabs>
          <w:tab w:val="num" w:pos="360"/>
        </w:tabs>
        <w:ind w:left="360" w:hanging="360"/>
      </w:pPr>
      <w:rPr>
        <w:rFonts w:hint="default" w:ascii="Times New Roman" w:hAnsi="Times New Roman"/>
        <w:b w:val="0"/>
        <w:i w:val="0"/>
        <w:sz w:val="24"/>
      </w:rPr>
    </w:lvl>
    <w:lvl w:ilvl="1" w:tplc="69D813A6">
      <w:start w:val="1"/>
      <w:numFmt w:val="lowerLetter"/>
      <w:pStyle w:val="Finding2"/>
      <w:lvlText w:val="%2."/>
      <w:lvlJc w:val="left"/>
      <w:pPr>
        <w:tabs>
          <w:tab w:val="num" w:pos="720"/>
        </w:tabs>
        <w:ind w:left="720" w:hanging="360"/>
      </w:pPr>
      <w:rPr>
        <w:rFonts w:hint="default" w:ascii="Times New Roman" w:hAnsi="Times New Roman"/>
        <w:b w:val="0"/>
        <w:i w:val="0"/>
      </w:rPr>
    </w:lvl>
    <w:lvl w:ilvl="2" w:tplc="17D46C8C">
      <w:start w:val="1"/>
      <w:numFmt w:val="lowerRoman"/>
      <w:lvlText w:val="%3)"/>
      <w:lvlJc w:val="left"/>
      <w:pPr>
        <w:tabs>
          <w:tab w:val="num" w:pos="1080"/>
        </w:tabs>
        <w:ind w:left="1080" w:hanging="360"/>
      </w:pPr>
      <w:rPr>
        <w:rFonts w:hint="default"/>
      </w:rPr>
    </w:lvl>
    <w:lvl w:ilvl="3" w:tplc="D9AAFE70">
      <w:start w:val="1"/>
      <w:numFmt w:val="decimal"/>
      <w:lvlText w:val="(%4)"/>
      <w:lvlJc w:val="left"/>
      <w:pPr>
        <w:tabs>
          <w:tab w:val="num" w:pos="1440"/>
        </w:tabs>
        <w:ind w:left="1440" w:hanging="360"/>
      </w:pPr>
      <w:rPr>
        <w:rFonts w:hint="default"/>
      </w:rPr>
    </w:lvl>
    <w:lvl w:ilvl="4" w:tplc="CB587D12">
      <w:start w:val="1"/>
      <w:numFmt w:val="lowerLetter"/>
      <w:lvlText w:val="(%5)"/>
      <w:lvlJc w:val="left"/>
      <w:pPr>
        <w:tabs>
          <w:tab w:val="num" w:pos="1800"/>
        </w:tabs>
        <w:ind w:left="1800" w:hanging="360"/>
      </w:pPr>
      <w:rPr>
        <w:rFonts w:hint="default"/>
      </w:rPr>
    </w:lvl>
    <w:lvl w:ilvl="5" w:tplc="90407136">
      <w:start w:val="1"/>
      <w:numFmt w:val="lowerRoman"/>
      <w:lvlText w:val="(%6)"/>
      <w:lvlJc w:val="left"/>
      <w:pPr>
        <w:tabs>
          <w:tab w:val="num" w:pos="2160"/>
        </w:tabs>
        <w:ind w:left="2160" w:hanging="360"/>
      </w:pPr>
      <w:rPr>
        <w:rFonts w:hint="default"/>
      </w:rPr>
    </w:lvl>
    <w:lvl w:ilvl="6" w:tplc="92541250">
      <w:start w:val="1"/>
      <w:numFmt w:val="decimal"/>
      <w:lvlText w:val="%7."/>
      <w:lvlJc w:val="left"/>
      <w:pPr>
        <w:tabs>
          <w:tab w:val="num" w:pos="2520"/>
        </w:tabs>
        <w:ind w:left="2520" w:hanging="360"/>
      </w:pPr>
      <w:rPr>
        <w:rFonts w:hint="default"/>
      </w:rPr>
    </w:lvl>
    <w:lvl w:ilvl="7" w:tplc="E44E2600">
      <w:start w:val="1"/>
      <w:numFmt w:val="lowerLetter"/>
      <w:lvlText w:val="%8."/>
      <w:lvlJc w:val="left"/>
      <w:pPr>
        <w:tabs>
          <w:tab w:val="num" w:pos="2880"/>
        </w:tabs>
        <w:ind w:left="2880" w:hanging="360"/>
      </w:pPr>
      <w:rPr>
        <w:rFonts w:hint="default"/>
      </w:rPr>
    </w:lvl>
    <w:lvl w:ilvl="8" w:tplc="30B87A9A">
      <w:start w:val="1"/>
      <w:numFmt w:val="lowerRoman"/>
      <w:lvlText w:val="%9."/>
      <w:lvlJc w:val="left"/>
      <w:pPr>
        <w:tabs>
          <w:tab w:val="num" w:pos="3240"/>
        </w:tabs>
        <w:ind w:left="3240" w:hanging="360"/>
      </w:pPr>
      <w:rPr>
        <w:rFonts w:hint="default"/>
      </w:rPr>
    </w:lvl>
  </w:abstractNum>
  <w:abstractNum w:abstractNumId="42" w15:restartNumberingAfterBreak="0">
    <w:nsid w:val="363D0211"/>
    <w:multiLevelType w:val="multilevel"/>
    <w:tmpl w:val="055CEFBE"/>
    <w:name w:val="List Att G22"/>
    <w:lvl w:ilvl="0">
      <w:start w:val="1"/>
      <w:numFmt w:val="decimal"/>
      <w:lvlText w:val="%1."/>
      <w:lvlJc w:val="left"/>
      <w:pPr>
        <w:ind w:left="504" w:hanging="360"/>
      </w:pPr>
      <w:rPr>
        <w:rFonts w:hint="default" w:ascii="Arial" w:hAnsi="Arial"/>
        <w:sz w:val="24"/>
      </w:rPr>
    </w:lvl>
    <w:lvl w:ilvl="1">
      <w:start w:val="1"/>
      <w:numFmt w:val="lowerLetter"/>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43" w15:restartNumberingAfterBreak="0">
    <w:nsid w:val="36884328"/>
    <w:multiLevelType w:val="hybridMultilevel"/>
    <w:tmpl w:val="8CDEC41A"/>
    <w:lvl w:ilvl="0" w:tplc="FFFFFFFF">
      <w:start w:val="1"/>
      <w:numFmt w:val="lowerLetter"/>
      <w:lvlText w:val="%1."/>
      <w:lvlJc w:val="left"/>
      <w:pPr>
        <w:ind w:left="1980" w:hanging="360"/>
      </w:pPr>
      <w:rPr>
        <w:rFonts w:hint="default"/>
      </w:rPr>
    </w:lvl>
    <w:lvl w:ilvl="1" w:tplc="FFFFFFFF">
      <w:start w:val="1"/>
      <w:numFmt w:val="bullet"/>
      <w:lvlText w:val="o"/>
      <w:lvlJc w:val="left"/>
      <w:pPr>
        <w:ind w:left="2700" w:hanging="360"/>
      </w:pPr>
      <w:rPr>
        <w:rFonts w:hint="default" w:ascii="Courier New" w:hAnsi="Courier New" w:cs="Courier New"/>
      </w:rPr>
    </w:lvl>
    <w:lvl w:ilvl="2" w:tplc="FFFFFFFF" w:tentative="1">
      <w:start w:val="1"/>
      <w:numFmt w:val="bullet"/>
      <w:lvlText w:val=""/>
      <w:lvlJc w:val="left"/>
      <w:pPr>
        <w:ind w:left="3420" w:hanging="360"/>
      </w:pPr>
      <w:rPr>
        <w:rFonts w:hint="default" w:ascii="Wingdings" w:hAnsi="Wingdings"/>
      </w:rPr>
    </w:lvl>
    <w:lvl w:ilvl="3" w:tplc="FFFFFFFF" w:tentative="1">
      <w:start w:val="1"/>
      <w:numFmt w:val="bullet"/>
      <w:lvlText w:val=""/>
      <w:lvlJc w:val="left"/>
      <w:pPr>
        <w:ind w:left="4140" w:hanging="360"/>
      </w:pPr>
      <w:rPr>
        <w:rFonts w:hint="default" w:ascii="Symbol" w:hAnsi="Symbol"/>
      </w:rPr>
    </w:lvl>
    <w:lvl w:ilvl="4" w:tplc="FFFFFFFF" w:tentative="1">
      <w:start w:val="1"/>
      <w:numFmt w:val="bullet"/>
      <w:lvlText w:val="o"/>
      <w:lvlJc w:val="left"/>
      <w:pPr>
        <w:ind w:left="4860" w:hanging="360"/>
      </w:pPr>
      <w:rPr>
        <w:rFonts w:hint="default" w:ascii="Courier New" w:hAnsi="Courier New" w:cs="Courier New"/>
      </w:rPr>
    </w:lvl>
    <w:lvl w:ilvl="5" w:tplc="FFFFFFFF" w:tentative="1">
      <w:start w:val="1"/>
      <w:numFmt w:val="bullet"/>
      <w:lvlText w:val=""/>
      <w:lvlJc w:val="left"/>
      <w:pPr>
        <w:ind w:left="5580" w:hanging="360"/>
      </w:pPr>
      <w:rPr>
        <w:rFonts w:hint="default" w:ascii="Wingdings" w:hAnsi="Wingdings"/>
      </w:rPr>
    </w:lvl>
    <w:lvl w:ilvl="6" w:tplc="FFFFFFFF" w:tentative="1">
      <w:start w:val="1"/>
      <w:numFmt w:val="bullet"/>
      <w:lvlText w:val=""/>
      <w:lvlJc w:val="left"/>
      <w:pPr>
        <w:ind w:left="6300" w:hanging="360"/>
      </w:pPr>
      <w:rPr>
        <w:rFonts w:hint="default" w:ascii="Symbol" w:hAnsi="Symbol"/>
      </w:rPr>
    </w:lvl>
    <w:lvl w:ilvl="7" w:tplc="FFFFFFFF" w:tentative="1">
      <w:start w:val="1"/>
      <w:numFmt w:val="bullet"/>
      <w:lvlText w:val="o"/>
      <w:lvlJc w:val="left"/>
      <w:pPr>
        <w:ind w:left="7020" w:hanging="360"/>
      </w:pPr>
      <w:rPr>
        <w:rFonts w:hint="default" w:ascii="Courier New" w:hAnsi="Courier New" w:cs="Courier New"/>
      </w:rPr>
    </w:lvl>
    <w:lvl w:ilvl="8" w:tplc="FFFFFFFF" w:tentative="1">
      <w:start w:val="1"/>
      <w:numFmt w:val="bullet"/>
      <w:lvlText w:val=""/>
      <w:lvlJc w:val="left"/>
      <w:pPr>
        <w:ind w:left="7740" w:hanging="360"/>
      </w:pPr>
      <w:rPr>
        <w:rFonts w:hint="default" w:ascii="Wingdings" w:hAnsi="Wingdings"/>
      </w:rPr>
    </w:lvl>
  </w:abstractNum>
  <w:abstractNum w:abstractNumId="44" w15:restartNumberingAfterBreak="0">
    <w:nsid w:val="392C0DC7"/>
    <w:multiLevelType w:val="hybridMultilevel"/>
    <w:tmpl w:val="3F46B3B0"/>
    <w:lvl w:ilvl="0" w:tplc="04090019">
      <w:start w:val="1"/>
      <w:numFmt w:val="lowerLetter"/>
      <w:lvlText w:val="%1."/>
      <w:lvlJc w:val="left"/>
      <w:pPr>
        <w:ind w:left="1980" w:hanging="360"/>
      </w:pPr>
      <w:rPr>
        <w:rFonts w:hint="default"/>
      </w:rPr>
    </w:lvl>
    <w:lvl w:ilvl="1" w:tplc="FFFFFFFF">
      <w:start w:val="1"/>
      <w:numFmt w:val="bullet"/>
      <w:lvlText w:val="o"/>
      <w:lvlJc w:val="left"/>
      <w:pPr>
        <w:ind w:left="2700" w:hanging="360"/>
      </w:pPr>
      <w:rPr>
        <w:rFonts w:hint="default" w:ascii="Courier New" w:hAnsi="Courier New" w:cs="Courier New"/>
      </w:rPr>
    </w:lvl>
    <w:lvl w:ilvl="2" w:tplc="FFFFFFFF" w:tentative="1">
      <w:start w:val="1"/>
      <w:numFmt w:val="bullet"/>
      <w:lvlText w:val=""/>
      <w:lvlJc w:val="left"/>
      <w:pPr>
        <w:ind w:left="3420" w:hanging="360"/>
      </w:pPr>
      <w:rPr>
        <w:rFonts w:hint="default" w:ascii="Wingdings" w:hAnsi="Wingdings"/>
      </w:rPr>
    </w:lvl>
    <w:lvl w:ilvl="3" w:tplc="FFFFFFFF" w:tentative="1">
      <w:start w:val="1"/>
      <w:numFmt w:val="bullet"/>
      <w:lvlText w:val=""/>
      <w:lvlJc w:val="left"/>
      <w:pPr>
        <w:ind w:left="4140" w:hanging="360"/>
      </w:pPr>
      <w:rPr>
        <w:rFonts w:hint="default" w:ascii="Symbol" w:hAnsi="Symbol"/>
      </w:rPr>
    </w:lvl>
    <w:lvl w:ilvl="4" w:tplc="FFFFFFFF" w:tentative="1">
      <w:start w:val="1"/>
      <w:numFmt w:val="bullet"/>
      <w:lvlText w:val="o"/>
      <w:lvlJc w:val="left"/>
      <w:pPr>
        <w:ind w:left="4860" w:hanging="360"/>
      </w:pPr>
      <w:rPr>
        <w:rFonts w:hint="default" w:ascii="Courier New" w:hAnsi="Courier New" w:cs="Courier New"/>
      </w:rPr>
    </w:lvl>
    <w:lvl w:ilvl="5" w:tplc="FFFFFFFF" w:tentative="1">
      <w:start w:val="1"/>
      <w:numFmt w:val="bullet"/>
      <w:lvlText w:val=""/>
      <w:lvlJc w:val="left"/>
      <w:pPr>
        <w:ind w:left="5580" w:hanging="360"/>
      </w:pPr>
      <w:rPr>
        <w:rFonts w:hint="default" w:ascii="Wingdings" w:hAnsi="Wingdings"/>
      </w:rPr>
    </w:lvl>
    <w:lvl w:ilvl="6" w:tplc="FFFFFFFF" w:tentative="1">
      <w:start w:val="1"/>
      <w:numFmt w:val="bullet"/>
      <w:lvlText w:val=""/>
      <w:lvlJc w:val="left"/>
      <w:pPr>
        <w:ind w:left="6300" w:hanging="360"/>
      </w:pPr>
      <w:rPr>
        <w:rFonts w:hint="default" w:ascii="Symbol" w:hAnsi="Symbol"/>
      </w:rPr>
    </w:lvl>
    <w:lvl w:ilvl="7" w:tplc="FFFFFFFF" w:tentative="1">
      <w:start w:val="1"/>
      <w:numFmt w:val="bullet"/>
      <w:lvlText w:val="o"/>
      <w:lvlJc w:val="left"/>
      <w:pPr>
        <w:ind w:left="7020" w:hanging="360"/>
      </w:pPr>
      <w:rPr>
        <w:rFonts w:hint="default" w:ascii="Courier New" w:hAnsi="Courier New" w:cs="Courier New"/>
      </w:rPr>
    </w:lvl>
    <w:lvl w:ilvl="8" w:tplc="FFFFFFFF" w:tentative="1">
      <w:start w:val="1"/>
      <w:numFmt w:val="bullet"/>
      <w:lvlText w:val=""/>
      <w:lvlJc w:val="left"/>
      <w:pPr>
        <w:ind w:left="7740" w:hanging="360"/>
      </w:pPr>
      <w:rPr>
        <w:rFonts w:hint="default" w:ascii="Wingdings" w:hAnsi="Wingdings"/>
      </w:rPr>
    </w:lvl>
  </w:abstractNum>
  <w:abstractNum w:abstractNumId="45" w15:restartNumberingAfterBreak="0">
    <w:nsid w:val="3C403323"/>
    <w:multiLevelType w:val="hybridMultilevel"/>
    <w:tmpl w:val="F334B5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3E2F6220"/>
    <w:multiLevelType w:val="multilevel"/>
    <w:tmpl w:val="15748874"/>
    <w:lvl w:ilvl="0">
      <w:start w:val="1"/>
      <w:numFmt w:val="lowerLetter"/>
      <w:lvlText w:val="%1."/>
      <w:lvlJc w:val="left"/>
      <w:pPr>
        <w:ind w:left="1350" w:hanging="360"/>
      </w:pPr>
      <w:rPr>
        <w:rFonts w:hint="default"/>
        <w:color w:val="000000" w:themeColor="text1"/>
      </w:rPr>
    </w:lvl>
    <w:lvl w:ilvl="1">
      <w:start w:val="3"/>
      <w:numFmt w:val="decimal"/>
      <w:isLgl/>
      <w:lvlText w:val="%1.%2"/>
      <w:lvlJc w:val="left"/>
      <w:pPr>
        <w:ind w:left="2070" w:hanging="1080"/>
      </w:pPr>
      <w:rPr>
        <w:rFonts w:hint="default"/>
      </w:rPr>
    </w:lvl>
    <w:lvl w:ilvl="2">
      <w:start w:val="2"/>
      <w:numFmt w:val="decimal"/>
      <w:isLgl/>
      <w:lvlText w:val="%1.%2.%3"/>
      <w:lvlJc w:val="left"/>
      <w:pPr>
        <w:ind w:left="1710" w:hanging="108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47" w15:restartNumberingAfterBreak="0">
    <w:nsid w:val="3F71240E"/>
    <w:multiLevelType w:val="hybridMultilevel"/>
    <w:tmpl w:val="D89EAD60"/>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8" w15:restartNumberingAfterBreak="0">
    <w:nsid w:val="418B3C70"/>
    <w:multiLevelType w:val="hybridMultilevel"/>
    <w:tmpl w:val="23480ABE"/>
    <w:lvl w:ilvl="0" w:tplc="1ED2E524">
      <w:start w:val="3"/>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235B25"/>
    <w:multiLevelType w:val="hybridMultilevel"/>
    <w:tmpl w:val="A634BECC"/>
    <w:lvl w:ilvl="0" w:tplc="2898DA84">
      <w:start w:val="1"/>
      <w:numFmt w:val="lowerLetter"/>
      <w:lvlText w:val="(%1)"/>
      <w:lvlJc w:val="left"/>
      <w:pPr>
        <w:ind w:left="431" w:hanging="324"/>
      </w:pPr>
      <w:rPr>
        <w:rFonts w:hint="default" w:ascii="Arial" w:hAnsi="Arial" w:eastAsia="Arial" w:cs="Arial"/>
        <w:b w:val="0"/>
        <w:bCs w:val="0"/>
        <w:i w:val="0"/>
        <w:iCs w:val="0"/>
        <w:spacing w:val="-1"/>
        <w:w w:val="99"/>
        <w:sz w:val="18"/>
        <w:szCs w:val="18"/>
        <w:lang w:val="en-US" w:eastAsia="en-US" w:bidi="ar-SA"/>
      </w:rPr>
    </w:lvl>
    <w:lvl w:ilvl="1" w:tplc="A58A2142">
      <w:numFmt w:val="bullet"/>
      <w:lvlText w:val="•"/>
      <w:lvlJc w:val="left"/>
      <w:pPr>
        <w:ind w:left="1113" w:hanging="324"/>
      </w:pPr>
      <w:rPr>
        <w:rFonts w:hint="default"/>
        <w:lang w:val="en-US" w:eastAsia="en-US" w:bidi="ar-SA"/>
      </w:rPr>
    </w:lvl>
    <w:lvl w:ilvl="2" w:tplc="649C211C">
      <w:numFmt w:val="bullet"/>
      <w:lvlText w:val="•"/>
      <w:lvlJc w:val="left"/>
      <w:pPr>
        <w:ind w:left="1786" w:hanging="324"/>
      </w:pPr>
      <w:rPr>
        <w:rFonts w:hint="default"/>
        <w:lang w:val="en-US" w:eastAsia="en-US" w:bidi="ar-SA"/>
      </w:rPr>
    </w:lvl>
    <w:lvl w:ilvl="3" w:tplc="9DE28050">
      <w:numFmt w:val="bullet"/>
      <w:lvlText w:val="•"/>
      <w:lvlJc w:val="left"/>
      <w:pPr>
        <w:ind w:left="2459" w:hanging="324"/>
      </w:pPr>
      <w:rPr>
        <w:rFonts w:hint="default"/>
        <w:lang w:val="en-US" w:eastAsia="en-US" w:bidi="ar-SA"/>
      </w:rPr>
    </w:lvl>
    <w:lvl w:ilvl="4" w:tplc="E892CD36">
      <w:numFmt w:val="bullet"/>
      <w:lvlText w:val="•"/>
      <w:lvlJc w:val="left"/>
      <w:pPr>
        <w:ind w:left="3133" w:hanging="324"/>
      </w:pPr>
      <w:rPr>
        <w:rFonts w:hint="default"/>
        <w:lang w:val="en-US" w:eastAsia="en-US" w:bidi="ar-SA"/>
      </w:rPr>
    </w:lvl>
    <w:lvl w:ilvl="5" w:tplc="08864C76">
      <w:numFmt w:val="bullet"/>
      <w:lvlText w:val="•"/>
      <w:lvlJc w:val="left"/>
      <w:pPr>
        <w:ind w:left="3806" w:hanging="324"/>
      </w:pPr>
      <w:rPr>
        <w:rFonts w:hint="default"/>
        <w:lang w:val="en-US" w:eastAsia="en-US" w:bidi="ar-SA"/>
      </w:rPr>
    </w:lvl>
    <w:lvl w:ilvl="6" w:tplc="DF10ED82">
      <w:numFmt w:val="bullet"/>
      <w:lvlText w:val="•"/>
      <w:lvlJc w:val="left"/>
      <w:pPr>
        <w:ind w:left="4479" w:hanging="324"/>
      </w:pPr>
      <w:rPr>
        <w:rFonts w:hint="default"/>
        <w:lang w:val="en-US" w:eastAsia="en-US" w:bidi="ar-SA"/>
      </w:rPr>
    </w:lvl>
    <w:lvl w:ilvl="7" w:tplc="13C281F2">
      <w:numFmt w:val="bullet"/>
      <w:lvlText w:val="•"/>
      <w:lvlJc w:val="left"/>
      <w:pPr>
        <w:ind w:left="5153" w:hanging="324"/>
      </w:pPr>
      <w:rPr>
        <w:rFonts w:hint="default"/>
        <w:lang w:val="en-US" w:eastAsia="en-US" w:bidi="ar-SA"/>
      </w:rPr>
    </w:lvl>
    <w:lvl w:ilvl="8" w:tplc="875C7298">
      <w:numFmt w:val="bullet"/>
      <w:lvlText w:val="•"/>
      <w:lvlJc w:val="left"/>
      <w:pPr>
        <w:ind w:left="5826" w:hanging="324"/>
      </w:pPr>
      <w:rPr>
        <w:rFonts w:hint="default"/>
        <w:lang w:val="en-US" w:eastAsia="en-US" w:bidi="ar-SA"/>
      </w:rPr>
    </w:lvl>
  </w:abstractNum>
  <w:abstractNum w:abstractNumId="50" w15:restartNumberingAfterBreak="0">
    <w:nsid w:val="446E7BB4"/>
    <w:multiLevelType w:val="hybridMultilevel"/>
    <w:tmpl w:val="AB02D8EC"/>
    <w:lvl w:ilvl="0" w:tplc="1D48DB72">
      <w:start w:val="1"/>
      <w:numFmt w:val="decimal"/>
      <w:pStyle w:val="Finding1"/>
      <w:lvlText w:val="%1)"/>
      <w:lvlJc w:val="left"/>
      <w:pPr>
        <w:tabs>
          <w:tab w:val="num" w:pos="360"/>
        </w:tabs>
        <w:ind w:left="360" w:hanging="360"/>
      </w:pPr>
      <w:rPr>
        <w:rFonts w:hint="default" w:ascii="Times New Roman" w:hAnsi="Times New Roman"/>
        <w:b w:val="0"/>
        <w:i w:val="0"/>
        <w:sz w:val="24"/>
      </w:rPr>
    </w:lvl>
    <w:lvl w:ilvl="1" w:tplc="30E29D12">
      <w:start w:val="1"/>
      <w:numFmt w:val="lowerLetter"/>
      <w:lvlText w:val="%2."/>
      <w:lvlJc w:val="left"/>
      <w:pPr>
        <w:tabs>
          <w:tab w:val="num" w:pos="720"/>
        </w:tabs>
        <w:ind w:left="720" w:hanging="360"/>
      </w:pPr>
      <w:rPr>
        <w:rFonts w:hint="default" w:ascii="Times New Roman" w:hAnsi="Times New Roman"/>
        <w:b w:val="0"/>
        <w:i w:val="0"/>
      </w:rPr>
    </w:lvl>
    <w:lvl w:ilvl="2" w:tplc="5EFEBDAC">
      <w:start w:val="1"/>
      <w:numFmt w:val="lowerRoman"/>
      <w:lvlText w:val="%3)"/>
      <w:lvlJc w:val="left"/>
      <w:pPr>
        <w:tabs>
          <w:tab w:val="num" w:pos="1080"/>
        </w:tabs>
        <w:ind w:left="1080" w:hanging="360"/>
      </w:pPr>
      <w:rPr>
        <w:rFonts w:hint="default"/>
      </w:rPr>
    </w:lvl>
    <w:lvl w:ilvl="3" w:tplc="112E9364">
      <w:start w:val="1"/>
      <w:numFmt w:val="decimal"/>
      <w:lvlText w:val="(%4)"/>
      <w:lvlJc w:val="left"/>
      <w:pPr>
        <w:tabs>
          <w:tab w:val="num" w:pos="1440"/>
        </w:tabs>
        <w:ind w:left="1440" w:hanging="360"/>
      </w:pPr>
      <w:rPr>
        <w:rFonts w:hint="default"/>
      </w:rPr>
    </w:lvl>
    <w:lvl w:ilvl="4" w:tplc="C9C40D22">
      <w:start w:val="1"/>
      <w:numFmt w:val="lowerLetter"/>
      <w:lvlText w:val="(%5)"/>
      <w:lvlJc w:val="left"/>
      <w:pPr>
        <w:tabs>
          <w:tab w:val="num" w:pos="1800"/>
        </w:tabs>
        <w:ind w:left="1800" w:hanging="360"/>
      </w:pPr>
      <w:rPr>
        <w:rFonts w:hint="default"/>
      </w:rPr>
    </w:lvl>
    <w:lvl w:ilvl="5" w:tplc="14A0A51E">
      <w:start w:val="1"/>
      <w:numFmt w:val="lowerRoman"/>
      <w:lvlText w:val="(%6)"/>
      <w:lvlJc w:val="left"/>
      <w:pPr>
        <w:tabs>
          <w:tab w:val="num" w:pos="2160"/>
        </w:tabs>
        <w:ind w:left="2160" w:hanging="360"/>
      </w:pPr>
      <w:rPr>
        <w:rFonts w:hint="default"/>
      </w:rPr>
    </w:lvl>
    <w:lvl w:ilvl="6" w:tplc="FB2423D8">
      <w:start w:val="1"/>
      <w:numFmt w:val="decimal"/>
      <w:lvlText w:val="%7."/>
      <w:lvlJc w:val="left"/>
      <w:pPr>
        <w:tabs>
          <w:tab w:val="num" w:pos="2520"/>
        </w:tabs>
        <w:ind w:left="2520" w:hanging="360"/>
      </w:pPr>
      <w:rPr>
        <w:rFonts w:hint="default"/>
      </w:rPr>
    </w:lvl>
    <w:lvl w:ilvl="7" w:tplc="9DF2D0A2">
      <w:start w:val="1"/>
      <w:numFmt w:val="lowerLetter"/>
      <w:lvlText w:val="%8."/>
      <w:lvlJc w:val="left"/>
      <w:pPr>
        <w:tabs>
          <w:tab w:val="num" w:pos="2880"/>
        </w:tabs>
        <w:ind w:left="2880" w:hanging="360"/>
      </w:pPr>
      <w:rPr>
        <w:rFonts w:hint="default"/>
      </w:rPr>
    </w:lvl>
    <w:lvl w:ilvl="8" w:tplc="57886FA0">
      <w:start w:val="1"/>
      <w:numFmt w:val="lowerRoman"/>
      <w:lvlText w:val="%9."/>
      <w:lvlJc w:val="left"/>
      <w:pPr>
        <w:tabs>
          <w:tab w:val="num" w:pos="3240"/>
        </w:tabs>
        <w:ind w:left="3240" w:hanging="360"/>
      </w:pPr>
      <w:rPr>
        <w:rFonts w:hint="default"/>
      </w:rPr>
    </w:lvl>
  </w:abstractNum>
  <w:abstractNum w:abstractNumId="51" w15:restartNumberingAfterBreak="0">
    <w:nsid w:val="46B37E63"/>
    <w:multiLevelType w:val="hybridMultilevel"/>
    <w:tmpl w:val="139A778A"/>
    <w:lvl w:ilvl="0" w:tplc="8D20864A">
      <w:start w:val="1"/>
      <w:numFmt w:val="decimal"/>
      <w:pStyle w:val="NumberingUnderHeading3"/>
      <w:lvlText w:val="%1."/>
      <w:lvlJc w:val="left"/>
      <w:pPr>
        <w:ind w:left="135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470964E0"/>
    <w:multiLevelType w:val="hybridMultilevel"/>
    <w:tmpl w:val="ED68650C"/>
    <w:lvl w:ilvl="0" w:tplc="B41AE3DC">
      <w:start w:val="1"/>
      <w:numFmt w:val="decimal"/>
      <w:pStyle w:val="Prohibitions3"/>
      <w:lvlText w:val="%1."/>
      <w:lvlJc w:val="left"/>
      <w:pPr>
        <w:tabs>
          <w:tab w:val="num" w:pos="720"/>
        </w:tabs>
        <w:ind w:left="720" w:hanging="360"/>
      </w:pPr>
      <w:rPr>
        <w:rFonts w:hint="default"/>
      </w:rPr>
    </w:lvl>
    <w:lvl w:ilvl="1" w:tplc="FA2C2002">
      <w:start w:val="1"/>
      <w:numFmt w:val="lowerLetter"/>
      <w:pStyle w:val="Prohibitions2"/>
      <w:lvlText w:val="%2."/>
      <w:lvlJc w:val="left"/>
      <w:pPr>
        <w:tabs>
          <w:tab w:val="num" w:pos="1440"/>
        </w:tabs>
        <w:ind w:left="1440" w:hanging="360"/>
      </w:pPr>
    </w:lvl>
    <w:lvl w:ilvl="2" w:tplc="48346848" w:tentative="1">
      <w:start w:val="1"/>
      <w:numFmt w:val="lowerRoman"/>
      <w:lvlText w:val="%3."/>
      <w:lvlJc w:val="right"/>
      <w:pPr>
        <w:tabs>
          <w:tab w:val="num" w:pos="2160"/>
        </w:tabs>
        <w:ind w:left="2160" w:hanging="180"/>
      </w:pPr>
    </w:lvl>
    <w:lvl w:ilvl="3" w:tplc="1716EAA0" w:tentative="1">
      <w:start w:val="1"/>
      <w:numFmt w:val="decimal"/>
      <w:lvlText w:val="%4."/>
      <w:lvlJc w:val="left"/>
      <w:pPr>
        <w:tabs>
          <w:tab w:val="num" w:pos="2880"/>
        </w:tabs>
        <w:ind w:left="2880" w:hanging="360"/>
      </w:pPr>
    </w:lvl>
    <w:lvl w:ilvl="4" w:tplc="B9ACA5F6" w:tentative="1">
      <w:start w:val="1"/>
      <w:numFmt w:val="lowerLetter"/>
      <w:lvlText w:val="%5."/>
      <w:lvlJc w:val="left"/>
      <w:pPr>
        <w:tabs>
          <w:tab w:val="num" w:pos="3600"/>
        </w:tabs>
        <w:ind w:left="3600" w:hanging="360"/>
      </w:pPr>
    </w:lvl>
    <w:lvl w:ilvl="5" w:tplc="4A9EF42E" w:tentative="1">
      <w:start w:val="1"/>
      <w:numFmt w:val="lowerRoman"/>
      <w:lvlText w:val="%6."/>
      <w:lvlJc w:val="right"/>
      <w:pPr>
        <w:tabs>
          <w:tab w:val="num" w:pos="4320"/>
        </w:tabs>
        <w:ind w:left="4320" w:hanging="180"/>
      </w:pPr>
    </w:lvl>
    <w:lvl w:ilvl="6" w:tplc="3006D88A" w:tentative="1">
      <w:start w:val="1"/>
      <w:numFmt w:val="decimal"/>
      <w:lvlText w:val="%7."/>
      <w:lvlJc w:val="left"/>
      <w:pPr>
        <w:tabs>
          <w:tab w:val="num" w:pos="5040"/>
        </w:tabs>
        <w:ind w:left="5040" w:hanging="360"/>
      </w:pPr>
    </w:lvl>
    <w:lvl w:ilvl="7" w:tplc="9F4CB600" w:tentative="1">
      <w:start w:val="1"/>
      <w:numFmt w:val="lowerLetter"/>
      <w:lvlText w:val="%8."/>
      <w:lvlJc w:val="left"/>
      <w:pPr>
        <w:tabs>
          <w:tab w:val="num" w:pos="5760"/>
        </w:tabs>
        <w:ind w:left="5760" w:hanging="360"/>
      </w:pPr>
    </w:lvl>
    <w:lvl w:ilvl="8" w:tplc="906610D2" w:tentative="1">
      <w:start w:val="1"/>
      <w:numFmt w:val="lowerRoman"/>
      <w:lvlText w:val="%9."/>
      <w:lvlJc w:val="right"/>
      <w:pPr>
        <w:tabs>
          <w:tab w:val="num" w:pos="6480"/>
        </w:tabs>
        <w:ind w:left="6480" w:hanging="180"/>
      </w:pPr>
    </w:lvl>
  </w:abstractNum>
  <w:abstractNum w:abstractNumId="53"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hint="default" w:ascii="Arial Bold" w:hAnsi="Arial Bold"/>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491932"/>
    <w:multiLevelType w:val="hybridMultilevel"/>
    <w:tmpl w:val="9DA8D41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5" w15:restartNumberingAfterBreak="0">
    <w:nsid w:val="4B676A28"/>
    <w:multiLevelType w:val="hybridMultilevel"/>
    <w:tmpl w:val="965CCCE8"/>
    <w:lvl w:ilvl="0" w:tplc="FDF67C1A">
      <w:start w:val="1"/>
      <w:numFmt w:val="decimal"/>
      <w:pStyle w:val="BodyNumber065"/>
      <w:lvlText w:val="%1."/>
      <w:lvlJc w:val="left"/>
      <w:pPr>
        <w:tabs>
          <w:tab w:val="num" w:pos="1404"/>
        </w:tabs>
        <w:ind w:left="1404" w:hanging="468"/>
      </w:pPr>
      <w:rPr>
        <w:rFonts w:hint="default"/>
        <w:b w:val="0"/>
        <w:i w:val="0"/>
        <w:kern w:val="32"/>
        <w:sz w:val="22"/>
        <w:szCs w:val="22"/>
      </w:rPr>
    </w:lvl>
    <w:lvl w:ilvl="1" w:tplc="04090019" w:tentative="1">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6" w15:restartNumberingAfterBreak="0">
    <w:nsid w:val="4C7B515C"/>
    <w:multiLevelType w:val="hybridMultilevel"/>
    <w:tmpl w:val="0A84C1E2"/>
    <w:lvl w:ilvl="0" w:tplc="FFFFFFFF">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7" w15:restartNumberingAfterBreak="0">
    <w:nsid w:val="4D417E67"/>
    <w:multiLevelType w:val="hybridMultilevel"/>
    <w:tmpl w:val="0F489B1E"/>
    <w:lvl w:ilvl="0" w:tplc="B1F21E6C">
      <w:start w:val="1"/>
      <w:numFmt w:val="upperLetter"/>
      <w:pStyle w:val="Provisions1"/>
      <w:lvlText w:val="%1."/>
      <w:lvlJc w:val="left"/>
      <w:pPr>
        <w:tabs>
          <w:tab w:val="num" w:pos="360"/>
        </w:tabs>
        <w:ind w:left="360" w:hanging="360"/>
      </w:pPr>
      <w:rPr>
        <w:rFonts w:hint="default" w:cs="Times New Roman"/>
      </w:rPr>
    </w:lvl>
    <w:lvl w:ilvl="1" w:tplc="93D25282">
      <w:start w:val="1"/>
      <w:numFmt w:val="decimal"/>
      <w:lvlText w:val="%2."/>
      <w:lvlJc w:val="left"/>
      <w:pPr>
        <w:tabs>
          <w:tab w:val="num" w:pos="720"/>
        </w:tabs>
        <w:ind w:left="720" w:hanging="360"/>
      </w:pPr>
      <w:rPr>
        <w:rFonts w:hint="default" w:cs="Times New Roman"/>
      </w:rPr>
    </w:lvl>
    <w:lvl w:ilvl="2" w:tplc="94863BA2">
      <w:start w:val="1"/>
      <w:numFmt w:val="lowerLetter"/>
      <w:lvlText w:val="%3."/>
      <w:lvlJc w:val="left"/>
      <w:pPr>
        <w:tabs>
          <w:tab w:val="num" w:pos="1080"/>
        </w:tabs>
        <w:ind w:left="1080" w:hanging="360"/>
      </w:pPr>
      <w:rPr>
        <w:rFonts w:hint="default" w:cs="Times New Roman"/>
      </w:rPr>
    </w:lvl>
    <w:lvl w:ilvl="3" w:tplc="30884B18">
      <w:start w:val="1"/>
      <w:numFmt w:val="decimal"/>
      <w:lvlText w:val="(%4)"/>
      <w:lvlJc w:val="left"/>
      <w:pPr>
        <w:tabs>
          <w:tab w:val="num" w:pos="0"/>
        </w:tabs>
        <w:ind w:left="1440" w:hanging="360"/>
      </w:pPr>
      <w:rPr>
        <w:rFonts w:hint="default" w:cs="Times New Roman"/>
      </w:rPr>
    </w:lvl>
    <w:lvl w:ilvl="4" w:tplc="42087E12">
      <w:start w:val="1"/>
      <w:numFmt w:val="lowerLetter"/>
      <w:lvlText w:val="(%5)"/>
      <w:lvlJc w:val="left"/>
      <w:pPr>
        <w:tabs>
          <w:tab w:val="num" w:pos="0"/>
        </w:tabs>
        <w:ind w:left="1800" w:hanging="360"/>
      </w:pPr>
      <w:rPr>
        <w:rFonts w:hint="default" w:cs="Times New Roman"/>
      </w:rPr>
    </w:lvl>
    <w:lvl w:ilvl="5" w:tplc="128CF5D8">
      <w:start w:val="1"/>
      <w:numFmt w:val="lowerRoman"/>
      <w:lvlText w:val="(%6)"/>
      <w:lvlJc w:val="left"/>
      <w:pPr>
        <w:tabs>
          <w:tab w:val="num" w:pos="0"/>
        </w:tabs>
        <w:ind w:left="2160" w:hanging="360"/>
      </w:pPr>
      <w:rPr>
        <w:rFonts w:hint="default" w:cs="Times New Roman"/>
      </w:rPr>
    </w:lvl>
    <w:lvl w:ilvl="6" w:tplc="ECA411DE">
      <w:start w:val="1"/>
      <w:numFmt w:val="decimal"/>
      <w:lvlText w:val="%7."/>
      <w:lvlJc w:val="left"/>
      <w:pPr>
        <w:tabs>
          <w:tab w:val="num" w:pos="0"/>
        </w:tabs>
        <w:ind w:left="2520" w:hanging="360"/>
      </w:pPr>
      <w:rPr>
        <w:rFonts w:hint="default" w:cs="Times New Roman"/>
      </w:rPr>
    </w:lvl>
    <w:lvl w:ilvl="7" w:tplc="EA42842E">
      <w:start w:val="1"/>
      <w:numFmt w:val="lowerLetter"/>
      <w:lvlText w:val="%8."/>
      <w:lvlJc w:val="left"/>
      <w:pPr>
        <w:tabs>
          <w:tab w:val="num" w:pos="0"/>
        </w:tabs>
        <w:ind w:left="2880" w:hanging="360"/>
      </w:pPr>
      <w:rPr>
        <w:rFonts w:hint="default" w:cs="Times New Roman"/>
      </w:rPr>
    </w:lvl>
    <w:lvl w:ilvl="8" w:tplc="51C68FD0">
      <w:start w:val="1"/>
      <w:numFmt w:val="lowerRoman"/>
      <w:lvlText w:val="%9."/>
      <w:lvlJc w:val="left"/>
      <w:pPr>
        <w:tabs>
          <w:tab w:val="num" w:pos="0"/>
        </w:tabs>
        <w:ind w:left="3240" w:hanging="360"/>
      </w:pPr>
      <w:rPr>
        <w:rFonts w:hint="default" w:cs="Times New Roman"/>
      </w:rPr>
    </w:lvl>
  </w:abstractNum>
  <w:abstractNum w:abstractNumId="58" w15:restartNumberingAfterBreak="0">
    <w:nsid w:val="4D96338C"/>
    <w:multiLevelType w:val="hybridMultilevel"/>
    <w:tmpl w:val="15E2CDCA"/>
    <w:lvl w:ilvl="0" w:tplc="0CDA5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E2402E3"/>
    <w:multiLevelType w:val="hybridMultilevel"/>
    <w:tmpl w:val="8B860FBC"/>
    <w:lvl w:ilvl="0" w:tplc="FFFFFFFF">
      <w:start w:val="1"/>
      <w:numFmt w:val="decimal"/>
      <w:lvlText w:val="%1."/>
      <w:lvlJc w:val="left"/>
      <w:pPr>
        <w:ind w:left="27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F2A459B"/>
    <w:multiLevelType w:val="multilevel"/>
    <w:tmpl w:val="88AA437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720" w:hanging="360"/>
      </w:pPr>
    </w:lvl>
    <w:lvl w:ilvl="2">
      <w:start w:val="2"/>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4B5694A"/>
    <w:multiLevelType w:val="hybridMultilevel"/>
    <w:tmpl w:val="20746D4C"/>
    <w:lvl w:ilvl="0" w:tplc="FFFFFFFF">
      <w:start w:val="1"/>
      <w:numFmt w:val="decimal"/>
      <w:lvlText w:val="%1."/>
      <w:lvlJc w:val="left"/>
      <w:pPr>
        <w:ind w:left="1980" w:hanging="360"/>
      </w:p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2" w15:restartNumberingAfterBreak="0">
    <w:nsid w:val="55305918"/>
    <w:multiLevelType w:val="hybridMultilevel"/>
    <w:tmpl w:val="90E28FD0"/>
    <w:lvl w:ilvl="0" w:tplc="3F64467A">
      <w:start w:val="1"/>
      <w:numFmt w:val="upperRoman"/>
      <w:pStyle w:val="Headings1"/>
      <w:lvlText w:val="%1."/>
      <w:lvlJc w:val="left"/>
      <w:pPr>
        <w:ind w:left="475" w:hanging="475"/>
      </w:pPr>
      <w:rPr>
        <w:rFonts w:hint="default"/>
        <w:b/>
        <w:i w:val="0"/>
        <w:caps/>
        <w:sz w:val="22"/>
        <w:szCs w:val="24"/>
      </w:rPr>
    </w:lvl>
    <w:lvl w:ilvl="1" w:tplc="3A620F86">
      <w:start w:val="1"/>
      <w:numFmt w:val="upperLetter"/>
      <w:lvlText w:val="%2."/>
      <w:lvlJc w:val="left"/>
      <w:pPr>
        <w:tabs>
          <w:tab w:val="num" w:pos="835"/>
        </w:tabs>
        <w:ind w:left="950" w:hanging="475"/>
      </w:pPr>
      <w:rPr>
        <w:rFonts w:hint="default" w:ascii="Arial" w:hAnsi="Arial"/>
        <w:b/>
        <w:i w:val="0"/>
        <w:sz w:val="24"/>
        <w:szCs w:val="24"/>
      </w:rPr>
    </w:lvl>
    <w:lvl w:ilvl="2" w:tplc="D08C3E14">
      <w:start w:val="1"/>
      <w:numFmt w:val="decimal"/>
      <w:lvlText w:val="%3."/>
      <w:lvlJc w:val="left"/>
      <w:pPr>
        <w:tabs>
          <w:tab w:val="num" w:pos="1310"/>
        </w:tabs>
        <w:ind w:left="1425" w:hanging="475"/>
      </w:pPr>
      <w:rPr>
        <w:rFonts w:hint="default" w:ascii="Arial" w:hAnsi="Arial"/>
        <w:b/>
        <w:i w:val="0"/>
        <w:sz w:val="24"/>
        <w:szCs w:val="24"/>
      </w:rPr>
    </w:lvl>
    <w:lvl w:ilvl="3" w:tplc="E80CC0CE">
      <w:start w:val="1"/>
      <w:numFmt w:val="none"/>
      <w:lvlText w:val=""/>
      <w:lvlJc w:val="left"/>
      <w:pPr>
        <w:tabs>
          <w:tab w:val="num" w:pos="1785"/>
        </w:tabs>
        <w:ind w:left="1900" w:hanging="475"/>
      </w:pPr>
      <w:rPr>
        <w:rFonts w:hint="default"/>
        <w:b/>
      </w:rPr>
    </w:lvl>
    <w:lvl w:ilvl="4" w:tplc="3D262EF6">
      <w:start w:val="1"/>
      <w:numFmt w:val="none"/>
      <w:lvlText w:val=""/>
      <w:lvlJc w:val="left"/>
      <w:pPr>
        <w:tabs>
          <w:tab w:val="num" w:pos="2260"/>
        </w:tabs>
        <w:ind w:left="2375" w:hanging="475"/>
      </w:pPr>
      <w:rPr>
        <w:rFonts w:hint="default"/>
        <w:b/>
      </w:rPr>
    </w:lvl>
    <w:lvl w:ilvl="5" w:tplc="0D608FD4">
      <w:start w:val="1"/>
      <w:numFmt w:val="none"/>
      <w:lvlText w:val=""/>
      <w:lvlJc w:val="left"/>
      <w:pPr>
        <w:tabs>
          <w:tab w:val="num" w:pos="2735"/>
        </w:tabs>
        <w:ind w:left="2850" w:hanging="475"/>
      </w:pPr>
      <w:rPr>
        <w:rFonts w:hint="default"/>
        <w:b/>
      </w:rPr>
    </w:lvl>
    <w:lvl w:ilvl="6" w:tplc="1DB27C12">
      <w:start w:val="1"/>
      <w:numFmt w:val="none"/>
      <w:lvlText w:val=""/>
      <w:lvlJc w:val="left"/>
      <w:pPr>
        <w:tabs>
          <w:tab w:val="num" w:pos="3210"/>
        </w:tabs>
        <w:ind w:left="3325" w:hanging="475"/>
      </w:pPr>
      <w:rPr>
        <w:rFonts w:hint="default"/>
        <w:b/>
      </w:rPr>
    </w:lvl>
    <w:lvl w:ilvl="7" w:tplc="62B08532">
      <w:start w:val="1"/>
      <w:numFmt w:val="none"/>
      <w:lvlText w:val=""/>
      <w:lvlJc w:val="left"/>
      <w:pPr>
        <w:tabs>
          <w:tab w:val="num" w:pos="3685"/>
        </w:tabs>
        <w:ind w:left="3800" w:hanging="475"/>
      </w:pPr>
      <w:rPr>
        <w:rFonts w:hint="default"/>
        <w:b/>
      </w:rPr>
    </w:lvl>
    <w:lvl w:ilvl="8" w:tplc="318A08EA">
      <w:start w:val="1"/>
      <w:numFmt w:val="none"/>
      <w:lvlText w:val=""/>
      <w:lvlJc w:val="left"/>
      <w:pPr>
        <w:tabs>
          <w:tab w:val="num" w:pos="4160"/>
        </w:tabs>
        <w:ind w:left="4275" w:hanging="475"/>
      </w:pPr>
      <w:rPr>
        <w:rFonts w:hint="default"/>
      </w:rPr>
    </w:lvl>
  </w:abstractNum>
  <w:abstractNum w:abstractNumId="63" w15:restartNumberingAfterBreak="0">
    <w:nsid w:val="55A9721A"/>
    <w:multiLevelType w:val="hybridMultilevel"/>
    <w:tmpl w:val="D7A091D0"/>
    <w:lvl w:ilvl="0" w:tplc="B5842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6E7EBC"/>
    <w:multiLevelType w:val="multilevel"/>
    <w:tmpl w:val="8208CD14"/>
    <w:name w:val="Caltrans Listie"/>
    <w:lvl w:ilvl="0">
      <w:start w:val="1"/>
      <w:numFmt w:val="decimal"/>
      <w:lvlText w:val="%1."/>
      <w:lvlJc w:val="left"/>
      <w:pPr>
        <w:tabs>
          <w:tab w:val="num" w:pos="720"/>
        </w:tabs>
        <w:ind w:left="936" w:hanging="360"/>
      </w:pPr>
      <w:rPr>
        <w:rFonts w:hint="default" w:ascii="Arial" w:hAnsi="Arial"/>
        <w:b w:val="0"/>
        <w:i w:val="0"/>
        <w:caps w:val="0"/>
        <w:sz w:val="24"/>
      </w:rPr>
    </w:lvl>
    <w:lvl w:ilvl="1">
      <w:start w:val="1"/>
      <w:numFmt w:val="lowerLetter"/>
      <w:lvlText w:val="%2."/>
      <w:lvlJc w:val="left"/>
      <w:pPr>
        <w:tabs>
          <w:tab w:val="num" w:pos="1080"/>
        </w:tabs>
        <w:ind w:left="1224" w:hanging="288"/>
      </w:pPr>
      <w:rPr>
        <w:rFonts w:hint="default" w:ascii="Arial" w:hAnsi="Arial"/>
        <w:b w:val="0"/>
        <w:i w:val="0"/>
        <w:caps w:val="0"/>
        <w:sz w:val="24"/>
      </w:rPr>
    </w:lvl>
    <w:lvl w:ilvl="2">
      <w:start w:val="1"/>
      <w:numFmt w:val="decimal"/>
      <w:lvlText w:val="%3)"/>
      <w:lvlJc w:val="left"/>
      <w:pPr>
        <w:ind w:left="1584" w:hanging="360"/>
      </w:pPr>
      <w:rPr>
        <w:rFonts w:hint="default" w:ascii="Arial" w:hAnsi="Arial"/>
        <w:b w:val="0"/>
        <w:i w:val="0"/>
        <w:caps w:val="0"/>
        <w:sz w:val="24"/>
      </w:rPr>
    </w:lvl>
    <w:lvl w:ilvl="3">
      <w:start w:val="1"/>
      <w:numFmt w:val="lowerLetter"/>
      <w:lvlText w:val="%4)"/>
      <w:lvlJc w:val="left"/>
      <w:pPr>
        <w:ind w:left="1944" w:hanging="360"/>
      </w:pPr>
      <w:rPr>
        <w:rFonts w:hint="default" w:ascii="Arial" w:hAnsi="Arial"/>
        <w:b w:val="0"/>
        <w:i w:val="0"/>
        <w:caps w:val="0"/>
        <w:sz w:val="24"/>
      </w:rPr>
    </w:lvl>
    <w:lvl w:ilvl="4">
      <w:start w:val="1"/>
      <w:numFmt w:val="lowerLetter"/>
      <w:lvlText w:val="(%5)"/>
      <w:lvlJc w:val="left"/>
      <w:pPr>
        <w:ind w:left="2520" w:hanging="432"/>
      </w:pPr>
      <w:rPr>
        <w:rFonts w:hint="default"/>
      </w:rPr>
    </w:lvl>
    <w:lvl w:ilvl="5">
      <w:start w:val="1"/>
      <w:numFmt w:val="lowerRoman"/>
      <w:lvlText w:val="(%6)"/>
      <w:lvlJc w:val="left"/>
      <w:pPr>
        <w:ind w:left="3024" w:hanging="432"/>
      </w:pPr>
      <w:rPr>
        <w:rFonts w:hint="default"/>
      </w:rPr>
    </w:lvl>
    <w:lvl w:ilvl="6">
      <w:start w:val="1"/>
      <w:numFmt w:val="decimal"/>
      <w:lvlText w:val="%7)"/>
      <w:lvlJc w:val="left"/>
      <w:pPr>
        <w:ind w:left="3528" w:hanging="432"/>
      </w:pPr>
      <w:rPr>
        <w:rFonts w:hint="default"/>
      </w:rPr>
    </w:lvl>
    <w:lvl w:ilvl="7">
      <w:start w:val="1"/>
      <w:numFmt w:val="lowerLetter"/>
      <w:lvlText w:val="%8)"/>
      <w:lvlJc w:val="left"/>
      <w:pPr>
        <w:ind w:left="4032" w:hanging="432"/>
      </w:pPr>
      <w:rPr>
        <w:rFonts w:hint="default"/>
      </w:rPr>
    </w:lvl>
    <w:lvl w:ilvl="8">
      <w:start w:val="1"/>
      <w:numFmt w:val="lowerRoman"/>
      <w:lvlText w:val="%9)"/>
      <w:lvlJc w:val="left"/>
      <w:pPr>
        <w:ind w:left="4536" w:hanging="432"/>
      </w:pPr>
      <w:rPr>
        <w:rFonts w:hint="default"/>
      </w:rPr>
    </w:lvl>
  </w:abstractNum>
  <w:abstractNum w:abstractNumId="65" w15:restartNumberingAfterBreak="0">
    <w:nsid w:val="5912573F"/>
    <w:multiLevelType w:val="hybridMultilevel"/>
    <w:tmpl w:val="7D2A4B9A"/>
    <w:lvl w:ilvl="0" w:tplc="E92E1516">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7D473A"/>
    <w:multiLevelType w:val="hybridMultilevel"/>
    <w:tmpl w:val="C4CE9882"/>
    <w:styleLink w:val="ListnumConformedOrder"/>
    <w:lvl w:ilvl="0" w:tplc="FFFFFFFF">
      <w:start w:val="1"/>
      <w:numFmt w:val="decimal"/>
      <w:lvlText w:val="%1."/>
      <w:lvlJc w:val="left"/>
      <w:pPr>
        <w:ind w:left="1980" w:hanging="360"/>
      </w:pPr>
      <w:rPr>
        <w:rFonts w:hint="default"/>
      </w:rPr>
    </w:lvl>
    <w:lvl w:ilvl="1" w:tplc="FFFFFFFF">
      <w:start w:val="1"/>
      <w:numFmt w:val="bullet"/>
      <w:lvlText w:val="o"/>
      <w:lvlJc w:val="left"/>
      <w:pPr>
        <w:ind w:left="2700" w:hanging="360"/>
      </w:pPr>
      <w:rPr>
        <w:rFonts w:hint="default" w:ascii="Courier New" w:hAnsi="Courier New" w:cs="Courier New"/>
      </w:rPr>
    </w:lvl>
    <w:lvl w:ilvl="2" w:tplc="FFFFFFFF" w:tentative="1">
      <w:start w:val="1"/>
      <w:numFmt w:val="bullet"/>
      <w:lvlText w:val=""/>
      <w:lvlJc w:val="left"/>
      <w:pPr>
        <w:ind w:left="3420" w:hanging="360"/>
      </w:pPr>
      <w:rPr>
        <w:rFonts w:hint="default" w:ascii="Wingdings" w:hAnsi="Wingdings"/>
      </w:rPr>
    </w:lvl>
    <w:lvl w:ilvl="3" w:tplc="FFFFFFFF" w:tentative="1">
      <w:start w:val="1"/>
      <w:numFmt w:val="bullet"/>
      <w:lvlText w:val=""/>
      <w:lvlJc w:val="left"/>
      <w:pPr>
        <w:ind w:left="4140" w:hanging="360"/>
      </w:pPr>
      <w:rPr>
        <w:rFonts w:hint="default" w:ascii="Symbol" w:hAnsi="Symbol"/>
      </w:rPr>
    </w:lvl>
    <w:lvl w:ilvl="4" w:tplc="FFFFFFFF" w:tentative="1">
      <w:start w:val="1"/>
      <w:numFmt w:val="bullet"/>
      <w:lvlText w:val="o"/>
      <w:lvlJc w:val="left"/>
      <w:pPr>
        <w:ind w:left="4860" w:hanging="360"/>
      </w:pPr>
      <w:rPr>
        <w:rFonts w:hint="default" w:ascii="Courier New" w:hAnsi="Courier New" w:cs="Courier New"/>
      </w:rPr>
    </w:lvl>
    <w:lvl w:ilvl="5" w:tplc="FFFFFFFF" w:tentative="1">
      <w:start w:val="1"/>
      <w:numFmt w:val="bullet"/>
      <w:lvlText w:val=""/>
      <w:lvlJc w:val="left"/>
      <w:pPr>
        <w:ind w:left="5580" w:hanging="360"/>
      </w:pPr>
      <w:rPr>
        <w:rFonts w:hint="default" w:ascii="Wingdings" w:hAnsi="Wingdings"/>
      </w:rPr>
    </w:lvl>
    <w:lvl w:ilvl="6" w:tplc="FFFFFFFF" w:tentative="1">
      <w:start w:val="1"/>
      <w:numFmt w:val="bullet"/>
      <w:lvlText w:val=""/>
      <w:lvlJc w:val="left"/>
      <w:pPr>
        <w:ind w:left="6300" w:hanging="360"/>
      </w:pPr>
      <w:rPr>
        <w:rFonts w:hint="default" w:ascii="Symbol" w:hAnsi="Symbol"/>
      </w:rPr>
    </w:lvl>
    <w:lvl w:ilvl="7" w:tplc="FFFFFFFF" w:tentative="1">
      <w:start w:val="1"/>
      <w:numFmt w:val="bullet"/>
      <w:lvlText w:val="o"/>
      <w:lvlJc w:val="left"/>
      <w:pPr>
        <w:ind w:left="7020" w:hanging="360"/>
      </w:pPr>
      <w:rPr>
        <w:rFonts w:hint="default" w:ascii="Courier New" w:hAnsi="Courier New" w:cs="Courier New"/>
      </w:rPr>
    </w:lvl>
    <w:lvl w:ilvl="8" w:tplc="FFFFFFFF" w:tentative="1">
      <w:start w:val="1"/>
      <w:numFmt w:val="bullet"/>
      <w:lvlText w:val=""/>
      <w:lvlJc w:val="left"/>
      <w:pPr>
        <w:ind w:left="7740" w:hanging="360"/>
      </w:pPr>
      <w:rPr>
        <w:rFonts w:hint="default" w:ascii="Wingdings" w:hAnsi="Wingdings"/>
      </w:rPr>
    </w:lvl>
  </w:abstractNum>
  <w:abstractNum w:abstractNumId="67" w15:restartNumberingAfterBreak="0">
    <w:nsid w:val="5C8C2C83"/>
    <w:multiLevelType w:val="hybridMultilevel"/>
    <w:tmpl w:val="F49A654C"/>
    <w:lvl w:ilvl="0" w:tplc="04090019">
      <w:start w:val="1"/>
      <w:numFmt w:val="lowerLetter"/>
      <w:lvlText w:val="%1."/>
      <w:lvlJc w:val="left"/>
      <w:pPr>
        <w:ind w:left="460" w:hanging="360"/>
      </w:pPr>
      <w:rPr>
        <w:rFonts w:hint="default"/>
        <w:b w:val="0"/>
        <w:bCs w:val="0"/>
        <w:i w:val="0"/>
        <w:iCs w:val="0"/>
        <w:spacing w:val="0"/>
        <w:w w:val="100"/>
        <w:sz w:val="24"/>
        <w:szCs w:val="24"/>
        <w:lang w:val="en-US" w:eastAsia="en-US" w:bidi="ar-SA"/>
      </w:rPr>
    </w:lvl>
    <w:lvl w:ilvl="1" w:tplc="FFFFFFFF">
      <w:numFmt w:val="bullet"/>
      <w:lvlText w:val="•"/>
      <w:lvlJc w:val="left"/>
      <w:pPr>
        <w:ind w:left="1382" w:hanging="360"/>
      </w:pPr>
      <w:rPr>
        <w:rFonts w:hint="default"/>
        <w:lang w:val="en-US" w:eastAsia="en-US" w:bidi="ar-SA"/>
      </w:rPr>
    </w:lvl>
    <w:lvl w:ilvl="2" w:tplc="FFFFFFFF">
      <w:numFmt w:val="bullet"/>
      <w:lvlText w:val="•"/>
      <w:lvlJc w:val="left"/>
      <w:pPr>
        <w:ind w:left="2304" w:hanging="360"/>
      </w:pPr>
      <w:rPr>
        <w:rFonts w:hint="default"/>
        <w:lang w:val="en-US" w:eastAsia="en-US" w:bidi="ar-SA"/>
      </w:rPr>
    </w:lvl>
    <w:lvl w:ilvl="3" w:tplc="FFFFFFFF">
      <w:numFmt w:val="bullet"/>
      <w:lvlText w:val="•"/>
      <w:lvlJc w:val="left"/>
      <w:pPr>
        <w:ind w:left="3226" w:hanging="360"/>
      </w:pPr>
      <w:rPr>
        <w:rFonts w:hint="default"/>
        <w:lang w:val="en-US" w:eastAsia="en-US" w:bidi="ar-SA"/>
      </w:rPr>
    </w:lvl>
    <w:lvl w:ilvl="4" w:tplc="FFFFFFFF">
      <w:numFmt w:val="bullet"/>
      <w:lvlText w:val="•"/>
      <w:lvlJc w:val="left"/>
      <w:pPr>
        <w:ind w:left="4148"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992" w:hanging="360"/>
      </w:pPr>
      <w:rPr>
        <w:rFonts w:hint="default"/>
        <w:lang w:val="en-US" w:eastAsia="en-US" w:bidi="ar-SA"/>
      </w:rPr>
    </w:lvl>
    <w:lvl w:ilvl="7" w:tplc="FFFFFFFF">
      <w:numFmt w:val="bullet"/>
      <w:lvlText w:val="•"/>
      <w:lvlJc w:val="left"/>
      <w:pPr>
        <w:ind w:left="6914" w:hanging="360"/>
      </w:pPr>
      <w:rPr>
        <w:rFonts w:hint="default"/>
        <w:lang w:val="en-US" w:eastAsia="en-US" w:bidi="ar-SA"/>
      </w:rPr>
    </w:lvl>
    <w:lvl w:ilvl="8" w:tplc="FFFFFFFF">
      <w:numFmt w:val="bullet"/>
      <w:lvlText w:val="•"/>
      <w:lvlJc w:val="left"/>
      <w:pPr>
        <w:ind w:left="7836" w:hanging="360"/>
      </w:pPr>
      <w:rPr>
        <w:rFonts w:hint="default"/>
        <w:lang w:val="en-US" w:eastAsia="en-US" w:bidi="ar-SA"/>
      </w:rPr>
    </w:lvl>
  </w:abstractNum>
  <w:abstractNum w:abstractNumId="68" w15:restartNumberingAfterBreak="0">
    <w:nsid w:val="5DB374EF"/>
    <w:multiLevelType w:val="multilevel"/>
    <w:tmpl w:val="4C9C80F8"/>
    <w:styleLink w:val="TableListStyle"/>
    <w:lvl w:ilvl="0">
      <w:start w:val="1"/>
      <w:numFmt w:val="decimal"/>
      <w:lvlText w:val="%1."/>
      <w:lvlJc w:val="left"/>
      <w:pPr>
        <w:ind w:left="360" w:hanging="288"/>
      </w:pPr>
      <w:rPr>
        <w:rFonts w:hint="default" w:ascii="Arial" w:hAnsi="Arial"/>
        <w:sz w:val="24"/>
      </w:rPr>
    </w:lvl>
    <w:lvl w:ilvl="1">
      <w:start w:val="1"/>
      <w:numFmt w:val="lowerLetter"/>
      <w:lvlText w:val="%2."/>
      <w:lvlJc w:val="left"/>
      <w:pPr>
        <w:ind w:left="720" w:hanging="288"/>
      </w:pPr>
      <w:rPr>
        <w:rFonts w:hint="default"/>
      </w:rPr>
    </w:lvl>
    <w:lvl w:ilvl="2">
      <w:start w:val="1"/>
      <w:numFmt w:val="lowerRoman"/>
      <w:lvlText w:val="%3."/>
      <w:lvlJc w:val="left"/>
      <w:pPr>
        <w:ind w:left="1080" w:hanging="288"/>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288"/>
      </w:pPr>
      <w:rPr>
        <w:rFonts w:hint="default"/>
      </w:rPr>
    </w:lvl>
    <w:lvl w:ilvl="5">
      <w:start w:val="1"/>
      <w:numFmt w:val="lowerRoman"/>
      <w:lvlText w:val="%6)"/>
      <w:lvlJc w:val="left"/>
      <w:pPr>
        <w:ind w:left="2160" w:hanging="288"/>
      </w:pPr>
      <w:rPr>
        <w:rFonts w:hint="default"/>
      </w:rPr>
    </w:lvl>
    <w:lvl w:ilvl="6">
      <w:start w:val="1"/>
      <w:numFmt w:val="decimal"/>
      <w:lvlText w:val="%7)"/>
      <w:lvlJc w:val="left"/>
      <w:pPr>
        <w:ind w:left="2520" w:hanging="288"/>
      </w:pPr>
      <w:rPr>
        <w:rFonts w:hint="default"/>
      </w:rPr>
    </w:lvl>
    <w:lvl w:ilvl="7">
      <w:start w:val="1"/>
      <w:numFmt w:val="lowerLetter"/>
      <w:lvlText w:val="%8)"/>
      <w:lvlJc w:val="left"/>
      <w:pPr>
        <w:ind w:left="2880" w:hanging="288"/>
      </w:pPr>
      <w:rPr>
        <w:rFonts w:hint="default"/>
      </w:rPr>
    </w:lvl>
    <w:lvl w:ilvl="8">
      <w:start w:val="1"/>
      <w:numFmt w:val="lowerRoman"/>
      <w:lvlText w:val="%9)"/>
      <w:lvlJc w:val="left"/>
      <w:pPr>
        <w:ind w:left="3240" w:hanging="288"/>
      </w:pPr>
      <w:rPr>
        <w:rFonts w:hint="default"/>
      </w:rPr>
    </w:lvl>
  </w:abstractNum>
  <w:abstractNum w:abstractNumId="69" w15:restartNumberingAfterBreak="0">
    <w:nsid w:val="5F1A34B2"/>
    <w:multiLevelType w:val="hybridMultilevel"/>
    <w:tmpl w:val="699E4D8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F4774EC"/>
    <w:multiLevelType w:val="hybridMultilevel"/>
    <w:tmpl w:val="4EFEB738"/>
    <w:lvl w:ilvl="0" w:tplc="1E9A3D36">
      <w:start w:val="1"/>
      <w:numFmt w:val="bullet"/>
      <w:pStyle w:val="BulletsH3"/>
      <w:lvlText w:val=""/>
      <w:lvlJc w:val="left"/>
      <w:pPr>
        <w:ind w:left="720" w:hanging="360"/>
      </w:pPr>
      <w:rPr>
        <w:rFonts w:hint="default" w:ascii="Symbol" w:hAnsi="Symbol"/>
        <w:b w:val="0"/>
        <w:i w:val="0"/>
        <w:sz w:val="24"/>
      </w:rPr>
    </w:lvl>
    <w:lvl w:ilvl="1" w:tplc="AB44F65E">
      <w:start w:val="1"/>
      <w:numFmt w:val="decimal"/>
      <w:lvlText w:val="%2."/>
      <w:lvlJc w:val="left"/>
      <w:pPr>
        <w:ind w:left="1440" w:hanging="360"/>
      </w:pPr>
      <w:rPr>
        <w:rFonts w:hint="default"/>
      </w:rPr>
    </w:lvl>
    <w:lvl w:ilvl="2" w:tplc="E46CB494">
      <w:start w:val="1"/>
      <w:numFmt w:val="decimal"/>
      <w:lvlText w:val="%3)"/>
      <w:lvlJc w:val="left"/>
      <w:pPr>
        <w:ind w:left="2340" w:hanging="360"/>
      </w:pPr>
      <w:rPr>
        <w:rFonts w:hint="default"/>
      </w:rPr>
    </w:lvl>
    <w:lvl w:ilvl="3" w:tplc="5E66E49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90615F"/>
    <w:multiLevelType w:val="hybridMultilevel"/>
    <w:tmpl w:val="DFA07D06"/>
    <w:lvl w:ilvl="0" w:tplc="274A9E64">
      <w:start w:val="1"/>
      <w:numFmt w:val="upperLetter"/>
      <w:pStyle w:val="BodyNumber0325"/>
      <w:lvlText w:val="%1."/>
      <w:lvlJc w:val="left"/>
      <w:pPr>
        <w:ind w:left="936" w:hanging="461"/>
      </w:pPr>
      <w:rPr>
        <w:rFonts w:hint="default" w:ascii="Arial Bold" w:hAnsi="Arial Bold"/>
        <w:b/>
        <w:i w:val="0"/>
        <w:caps/>
        <w:sz w:val="22"/>
        <w:szCs w:val="24"/>
      </w:rPr>
    </w:lvl>
    <w:lvl w:ilvl="1" w:tplc="D15073CC">
      <w:start w:val="1"/>
      <w:numFmt w:val="decimal"/>
      <w:lvlText w:val="%2."/>
      <w:lvlJc w:val="left"/>
      <w:pPr>
        <w:tabs>
          <w:tab w:val="num" w:pos="1404"/>
        </w:tabs>
        <w:ind w:left="1411" w:hanging="461"/>
      </w:pPr>
      <w:rPr>
        <w:rFonts w:hint="default" w:ascii="Arial" w:hAnsi="Arial"/>
        <w:b/>
        <w:i w:val="0"/>
        <w:sz w:val="24"/>
        <w:szCs w:val="24"/>
      </w:rPr>
    </w:lvl>
    <w:lvl w:ilvl="2" w:tplc="E63E781E">
      <w:start w:val="1"/>
      <w:numFmt w:val="lowerLetter"/>
      <w:pStyle w:val="BodyNumber0975"/>
      <w:lvlText w:val="%3."/>
      <w:lvlJc w:val="left"/>
      <w:pPr>
        <w:tabs>
          <w:tab w:val="num" w:pos="1872"/>
        </w:tabs>
        <w:ind w:left="1886" w:hanging="461"/>
      </w:pPr>
      <w:rPr>
        <w:rFonts w:hint="default" w:ascii="Arial" w:hAnsi="Arial"/>
        <w:b w:val="0"/>
        <w:i w:val="0"/>
        <w:sz w:val="22"/>
        <w:szCs w:val="24"/>
      </w:rPr>
    </w:lvl>
    <w:lvl w:ilvl="3" w:tplc="8898D150">
      <w:start w:val="1"/>
      <w:numFmt w:val="lowerRoman"/>
      <w:pStyle w:val="BodyNumber13"/>
      <w:lvlText w:val="%4."/>
      <w:lvlJc w:val="left"/>
      <w:pPr>
        <w:tabs>
          <w:tab w:val="num" w:pos="2340"/>
        </w:tabs>
        <w:ind w:left="2361" w:hanging="461"/>
      </w:pPr>
      <w:rPr>
        <w:rFonts w:hint="default"/>
        <w:b w:val="0"/>
        <w:i w:val="0"/>
      </w:rPr>
    </w:lvl>
    <w:lvl w:ilvl="4" w:tplc="700A9FDC">
      <w:start w:val="1"/>
      <w:numFmt w:val="lowerLetter"/>
      <w:pStyle w:val="BodyNumber1625"/>
      <w:lvlText w:val="(%5)"/>
      <w:lvlJc w:val="left"/>
      <w:pPr>
        <w:tabs>
          <w:tab w:val="num" w:pos="2808"/>
        </w:tabs>
        <w:ind w:left="2836" w:hanging="461"/>
      </w:pPr>
      <w:rPr>
        <w:rFonts w:hint="default"/>
        <w:b w:val="0"/>
        <w:i w:val="0"/>
      </w:rPr>
    </w:lvl>
    <w:lvl w:ilvl="5" w:tplc="4F50431C">
      <w:start w:val="1"/>
      <w:numFmt w:val="decimal"/>
      <w:pStyle w:val="BodyNumber195"/>
      <w:lvlText w:val="(%6)"/>
      <w:lvlJc w:val="left"/>
      <w:pPr>
        <w:tabs>
          <w:tab w:val="num" w:pos="3276"/>
        </w:tabs>
        <w:ind w:left="3311" w:hanging="461"/>
      </w:pPr>
      <w:rPr>
        <w:rFonts w:hint="default"/>
        <w:b w:val="0"/>
        <w:i w:val="0"/>
      </w:rPr>
    </w:lvl>
    <w:lvl w:ilvl="6" w:tplc="F79EEF5A">
      <w:start w:val="1"/>
      <w:numFmt w:val="none"/>
      <w:lvlText w:val=""/>
      <w:lvlJc w:val="left"/>
      <w:pPr>
        <w:tabs>
          <w:tab w:val="num" w:pos="2880"/>
        </w:tabs>
        <w:ind w:left="3786" w:hanging="461"/>
      </w:pPr>
      <w:rPr>
        <w:rFonts w:hint="default"/>
        <w:b/>
      </w:rPr>
    </w:lvl>
    <w:lvl w:ilvl="7" w:tplc="18C47BDA">
      <w:start w:val="1"/>
      <w:numFmt w:val="none"/>
      <w:lvlText w:val=""/>
      <w:lvlJc w:val="left"/>
      <w:pPr>
        <w:tabs>
          <w:tab w:val="num" w:pos="3960"/>
        </w:tabs>
        <w:ind w:left="4261" w:hanging="461"/>
      </w:pPr>
      <w:rPr>
        <w:rFonts w:hint="default"/>
        <w:b/>
      </w:rPr>
    </w:lvl>
    <w:lvl w:ilvl="8" w:tplc="C18EE94A">
      <w:start w:val="1"/>
      <w:numFmt w:val="none"/>
      <w:lvlText w:val=""/>
      <w:lvlJc w:val="left"/>
      <w:pPr>
        <w:tabs>
          <w:tab w:val="num" w:pos="4320"/>
        </w:tabs>
        <w:ind w:left="4736" w:hanging="461"/>
      </w:pPr>
      <w:rPr>
        <w:rFonts w:hint="default"/>
      </w:rPr>
    </w:lvl>
  </w:abstractNum>
  <w:abstractNum w:abstractNumId="72" w15:restartNumberingAfterBreak="0">
    <w:nsid w:val="5FF20FDF"/>
    <w:multiLevelType w:val="hybridMultilevel"/>
    <w:tmpl w:val="9A10F5FC"/>
    <w:lvl w:ilvl="0" w:tplc="FFFFFFFF">
      <w:start w:val="1"/>
      <w:numFmt w:val="decimal"/>
      <w:lvlText w:val="%1."/>
      <w:lvlJc w:val="left"/>
      <w:pPr>
        <w:ind w:left="1980" w:hanging="360"/>
      </w:pPr>
      <w:rPr>
        <w:rFonts w:hint="default"/>
      </w:rPr>
    </w:lvl>
    <w:lvl w:ilvl="1" w:tplc="FFFFFFFF">
      <w:start w:val="1"/>
      <w:numFmt w:val="bullet"/>
      <w:lvlText w:val="o"/>
      <w:lvlJc w:val="left"/>
      <w:pPr>
        <w:ind w:left="2700" w:hanging="360"/>
      </w:pPr>
      <w:rPr>
        <w:rFonts w:hint="default" w:ascii="Courier New" w:hAnsi="Courier New" w:cs="Courier New"/>
      </w:rPr>
    </w:lvl>
    <w:lvl w:ilvl="2" w:tplc="FFFFFFFF" w:tentative="1">
      <w:start w:val="1"/>
      <w:numFmt w:val="bullet"/>
      <w:lvlText w:val=""/>
      <w:lvlJc w:val="left"/>
      <w:pPr>
        <w:ind w:left="3420" w:hanging="360"/>
      </w:pPr>
      <w:rPr>
        <w:rFonts w:hint="default" w:ascii="Wingdings" w:hAnsi="Wingdings"/>
      </w:rPr>
    </w:lvl>
    <w:lvl w:ilvl="3" w:tplc="FFFFFFFF" w:tentative="1">
      <w:start w:val="1"/>
      <w:numFmt w:val="bullet"/>
      <w:lvlText w:val=""/>
      <w:lvlJc w:val="left"/>
      <w:pPr>
        <w:ind w:left="4140" w:hanging="360"/>
      </w:pPr>
      <w:rPr>
        <w:rFonts w:hint="default" w:ascii="Symbol" w:hAnsi="Symbol"/>
      </w:rPr>
    </w:lvl>
    <w:lvl w:ilvl="4" w:tplc="FFFFFFFF" w:tentative="1">
      <w:start w:val="1"/>
      <w:numFmt w:val="bullet"/>
      <w:lvlText w:val="o"/>
      <w:lvlJc w:val="left"/>
      <w:pPr>
        <w:ind w:left="4860" w:hanging="360"/>
      </w:pPr>
      <w:rPr>
        <w:rFonts w:hint="default" w:ascii="Courier New" w:hAnsi="Courier New" w:cs="Courier New"/>
      </w:rPr>
    </w:lvl>
    <w:lvl w:ilvl="5" w:tplc="FFFFFFFF" w:tentative="1">
      <w:start w:val="1"/>
      <w:numFmt w:val="bullet"/>
      <w:lvlText w:val=""/>
      <w:lvlJc w:val="left"/>
      <w:pPr>
        <w:ind w:left="5580" w:hanging="360"/>
      </w:pPr>
      <w:rPr>
        <w:rFonts w:hint="default" w:ascii="Wingdings" w:hAnsi="Wingdings"/>
      </w:rPr>
    </w:lvl>
    <w:lvl w:ilvl="6" w:tplc="FFFFFFFF" w:tentative="1">
      <w:start w:val="1"/>
      <w:numFmt w:val="bullet"/>
      <w:lvlText w:val=""/>
      <w:lvlJc w:val="left"/>
      <w:pPr>
        <w:ind w:left="6300" w:hanging="360"/>
      </w:pPr>
      <w:rPr>
        <w:rFonts w:hint="default" w:ascii="Symbol" w:hAnsi="Symbol"/>
      </w:rPr>
    </w:lvl>
    <w:lvl w:ilvl="7" w:tplc="FFFFFFFF" w:tentative="1">
      <w:start w:val="1"/>
      <w:numFmt w:val="bullet"/>
      <w:lvlText w:val="o"/>
      <w:lvlJc w:val="left"/>
      <w:pPr>
        <w:ind w:left="7020" w:hanging="360"/>
      </w:pPr>
      <w:rPr>
        <w:rFonts w:hint="default" w:ascii="Courier New" w:hAnsi="Courier New" w:cs="Courier New"/>
      </w:rPr>
    </w:lvl>
    <w:lvl w:ilvl="8" w:tplc="FFFFFFFF" w:tentative="1">
      <w:start w:val="1"/>
      <w:numFmt w:val="bullet"/>
      <w:lvlText w:val=""/>
      <w:lvlJc w:val="left"/>
      <w:pPr>
        <w:ind w:left="7740" w:hanging="360"/>
      </w:pPr>
      <w:rPr>
        <w:rFonts w:hint="default" w:ascii="Wingdings" w:hAnsi="Wingdings"/>
      </w:rPr>
    </w:lvl>
  </w:abstractNum>
  <w:abstractNum w:abstractNumId="73" w15:restartNumberingAfterBreak="0">
    <w:nsid w:val="60BC5E6B"/>
    <w:multiLevelType w:val="hybridMultilevel"/>
    <w:tmpl w:val="D79E47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61803C10"/>
    <w:multiLevelType w:val="hybridMultilevel"/>
    <w:tmpl w:val="D15A18C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15:restartNumberingAfterBreak="0">
    <w:nsid w:val="624D6FC0"/>
    <w:multiLevelType w:val="hybridMultilevel"/>
    <w:tmpl w:val="2D9078B6"/>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76" w15:restartNumberingAfterBreak="0">
    <w:nsid w:val="63895462"/>
    <w:multiLevelType w:val="hybridMultilevel"/>
    <w:tmpl w:val="D2CA355A"/>
    <w:lvl w:ilvl="0" w:tplc="04090019">
      <w:start w:val="1"/>
      <w:numFmt w:val="lowerLetter"/>
      <w:lvlText w:val="%1."/>
      <w:lvlJc w:val="left"/>
      <w:pPr>
        <w:ind w:left="460" w:hanging="360"/>
      </w:pPr>
      <w:rPr>
        <w:rFonts w:hint="default"/>
        <w:b w:val="0"/>
        <w:bCs w:val="0"/>
        <w:i w:val="0"/>
        <w:iCs w:val="0"/>
        <w:spacing w:val="0"/>
        <w:w w:val="100"/>
        <w:sz w:val="24"/>
        <w:szCs w:val="24"/>
        <w:lang w:val="en-US" w:eastAsia="en-US" w:bidi="ar-SA"/>
      </w:rPr>
    </w:lvl>
    <w:lvl w:ilvl="1" w:tplc="FFFFFFFF">
      <w:numFmt w:val="bullet"/>
      <w:lvlText w:val="•"/>
      <w:lvlJc w:val="left"/>
      <w:pPr>
        <w:ind w:left="1382" w:hanging="360"/>
      </w:pPr>
      <w:rPr>
        <w:rFonts w:hint="default"/>
        <w:lang w:val="en-US" w:eastAsia="en-US" w:bidi="ar-SA"/>
      </w:rPr>
    </w:lvl>
    <w:lvl w:ilvl="2" w:tplc="FFFFFFFF">
      <w:numFmt w:val="bullet"/>
      <w:lvlText w:val="•"/>
      <w:lvlJc w:val="left"/>
      <w:pPr>
        <w:ind w:left="2304" w:hanging="360"/>
      </w:pPr>
      <w:rPr>
        <w:rFonts w:hint="default"/>
        <w:lang w:val="en-US" w:eastAsia="en-US" w:bidi="ar-SA"/>
      </w:rPr>
    </w:lvl>
    <w:lvl w:ilvl="3" w:tplc="FFFFFFFF">
      <w:numFmt w:val="bullet"/>
      <w:lvlText w:val="•"/>
      <w:lvlJc w:val="left"/>
      <w:pPr>
        <w:ind w:left="3226" w:hanging="360"/>
      </w:pPr>
      <w:rPr>
        <w:rFonts w:hint="default"/>
        <w:lang w:val="en-US" w:eastAsia="en-US" w:bidi="ar-SA"/>
      </w:rPr>
    </w:lvl>
    <w:lvl w:ilvl="4" w:tplc="FFFFFFFF">
      <w:numFmt w:val="bullet"/>
      <w:lvlText w:val="•"/>
      <w:lvlJc w:val="left"/>
      <w:pPr>
        <w:ind w:left="4148"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992" w:hanging="360"/>
      </w:pPr>
      <w:rPr>
        <w:rFonts w:hint="default"/>
        <w:lang w:val="en-US" w:eastAsia="en-US" w:bidi="ar-SA"/>
      </w:rPr>
    </w:lvl>
    <w:lvl w:ilvl="7" w:tplc="FFFFFFFF">
      <w:numFmt w:val="bullet"/>
      <w:lvlText w:val="•"/>
      <w:lvlJc w:val="left"/>
      <w:pPr>
        <w:ind w:left="6914" w:hanging="360"/>
      </w:pPr>
      <w:rPr>
        <w:rFonts w:hint="default"/>
        <w:lang w:val="en-US" w:eastAsia="en-US" w:bidi="ar-SA"/>
      </w:rPr>
    </w:lvl>
    <w:lvl w:ilvl="8" w:tplc="FFFFFFFF">
      <w:numFmt w:val="bullet"/>
      <w:lvlText w:val="•"/>
      <w:lvlJc w:val="left"/>
      <w:pPr>
        <w:ind w:left="7836" w:hanging="360"/>
      </w:pPr>
      <w:rPr>
        <w:rFonts w:hint="default"/>
        <w:lang w:val="en-US" w:eastAsia="en-US" w:bidi="ar-SA"/>
      </w:rPr>
    </w:lvl>
  </w:abstractNum>
  <w:abstractNum w:abstractNumId="77" w15:restartNumberingAfterBreak="0">
    <w:nsid w:val="64B25C3D"/>
    <w:multiLevelType w:val="hybridMultilevel"/>
    <w:tmpl w:val="6758176C"/>
    <w:lvl w:ilvl="0" w:tplc="04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78" w15:restartNumberingAfterBreak="0">
    <w:nsid w:val="65CA3D8A"/>
    <w:multiLevelType w:val="hybridMultilevel"/>
    <w:tmpl w:val="ADEA55E4"/>
    <w:styleLink w:val="ListAttGStyl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67CC3E77"/>
    <w:multiLevelType w:val="hybridMultilevel"/>
    <w:tmpl w:val="3E0816EE"/>
    <w:lvl w:ilvl="0" w:tplc="70700326">
      <w:start w:val="1"/>
      <w:numFmt w:val="decimal"/>
      <w:pStyle w:val="Headings3"/>
      <w:lvlText w:val="%1."/>
      <w:lvlJc w:val="left"/>
      <w:pPr>
        <w:tabs>
          <w:tab w:val="num" w:pos="936"/>
        </w:tabs>
        <w:ind w:left="468" w:firstLine="468"/>
      </w:pPr>
      <w:rPr>
        <w:rFonts w:hint="default" w:ascii="Arial Bold" w:hAnsi="Arial Bold"/>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ED6D93"/>
    <w:multiLevelType w:val="hybridMultilevel"/>
    <w:tmpl w:val="08366BA8"/>
    <w:lvl w:ilvl="0" w:tplc="F6CC7D44">
      <w:start w:val="1"/>
      <w:numFmt w:val="upperLetter"/>
      <w:pStyle w:val="Headings2-E"/>
      <w:lvlText w:val="%1."/>
      <w:lvlJc w:val="left"/>
      <w:pPr>
        <w:tabs>
          <w:tab w:val="num" w:pos="936"/>
        </w:tabs>
        <w:ind w:left="936" w:hanging="468"/>
      </w:pPr>
      <w:rPr>
        <w:rFonts w:hint="default" w:ascii="Arial Bold" w:hAnsi="Arial Bold"/>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5C738A"/>
    <w:multiLevelType w:val="hybridMultilevel"/>
    <w:tmpl w:val="427E728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2" w15:restartNumberingAfterBreak="0">
    <w:nsid w:val="6B5D0EEB"/>
    <w:multiLevelType w:val="hybridMultilevel"/>
    <w:tmpl w:val="DD56A81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3" w15:restartNumberingAfterBreak="0">
    <w:nsid w:val="6D2169D0"/>
    <w:multiLevelType w:val="hybridMultilevel"/>
    <w:tmpl w:val="2A1E2388"/>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84" w15:restartNumberingAfterBreak="0">
    <w:nsid w:val="6E017D2D"/>
    <w:multiLevelType w:val="hybridMultilevel"/>
    <w:tmpl w:val="196A5B32"/>
    <w:lvl w:ilvl="0" w:tplc="485ED2C0">
      <w:start w:val="1"/>
      <w:numFmt w:val="upperLetter"/>
      <w:pStyle w:val="Heading9"/>
      <w:lvlText w:val="%1."/>
      <w:lvlJc w:val="left"/>
      <w:pPr>
        <w:tabs>
          <w:tab w:val="num" w:pos="720"/>
        </w:tabs>
        <w:ind w:left="720" w:hanging="360"/>
      </w:pPr>
      <w:rPr>
        <w:rFonts w:hint="default" w:ascii="Arial" w:hAnsi="Arial"/>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F107773"/>
    <w:multiLevelType w:val="hybridMultilevel"/>
    <w:tmpl w:val="997EF188"/>
    <w:lvl w:ilvl="0" w:tplc="30C8B5D0">
      <w:start w:val="1"/>
      <w:numFmt w:val="decimal"/>
      <w:lvlText w:val="%1."/>
      <w:lvlJc w:val="left"/>
      <w:pPr>
        <w:ind w:left="1980" w:hanging="360"/>
      </w:pPr>
      <w:rPr>
        <w:rFonts w:hint="default" w:ascii="Arial" w:hAnsi="Arial"/>
        <w:b w:val="0"/>
        <w:i w:val="0"/>
        <w:sz w:val="24"/>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6" w15:restartNumberingAfterBreak="0">
    <w:nsid w:val="6FC64003"/>
    <w:multiLevelType w:val="multilevel"/>
    <w:tmpl w:val="99C6CB94"/>
    <w:name w:val="A.1 ListNum2 LINK"/>
    <w:styleLink w:val="ListA1"/>
    <w:lvl w:ilvl="0">
      <w:start w:val="1"/>
      <w:numFmt w:val="decimal"/>
      <w:pStyle w:val="ListNumber2"/>
      <w:lvlText w:val="A.%1."/>
      <w:lvlJc w:val="left"/>
      <w:pPr>
        <w:ind w:left="1008" w:hanging="720"/>
      </w:pPr>
      <w:rPr>
        <w:rFonts w:hint="default" w:ascii="Arial" w:hAnsi="Arial"/>
        <w:b w:val="0"/>
        <w:bCs w:val="0"/>
        <w:color w:val="auto"/>
        <w:spacing w:val="-6"/>
        <w:w w:val="100"/>
        <w:sz w:val="24"/>
        <w:szCs w:val="22"/>
      </w:rPr>
    </w:lvl>
    <w:lvl w:ilvl="1">
      <w:start w:val="1"/>
      <w:numFmt w:val="lowerLetter"/>
      <w:lvlText w:val="%2."/>
      <w:lvlJc w:val="left"/>
      <w:pPr>
        <w:ind w:left="1368" w:hanging="360"/>
      </w:pPr>
      <w:rPr>
        <w:rFonts w:hint="default" w:ascii="Arial" w:hAnsi="Arial" w:eastAsia="Arial"/>
        <w:spacing w:val="-1"/>
        <w:w w:val="100"/>
        <w:sz w:val="22"/>
        <w:szCs w:val="22"/>
      </w:rPr>
    </w:lvl>
    <w:lvl w:ilvl="2">
      <w:start w:val="1"/>
      <w:numFmt w:val="decimal"/>
      <w:lvlText w:val="%3)"/>
      <w:lvlJc w:val="left"/>
      <w:pPr>
        <w:ind w:left="1742" w:hanging="374"/>
      </w:pPr>
      <w:rPr>
        <w:rFonts w:hint="default" w:ascii="Arial" w:hAnsi="Arial" w:eastAsia="Arial"/>
        <w:w w:val="100"/>
        <w:sz w:val="22"/>
        <w:szCs w:val="22"/>
      </w:rPr>
    </w:lvl>
    <w:lvl w:ilvl="3">
      <w:start w:val="1"/>
      <w:numFmt w:val="lowerLetter"/>
      <w:lvlText w:val="(%4)"/>
      <w:lvlJc w:val="left"/>
      <w:pPr>
        <w:ind w:left="2318" w:hanging="576"/>
      </w:pPr>
      <w:rPr>
        <w:rFonts w:hint="default"/>
      </w:rPr>
    </w:lvl>
    <w:lvl w:ilvl="4">
      <w:start w:val="1"/>
      <w:numFmt w:val="decimal"/>
      <w:lvlText w:val="(%5)"/>
      <w:lvlJc w:val="left"/>
      <w:pPr>
        <w:ind w:left="2894" w:hanging="576"/>
      </w:pPr>
      <w:rPr>
        <w:rFonts w:hint="default"/>
      </w:rPr>
    </w:lvl>
    <w:lvl w:ilvl="5">
      <w:start w:val="1"/>
      <w:numFmt w:val="upperLetter"/>
      <w:lvlText w:val="%6."/>
      <w:lvlJc w:val="left"/>
      <w:pPr>
        <w:ind w:left="3398" w:hanging="504"/>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hint="default"/>
      </w:rPr>
    </w:lvl>
    <w:lvl w:ilvl="8">
      <w:start w:val="1"/>
      <w:numFmt w:val="bullet"/>
      <w:lvlText w:val="•"/>
      <w:lvlJc w:val="left"/>
      <w:pPr>
        <w:ind w:left="3240" w:hanging="360"/>
      </w:pPr>
      <w:rPr>
        <w:rFonts w:hint="default"/>
      </w:rPr>
    </w:lvl>
  </w:abstractNum>
  <w:abstractNum w:abstractNumId="87" w15:restartNumberingAfterBreak="0">
    <w:nsid w:val="70F96382"/>
    <w:multiLevelType w:val="hybridMultilevel"/>
    <w:tmpl w:val="043EFD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9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1CD064A"/>
    <w:multiLevelType w:val="multilevel"/>
    <w:tmpl w:val="15748874"/>
    <w:lvl w:ilvl="0">
      <w:start w:val="1"/>
      <w:numFmt w:val="lowerLetter"/>
      <w:lvlText w:val="%1."/>
      <w:lvlJc w:val="left"/>
      <w:pPr>
        <w:ind w:left="1350" w:hanging="360"/>
      </w:pPr>
      <w:rPr>
        <w:rFonts w:hint="default"/>
        <w:color w:val="000000" w:themeColor="text1"/>
      </w:rPr>
    </w:lvl>
    <w:lvl w:ilvl="1">
      <w:start w:val="3"/>
      <w:numFmt w:val="decimal"/>
      <w:isLgl/>
      <w:lvlText w:val="%1.%2"/>
      <w:lvlJc w:val="left"/>
      <w:pPr>
        <w:ind w:left="2070" w:hanging="1080"/>
      </w:pPr>
      <w:rPr>
        <w:rFonts w:hint="default"/>
      </w:rPr>
    </w:lvl>
    <w:lvl w:ilvl="2">
      <w:start w:val="2"/>
      <w:numFmt w:val="decimal"/>
      <w:isLgl/>
      <w:lvlText w:val="%1.%2.%3"/>
      <w:lvlJc w:val="left"/>
      <w:pPr>
        <w:ind w:left="1710" w:hanging="108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89" w15:restartNumberingAfterBreak="0">
    <w:nsid w:val="72C114B5"/>
    <w:multiLevelType w:val="hybridMultilevel"/>
    <w:tmpl w:val="FC5AA830"/>
    <w:lvl w:ilvl="0" w:tplc="5BDA13AC">
      <w:start w:val="1"/>
      <w:numFmt w:val="upperLetter"/>
      <w:pStyle w:val="Headings2-F"/>
      <w:lvlText w:val="%1."/>
      <w:lvlJc w:val="left"/>
      <w:pPr>
        <w:tabs>
          <w:tab w:val="num" w:pos="936"/>
        </w:tabs>
        <w:ind w:left="936" w:hanging="468"/>
      </w:pPr>
      <w:rPr>
        <w:rFonts w:hint="default" w:ascii="Arial Bold" w:hAnsi="Arial Bold"/>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6A675B"/>
    <w:multiLevelType w:val="multilevel"/>
    <w:tmpl w:val="15748874"/>
    <w:lvl w:ilvl="0">
      <w:start w:val="1"/>
      <w:numFmt w:val="lowerLetter"/>
      <w:lvlText w:val="%1."/>
      <w:lvlJc w:val="left"/>
      <w:pPr>
        <w:ind w:left="1350" w:hanging="360"/>
      </w:pPr>
      <w:rPr>
        <w:rFonts w:hint="default"/>
        <w:color w:val="000000" w:themeColor="text1"/>
      </w:rPr>
    </w:lvl>
    <w:lvl w:ilvl="1">
      <w:start w:val="3"/>
      <w:numFmt w:val="decimal"/>
      <w:isLgl/>
      <w:lvlText w:val="%1.%2"/>
      <w:lvlJc w:val="left"/>
      <w:pPr>
        <w:ind w:left="2070" w:hanging="1080"/>
      </w:pPr>
      <w:rPr>
        <w:rFonts w:hint="default"/>
      </w:rPr>
    </w:lvl>
    <w:lvl w:ilvl="2">
      <w:start w:val="2"/>
      <w:numFmt w:val="decimal"/>
      <w:isLgl/>
      <w:lvlText w:val="%1.%2.%3"/>
      <w:lvlJc w:val="left"/>
      <w:pPr>
        <w:ind w:left="1710" w:hanging="108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91" w15:restartNumberingAfterBreak="0">
    <w:nsid w:val="77FD77AE"/>
    <w:multiLevelType w:val="hybridMultilevel"/>
    <w:tmpl w:val="0BAE90A4"/>
    <w:lvl w:ilvl="0" w:tplc="03A630AE">
      <w:start w:val="2"/>
      <w:numFmt w:val="bullet"/>
      <w:lvlText w:val="-"/>
      <w:lvlJc w:val="left"/>
      <w:pPr>
        <w:ind w:left="1710" w:hanging="360"/>
      </w:pPr>
      <w:rPr>
        <w:rFonts w:hint="default" w:ascii="Arial" w:hAnsi="Arial" w:eastAsia="Times New Roman" w:cs="Arial"/>
      </w:rPr>
    </w:lvl>
    <w:lvl w:ilvl="1" w:tplc="04090003" w:tentative="1">
      <w:start w:val="1"/>
      <w:numFmt w:val="bullet"/>
      <w:lvlText w:val="o"/>
      <w:lvlJc w:val="left"/>
      <w:pPr>
        <w:ind w:left="2430" w:hanging="360"/>
      </w:pPr>
      <w:rPr>
        <w:rFonts w:hint="default" w:ascii="Courier New" w:hAnsi="Courier New" w:cs="Courier New"/>
      </w:rPr>
    </w:lvl>
    <w:lvl w:ilvl="2" w:tplc="04090005" w:tentative="1">
      <w:start w:val="1"/>
      <w:numFmt w:val="bullet"/>
      <w:lvlText w:val=""/>
      <w:lvlJc w:val="left"/>
      <w:pPr>
        <w:ind w:left="3150" w:hanging="360"/>
      </w:pPr>
      <w:rPr>
        <w:rFonts w:hint="default" w:ascii="Wingdings" w:hAnsi="Wingdings"/>
      </w:rPr>
    </w:lvl>
    <w:lvl w:ilvl="3" w:tplc="04090001" w:tentative="1">
      <w:start w:val="1"/>
      <w:numFmt w:val="bullet"/>
      <w:lvlText w:val=""/>
      <w:lvlJc w:val="left"/>
      <w:pPr>
        <w:ind w:left="3870" w:hanging="360"/>
      </w:pPr>
      <w:rPr>
        <w:rFonts w:hint="default" w:ascii="Symbol" w:hAnsi="Symbol"/>
      </w:rPr>
    </w:lvl>
    <w:lvl w:ilvl="4" w:tplc="04090003" w:tentative="1">
      <w:start w:val="1"/>
      <w:numFmt w:val="bullet"/>
      <w:lvlText w:val="o"/>
      <w:lvlJc w:val="left"/>
      <w:pPr>
        <w:ind w:left="4590" w:hanging="360"/>
      </w:pPr>
      <w:rPr>
        <w:rFonts w:hint="default" w:ascii="Courier New" w:hAnsi="Courier New" w:cs="Courier New"/>
      </w:rPr>
    </w:lvl>
    <w:lvl w:ilvl="5" w:tplc="04090005" w:tentative="1">
      <w:start w:val="1"/>
      <w:numFmt w:val="bullet"/>
      <w:lvlText w:val=""/>
      <w:lvlJc w:val="left"/>
      <w:pPr>
        <w:ind w:left="5310" w:hanging="360"/>
      </w:pPr>
      <w:rPr>
        <w:rFonts w:hint="default" w:ascii="Wingdings" w:hAnsi="Wingdings"/>
      </w:rPr>
    </w:lvl>
    <w:lvl w:ilvl="6" w:tplc="04090001" w:tentative="1">
      <w:start w:val="1"/>
      <w:numFmt w:val="bullet"/>
      <w:lvlText w:val=""/>
      <w:lvlJc w:val="left"/>
      <w:pPr>
        <w:ind w:left="6030" w:hanging="360"/>
      </w:pPr>
      <w:rPr>
        <w:rFonts w:hint="default" w:ascii="Symbol" w:hAnsi="Symbol"/>
      </w:rPr>
    </w:lvl>
    <w:lvl w:ilvl="7" w:tplc="04090003" w:tentative="1">
      <w:start w:val="1"/>
      <w:numFmt w:val="bullet"/>
      <w:lvlText w:val="o"/>
      <w:lvlJc w:val="left"/>
      <w:pPr>
        <w:ind w:left="6750" w:hanging="360"/>
      </w:pPr>
      <w:rPr>
        <w:rFonts w:hint="default" w:ascii="Courier New" w:hAnsi="Courier New" w:cs="Courier New"/>
      </w:rPr>
    </w:lvl>
    <w:lvl w:ilvl="8" w:tplc="04090005" w:tentative="1">
      <w:start w:val="1"/>
      <w:numFmt w:val="bullet"/>
      <w:lvlText w:val=""/>
      <w:lvlJc w:val="left"/>
      <w:pPr>
        <w:ind w:left="7470" w:hanging="360"/>
      </w:pPr>
      <w:rPr>
        <w:rFonts w:hint="default" w:ascii="Wingdings" w:hAnsi="Wingdings"/>
      </w:rPr>
    </w:lvl>
  </w:abstractNum>
  <w:abstractNum w:abstractNumId="92" w15:restartNumberingAfterBreak="0">
    <w:nsid w:val="7A0F55AE"/>
    <w:multiLevelType w:val="hybridMultilevel"/>
    <w:tmpl w:val="9A2E6DB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3" w15:restartNumberingAfterBreak="0">
    <w:nsid w:val="7AC76F39"/>
    <w:multiLevelType w:val="hybridMultilevel"/>
    <w:tmpl w:val="31C6FE9A"/>
    <w:lvl w:ilvl="0" w:tplc="ED2C68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7D3E0736"/>
    <w:multiLevelType w:val="hybridMultilevel"/>
    <w:tmpl w:val="9100599E"/>
    <w:lvl w:ilvl="0" w:tplc="30C8B5D0">
      <w:start w:val="1"/>
      <w:numFmt w:val="decimal"/>
      <w:lvlText w:val="%1."/>
      <w:lvlJc w:val="left"/>
      <w:pPr>
        <w:ind w:left="2340" w:hanging="360"/>
      </w:pPr>
      <w:rPr>
        <w:rFonts w:hint="default" w:ascii="Arial" w:hAnsi="Arial"/>
        <w:b w:val="0"/>
        <w:i w:val="0"/>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5" w15:restartNumberingAfterBreak="0">
    <w:nsid w:val="7D9B671D"/>
    <w:multiLevelType w:val="hybridMultilevel"/>
    <w:tmpl w:val="56A2D69C"/>
    <w:lvl w:ilvl="0" w:tplc="04090019">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96" w15:restartNumberingAfterBreak="0">
    <w:nsid w:val="7DB146AC"/>
    <w:multiLevelType w:val="multilevel"/>
    <w:tmpl w:val="1E9A456C"/>
    <w:name w:val="List_Table_ConformedOrder"/>
    <w:styleLink w:val="TableListStyleConformedOrder"/>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ascii="Arial" w:hAnsi="Arial"/>
        <w:b w:val="0"/>
        <w:i w:val="0"/>
        <w:color w:val="auto"/>
        <w:sz w:val="24"/>
        <w:u w:val="none"/>
      </w:rPr>
    </w:lvl>
  </w:abstractNum>
  <w:abstractNum w:abstractNumId="97" w15:restartNumberingAfterBreak="0">
    <w:nsid w:val="7EE86322"/>
    <w:multiLevelType w:val="hybridMultilevel"/>
    <w:tmpl w:val="D7A091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0774576">
    <w:abstractNumId w:val="84"/>
  </w:num>
  <w:num w:numId="2" w16cid:durableId="180045489">
    <w:abstractNumId w:val="62"/>
  </w:num>
  <w:num w:numId="3" w16cid:durableId="255483001">
    <w:abstractNumId w:val="55"/>
  </w:num>
  <w:num w:numId="4" w16cid:durableId="1366250096">
    <w:abstractNumId w:val="19"/>
  </w:num>
  <w:num w:numId="5" w16cid:durableId="449204588">
    <w:abstractNumId w:val="79"/>
  </w:num>
  <w:num w:numId="6" w16cid:durableId="332340558">
    <w:abstractNumId w:val="10"/>
  </w:num>
  <w:num w:numId="7" w16cid:durableId="728647437">
    <w:abstractNumId w:val="53"/>
  </w:num>
  <w:num w:numId="8" w16cid:durableId="1159418927">
    <w:abstractNumId w:val="80"/>
  </w:num>
  <w:num w:numId="9" w16cid:durableId="1866823754">
    <w:abstractNumId w:val="39"/>
  </w:num>
  <w:num w:numId="10" w16cid:durableId="848520981">
    <w:abstractNumId w:val="89"/>
  </w:num>
  <w:num w:numId="11" w16cid:durableId="1264340549">
    <w:abstractNumId w:val="36"/>
  </w:num>
  <w:num w:numId="12" w16cid:durableId="1412510434">
    <w:abstractNumId w:val="71"/>
  </w:num>
  <w:num w:numId="13" w16cid:durableId="1214807050">
    <w:abstractNumId w:val="57"/>
  </w:num>
  <w:num w:numId="14" w16cid:durableId="538594180">
    <w:abstractNumId w:val="52"/>
  </w:num>
  <w:num w:numId="15" w16cid:durableId="1250457750">
    <w:abstractNumId w:val="5"/>
  </w:num>
  <w:num w:numId="16" w16cid:durableId="1625382978">
    <w:abstractNumId w:val="41"/>
  </w:num>
  <w:num w:numId="17" w16cid:durableId="121851157">
    <w:abstractNumId w:val="50"/>
  </w:num>
  <w:num w:numId="18" w16cid:durableId="1891116233">
    <w:abstractNumId w:val="30"/>
  </w:num>
  <w:num w:numId="19" w16cid:durableId="1805614024">
    <w:abstractNumId w:val="0"/>
  </w:num>
  <w:num w:numId="20" w16cid:durableId="373505857">
    <w:abstractNumId w:val="60"/>
  </w:num>
  <w:num w:numId="21" w16cid:durableId="1855874391">
    <w:abstractNumId w:val="73"/>
  </w:num>
  <w:num w:numId="22" w16cid:durableId="1524787095">
    <w:abstractNumId w:val="45"/>
  </w:num>
  <w:num w:numId="23" w16cid:durableId="507791775">
    <w:abstractNumId w:val="46"/>
  </w:num>
  <w:num w:numId="24" w16cid:durableId="2035423752">
    <w:abstractNumId w:val="88"/>
  </w:num>
  <w:num w:numId="25" w16cid:durableId="1491172495">
    <w:abstractNumId w:val="90"/>
  </w:num>
  <w:num w:numId="26" w16cid:durableId="1365180974">
    <w:abstractNumId w:val="14"/>
  </w:num>
  <w:num w:numId="27" w16cid:durableId="90055495">
    <w:abstractNumId w:val="56"/>
  </w:num>
  <w:num w:numId="28" w16cid:durableId="1600601263">
    <w:abstractNumId w:val="94"/>
  </w:num>
  <w:num w:numId="29" w16cid:durableId="1044866127">
    <w:abstractNumId w:val="85"/>
  </w:num>
  <w:num w:numId="30" w16cid:durableId="287980405">
    <w:abstractNumId w:val="16"/>
  </w:num>
  <w:num w:numId="31" w16cid:durableId="1549798613">
    <w:abstractNumId w:val="82"/>
  </w:num>
  <w:num w:numId="32" w16cid:durableId="586966863">
    <w:abstractNumId w:val="58"/>
  </w:num>
  <w:num w:numId="33" w16cid:durableId="1967347180">
    <w:abstractNumId w:val="4"/>
  </w:num>
  <w:num w:numId="34" w16cid:durableId="1609116442">
    <w:abstractNumId w:val="35"/>
  </w:num>
  <w:num w:numId="35" w16cid:durableId="69887631">
    <w:abstractNumId w:val="86"/>
  </w:num>
  <w:num w:numId="36" w16cid:durableId="1909920124">
    <w:abstractNumId w:val="13"/>
  </w:num>
  <w:num w:numId="37" w16cid:durableId="1548448497">
    <w:abstractNumId w:val="23"/>
  </w:num>
  <w:num w:numId="38" w16cid:durableId="89472481">
    <w:abstractNumId w:val="34"/>
  </w:num>
  <w:num w:numId="39" w16cid:durableId="251207566">
    <w:abstractNumId w:val="70"/>
  </w:num>
  <w:num w:numId="40" w16cid:durableId="1078791401">
    <w:abstractNumId w:val="9"/>
  </w:num>
  <w:num w:numId="41" w16cid:durableId="1524634001">
    <w:abstractNumId w:val="28"/>
  </w:num>
  <w:num w:numId="42" w16cid:durableId="788162020">
    <w:abstractNumId w:val="44"/>
  </w:num>
  <w:num w:numId="43" w16cid:durableId="32704712">
    <w:abstractNumId w:val="61"/>
  </w:num>
  <w:num w:numId="44" w16cid:durableId="558856527">
    <w:abstractNumId w:val="43"/>
  </w:num>
  <w:num w:numId="45" w16cid:durableId="484316280">
    <w:abstractNumId w:val="29"/>
  </w:num>
  <w:num w:numId="46" w16cid:durableId="1091513173">
    <w:abstractNumId w:val="66"/>
  </w:num>
  <w:num w:numId="47" w16cid:durableId="343898536">
    <w:abstractNumId w:val="72"/>
  </w:num>
  <w:num w:numId="48" w16cid:durableId="427585235">
    <w:abstractNumId w:val="49"/>
  </w:num>
  <w:num w:numId="49" w16cid:durableId="1442410720">
    <w:abstractNumId w:val="68"/>
    <w:lvlOverride w:ilvl="0">
      <w:lvl w:ilvl="0">
        <w:start w:val="1"/>
        <w:numFmt w:val="decimal"/>
        <w:lvlText w:val="%1."/>
        <w:lvlJc w:val="left"/>
        <w:pPr>
          <w:ind w:left="360" w:hanging="288"/>
        </w:pPr>
        <w:rPr>
          <w:rFonts w:hint="default" w:ascii="Arial" w:hAnsi="Arial"/>
          <w:sz w:val="20"/>
          <w:szCs w:val="20"/>
          <w:vertAlign w:val="superscript"/>
        </w:rPr>
      </w:lvl>
    </w:lvlOverride>
  </w:num>
  <w:num w:numId="50" w16cid:durableId="1508901881">
    <w:abstractNumId w:val="25"/>
  </w:num>
  <w:num w:numId="51" w16cid:durableId="169301252">
    <w:abstractNumId w:val="48"/>
  </w:num>
  <w:num w:numId="52" w16cid:durableId="180553751">
    <w:abstractNumId w:val="15"/>
  </w:num>
  <w:num w:numId="53" w16cid:durableId="1871144008">
    <w:abstractNumId w:val="59"/>
  </w:num>
  <w:num w:numId="54" w16cid:durableId="348028719">
    <w:abstractNumId w:val="51"/>
  </w:num>
  <w:num w:numId="55" w16cid:durableId="1296181073">
    <w:abstractNumId w:val="31"/>
  </w:num>
  <w:num w:numId="56" w16cid:durableId="399451220">
    <w:abstractNumId w:val="12"/>
  </w:num>
  <w:num w:numId="57" w16cid:durableId="1481117263">
    <w:abstractNumId w:val="26"/>
  </w:num>
  <w:num w:numId="58" w16cid:durableId="1154756256">
    <w:abstractNumId w:val="24"/>
  </w:num>
  <w:num w:numId="59" w16cid:durableId="1216507416">
    <w:abstractNumId w:val="81"/>
  </w:num>
  <w:num w:numId="60" w16cid:durableId="1794324943">
    <w:abstractNumId w:val="75"/>
  </w:num>
  <w:num w:numId="61" w16cid:durableId="448206487">
    <w:abstractNumId w:val="37"/>
  </w:num>
  <w:num w:numId="62" w16cid:durableId="2064056558">
    <w:abstractNumId w:val="65"/>
  </w:num>
  <w:num w:numId="63" w16cid:durableId="615259415">
    <w:abstractNumId w:val="40"/>
  </w:num>
  <w:num w:numId="64" w16cid:durableId="1210646740">
    <w:abstractNumId w:val="21"/>
  </w:num>
  <w:num w:numId="65" w16cid:durableId="763958132">
    <w:abstractNumId w:val="87"/>
  </w:num>
  <w:num w:numId="66" w16cid:durableId="1432122256">
    <w:abstractNumId w:val="7"/>
  </w:num>
  <w:num w:numId="67" w16cid:durableId="1983804219">
    <w:abstractNumId w:val="3"/>
  </w:num>
  <w:num w:numId="68" w16cid:durableId="755244868">
    <w:abstractNumId w:val="20"/>
  </w:num>
  <w:num w:numId="69" w16cid:durableId="2038266354">
    <w:abstractNumId w:val="11"/>
  </w:num>
  <w:num w:numId="70" w16cid:durableId="1941133953">
    <w:abstractNumId w:val="47"/>
  </w:num>
  <w:num w:numId="71" w16cid:durableId="786432628">
    <w:abstractNumId w:val="1"/>
  </w:num>
  <w:num w:numId="72" w16cid:durableId="1314794211">
    <w:abstractNumId w:val="67"/>
  </w:num>
  <w:num w:numId="73" w16cid:durableId="144007460">
    <w:abstractNumId w:val="76"/>
  </w:num>
  <w:num w:numId="74" w16cid:durableId="1896313416">
    <w:abstractNumId w:val="22"/>
  </w:num>
  <w:num w:numId="75" w16cid:durableId="1282687669">
    <w:abstractNumId w:val="17"/>
  </w:num>
  <w:num w:numId="76" w16cid:durableId="561909395">
    <w:abstractNumId w:val="63"/>
  </w:num>
  <w:num w:numId="77" w16cid:durableId="94327523">
    <w:abstractNumId w:val="8"/>
  </w:num>
  <w:num w:numId="78" w16cid:durableId="1788233632">
    <w:abstractNumId w:val="97"/>
  </w:num>
  <w:num w:numId="79" w16cid:durableId="1812163623">
    <w:abstractNumId w:val="27"/>
  </w:num>
  <w:num w:numId="80" w16cid:durableId="871500888">
    <w:abstractNumId w:val="18"/>
  </w:num>
  <w:num w:numId="81" w16cid:durableId="312294830">
    <w:abstractNumId w:val="38"/>
  </w:num>
  <w:num w:numId="82" w16cid:durableId="101343962">
    <w:abstractNumId w:val="32"/>
  </w:num>
  <w:num w:numId="83" w16cid:durableId="1759710416">
    <w:abstractNumId w:val="77"/>
  </w:num>
  <w:num w:numId="84" w16cid:durableId="1894193892">
    <w:abstractNumId w:val="74"/>
  </w:num>
  <w:num w:numId="85" w16cid:durableId="1035614062">
    <w:abstractNumId w:val="69"/>
  </w:num>
  <w:num w:numId="86" w16cid:durableId="794787712">
    <w:abstractNumId w:val="83"/>
  </w:num>
  <w:num w:numId="87" w16cid:durableId="1788818876">
    <w:abstractNumId w:val="33"/>
  </w:num>
  <w:num w:numId="88" w16cid:durableId="1789735347">
    <w:abstractNumId w:val="54"/>
  </w:num>
  <w:num w:numId="89" w16cid:durableId="998114463">
    <w:abstractNumId w:val="92"/>
  </w:num>
  <w:num w:numId="90" w16cid:durableId="2075470680">
    <w:abstractNumId w:val="91"/>
  </w:num>
  <w:num w:numId="91" w16cid:durableId="664436039">
    <w:abstractNumId w:val="78"/>
  </w:num>
  <w:num w:numId="92" w16cid:durableId="2117365183">
    <w:abstractNumId w:val="96"/>
  </w:num>
  <w:num w:numId="93" w16cid:durableId="1449661615">
    <w:abstractNumId w:val="68"/>
  </w:num>
  <w:num w:numId="94" w16cid:durableId="1581595702">
    <w:abstractNumId w:val="2"/>
  </w:num>
  <w:num w:numId="95" w16cid:durableId="76749335">
    <w:abstractNumId w:val="95"/>
  </w:num>
  <w:num w:numId="96" w16cid:durableId="1060514481">
    <w:abstractNumId w:val="93"/>
  </w:num>
  <w:numIdMacAtCleanup w:val="9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fr-FR" w:vendorID="64" w:dllVersion="0" w:nlCheck="1" w:checkStyle="0" w:appName="MSWord"/>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val="false"/>
  <w:doNotTrackMoves/>
  <w:doNotTrackFormatting/>
  <w:defaultTabStop w:val="360"/>
  <w:characterSpacingControl w:val="doNotCompress"/>
  <w:hdrShapeDefaults>
    <o:shapedefaults v:ext="edit" spidmax="2050" o:allowincell="f"/>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65"/>
    <w:rsid w:val="00000000"/>
    <w:rsid w:val="00000059"/>
    <w:rsid w:val="00000121"/>
    <w:rsid w:val="000001FA"/>
    <w:rsid w:val="0000033F"/>
    <w:rsid w:val="000003B7"/>
    <w:rsid w:val="00000401"/>
    <w:rsid w:val="0000061C"/>
    <w:rsid w:val="000006E4"/>
    <w:rsid w:val="00000807"/>
    <w:rsid w:val="00000824"/>
    <w:rsid w:val="0000089D"/>
    <w:rsid w:val="000008B8"/>
    <w:rsid w:val="0000093D"/>
    <w:rsid w:val="00000947"/>
    <w:rsid w:val="00000981"/>
    <w:rsid w:val="000009D4"/>
    <w:rsid w:val="00000AC8"/>
    <w:rsid w:val="00000B05"/>
    <w:rsid w:val="00000B35"/>
    <w:rsid w:val="00000B4F"/>
    <w:rsid w:val="00000C7E"/>
    <w:rsid w:val="00000D23"/>
    <w:rsid w:val="00000D36"/>
    <w:rsid w:val="00000E80"/>
    <w:rsid w:val="00000EA8"/>
    <w:rsid w:val="0000111E"/>
    <w:rsid w:val="00001195"/>
    <w:rsid w:val="0000122B"/>
    <w:rsid w:val="000012A0"/>
    <w:rsid w:val="0000148F"/>
    <w:rsid w:val="000014FE"/>
    <w:rsid w:val="000016A2"/>
    <w:rsid w:val="00001712"/>
    <w:rsid w:val="00001884"/>
    <w:rsid w:val="0000189F"/>
    <w:rsid w:val="000018F2"/>
    <w:rsid w:val="000018FA"/>
    <w:rsid w:val="000019A9"/>
    <w:rsid w:val="000019B5"/>
    <w:rsid w:val="00001A13"/>
    <w:rsid w:val="00001AB6"/>
    <w:rsid w:val="00001B50"/>
    <w:rsid w:val="00001C31"/>
    <w:rsid w:val="00001C94"/>
    <w:rsid w:val="00001CEF"/>
    <w:rsid w:val="00001D82"/>
    <w:rsid w:val="00001DBB"/>
    <w:rsid w:val="00001F5B"/>
    <w:rsid w:val="00002017"/>
    <w:rsid w:val="0000204C"/>
    <w:rsid w:val="00002081"/>
    <w:rsid w:val="000020E5"/>
    <w:rsid w:val="000020EF"/>
    <w:rsid w:val="00002118"/>
    <w:rsid w:val="00002237"/>
    <w:rsid w:val="00002239"/>
    <w:rsid w:val="000023B0"/>
    <w:rsid w:val="000023F3"/>
    <w:rsid w:val="00002407"/>
    <w:rsid w:val="00002522"/>
    <w:rsid w:val="000025E2"/>
    <w:rsid w:val="0000263E"/>
    <w:rsid w:val="00002721"/>
    <w:rsid w:val="0000275B"/>
    <w:rsid w:val="00002780"/>
    <w:rsid w:val="00002806"/>
    <w:rsid w:val="00002846"/>
    <w:rsid w:val="00002916"/>
    <w:rsid w:val="000029D0"/>
    <w:rsid w:val="00002A68"/>
    <w:rsid w:val="00002A7F"/>
    <w:rsid w:val="00002A8A"/>
    <w:rsid w:val="00002D17"/>
    <w:rsid w:val="00002EE8"/>
    <w:rsid w:val="00002F1F"/>
    <w:rsid w:val="00002F8C"/>
    <w:rsid w:val="00002FAF"/>
    <w:rsid w:val="00002FB4"/>
    <w:rsid w:val="00003052"/>
    <w:rsid w:val="0000316F"/>
    <w:rsid w:val="000031DA"/>
    <w:rsid w:val="00003258"/>
    <w:rsid w:val="0000369A"/>
    <w:rsid w:val="0000369F"/>
    <w:rsid w:val="000037D3"/>
    <w:rsid w:val="000037DD"/>
    <w:rsid w:val="000038C0"/>
    <w:rsid w:val="000039FA"/>
    <w:rsid w:val="00003A08"/>
    <w:rsid w:val="00003BF1"/>
    <w:rsid w:val="00003C0B"/>
    <w:rsid w:val="00003C54"/>
    <w:rsid w:val="00003D12"/>
    <w:rsid w:val="00003E8D"/>
    <w:rsid w:val="00004140"/>
    <w:rsid w:val="0000434F"/>
    <w:rsid w:val="000043B9"/>
    <w:rsid w:val="000044A1"/>
    <w:rsid w:val="00004721"/>
    <w:rsid w:val="0000474C"/>
    <w:rsid w:val="000047EE"/>
    <w:rsid w:val="00004892"/>
    <w:rsid w:val="00004929"/>
    <w:rsid w:val="00004A22"/>
    <w:rsid w:val="00004B31"/>
    <w:rsid w:val="00004C2F"/>
    <w:rsid w:val="00004C3F"/>
    <w:rsid w:val="00005070"/>
    <w:rsid w:val="000050E7"/>
    <w:rsid w:val="0000538A"/>
    <w:rsid w:val="00005548"/>
    <w:rsid w:val="000055E9"/>
    <w:rsid w:val="000056CC"/>
    <w:rsid w:val="000056DD"/>
    <w:rsid w:val="0000572E"/>
    <w:rsid w:val="0000579E"/>
    <w:rsid w:val="00005806"/>
    <w:rsid w:val="000059FE"/>
    <w:rsid w:val="00005B29"/>
    <w:rsid w:val="00005B9D"/>
    <w:rsid w:val="00005C16"/>
    <w:rsid w:val="00005D60"/>
    <w:rsid w:val="00005E49"/>
    <w:rsid w:val="00005F74"/>
    <w:rsid w:val="00006106"/>
    <w:rsid w:val="000061CA"/>
    <w:rsid w:val="00006232"/>
    <w:rsid w:val="00006246"/>
    <w:rsid w:val="00006383"/>
    <w:rsid w:val="000065E6"/>
    <w:rsid w:val="000066D2"/>
    <w:rsid w:val="0000670B"/>
    <w:rsid w:val="000067EE"/>
    <w:rsid w:val="000067F5"/>
    <w:rsid w:val="000067F7"/>
    <w:rsid w:val="00006884"/>
    <w:rsid w:val="000068D4"/>
    <w:rsid w:val="00006A10"/>
    <w:rsid w:val="00006B8C"/>
    <w:rsid w:val="00006C3E"/>
    <w:rsid w:val="00006C77"/>
    <w:rsid w:val="00006C95"/>
    <w:rsid w:val="00006CDA"/>
    <w:rsid w:val="00006F15"/>
    <w:rsid w:val="00006F37"/>
    <w:rsid w:val="00006FFF"/>
    <w:rsid w:val="0000776E"/>
    <w:rsid w:val="000077CB"/>
    <w:rsid w:val="00007834"/>
    <w:rsid w:val="0000799B"/>
    <w:rsid w:val="000079C5"/>
    <w:rsid w:val="000079D0"/>
    <w:rsid w:val="00007BC3"/>
    <w:rsid w:val="00007C0E"/>
    <w:rsid w:val="00007C3E"/>
    <w:rsid w:val="00007C5F"/>
    <w:rsid w:val="00007C69"/>
    <w:rsid w:val="00007C97"/>
    <w:rsid w:val="00007CB1"/>
    <w:rsid w:val="00007CF2"/>
    <w:rsid w:val="00007DF0"/>
    <w:rsid w:val="00007F6A"/>
    <w:rsid w:val="000105B2"/>
    <w:rsid w:val="000105F2"/>
    <w:rsid w:val="000107CA"/>
    <w:rsid w:val="00010854"/>
    <w:rsid w:val="000108F7"/>
    <w:rsid w:val="000109EA"/>
    <w:rsid w:val="00010CC3"/>
    <w:rsid w:val="00010CE8"/>
    <w:rsid w:val="00010DB0"/>
    <w:rsid w:val="00010E84"/>
    <w:rsid w:val="00010EE9"/>
    <w:rsid w:val="00011065"/>
    <w:rsid w:val="000110C6"/>
    <w:rsid w:val="000110EA"/>
    <w:rsid w:val="00011139"/>
    <w:rsid w:val="00011187"/>
    <w:rsid w:val="00011212"/>
    <w:rsid w:val="0001126C"/>
    <w:rsid w:val="0001130B"/>
    <w:rsid w:val="00011311"/>
    <w:rsid w:val="00011380"/>
    <w:rsid w:val="00011474"/>
    <w:rsid w:val="00011477"/>
    <w:rsid w:val="000114DA"/>
    <w:rsid w:val="00011622"/>
    <w:rsid w:val="0001162F"/>
    <w:rsid w:val="00011687"/>
    <w:rsid w:val="000116CF"/>
    <w:rsid w:val="000116E0"/>
    <w:rsid w:val="00011771"/>
    <w:rsid w:val="0001187A"/>
    <w:rsid w:val="00011BF1"/>
    <w:rsid w:val="00011C32"/>
    <w:rsid w:val="00011D0C"/>
    <w:rsid w:val="00011D14"/>
    <w:rsid w:val="00011D46"/>
    <w:rsid w:val="00011E65"/>
    <w:rsid w:val="00011E86"/>
    <w:rsid w:val="00011FC8"/>
    <w:rsid w:val="00012079"/>
    <w:rsid w:val="00012181"/>
    <w:rsid w:val="0001242E"/>
    <w:rsid w:val="0001244B"/>
    <w:rsid w:val="0001250C"/>
    <w:rsid w:val="000125D9"/>
    <w:rsid w:val="000125F0"/>
    <w:rsid w:val="0001269B"/>
    <w:rsid w:val="00012753"/>
    <w:rsid w:val="00012755"/>
    <w:rsid w:val="000127F6"/>
    <w:rsid w:val="00012915"/>
    <w:rsid w:val="00012988"/>
    <w:rsid w:val="00012BD8"/>
    <w:rsid w:val="00012D5F"/>
    <w:rsid w:val="00012EDB"/>
    <w:rsid w:val="00012F25"/>
    <w:rsid w:val="00012F9A"/>
    <w:rsid w:val="00012FD6"/>
    <w:rsid w:val="0001301E"/>
    <w:rsid w:val="0001307D"/>
    <w:rsid w:val="00013173"/>
    <w:rsid w:val="000133D5"/>
    <w:rsid w:val="0001341D"/>
    <w:rsid w:val="000134FC"/>
    <w:rsid w:val="000134FF"/>
    <w:rsid w:val="00013515"/>
    <w:rsid w:val="00013639"/>
    <w:rsid w:val="0001363C"/>
    <w:rsid w:val="0001366A"/>
    <w:rsid w:val="000136C1"/>
    <w:rsid w:val="0001371B"/>
    <w:rsid w:val="00013720"/>
    <w:rsid w:val="000137DB"/>
    <w:rsid w:val="00013A1B"/>
    <w:rsid w:val="00013B62"/>
    <w:rsid w:val="00013B7E"/>
    <w:rsid w:val="00013C7A"/>
    <w:rsid w:val="00013D0C"/>
    <w:rsid w:val="00013DD3"/>
    <w:rsid w:val="00013E78"/>
    <w:rsid w:val="00013F04"/>
    <w:rsid w:val="00013F1C"/>
    <w:rsid w:val="00013F4A"/>
    <w:rsid w:val="00013F65"/>
    <w:rsid w:val="00013FE6"/>
    <w:rsid w:val="0001406B"/>
    <w:rsid w:val="00014072"/>
    <w:rsid w:val="00014093"/>
    <w:rsid w:val="000140C6"/>
    <w:rsid w:val="000140FF"/>
    <w:rsid w:val="00014225"/>
    <w:rsid w:val="0001425E"/>
    <w:rsid w:val="0001429F"/>
    <w:rsid w:val="000143DE"/>
    <w:rsid w:val="000144D9"/>
    <w:rsid w:val="00014766"/>
    <w:rsid w:val="0001489D"/>
    <w:rsid w:val="00014955"/>
    <w:rsid w:val="00014D31"/>
    <w:rsid w:val="00014E38"/>
    <w:rsid w:val="00014EBB"/>
    <w:rsid w:val="000151BF"/>
    <w:rsid w:val="0001522E"/>
    <w:rsid w:val="000152EB"/>
    <w:rsid w:val="00015317"/>
    <w:rsid w:val="0001556F"/>
    <w:rsid w:val="0001559C"/>
    <w:rsid w:val="00015635"/>
    <w:rsid w:val="000156A0"/>
    <w:rsid w:val="000156BE"/>
    <w:rsid w:val="000156F8"/>
    <w:rsid w:val="000158C3"/>
    <w:rsid w:val="000158FC"/>
    <w:rsid w:val="00015B32"/>
    <w:rsid w:val="00015CA9"/>
    <w:rsid w:val="00015D38"/>
    <w:rsid w:val="00015DF3"/>
    <w:rsid w:val="00015F24"/>
    <w:rsid w:val="00016040"/>
    <w:rsid w:val="0001606B"/>
    <w:rsid w:val="00016074"/>
    <w:rsid w:val="000160E9"/>
    <w:rsid w:val="0001630D"/>
    <w:rsid w:val="000163D0"/>
    <w:rsid w:val="00016497"/>
    <w:rsid w:val="000164F9"/>
    <w:rsid w:val="0001652E"/>
    <w:rsid w:val="000166BF"/>
    <w:rsid w:val="000166CA"/>
    <w:rsid w:val="0001672E"/>
    <w:rsid w:val="000167D8"/>
    <w:rsid w:val="0001685B"/>
    <w:rsid w:val="000168C7"/>
    <w:rsid w:val="00016910"/>
    <w:rsid w:val="0001696D"/>
    <w:rsid w:val="000169BE"/>
    <w:rsid w:val="00016B14"/>
    <w:rsid w:val="00016B91"/>
    <w:rsid w:val="00016BA3"/>
    <w:rsid w:val="00016BC2"/>
    <w:rsid w:val="00016BFD"/>
    <w:rsid w:val="00016C19"/>
    <w:rsid w:val="00016C57"/>
    <w:rsid w:val="00016C88"/>
    <w:rsid w:val="00016CD4"/>
    <w:rsid w:val="00016CDA"/>
    <w:rsid w:val="00016CF9"/>
    <w:rsid w:val="00016DD1"/>
    <w:rsid w:val="00016E16"/>
    <w:rsid w:val="00016FB1"/>
    <w:rsid w:val="00016FE8"/>
    <w:rsid w:val="00017035"/>
    <w:rsid w:val="0001703A"/>
    <w:rsid w:val="00017047"/>
    <w:rsid w:val="0001714C"/>
    <w:rsid w:val="000171E4"/>
    <w:rsid w:val="00017269"/>
    <w:rsid w:val="00017371"/>
    <w:rsid w:val="0001738A"/>
    <w:rsid w:val="00017392"/>
    <w:rsid w:val="000173B1"/>
    <w:rsid w:val="000173D2"/>
    <w:rsid w:val="000173EB"/>
    <w:rsid w:val="00017469"/>
    <w:rsid w:val="00017481"/>
    <w:rsid w:val="000174AD"/>
    <w:rsid w:val="0001754B"/>
    <w:rsid w:val="0001755C"/>
    <w:rsid w:val="00017626"/>
    <w:rsid w:val="00017759"/>
    <w:rsid w:val="000177B9"/>
    <w:rsid w:val="000177BA"/>
    <w:rsid w:val="00017961"/>
    <w:rsid w:val="0001799F"/>
    <w:rsid w:val="000179CA"/>
    <w:rsid w:val="00017AA3"/>
    <w:rsid w:val="00017B15"/>
    <w:rsid w:val="00017BB7"/>
    <w:rsid w:val="00017CC9"/>
    <w:rsid w:val="00017D8E"/>
    <w:rsid w:val="00017FF7"/>
    <w:rsid w:val="00017FFA"/>
    <w:rsid w:val="0002004D"/>
    <w:rsid w:val="000200A9"/>
    <w:rsid w:val="00020152"/>
    <w:rsid w:val="000201DF"/>
    <w:rsid w:val="000202A6"/>
    <w:rsid w:val="000203B6"/>
    <w:rsid w:val="0002047E"/>
    <w:rsid w:val="00020573"/>
    <w:rsid w:val="000205E6"/>
    <w:rsid w:val="0002060E"/>
    <w:rsid w:val="000206A5"/>
    <w:rsid w:val="00020764"/>
    <w:rsid w:val="00020801"/>
    <w:rsid w:val="00020858"/>
    <w:rsid w:val="00020A20"/>
    <w:rsid w:val="00020A4F"/>
    <w:rsid w:val="00020AA5"/>
    <w:rsid w:val="00020AC5"/>
    <w:rsid w:val="00020C1C"/>
    <w:rsid w:val="00020FC4"/>
    <w:rsid w:val="0002102E"/>
    <w:rsid w:val="00021192"/>
    <w:rsid w:val="000211D3"/>
    <w:rsid w:val="000212F1"/>
    <w:rsid w:val="0002134D"/>
    <w:rsid w:val="000214DC"/>
    <w:rsid w:val="000217FF"/>
    <w:rsid w:val="0002189D"/>
    <w:rsid w:val="000218E3"/>
    <w:rsid w:val="0002190D"/>
    <w:rsid w:val="0002192F"/>
    <w:rsid w:val="0002195E"/>
    <w:rsid w:val="00021995"/>
    <w:rsid w:val="000219FA"/>
    <w:rsid w:val="00021B4D"/>
    <w:rsid w:val="00021C4E"/>
    <w:rsid w:val="00021E96"/>
    <w:rsid w:val="00021E9D"/>
    <w:rsid w:val="00021FE6"/>
    <w:rsid w:val="000220E9"/>
    <w:rsid w:val="00022105"/>
    <w:rsid w:val="0002211C"/>
    <w:rsid w:val="000225D4"/>
    <w:rsid w:val="000226E4"/>
    <w:rsid w:val="000226EB"/>
    <w:rsid w:val="000227DE"/>
    <w:rsid w:val="0002298B"/>
    <w:rsid w:val="000229F9"/>
    <w:rsid w:val="00022B89"/>
    <w:rsid w:val="00022C70"/>
    <w:rsid w:val="00022D64"/>
    <w:rsid w:val="00022D98"/>
    <w:rsid w:val="00022E88"/>
    <w:rsid w:val="00022F10"/>
    <w:rsid w:val="00023008"/>
    <w:rsid w:val="00023059"/>
    <w:rsid w:val="000230C3"/>
    <w:rsid w:val="00023171"/>
    <w:rsid w:val="000231C6"/>
    <w:rsid w:val="00023229"/>
    <w:rsid w:val="00023275"/>
    <w:rsid w:val="00023307"/>
    <w:rsid w:val="000233BA"/>
    <w:rsid w:val="0002340B"/>
    <w:rsid w:val="000234D0"/>
    <w:rsid w:val="0002365A"/>
    <w:rsid w:val="000236A5"/>
    <w:rsid w:val="00023855"/>
    <w:rsid w:val="00023915"/>
    <w:rsid w:val="00023947"/>
    <w:rsid w:val="00023B16"/>
    <w:rsid w:val="00023B3E"/>
    <w:rsid w:val="00023B87"/>
    <w:rsid w:val="00023BB5"/>
    <w:rsid w:val="00023BF1"/>
    <w:rsid w:val="00023CA7"/>
    <w:rsid w:val="00024058"/>
    <w:rsid w:val="000240D0"/>
    <w:rsid w:val="00024137"/>
    <w:rsid w:val="00024287"/>
    <w:rsid w:val="000242E8"/>
    <w:rsid w:val="00024383"/>
    <w:rsid w:val="0002441C"/>
    <w:rsid w:val="000245B4"/>
    <w:rsid w:val="0002462B"/>
    <w:rsid w:val="0002473F"/>
    <w:rsid w:val="0002478A"/>
    <w:rsid w:val="000247C0"/>
    <w:rsid w:val="000248EF"/>
    <w:rsid w:val="000249DB"/>
    <w:rsid w:val="00024A12"/>
    <w:rsid w:val="00024A42"/>
    <w:rsid w:val="00024AE1"/>
    <w:rsid w:val="00024CB3"/>
    <w:rsid w:val="00024CE7"/>
    <w:rsid w:val="00024D84"/>
    <w:rsid w:val="00024DE8"/>
    <w:rsid w:val="00024F64"/>
    <w:rsid w:val="00024F7E"/>
    <w:rsid w:val="0002513A"/>
    <w:rsid w:val="000251B8"/>
    <w:rsid w:val="000251FC"/>
    <w:rsid w:val="0002520B"/>
    <w:rsid w:val="00025262"/>
    <w:rsid w:val="000252B9"/>
    <w:rsid w:val="00025372"/>
    <w:rsid w:val="00025395"/>
    <w:rsid w:val="000254C9"/>
    <w:rsid w:val="000254E4"/>
    <w:rsid w:val="00025528"/>
    <w:rsid w:val="000255CC"/>
    <w:rsid w:val="00025639"/>
    <w:rsid w:val="00025646"/>
    <w:rsid w:val="00025679"/>
    <w:rsid w:val="00025691"/>
    <w:rsid w:val="000257E5"/>
    <w:rsid w:val="000259D3"/>
    <w:rsid w:val="000259F8"/>
    <w:rsid w:val="00025A06"/>
    <w:rsid w:val="00025AA8"/>
    <w:rsid w:val="00025C82"/>
    <w:rsid w:val="00025E22"/>
    <w:rsid w:val="00025E24"/>
    <w:rsid w:val="00025F02"/>
    <w:rsid w:val="00026006"/>
    <w:rsid w:val="00026061"/>
    <w:rsid w:val="0002607A"/>
    <w:rsid w:val="00026091"/>
    <w:rsid w:val="0002609A"/>
    <w:rsid w:val="0002611D"/>
    <w:rsid w:val="00026366"/>
    <w:rsid w:val="00026496"/>
    <w:rsid w:val="000264DD"/>
    <w:rsid w:val="00026532"/>
    <w:rsid w:val="0002653C"/>
    <w:rsid w:val="000267AC"/>
    <w:rsid w:val="000267C3"/>
    <w:rsid w:val="000268BE"/>
    <w:rsid w:val="00026C40"/>
    <w:rsid w:val="00026CCB"/>
    <w:rsid w:val="00026CF7"/>
    <w:rsid w:val="00026F99"/>
    <w:rsid w:val="00027156"/>
    <w:rsid w:val="000271CB"/>
    <w:rsid w:val="00027329"/>
    <w:rsid w:val="00027338"/>
    <w:rsid w:val="000275AD"/>
    <w:rsid w:val="000276AD"/>
    <w:rsid w:val="000276E7"/>
    <w:rsid w:val="00027701"/>
    <w:rsid w:val="00027A41"/>
    <w:rsid w:val="00027B99"/>
    <w:rsid w:val="00027C02"/>
    <w:rsid w:val="00027C1F"/>
    <w:rsid w:val="00027D1F"/>
    <w:rsid w:val="00027E5D"/>
    <w:rsid w:val="00027FBA"/>
    <w:rsid w:val="00027FC7"/>
    <w:rsid w:val="000300FE"/>
    <w:rsid w:val="00030115"/>
    <w:rsid w:val="00030177"/>
    <w:rsid w:val="000301C5"/>
    <w:rsid w:val="000302D8"/>
    <w:rsid w:val="000302FB"/>
    <w:rsid w:val="00030371"/>
    <w:rsid w:val="000303BF"/>
    <w:rsid w:val="00030417"/>
    <w:rsid w:val="00030633"/>
    <w:rsid w:val="0003067D"/>
    <w:rsid w:val="00030685"/>
    <w:rsid w:val="000306B6"/>
    <w:rsid w:val="000306E6"/>
    <w:rsid w:val="0003076D"/>
    <w:rsid w:val="00030834"/>
    <w:rsid w:val="000309AE"/>
    <w:rsid w:val="000309CF"/>
    <w:rsid w:val="00030C25"/>
    <w:rsid w:val="00030CBF"/>
    <w:rsid w:val="00030D94"/>
    <w:rsid w:val="00030DEF"/>
    <w:rsid w:val="00030E1D"/>
    <w:rsid w:val="00030E56"/>
    <w:rsid w:val="00030FD7"/>
    <w:rsid w:val="00031049"/>
    <w:rsid w:val="000310C4"/>
    <w:rsid w:val="000310EE"/>
    <w:rsid w:val="00031307"/>
    <w:rsid w:val="00031407"/>
    <w:rsid w:val="00031558"/>
    <w:rsid w:val="0003158A"/>
    <w:rsid w:val="000315BA"/>
    <w:rsid w:val="00031794"/>
    <w:rsid w:val="000317C0"/>
    <w:rsid w:val="0003180E"/>
    <w:rsid w:val="0003196F"/>
    <w:rsid w:val="000319E7"/>
    <w:rsid w:val="00031BB6"/>
    <w:rsid w:val="00031C05"/>
    <w:rsid w:val="00031C34"/>
    <w:rsid w:val="00031C67"/>
    <w:rsid w:val="00031CD8"/>
    <w:rsid w:val="00031D47"/>
    <w:rsid w:val="00031F87"/>
    <w:rsid w:val="0003206E"/>
    <w:rsid w:val="000320C6"/>
    <w:rsid w:val="000320DB"/>
    <w:rsid w:val="00032134"/>
    <w:rsid w:val="00032151"/>
    <w:rsid w:val="000321D2"/>
    <w:rsid w:val="00032225"/>
    <w:rsid w:val="00032269"/>
    <w:rsid w:val="00032283"/>
    <w:rsid w:val="000322E3"/>
    <w:rsid w:val="00032328"/>
    <w:rsid w:val="0003232B"/>
    <w:rsid w:val="00032454"/>
    <w:rsid w:val="000324E6"/>
    <w:rsid w:val="00032513"/>
    <w:rsid w:val="00032608"/>
    <w:rsid w:val="00032626"/>
    <w:rsid w:val="000326E1"/>
    <w:rsid w:val="0003272C"/>
    <w:rsid w:val="00032765"/>
    <w:rsid w:val="00032873"/>
    <w:rsid w:val="000328A2"/>
    <w:rsid w:val="0003292D"/>
    <w:rsid w:val="00032981"/>
    <w:rsid w:val="000329AB"/>
    <w:rsid w:val="00032AD2"/>
    <w:rsid w:val="00032AF1"/>
    <w:rsid w:val="00032B3A"/>
    <w:rsid w:val="00032C8F"/>
    <w:rsid w:val="00032D66"/>
    <w:rsid w:val="00032D68"/>
    <w:rsid w:val="00032D80"/>
    <w:rsid w:val="00032E13"/>
    <w:rsid w:val="00032FCE"/>
    <w:rsid w:val="00033157"/>
    <w:rsid w:val="0003319A"/>
    <w:rsid w:val="0003326C"/>
    <w:rsid w:val="0003333C"/>
    <w:rsid w:val="000333B9"/>
    <w:rsid w:val="000333F9"/>
    <w:rsid w:val="0003353A"/>
    <w:rsid w:val="0003376D"/>
    <w:rsid w:val="00033847"/>
    <w:rsid w:val="00033870"/>
    <w:rsid w:val="000338DE"/>
    <w:rsid w:val="000338FC"/>
    <w:rsid w:val="000339A4"/>
    <w:rsid w:val="00033AF0"/>
    <w:rsid w:val="00033B34"/>
    <w:rsid w:val="00033B72"/>
    <w:rsid w:val="00033BEA"/>
    <w:rsid w:val="00033BF5"/>
    <w:rsid w:val="00033DD0"/>
    <w:rsid w:val="00033FA0"/>
    <w:rsid w:val="00033FAC"/>
    <w:rsid w:val="00033FDD"/>
    <w:rsid w:val="000340C6"/>
    <w:rsid w:val="00034174"/>
    <w:rsid w:val="00034223"/>
    <w:rsid w:val="000342DE"/>
    <w:rsid w:val="00034316"/>
    <w:rsid w:val="000343F4"/>
    <w:rsid w:val="000344F6"/>
    <w:rsid w:val="0003454E"/>
    <w:rsid w:val="000345EA"/>
    <w:rsid w:val="0003478B"/>
    <w:rsid w:val="0003478E"/>
    <w:rsid w:val="00034824"/>
    <w:rsid w:val="00034AB8"/>
    <w:rsid w:val="00034B0F"/>
    <w:rsid w:val="00034E41"/>
    <w:rsid w:val="00034F24"/>
    <w:rsid w:val="00034F66"/>
    <w:rsid w:val="0003504E"/>
    <w:rsid w:val="00035056"/>
    <w:rsid w:val="0003514A"/>
    <w:rsid w:val="000352B0"/>
    <w:rsid w:val="00035365"/>
    <w:rsid w:val="000355D9"/>
    <w:rsid w:val="000356C1"/>
    <w:rsid w:val="00035879"/>
    <w:rsid w:val="00035898"/>
    <w:rsid w:val="00035922"/>
    <w:rsid w:val="00035AD1"/>
    <w:rsid w:val="00035BD7"/>
    <w:rsid w:val="00035C31"/>
    <w:rsid w:val="00035C42"/>
    <w:rsid w:val="00035E82"/>
    <w:rsid w:val="00035F0C"/>
    <w:rsid w:val="0003602C"/>
    <w:rsid w:val="00036086"/>
    <w:rsid w:val="0003617E"/>
    <w:rsid w:val="000361B4"/>
    <w:rsid w:val="000361FB"/>
    <w:rsid w:val="000362BF"/>
    <w:rsid w:val="000364EC"/>
    <w:rsid w:val="0003674F"/>
    <w:rsid w:val="0003689B"/>
    <w:rsid w:val="000368CB"/>
    <w:rsid w:val="00036CF1"/>
    <w:rsid w:val="00036D15"/>
    <w:rsid w:val="00036D93"/>
    <w:rsid w:val="00036D97"/>
    <w:rsid w:val="00036DB0"/>
    <w:rsid w:val="00036FF9"/>
    <w:rsid w:val="000371E9"/>
    <w:rsid w:val="0003729F"/>
    <w:rsid w:val="00037375"/>
    <w:rsid w:val="000377BB"/>
    <w:rsid w:val="00037923"/>
    <w:rsid w:val="000379C0"/>
    <w:rsid w:val="00037A6A"/>
    <w:rsid w:val="00037B8D"/>
    <w:rsid w:val="00037BFB"/>
    <w:rsid w:val="00037DBC"/>
    <w:rsid w:val="00037DEB"/>
    <w:rsid w:val="00037E57"/>
    <w:rsid w:val="00040117"/>
    <w:rsid w:val="0004018C"/>
    <w:rsid w:val="00040214"/>
    <w:rsid w:val="00040227"/>
    <w:rsid w:val="00040276"/>
    <w:rsid w:val="000402FB"/>
    <w:rsid w:val="00040412"/>
    <w:rsid w:val="000405A0"/>
    <w:rsid w:val="000405A6"/>
    <w:rsid w:val="0004063A"/>
    <w:rsid w:val="00040752"/>
    <w:rsid w:val="0004075B"/>
    <w:rsid w:val="000407CD"/>
    <w:rsid w:val="00040891"/>
    <w:rsid w:val="00040897"/>
    <w:rsid w:val="0004095D"/>
    <w:rsid w:val="000409D7"/>
    <w:rsid w:val="00040A13"/>
    <w:rsid w:val="00040AC8"/>
    <w:rsid w:val="00040B48"/>
    <w:rsid w:val="00040B55"/>
    <w:rsid w:val="00040C3F"/>
    <w:rsid w:val="00040D40"/>
    <w:rsid w:val="00040DDE"/>
    <w:rsid w:val="0004105C"/>
    <w:rsid w:val="00041103"/>
    <w:rsid w:val="0004126B"/>
    <w:rsid w:val="0004130E"/>
    <w:rsid w:val="00041392"/>
    <w:rsid w:val="000413E4"/>
    <w:rsid w:val="00041473"/>
    <w:rsid w:val="000414D8"/>
    <w:rsid w:val="000414DB"/>
    <w:rsid w:val="00041521"/>
    <w:rsid w:val="00041706"/>
    <w:rsid w:val="000417CF"/>
    <w:rsid w:val="0004185A"/>
    <w:rsid w:val="00041927"/>
    <w:rsid w:val="00041A6C"/>
    <w:rsid w:val="00041BA0"/>
    <w:rsid w:val="00041BE1"/>
    <w:rsid w:val="00041C9A"/>
    <w:rsid w:val="00041CF1"/>
    <w:rsid w:val="00041CF3"/>
    <w:rsid w:val="00041D81"/>
    <w:rsid w:val="00041E20"/>
    <w:rsid w:val="00041EC6"/>
    <w:rsid w:val="00041F77"/>
    <w:rsid w:val="0004208B"/>
    <w:rsid w:val="000420C1"/>
    <w:rsid w:val="00042142"/>
    <w:rsid w:val="000421EF"/>
    <w:rsid w:val="000422B7"/>
    <w:rsid w:val="000423AD"/>
    <w:rsid w:val="000423E1"/>
    <w:rsid w:val="000423EC"/>
    <w:rsid w:val="00042458"/>
    <w:rsid w:val="0004245B"/>
    <w:rsid w:val="000424DD"/>
    <w:rsid w:val="000425AF"/>
    <w:rsid w:val="0004281F"/>
    <w:rsid w:val="0004284C"/>
    <w:rsid w:val="0004287D"/>
    <w:rsid w:val="000428CE"/>
    <w:rsid w:val="00042C22"/>
    <w:rsid w:val="00042E1D"/>
    <w:rsid w:val="00042F03"/>
    <w:rsid w:val="00042F43"/>
    <w:rsid w:val="00042F5B"/>
    <w:rsid w:val="000430CD"/>
    <w:rsid w:val="00043109"/>
    <w:rsid w:val="000431D2"/>
    <w:rsid w:val="000432A5"/>
    <w:rsid w:val="00043305"/>
    <w:rsid w:val="00043457"/>
    <w:rsid w:val="000435B5"/>
    <w:rsid w:val="000436F7"/>
    <w:rsid w:val="000437CC"/>
    <w:rsid w:val="00043A7C"/>
    <w:rsid w:val="00043AA8"/>
    <w:rsid w:val="00043BFF"/>
    <w:rsid w:val="00043D98"/>
    <w:rsid w:val="00043DC7"/>
    <w:rsid w:val="00043E0E"/>
    <w:rsid w:val="00043E1D"/>
    <w:rsid w:val="00043E8A"/>
    <w:rsid w:val="000441ED"/>
    <w:rsid w:val="000442B7"/>
    <w:rsid w:val="00044450"/>
    <w:rsid w:val="000444F6"/>
    <w:rsid w:val="0004455E"/>
    <w:rsid w:val="00044715"/>
    <w:rsid w:val="000448CA"/>
    <w:rsid w:val="00044976"/>
    <w:rsid w:val="00044A5D"/>
    <w:rsid w:val="00044AEC"/>
    <w:rsid w:val="00044CA1"/>
    <w:rsid w:val="00044EF7"/>
    <w:rsid w:val="00045008"/>
    <w:rsid w:val="00045044"/>
    <w:rsid w:val="00045171"/>
    <w:rsid w:val="000452E7"/>
    <w:rsid w:val="00045321"/>
    <w:rsid w:val="00045444"/>
    <w:rsid w:val="0004545A"/>
    <w:rsid w:val="00045484"/>
    <w:rsid w:val="000454C1"/>
    <w:rsid w:val="0004550C"/>
    <w:rsid w:val="000455D0"/>
    <w:rsid w:val="000455EA"/>
    <w:rsid w:val="0004560B"/>
    <w:rsid w:val="00045640"/>
    <w:rsid w:val="000458B1"/>
    <w:rsid w:val="000459A2"/>
    <w:rsid w:val="000459E5"/>
    <w:rsid w:val="00045A08"/>
    <w:rsid w:val="00045B31"/>
    <w:rsid w:val="00045C3A"/>
    <w:rsid w:val="00045D1F"/>
    <w:rsid w:val="00045DC8"/>
    <w:rsid w:val="00045DE4"/>
    <w:rsid w:val="00045FB5"/>
    <w:rsid w:val="000460D3"/>
    <w:rsid w:val="00046155"/>
    <w:rsid w:val="000464B2"/>
    <w:rsid w:val="000464E0"/>
    <w:rsid w:val="000464EB"/>
    <w:rsid w:val="0004651A"/>
    <w:rsid w:val="00046687"/>
    <w:rsid w:val="000466DD"/>
    <w:rsid w:val="000467DC"/>
    <w:rsid w:val="000467EB"/>
    <w:rsid w:val="000468EC"/>
    <w:rsid w:val="00046A24"/>
    <w:rsid w:val="00046AAD"/>
    <w:rsid w:val="00046BB0"/>
    <w:rsid w:val="00046DAC"/>
    <w:rsid w:val="00046DEF"/>
    <w:rsid w:val="00046DFA"/>
    <w:rsid w:val="00046E03"/>
    <w:rsid w:val="00046E19"/>
    <w:rsid w:val="00046E1E"/>
    <w:rsid w:val="00046F58"/>
    <w:rsid w:val="000471EA"/>
    <w:rsid w:val="000471FE"/>
    <w:rsid w:val="00047221"/>
    <w:rsid w:val="000472CE"/>
    <w:rsid w:val="0004732E"/>
    <w:rsid w:val="00047365"/>
    <w:rsid w:val="0004745C"/>
    <w:rsid w:val="00047500"/>
    <w:rsid w:val="000477F7"/>
    <w:rsid w:val="000478BD"/>
    <w:rsid w:val="000478F0"/>
    <w:rsid w:val="00047A73"/>
    <w:rsid w:val="00047AD4"/>
    <w:rsid w:val="00047BFD"/>
    <w:rsid w:val="00047C10"/>
    <w:rsid w:val="00047C70"/>
    <w:rsid w:val="00047C8B"/>
    <w:rsid w:val="00047F02"/>
    <w:rsid w:val="00047F15"/>
    <w:rsid w:val="00047F69"/>
    <w:rsid w:val="00050046"/>
    <w:rsid w:val="0005011B"/>
    <w:rsid w:val="000503C5"/>
    <w:rsid w:val="0005041D"/>
    <w:rsid w:val="000506FC"/>
    <w:rsid w:val="00050786"/>
    <w:rsid w:val="000507A0"/>
    <w:rsid w:val="000507B6"/>
    <w:rsid w:val="000507EA"/>
    <w:rsid w:val="00050834"/>
    <w:rsid w:val="000508F0"/>
    <w:rsid w:val="000509A9"/>
    <w:rsid w:val="000509ED"/>
    <w:rsid w:val="00050A17"/>
    <w:rsid w:val="00050A8E"/>
    <w:rsid w:val="00050CAD"/>
    <w:rsid w:val="00050D6B"/>
    <w:rsid w:val="00050D9C"/>
    <w:rsid w:val="00050F6E"/>
    <w:rsid w:val="00051049"/>
    <w:rsid w:val="000512A7"/>
    <w:rsid w:val="0005143F"/>
    <w:rsid w:val="0005148B"/>
    <w:rsid w:val="000514B0"/>
    <w:rsid w:val="000514FB"/>
    <w:rsid w:val="00051526"/>
    <w:rsid w:val="00051694"/>
    <w:rsid w:val="00051743"/>
    <w:rsid w:val="000517AB"/>
    <w:rsid w:val="000517C5"/>
    <w:rsid w:val="000518B5"/>
    <w:rsid w:val="0005191A"/>
    <w:rsid w:val="00051A52"/>
    <w:rsid w:val="00051A74"/>
    <w:rsid w:val="00051AFF"/>
    <w:rsid w:val="00051B91"/>
    <w:rsid w:val="00051C76"/>
    <w:rsid w:val="00051C96"/>
    <w:rsid w:val="00051D3C"/>
    <w:rsid w:val="00051D90"/>
    <w:rsid w:val="00051F28"/>
    <w:rsid w:val="00051FC7"/>
    <w:rsid w:val="00052005"/>
    <w:rsid w:val="00052007"/>
    <w:rsid w:val="00052018"/>
    <w:rsid w:val="00052105"/>
    <w:rsid w:val="00052129"/>
    <w:rsid w:val="0005213F"/>
    <w:rsid w:val="00052307"/>
    <w:rsid w:val="00052313"/>
    <w:rsid w:val="00052380"/>
    <w:rsid w:val="000523B8"/>
    <w:rsid w:val="000523BD"/>
    <w:rsid w:val="00052453"/>
    <w:rsid w:val="0005246D"/>
    <w:rsid w:val="000524AB"/>
    <w:rsid w:val="000524E1"/>
    <w:rsid w:val="00052A4F"/>
    <w:rsid w:val="00052A61"/>
    <w:rsid w:val="00052A7C"/>
    <w:rsid w:val="00052AD9"/>
    <w:rsid w:val="00052B0C"/>
    <w:rsid w:val="00052C95"/>
    <w:rsid w:val="00052CC7"/>
    <w:rsid w:val="00052F66"/>
    <w:rsid w:val="00052F9E"/>
    <w:rsid w:val="00053045"/>
    <w:rsid w:val="000530FB"/>
    <w:rsid w:val="00053196"/>
    <w:rsid w:val="0005329F"/>
    <w:rsid w:val="0005337E"/>
    <w:rsid w:val="00053420"/>
    <w:rsid w:val="0005343D"/>
    <w:rsid w:val="0005354E"/>
    <w:rsid w:val="000535B0"/>
    <w:rsid w:val="000537BA"/>
    <w:rsid w:val="000537C3"/>
    <w:rsid w:val="00053839"/>
    <w:rsid w:val="00053A16"/>
    <w:rsid w:val="00053A79"/>
    <w:rsid w:val="00053AB6"/>
    <w:rsid w:val="00053AF3"/>
    <w:rsid w:val="00053B91"/>
    <w:rsid w:val="00053BC9"/>
    <w:rsid w:val="00053E54"/>
    <w:rsid w:val="0005411C"/>
    <w:rsid w:val="00054152"/>
    <w:rsid w:val="0005420D"/>
    <w:rsid w:val="0005423A"/>
    <w:rsid w:val="000542CE"/>
    <w:rsid w:val="00054386"/>
    <w:rsid w:val="000543BF"/>
    <w:rsid w:val="000546E4"/>
    <w:rsid w:val="000547C4"/>
    <w:rsid w:val="00054A3F"/>
    <w:rsid w:val="00054B0F"/>
    <w:rsid w:val="00054C16"/>
    <w:rsid w:val="00054C52"/>
    <w:rsid w:val="00054C76"/>
    <w:rsid w:val="00054CA7"/>
    <w:rsid w:val="00054CD9"/>
    <w:rsid w:val="00054F5F"/>
    <w:rsid w:val="00054FB9"/>
    <w:rsid w:val="000552D0"/>
    <w:rsid w:val="000554B7"/>
    <w:rsid w:val="000554DB"/>
    <w:rsid w:val="000554F9"/>
    <w:rsid w:val="00055583"/>
    <w:rsid w:val="000558E6"/>
    <w:rsid w:val="000559DF"/>
    <w:rsid w:val="00055A50"/>
    <w:rsid w:val="00055A9C"/>
    <w:rsid w:val="00055AEB"/>
    <w:rsid w:val="00055B3D"/>
    <w:rsid w:val="00055B56"/>
    <w:rsid w:val="00055C26"/>
    <w:rsid w:val="00055C31"/>
    <w:rsid w:val="00055CD9"/>
    <w:rsid w:val="00055DD5"/>
    <w:rsid w:val="00055E56"/>
    <w:rsid w:val="00055EB5"/>
    <w:rsid w:val="00055F7E"/>
    <w:rsid w:val="00056020"/>
    <w:rsid w:val="000561B6"/>
    <w:rsid w:val="0005620B"/>
    <w:rsid w:val="00056240"/>
    <w:rsid w:val="0005632D"/>
    <w:rsid w:val="00056571"/>
    <w:rsid w:val="00056588"/>
    <w:rsid w:val="000566B9"/>
    <w:rsid w:val="0005675E"/>
    <w:rsid w:val="0005677B"/>
    <w:rsid w:val="000567D0"/>
    <w:rsid w:val="000567D7"/>
    <w:rsid w:val="00056956"/>
    <w:rsid w:val="000569F6"/>
    <w:rsid w:val="00056A23"/>
    <w:rsid w:val="00056ADC"/>
    <w:rsid w:val="00056B28"/>
    <w:rsid w:val="00056B4E"/>
    <w:rsid w:val="00056D2A"/>
    <w:rsid w:val="00056DB3"/>
    <w:rsid w:val="00056ED5"/>
    <w:rsid w:val="00056F05"/>
    <w:rsid w:val="000571F1"/>
    <w:rsid w:val="0005724F"/>
    <w:rsid w:val="000572F7"/>
    <w:rsid w:val="000573C6"/>
    <w:rsid w:val="00057406"/>
    <w:rsid w:val="0005744A"/>
    <w:rsid w:val="00057516"/>
    <w:rsid w:val="00057631"/>
    <w:rsid w:val="0005769F"/>
    <w:rsid w:val="000577CB"/>
    <w:rsid w:val="000579A8"/>
    <w:rsid w:val="000579FC"/>
    <w:rsid w:val="00057B92"/>
    <w:rsid w:val="00057D88"/>
    <w:rsid w:val="00057E78"/>
    <w:rsid w:val="00057E8A"/>
    <w:rsid w:val="00057F34"/>
    <w:rsid w:val="0006010E"/>
    <w:rsid w:val="00060245"/>
    <w:rsid w:val="00060277"/>
    <w:rsid w:val="00060310"/>
    <w:rsid w:val="00060390"/>
    <w:rsid w:val="000603FA"/>
    <w:rsid w:val="0006049E"/>
    <w:rsid w:val="000604F3"/>
    <w:rsid w:val="00060664"/>
    <w:rsid w:val="000607AB"/>
    <w:rsid w:val="00060A24"/>
    <w:rsid w:val="00060BB0"/>
    <w:rsid w:val="00060C6E"/>
    <w:rsid w:val="00060CD0"/>
    <w:rsid w:val="00060D78"/>
    <w:rsid w:val="00060E01"/>
    <w:rsid w:val="000610E7"/>
    <w:rsid w:val="00061200"/>
    <w:rsid w:val="00061247"/>
    <w:rsid w:val="00061534"/>
    <w:rsid w:val="0006155F"/>
    <w:rsid w:val="00061602"/>
    <w:rsid w:val="00061793"/>
    <w:rsid w:val="0006179C"/>
    <w:rsid w:val="000617D9"/>
    <w:rsid w:val="00061823"/>
    <w:rsid w:val="00061977"/>
    <w:rsid w:val="00061A16"/>
    <w:rsid w:val="00061A1D"/>
    <w:rsid w:val="00061BC8"/>
    <w:rsid w:val="00061C3A"/>
    <w:rsid w:val="00061D1B"/>
    <w:rsid w:val="00061D59"/>
    <w:rsid w:val="00061DA0"/>
    <w:rsid w:val="00061EFC"/>
    <w:rsid w:val="000621E3"/>
    <w:rsid w:val="0006225F"/>
    <w:rsid w:val="0006226B"/>
    <w:rsid w:val="000622B0"/>
    <w:rsid w:val="00062310"/>
    <w:rsid w:val="0006232D"/>
    <w:rsid w:val="0006234B"/>
    <w:rsid w:val="00062454"/>
    <w:rsid w:val="00062649"/>
    <w:rsid w:val="000626A8"/>
    <w:rsid w:val="000627A9"/>
    <w:rsid w:val="00062828"/>
    <w:rsid w:val="00062947"/>
    <w:rsid w:val="00062A5F"/>
    <w:rsid w:val="00062AB0"/>
    <w:rsid w:val="00062BAC"/>
    <w:rsid w:val="00062C6B"/>
    <w:rsid w:val="00062CB0"/>
    <w:rsid w:val="00062CB5"/>
    <w:rsid w:val="00062D35"/>
    <w:rsid w:val="00062E9A"/>
    <w:rsid w:val="00062EB6"/>
    <w:rsid w:val="00062F24"/>
    <w:rsid w:val="00062FB5"/>
    <w:rsid w:val="00062FD5"/>
    <w:rsid w:val="00062FF9"/>
    <w:rsid w:val="0006301C"/>
    <w:rsid w:val="00063074"/>
    <w:rsid w:val="00063078"/>
    <w:rsid w:val="0006307D"/>
    <w:rsid w:val="00063186"/>
    <w:rsid w:val="000631D1"/>
    <w:rsid w:val="000631DA"/>
    <w:rsid w:val="0006321A"/>
    <w:rsid w:val="00063287"/>
    <w:rsid w:val="000632D0"/>
    <w:rsid w:val="0006347D"/>
    <w:rsid w:val="00063533"/>
    <w:rsid w:val="00063542"/>
    <w:rsid w:val="00063549"/>
    <w:rsid w:val="00063844"/>
    <w:rsid w:val="0006390D"/>
    <w:rsid w:val="00063966"/>
    <w:rsid w:val="000639A4"/>
    <w:rsid w:val="000639B3"/>
    <w:rsid w:val="00063A77"/>
    <w:rsid w:val="00063B9A"/>
    <w:rsid w:val="00063C03"/>
    <w:rsid w:val="00063D0D"/>
    <w:rsid w:val="00063D22"/>
    <w:rsid w:val="00063D5B"/>
    <w:rsid w:val="00063D6E"/>
    <w:rsid w:val="00063D80"/>
    <w:rsid w:val="00063DB7"/>
    <w:rsid w:val="00063DC0"/>
    <w:rsid w:val="00063DCF"/>
    <w:rsid w:val="00063F12"/>
    <w:rsid w:val="00063FA1"/>
    <w:rsid w:val="0006405F"/>
    <w:rsid w:val="000640E9"/>
    <w:rsid w:val="00064126"/>
    <w:rsid w:val="000641C5"/>
    <w:rsid w:val="000641FD"/>
    <w:rsid w:val="00064406"/>
    <w:rsid w:val="00064578"/>
    <w:rsid w:val="000645FC"/>
    <w:rsid w:val="000646BB"/>
    <w:rsid w:val="00064785"/>
    <w:rsid w:val="000647CB"/>
    <w:rsid w:val="00064914"/>
    <w:rsid w:val="0006496F"/>
    <w:rsid w:val="00064982"/>
    <w:rsid w:val="000649BE"/>
    <w:rsid w:val="00064AFB"/>
    <w:rsid w:val="00064B12"/>
    <w:rsid w:val="00064E92"/>
    <w:rsid w:val="00064F04"/>
    <w:rsid w:val="00064F9E"/>
    <w:rsid w:val="00065023"/>
    <w:rsid w:val="0006522C"/>
    <w:rsid w:val="000652AA"/>
    <w:rsid w:val="00065412"/>
    <w:rsid w:val="00065466"/>
    <w:rsid w:val="00065555"/>
    <w:rsid w:val="00065575"/>
    <w:rsid w:val="000655F4"/>
    <w:rsid w:val="000656E9"/>
    <w:rsid w:val="00065A47"/>
    <w:rsid w:val="00065C0F"/>
    <w:rsid w:val="00065C94"/>
    <w:rsid w:val="00065CCB"/>
    <w:rsid w:val="00065CD2"/>
    <w:rsid w:val="00065DB2"/>
    <w:rsid w:val="00065ED3"/>
    <w:rsid w:val="00065EF5"/>
    <w:rsid w:val="00065FF8"/>
    <w:rsid w:val="0006603E"/>
    <w:rsid w:val="000660ED"/>
    <w:rsid w:val="00066235"/>
    <w:rsid w:val="00066301"/>
    <w:rsid w:val="000665FC"/>
    <w:rsid w:val="00066687"/>
    <w:rsid w:val="000666F1"/>
    <w:rsid w:val="00066869"/>
    <w:rsid w:val="000669F4"/>
    <w:rsid w:val="00066BE5"/>
    <w:rsid w:val="00066C60"/>
    <w:rsid w:val="00066D09"/>
    <w:rsid w:val="00066F06"/>
    <w:rsid w:val="00066F1A"/>
    <w:rsid w:val="00066F6C"/>
    <w:rsid w:val="00067006"/>
    <w:rsid w:val="000672EB"/>
    <w:rsid w:val="00067405"/>
    <w:rsid w:val="00067447"/>
    <w:rsid w:val="000674E6"/>
    <w:rsid w:val="0006783C"/>
    <w:rsid w:val="000678D4"/>
    <w:rsid w:val="00067A34"/>
    <w:rsid w:val="00067AF1"/>
    <w:rsid w:val="00067E3C"/>
    <w:rsid w:val="00067EE9"/>
    <w:rsid w:val="00067F4D"/>
    <w:rsid w:val="000700A3"/>
    <w:rsid w:val="0007013E"/>
    <w:rsid w:val="000701BB"/>
    <w:rsid w:val="00070284"/>
    <w:rsid w:val="000704A4"/>
    <w:rsid w:val="000704A9"/>
    <w:rsid w:val="00070599"/>
    <w:rsid w:val="00070621"/>
    <w:rsid w:val="00070702"/>
    <w:rsid w:val="0007070D"/>
    <w:rsid w:val="0007079C"/>
    <w:rsid w:val="00070A8D"/>
    <w:rsid w:val="00070CAC"/>
    <w:rsid w:val="00070D54"/>
    <w:rsid w:val="00070E0A"/>
    <w:rsid w:val="00070E39"/>
    <w:rsid w:val="00071074"/>
    <w:rsid w:val="000710FF"/>
    <w:rsid w:val="00071135"/>
    <w:rsid w:val="0007118E"/>
    <w:rsid w:val="000711FD"/>
    <w:rsid w:val="00071424"/>
    <w:rsid w:val="00071444"/>
    <w:rsid w:val="00071467"/>
    <w:rsid w:val="00071566"/>
    <w:rsid w:val="00071681"/>
    <w:rsid w:val="0007192C"/>
    <w:rsid w:val="00071978"/>
    <w:rsid w:val="00071B8B"/>
    <w:rsid w:val="00071C35"/>
    <w:rsid w:val="00071C4D"/>
    <w:rsid w:val="00071D79"/>
    <w:rsid w:val="00071DBB"/>
    <w:rsid w:val="00071EA9"/>
    <w:rsid w:val="00071F1C"/>
    <w:rsid w:val="00071F2F"/>
    <w:rsid w:val="00071F84"/>
    <w:rsid w:val="00071FEF"/>
    <w:rsid w:val="000722B5"/>
    <w:rsid w:val="0007256A"/>
    <w:rsid w:val="000725AC"/>
    <w:rsid w:val="00072632"/>
    <w:rsid w:val="00072662"/>
    <w:rsid w:val="0007266A"/>
    <w:rsid w:val="000726B4"/>
    <w:rsid w:val="00072965"/>
    <w:rsid w:val="00072AF4"/>
    <w:rsid w:val="00072BBD"/>
    <w:rsid w:val="00072BE0"/>
    <w:rsid w:val="00072C3D"/>
    <w:rsid w:val="00072F76"/>
    <w:rsid w:val="00072FD1"/>
    <w:rsid w:val="0007315F"/>
    <w:rsid w:val="00073183"/>
    <w:rsid w:val="0007330F"/>
    <w:rsid w:val="00073382"/>
    <w:rsid w:val="0007344E"/>
    <w:rsid w:val="0007350C"/>
    <w:rsid w:val="000735CC"/>
    <w:rsid w:val="0007371B"/>
    <w:rsid w:val="00073755"/>
    <w:rsid w:val="0007375F"/>
    <w:rsid w:val="00073959"/>
    <w:rsid w:val="00073A05"/>
    <w:rsid w:val="00073A23"/>
    <w:rsid w:val="00073AC6"/>
    <w:rsid w:val="00073BD6"/>
    <w:rsid w:val="00073D29"/>
    <w:rsid w:val="00073E04"/>
    <w:rsid w:val="00073F58"/>
    <w:rsid w:val="00073FA9"/>
    <w:rsid w:val="00073FB7"/>
    <w:rsid w:val="00073FCF"/>
    <w:rsid w:val="00073FF2"/>
    <w:rsid w:val="000740A7"/>
    <w:rsid w:val="000740DD"/>
    <w:rsid w:val="00074125"/>
    <w:rsid w:val="0007414A"/>
    <w:rsid w:val="0007416C"/>
    <w:rsid w:val="00074183"/>
    <w:rsid w:val="0007429A"/>
    <w:rsid w:val="0007434C"/>
    <w:rsid w:val="0007435C"/>
    <w:rsid w:val="000744AE"/>
    <w:rsid w:val="000744C4"/>
    <w:rsid w:val="0007468C"/>
    <w:rsid w:val="000746B8"/>
    <w:rsid w:val="0007470F"/>
    <w:rsid w:val="00074805"/>
    <w:rsid w:val="0007493D"/>
    <w:rsid w:val="00074A21"/>
    <w:rsid w:val="00074B7B"/>
    <w:rsid w:val="00074CA9"/>
    <w:rsid w:val="00074CCF"/>
    <w:rsid w:val="00074CD8"/>
    <w:rsid w:val="00074D28"/>
    <w:rsid w:val="00074DA0"/>
    <w:rsid w:val="00074E13"/>
    <w:rsid w:val="00074E79"/>
    <w:rsid w:val="00074F17"/>
    <w:rsid w:val="00074FC9"/>
    <w:rsid w:val="000752E2"/>
    <w:rsid w:val="00075312"/>
    <w:rsid w:val="0007531B"/>
    <w:rsid w:val="000753DB"/>
    <w:rsid w:val="0007546A"/>
    <w:rsid w:val="0007548C"/>
    <w:rsid w:val="00075598"/>
    <w:rsid w:val="00075758"/>
    <w:rsid w:val="00075884"/>
    <w:rsid w:val="000758FE"/>
    <w:rsid w:val="00075A04"/>
    <w:rsid w:val="00075A1E"/>
    <w:rsid w:val="00075A89"/>
    <w:rsid w:val="00075AC1"/>
    <w:rsid w:val="00075AE5"/>
    <w:rsid w:val="00075AF5"/>
    <w:rsid w:val="00075B71"/>
    <w:rsid w:val="00075CD6"/>
    <w:rsid w:val="00075D18"/>
    <w:rsid w:val="00075D1C"/>
    <w:rsid w:val="00075E1F"/>
    <w:rsid w:val="00075E45"/>
    <w:rsid w:val="00075E46"/>
    <w:rsid w:val="00075EF7"/>
    <w:rsid w:val="00075F4A"/>
    <w:rsid w:val="00075FF3"/>
    <w:rsid w:val="00076002"/>
    <w:rsid w:val="000761EF"/>
    <w:rsid w:val="000761F1"/>
    <w:rsid w:val="0007628D"/>
    <w:rsid w:val="000762C0"/>
    <w:rsid w:val="00076420"/>
    <w:rsid w:val="0007642A"/>
    <w:rsid w:val="000766A1"/>
    <w:rsid w:val="0007675E"/>
    <w:rsid w:val="000767A2"/>
    <w:rsid w:val="000767F3"/>
    <w:rsid w:val="000769C0"/>
    <w:rsid w:val="00076AF6"/>
    <w:rsid w:val="00076B38"/>
    <w:rsid w:val="00076D8B"/>
    <w:rsid w:val="00076EEB"/>
    <w:rsid w:val="00076F37"/>
    <w:rsid w:val="00076F9B"/>
    <w:rsid w:val="00076FD6"/>
    <w:rsid w:val="00077063"/>
    <w:rsid w:val="00077073"/>
    <w:rsid w:val="000770AE"/>
    <w:rsid w:val="00077204"/>
    <w:rsid w:val="00077213"/>
    <w:rsid w:val="00077220"/>
    <w:rsid w:val="00077250"/>
    <w:rsid w:val="000772A4"/>
    <w:rsid w:val="0007751C"/>
    <w:rsid w:val="00077571"/>
    <w:rsid w:val="000775F2"/>
    <w:rsid w:val="00077A1B"/>
    <w:rsid w:val="00077ADD"/>
    <w:rsid w:val="00077BED"/>
    <w:rsid w:val="00077D04"/>
    <w:rsid w:val="00077D4F"/>
    <w:rsid w:val="00077D53"/>
    <w:rsid w:val="00077D81"/>
    <w:rsid w:val="00077DC4"/>
    <w:rsid w:val="00077E1F"/>
    <w:rsid w:val="00077E2B"/>
    <w:rsid w:val="00077E35"/>
    <w:rsid w:val="00077F4C"/>
    <w:rsid w:val="00077FC6"/>
    <w:rsid w:val="00077FE0"/>
    <w:rsid w:val="00077FFD"/>
    <w:rsid w:val="000800DB"/>
    <w:rsid w:val="0008017A"/>
    <w:rsid w:val="000801D1"/>
    <w:rsid w:val="00080356"/>
    <w:rsid w:val="00080538"/>
    <w:rsid w:val="000805F6"/>
    <w:rsid w:val="0008076C"/>
    <w:rsid w:val="0008077C"/>
    <w:rsid w:val="000808D6"/>
    <w:rsid w:val="0008092A"/>
    <w:rsid w:val="00080C10"/>
    <w:rsid w:val="00080C9A"/>
    <w:rsid w:val="00080CBC"/>
    <w:rsid w:val="00080D64"/>
    <w:rsid w:val="00080D75"/>
    <w:rsid w:val="00080E47"/>
    <w:rsid w:val="0008100B"/>
    <w:rsid w:val="0008105B"/>
    <w:rsid w:val="0008109C"/>
    <w:rsid w:val="000811EB"/>
    <w:rsid w:val="00081375"/>
    <w:rsid w:val="00081418"/>
    <w:rsid w:val="0008144B"/>
    <w:rsid w:val="000814E2"/>
    <w:rsid w:val="000815F1"/>
    <w:rsid w:val="000816AC"/>
    <w:rsid w:val="00081795"/>
    <w:rsid w:val="0008184A"/>
    <w:rsid w:val="00081886"/>
    <w:rsid w:val="00081995"/>
    <w:rsid w:val="000819B8"/>
    <w:rsid w:val="000819D1"/>
    <w:rsid w:val="00081B1C"/>
    <w:rsid w:val="00081C03"/>
    <w:rsid w:val="00081C3C"/>
    <w:rsid w:val="00081DD6"/>
    <w:rsid w:val="00081E73"/>
    <w:rsid w:val="00081E81"/>
    <w:rsid w:val="00081ED4"/>
    <w:rsid w:val="00081F4B"/>
    <w:rsid w:val="0008206C"/>
    <w:rsid w:val="0008216D"/>
    <w:rsid w:val="0008248F"/>
    <w:rsid w:val="000825B6"/>
    <w:rsid w:val="000825DD"/>
    <w:rsid w:val="00082652"/>
    <w:rsid w:val="00082665"/>
    <w:rsid w:val="000826A7"/>
    <w:rsid w:val="0008286B"/>
    <w:rsid w:val="00082A90"/>
    <w:rsid w:val="00082B02"/>
    <w:rsid w:val="00082C30"/>
    <w:rsid w:val="00082D29"/>
    <w:rsid w:val="00082D5D"/>
    <w:rsid w:val="00082D9B"/>
    <w:rsid w:val="00082F1B"/>
    <w:rsid w:val="00082FAA"/>
    <w:rsid w:val="000830AC"/>
    <w:rsid w:val="000830FB"/>
    <w:rsid w:val="0008317A"/>
    <w:rsid w:val="0008354C"/>
    <w:rsid w:val="000835A6"/>
    <w:rsid w:val="000835AC"/>
    <w:rsid w:val="0008361C"/>
    <w:rsid w:val="000836A2"/>
    <w:rsid w:val="0008383F"/>
    <w:rsid w:val="0008388C"/>
    <w:rsid w:val="00083968"/>
    <w:rsid w:val="00083A82"/>
    <w:rsid w:val="00083AD3"/>
    <w:rsid w:val="00083B3B"/>
    <w:rsid w:val="00083C11"/>
    <w:rsid w:val="00083D49"/>
    <w:rsid w:val="00083E73"/>
    <w:rsid w:val="00083EFE"/>
    <w:rsid w:val="00083FA5"/>
    <w:rsid w:val="00084034"/>
    <w:rsid w:val="000843FC"/>
    <w:rsid w:val="0008446A"/>
    <w:rsid w:val="000844AC"/>
    <w:rsid w:val="00084735"/>
    <w:rsid w:val="000847BB"/>
    <w:rsid w:val="0008480B"/>
    <w:rsid w:val="00084815"/>
    <w:rsid w:val="00084976"/>
    <w:rsid w:val="00084AF4"/>
    <w:rsid w:val="00084B0E"/>
    <w:rsid w:val="00084BB5"/>
    <w:rsid w:val="00084EB3"/>
    <w:rsid w:val="00084ECF"/>
    <w:rsid w:val="00084F3C"/>
    <w:rsid w:val="0008515C"/>
    <w:rsid w:val="000851BF"/>
    <w:rsid w:val="0008525D"/>
    <w:rsid w:val="000852B1"/>
    <w:rsid w:val="0008530E"/>
    <w:rsid w:val="00085500"/>
    <w:rsid w:val="000857C3"/>
    <w:rsid w:val="00085934"/>
    <w:rsid w:val="000859EF"/>
    <w:rsid w:val="00085A26"/>
    <w:rsid w:val="00085B44"/>
    <w:rsid w:val="00085CB9"/>
    <w:rsid w:val="00085D17"/>
    <w:rsid w:val="00085D48"/>
    <w:rsid w:val="00085D90"/>
    <w:rsid w:val="00085E26"/>
    <w:rsid w:val="00085F9F"/>
    <w:rsid w:val="00085FA6"/>
    <w:rsid w:val="00085FFF"/>
    <w:rsid w:val="00086019"/>
    <w:rsid w:val="000861B3"/>
    <w:rsid w:val="000861BB"/>
    <w:rsid w:val="0008629E"/>
    <w:rsid w:val="000862D4"/>
    <w:rsid w:val="000864E0"/>
    <w:rsid w:val="00086600"/>
    <w:rsid w:val="0008669A"/>
    <w:rsid w:val="000866D0"/>
    <w:rsid w:val="00086752"/>
    <w:rsid w:val="00086A46"/>
    <w:rsid w:val="00086A76"/>
    <w:rsid w:val="00086B13"/>
    <w:rsid w:val="00086B26"/>
    <w:rsid w:val="00086BB4"/>
    <w:rsid w:val="00086CD0"/>
    <w:rsid w:val="00086DC7"/>
    <w:rsid w:val="00086DF3"/>
    <w:rsid w:val="00086E4F"/>
    <w:rsid w:val="00086FD6"/>
    <w:rsid w:val="00087087"/>
    <w:rsid w:val="0008718C"/>
    <w:rsid w:val="0008721F"/>
    <w:rsid w:val="00087220"/>
    <w:rsid w:val="000872C8"/>
    <w:rsid w:val="00087475"/>
    <w:rsid w:val="000874A3"/>
    <w:rsid w:val="000874ED"/>
    <w:rsid w:val="000874FA"/>
    <w:rsid w:val="00087573"/>
    <w:rsid w:val="000875AE"/>
    <w:rsid w:val="00087624"/>
    <w:rsid w:val="00087711"/>
    <w:rsid w:val="0008774A"/>
    <w:rsid w:val="0008799F"/>
    <w:rsid w:val="00087A3A"/>
    <w:rsid w:val="00087AE6"/>
    <w:rsid w:val="00087B37"/>
    <w:rsid w:val="00087D60"/>
    <w:rsid w:val="00087EB4"/>
    <w:rsid w:val="00087F70"/>
    <w:rsid w:val="00090024"/>
    <w:rsid w:val="00090089"/>
    <w:rsid w:val="0009012B"/>
    <w:rsid w:val="0009013A"/>
    <w:rsid w:val="00090159"/>
    <w:rsid w:val="000901FD"/>
    <w:rsid w:val="0009025F"/>
    <w:rsid w:val="000902B9"/>
    <w:rsid w:val="00090365"/>
    <w:rsid w:val="0009046B"/>
    <w:rsid w:val="00090471"/>
    <w:rsid w:val="000904C9"/>
    <w:rsid w:val="0009055B"/>
    <w:rsid w:val="00090658"/>
    <w:rsid w:val="0009069A"/>
    <w:rsid w:val="000906F4"/>
    <w:rsid w:val="0009074C"/>
    <w:rsid w:val="00090832"/>
    <w:rsid w:val="00090890"/>
    <w:rsid w:val="000908AC"/>
    <w:rsid w:val="000908D8"/>
    <w:rsid w:val="00090C0A"/>
    <w:rsid w:val="00090D88"/>
    <w:rsid w:val="00090DB7"/>
    <w:rsid w:val="00090E52"/>
    <w:rsid w:val="00090EA8"/>
    <w:rsid w:val="00091097"/>
    <w:rsid w:val="00091190"/>
    <w:rsid w:val="0009122D"/>
    <w:rsid w:val="00091252"/>
    <w:rsid w:val="00091312"/>
    <w:rsid w:val="000913B2"/>
    <w:rsid w:val="00091487"/>
    <w:rsid w:val="0009153A"/>
    <w:rsid w:val="0009185C"/>
    <w:rsid w:val="000919DE"/>
    <w:rsid w:val="00091A32"/>
    <w:rsid w:val="00091A99"/>
    <w:rsid w:val="00091AC2"/>
    <w:rsid w:val="00091B7D"/>
    <w:rsid w:val="00091BF0"/>
    <w:rsid w:val="00091CC4"/>
    <w:rsid w:val="00091D25"/>
    <w:rsid w:val="00091E90"/>
    <w:rsid w:val="00092035"/>
    <w:rsid w:val="000920A5"/>
    <w:rsid w:val="0009211A"/>
    <w:rsid w:val="000921CB"/>
    <w:rsid w:val="000921CC"/>
    <w:rsid w:val="000921FF"/>
    <w:rsid w:val="0009226C"/>
    <w:rsid w:val="0009227D"/>
    <w:rsid w:val="000922B2"/>
    <w:rsid w:val="000922CB"/>
    <w:rsid w:val="000922EB"/>
    <w:rsid w:val="00092332"/>
    <w:rsid w:val="00092378"/>
    <w:rsid w:val="000925FC"/>
    <w:rsid w:val="0009260D"/>
    <w:rsid w:val="00092673"/>
    <w:rsid w:val="000926EB"/>
    <w:rsid w:val="000928CC"/>
    <w:rsid w:val="00092965"/>
    <w:rsid w:val="00092C73"/>
    <w:rsid w:val="00093073"/>
    <w:rsid w:val="0009309F"/>
    <w:rsid w:val="0009344B"/>
    <w:rsid w:val="00093514"/>
    <w:rsid w:val="00093655"/>
    <w:rsid w:val="000936A3"/>
    <w:rsid w:val="000936D4"/>
    <w:rsid w:val="00093750"/>
    <w:rsid w:val="000937CB"/>
    <w:rsid w:val="00093ABB"/>
    <w:rsid w:val="00093C87"/>
    <w:rsid w:val="00093DBD"/>
    <w:rsid w:val="00093E13"/>
    <w:rsid w:val="00093E93"/>
    <w:rsid w:val="00093EA3"/>
    <w:rsid w:val="00093F6D"/>
    <w:rsid w:val="00094150"/>
    <w:rsid w:val="0009428F"/>
    <w:rsid w:val="00094333"/>
    <w:rsid w:val="00094576"/>
    <w:rsid w:val="0009457C"/>
    <w:rsid w:val="000945B8"/>
    <w:rsid w:val="000948AB"/>
    <w:rsid w:val="00094A14"/>
    <w:rsid w:val="00094B08"/>
    <w:rsid w:val="00094B82"/>
    <w:rsid w:val="00094C20"/>
    <w:rsid w:val="00094CA4"/>
    <w:rsid w:val="00094CF3"/>
    <w:rsid w:val="00094DEA"/>
    <w:rsid w:val="00094E1A"/>
    <w:rsid w:val="00094EF6"/>
    <w:rsid w:val="00094F96"/>
    <w:rsid w:val="00094FF7"/>
    <w:rsid w:val="00095075"/>
    <w:rsid w:val="00095082"/>
    <w:rsid w:val="000950E1"/>
    <w:rsid w:val="00095206"/>
    <w:rsid w:val="00095231"/>
    <w:rsid w:val="00095251"/>
    <w:rsid w:val="0009528D"/>
    <w:rsid w:val="000952B6"/>
    <w:rsid w:val="000952BC"/>
    <w:rsid w:val="000952F5"/>
    <w:rsid w:val="000953CE"/>
    <w:rsid w:val="000953F3"/>
    <w:rsid w:val="000954AC"/>
    <w:rsid w:val="0009553B"/>
    <w:rsid w:val="00095661"/>
    <w:rsid w:val="00095727"/>
    <w:rsid w:val="00095939"/>
    <w:rsid w:val="00095B6A"/>
    <w:rsid w:val="00095BCB"/>
    <w:rsid w:val="00095F5D"/>
    <w:rsid w:val="00096052"/>
    <w:rsid w:val="00096342"/>
    <w:rsid w:val="00096398"/>
    <w:rsid w:val="0009641A"/>
    <w:rsid w:val="000964D0"/>
    <w:rsid w:val="000964FC"/>
    <w:rsid w:val="0009659E"/>
    <w:rsid w:val="000965F9"/>
    <w:rsid w:val="0009675D"/>
    <w:rsid w:val="00096984"/>
    <w:rsid w:val="00096A16"/>
    <w:rsid w:val="00096D36"/>
    <w:rsid w:val="00096DD2"/>
    <w:rsid w:val="00096E96"/>
    <w:rsid w:val="00096F47"/>
    <w:rsid w:val="00097056"/>
    <w:rsid w:val="000970C5"/>
    <w:rsid w:val="00097133"/>
    <w:rsid w:val="0009714C"/>
    <w:rsid w:val="0009729E"/>
    <w:rsid w:val="000972FA"/>
    <w:rsid w:val="0009737D"/>
    <w:rsid w:val="00097424"/>
    <w:rsid w:val="00097476"/>
    <w:rsid w:val="00097533"/>
    <w:rsid w:val="00097536"/>
    <w:rsid w:val="00097585"/>
    <w:rsid w:val="000976AD"/>
    <w:rsid w:val="0009777F"/>
    <w:rsid w:val="000977DE"/>
    <w:rsid w:val="00097844"/>
    <w:rsid w:val="0009793A"/>
    <w:rsid w:val="00097B95"/>
    <w:rsid w:val="00097BA0"/>
    <w:rsid w:val="00097F27"/>
    <w:rsid w:val="000A0064"/>
    <w:rsid w:val="000A024E"/>
    <w:rsid w:val="000A0388"/>
    <w:rsid w:val="000A0417"/>
    <w:rsid w:val="000A04AB"/>
    <w:rsid w:val="000A06AD"/>
    <w:rsid w:val="000A0805"/>
    <w:rsid w:val="000A0816"/>
    <w:rsid w:val="000A0847"/>
    <w:rsid w:val="000A095B"/>
    <w:rsid w:val="000A09AB"/>
    <w:rsid w:val="000A09FF"/>
    <w:rsid w:val="000A0B60"/>
    <w:rsid w:val="000A0B8B"/>
    <w:rsid w:val="000A0C51"/>
    <w:rsid w:val="000A0CCB"/>
    <w:rsid w:val="000A0D2F"/>
    <w:rsid w:val="000A0E95"/>
    <w:rsid w:val="000A0F43"/>
    <w:rsid w:val="000A1017"/>
    <w:rsid w:val="000A1087"/>
    <w:rsid w:val="000A1121"/>
    <w:rsid w:val="000A1201"/>
    <w:rsid w:val="000A138E"/>
    <w:rsid w:val="000A13A0"/>
    <w:rsid w:val="000A13DD"/>
    <w:rsid w:val="000A160D"/>
    <w:rsid w:val="000A16EE"/>
    <w:rsid w:val="000A1805"/>
    <w:rsid w:val="000A19AB"/>
    <w:rsid w:val="000A1BD0"/>
    <w:rsid w:val="000A1C12"/>
    <w:rsid w:val="000A1C27"/>
    <w:rsid w:val="000A1C58"/>
    <w:rsid w:val="000A1CA3"/>
    <w:rsid w:val="000A1EA6"/>
    <w:rsid w:val="000A1F91"/>
    <w:rsid w:val="000A202D"/>
    <w:rsid w:val="000A207A"/>
    <w:rsid w:val="000A2128"/>
    <w:rsid w:val="000A214D"/>
    <w:rsid w:val="000A222E"/>
    <w:rsid w:val="000A235E"/>
    <w:rsid w:val="000A2439"/>
    <w:rsid w:val="000A249E"/>
    <w:rsid w:val="000A2505"/>
    <w:rsid w:val="000A2807"/>
    <w:rsid w:val="000A2877"/>
    <w:rsid w:val="000A29DB"/>
    <w:rsid w:val="000A2AC6"/>
    <w:rsid w:val="000A2B28"/>
    <w:rsid w:val="000A2BDA"/>
    <w:rsid w:val="000A2D0F"/>
    <w:rsid w:val="000A2DA0"/>
    <w:rsid w:val="000A2EFE"/>
    <w:rsid w:val="000A31AA"/>
    <w:rsid w:val="000A32FB"/>
    <w:rsid w:val="000A3337"/>
    <w:rsid w:val="000A335E"/>
    <w:rsid w:val="000A33E1"/>
    <w:rsid w:val="000A3421"/>
    <w:rsid w:val="000A347B"/>
    <w:rsid w:val="000A34F8"/>
    <w:rsid w:val="000A3669"/>
    <w:rsid w:val="000A36BB"/>
    <w:rsid w:val="000A3735"/>
    <w:rsid w:val="000A386D"/>
    <w:rsid w:val="000A3887"/>
    <w:rsid w:val="000A389E"/>
    <w:rsid w:val="000A3904"/>
    <w:rsid w:val="000A391E"/>
    <w:rsid w:val="000A397D"/>
    <w:rsid w:val="000A39C0"/>
    <w:rsid w:val="000A39CC"/>
    <w:rsid w:val="000A3A08"/>
    <w:rsid w:val="000A3B5D"/>
    <w:rsid w:val="000A3B60"/>
    <w:rsid w:val="000A3B71"/>
    <w:rsid w:val="000A3D24"/>
    <w:rsid w:val="000A3D31"/>
    <w:rsid w:val="000A3E32"/>
    <w:rsid w:val="000A3F35"/>
    <w:rsid w:val="000A3F43"/>
    <w:rsid w:val="000A4067"/>
    <w:rsid w:val="000A41C4"/>
    <w:rsid w:val="000A4378"/>
    <w:rsid w:val="000A4576"/>
    <w:rsid w:val="000A45D5"/>
    <w:rsid w:val="000A4641"/>
    <w:rsid w:val="000A473E"/>
    <w:rsid w:val="000A478F"/>
    <w:rsid w:val="000A47D8"/>
    <w:rsid w:val="000A4914"/>
    <w:rsid w:val="000A49F4"/>
    <w:rsid w:val="000A4A53"/>
    <w:rsid w:val="000A4AA5"/>
    <w:rsid w:val="000A4CFC"/>
    <w:rsid w:val="000A4F76"/>
    <w:rsid w:val="000A501C"/>
    <w:rsid w:val="000A5064"/>
    <w:rsid w:val="000A50B9"/>
    <w:rsid w:val="000A51DB"/>
    <w:rsid w:val="000A5350"/>
    <w:rsid w:val="000A53B2"/>
    <w:rsid w:val="000A53FF"/>
    <w:rsid w:val="000A547C"/>
    <w:rsid w:val="000A54F3"/>
    <w:rsid w:val="000A5556"/>
    <w:rsid w:val="000A5561"/>
    <w:rsid w:val="000A55DB"/>
    <w:rsid w:val="000A5665"/>
    <w:rsid w:val="000A5688"/>
    <w:rsid w:val="000A584E"/>
    <w:rsid w:val="000A58A6"/>
    <w:rsid w:val="000A58BC"/>
    <w:rsid w:val="000A595B"/>
    <w:rsid w:val="000A59CA"/>
    <w:rsid w:val="000A5A7D"/>
    <w:rsid w:val="000A5BFD"/>
    <w:rsid w:val="000A5C2B"/>
    <w:rsid w:val="000A5D5F"/>
    <w:rsid w:val="000A5E62"/>
    <w:rsid w:val="000A5FDA"/>
    <w:rsid w:val="000A6139"/>
    <w:rsid w:val="000A6237"/>
    <w:rsid w:val="000A6333"/>
    <w:rsid w:val="000A63AA"/>
    <w:rsid w:val="000A654E"/>
    <w:rsid w:val="000A6589"/>
    <w:rsid w:val="000A666E"/>
    <w:rsid w:val="000A66A5"/>
    <w:rsid w:val="000A6858"/>
    <w:rsid w:val="000A6A50"/>
    <w:rsid w:val="000A6AB4"/>
    <w:rsid w:val="000A6C1C"/>
    <w:rsid w:val="000A6CB1"/>
    <w:rsid w:val="000A6CE8"/>
    <w:rsid w:val="000A6E51"/>
    <w:rsid w:val="000A6EB2"/>
    <w:rsid w:val="000A6FC6"/>
    <w:rsid w:val="000A706E"/>
    <w:rsid w:val="000A7092"/>
    <w:rsid w:val="000A71D6"/>
    <w:rsid w:val="000A730A"/>
    <w:rsid w:val="000A7475"/>
    <w:rsid w:val="000A7571"/>
    <w:rsid w:val="000A75BD"/>
    <w:rsid w:val="000A762E"/>
    <w:rsid w:val="000A76D1"/>
    <w:rsid w:val="000A778A"/>
    <w:rsid w:val="000A779C"/>
    <w:rsid w:val="000A7816"/>
    <w:rsid w:val="000A78A4"/>
    <w:rsid w:val="000A78AF"/>
    <w:rsid w:val="000A7965"/>
    <w:rsid w:val="000A7C46"/>
    <w:rsid w:val="000A7C51"/>
    <w:rsid w:val="000A7C52"/>
    <w:rsid w:val="000A7C81"/>
    <w:rsid w:val="000A7D95"/>
    <w:rsid w:val="000A7E6B"/>
    <w:rsid w:val="000A7EC4"/>
    <w:rsid w:val="000A7EF5"/>
    <w:rsid w:val="000A7F29"/>
    <w:rsid w:val="000A7F2F"/>
    <w:rsid w:val="000A7F8E"/>
    <w:rsid w:val="000B0137"/>
    <w:rsid w:val="000B0185"/>
    <w:rsid w:val="000B01B0"/>
    <w:rsid w:val="000B02AF"/>
    <w:rsid w:val="000B02F8"/>
    <w:rsid w:val="000B05DA"/>
    <w:rsid w:val="000B05EE"/>
    <w:rsid w:val="000B0605"/>
    <w:rsid w:val="000B06E6"/>
    <w:rsid w:val="000B06FC"/>
    <w:rsid w:val="000B0724"/>
    <w:rsid w:val="000B076C"/>
    <w:rsid w:val="000B07EF"/>
    <w:rsid w:val="000B09D5"/>
    <w:rsid w:val="000B0A20"/>
    <w:rsid w:val="000B0A79"/>
    <w:rsid w:val="000B0A8E"/>
    <w:rsid w:val="000B0AB0"/>
    <w:rsid w:val="000B0B48"/>
    <w:rsid w:val="000B0B87"/>
    <w:rsid w:val="000B0CB0"/>
    <w:rsid w:val="000B0E8F"/>
    <w:rsid w:val="000B0F6B"/>
    <w:rsid w:val="000B129E"/>
    <w:rsid w:val="000B130F"/>
    <w:rsid w:val="000B1359"/>
    <w:rsid w:val="000B154B"/>
    <w:rsid w:val="000B1558"/>
    <w:rsid w:val="000B15A2"/>
    <w:rsid w:val="000B16B5"/>
    <w:rsid w:val="000B1711"/>
    <w:rsid w:val="000B180E"/>
    <w:rsid w:val="000B1885"/>
    <w:rsid w:val="000B1904"/>
    <w:rsid w:val="000B19AB"/>
    <w:rsid w:val="000B1A12"/>
    <w:rsid w:val="000B1A1E"/>
    <w:rsid w:val="000B1B0B"/>
    <w:rsid w:val="000B1B89"/>
    <w:rsid w:val="000B1BE8"/>
    <w:rsid w:val="000B1DE7"/>
    <w:rsid w:val="000B1E1E"/>
    <w:rsid w:val="000B21CA"/>
    <w:rsid w:val="000B2278"/>
    <w:rsid w:val="000B230A"/>
    <w:rsid w:val="000B2341"/>
    <w:rsid w:val="000B2435"/>
    <w:rsid w:val="000B24E1"/>
    <w:rsid w:val="000B2504"/>
    <w:rsid w:val="000B2511"/>
    <w:rsid w:val="000B2590"/>
    <w:rsid w:val="000B25F9"/>
    <w:rsid w:val="000B262B"/>
    <w:rsid w:val="000B29CF"/>
    <w:rsid w:val="000B29D8"/>
    <w:rsid w:val="000B29D9"/>
    <w:rsid w:val="000B2A70"/>
    <w:rsid w:val="000B2AA0"/>
    <w:rsid w:val="000B2AFC"/>
    <w:rsid w:val="000B2E61"/>
    <w:rsid w:val="000B2EC0"/>
    <w:rsid w:val="000B2EE1"/>
    <w:rsid w:val="000B2F15"/>
    <w:rsid w:val="000B30B7"/>
    <w:rsid w:val="000B3238"/>
    <w:rsid w:val="000B3378"/>
    <w:rsid w:val="000B3457"/>
    <w:rsid w:val="000B375A"/>
    <w:rsid w:val="000B3859"/>
    <w:rsid w:val="000B3870"/>
    <w:rsid w:val="000B39F5"/>
    <w:rsid w:val="000B3A68"/>
    <w:rsid w:val="000B3B46"/>
    <w:rsid w:val="000B3B7B"/>
    <w:rsid w:val="000B3E0F"/>
    <w:rsid w:val="000B3EA2"/>
    <w:rsid w:val="000B3EEB"/>
    <w:rsid w:val="000B3F50"/>
    <w:rsid w:val="000B4052"/>
    <w:rsid w:val="000B40D6"/>
    <w:rsid w:val="000B4339"/>
    <w:rsid w:val="000B43FC"/>
    <w:rsid w:val="000B449D"/>
    <w:rsid w:val="000B44E0"/>
    <w:rsid w:val="000B45D8"/>
    <w:rsid w:val="000B4668"/>
    <w:rsid w:val="000B46BA"/>
    <w:rsid w:val="000B4818"/>
    <w:rsid w:val="000B4824"/>
    <w:rsid w:val="000B485E"/>
    <w:rsid w:val="000B498D"/>
    <w:rsid w:val="000B49E2"/>
    <w:rsid w:val="000B4BE8"/>
    <w:rsid w:val="000B4C79"/>
    <w:rsid w:val="000B4F68"/>
    <w:rsid w:val="000B51AC"/>
    <w:rsid w:val="000B52BE"/>
    <w:rsid w:val="000B530E"/>
    <w:rsid w:val="000B5593"/>
    <w:rsid w:val="000B560B"/>
    <w:rsid w:val="000B57CC"/>
    <w:rsid w:val="000B58C8"/>
    <w:rsid w:val="000B59B5"/>
    <w:rsid w:val="000B5CE5"/>
    <w:rsid w:val="000B5ED1"/>
    <w:rsid w:val="000B600F"/>
    <w:rsid w:val="000B619F"/>
    <w:rsid w:val="000B623E"/>
    <w:rsid w:val="000B6245"/>
    <w:rsid w:val="000B62B3"/>
    <w:rsid w:val="000B6317"/>
    <w:rsid w:val="000B67FD"/>
    <w:rsid w:val="000B6860"/>
    <w:rsid w:val="000B68B2"/>
    <w:rsid w:val="000B69C6"/>
    <w:rsid w:val="000B6AA4"/>
    <w:rsid w:val="000B6F60"/>
    <w:rsid w:val="000B70EF"/>
    <w:rsid w:val="000B725B"/>
    <w:rsid w:val="000B72F0"/>
    <w:rsid w:val="000B73E2"/>
    <w:rsid w:val="000B74E9"/>
    <w:rsid w:val="000B758E"/>
    <w:rsid w:val="000B77B1"/>
    <w:rsid w:val="000B78AD"/>
    <w:rsid w:val="000B7A36"/>
    <w:rsid w:val="000B7B08"/>
    <w:rsid w:val="000B7C0A"/>
    <w:rsid w:val="000B7C2F"/>
    <w:rsid w:val="000B7C9A"/>
    <w:rsid w:val="000B7D49"/>
    <w:rsid w:val="000B7DA8"/>
    <w:rsid w:val="000B7E9A"/>
    <w:rsid w:val="000C00F1"/>
    <w:rsid w:val="000C01AF"/>
    <w:rsid w:val="000C01E6"/>
    <w:rsid w:val="000C027C"/>
    <w:rsid w:val="000C0405"/>
    <w:rsid w:val="000C0429"/>
    <w:rsid w:val="000C0447"/>
    <w:rsid w:val="000C04AF"/>
    <w:rsid w:val="000C06F7"/>
    <w:rsid w:val="000C0700"/>
    <w:rsid w:val="000C0769"/>
    <w:rsid w:val="000C0774"/>
    <w:rsid w:val="000C09AC"/>
    <w:rsid w:val="000C0A6B"/>
    <w:rsid w:val="000C0C60"/>
    <w:rsid w:val="000C0E1C"/>
    <w:rsid w:val="000C0E85"/>
    <w:rsid w:val="000C0F09"/>
    <w:rsid w:val="000C0F90"/>
    <w:rsid w:val="000C0FCB"/>
    <w:rsid w:val="000C1092"/>
    <w:rsid w:val="000C110A"/>
    <w:rsid w:val="000C1216"/>
    <w:rsid w:val="000C1353"/>
    <w:rsid w:val="000C14A9"/>
    <w:rsid w:val="000C1564"/>
    <w:rsid w:val="000C173A"/>
    <w:rsid w:val="000C1774"/>
    <w:rsid w:val="000C179D"/>
    <w:rsid w:val="000C17E7"/>
    <w:rsid w:val="000C186D"/>
    <w:rsid w:val="000C1987"/>
    <w:rsid w:val="000C1995"/>
    <w:rsid w:val="000C1A30"/>
    <w:rsid w:val="000C1A91"/>
    <w:rsid w:val="000C1AD2"/>
    <w:rsid w:val="000C1B6A"/>
    <w:rsid w:val="000C1DD2"/>
    <w:rsid w:val="000C1E95"/>
    <w:rsid w:val="000C1F4B"/>
    <w:rsid w:val="000C1FF3"/>
    <w:rsid w:val="000C204B"/>
    <w:rsid w:val="000C2225"/>
    <w:rsid w:val="000C2265"/>
    <w:rsid w:val="000C233C"/>
    <w:rsid w:val="000C237E"/>
    <w:rsid w:val="000C238E"/>
    <w:rsid w:val="000C242C"/>
    <w:rsid w:val="000C2544"/>
    <w:rsid w:val="000C25FE"/>
    <w:rsid w:val="000C2620"/>
    <w:rsid w:val="000C2676"/>
    <w:rsid w:val="000C272B"/>
    <w:rsid w:val="000C276F"/>
    <w:rsid w:val="000C2A27"/>
    <w:rsid w:val="000C2ABE"/>
    <w:rsid w:val="000C2B0C"/>
    <w:rsid w:val="000C2BAB"/>
    <w:rsid w:val="000C2C95"/>
    <w:rsid w:val="000C314F"/>
    <w:rsid w:val="000C32A0"/>
    <w:rsid w:val="000C334D"/>
    <w:rsid w:val="000C3368"/>
    <w:rsid w:val="000C3369"/>
    <w:rsid w:val="000C34A2"/>
    <w:rsid w:val="000C3593"/>
    <w:rsid w:val="000C35B8"/>
    <w:rsid w:val="000C364C"/>
    <w:rsid w:val="000C3713"/>
    <w:rsid w:val="000C37DC"/>
    <w:rsid w:val="000C380F"/>
    <w:rsid w:val="000C394A"/>
    <w:rsid w:val="000C39A1"/>
    <w:rsid w:val="000C39E5"/>
    <w:rsid w:val="000C3A55"/>
    <w:rsid w:val="000C3B34"/>
    <w:rsid w:val="000C3B59"/>
    <w:rsid w:val="000C3BD0"/>
    <w:rsid w:val="000C3C6F"/>
    <w:rsid w:val="000C3D82"/>
    <w:rsid w:val="000C3E4A"/>
    <w:rsid w:val="000C3EBB"/>
    <w:rsid w:val="000C3FF2"/>
    <w:rsid w:val="000C416F"/>
    <w:rsid w:val="000C41FC"/>
    <w:rsid w:val="000C428C"/>
    <w:rsid w:val="000C4366"/>
    <w:rsid w:val="000C43C4"/>
    <w:rsid w:val="000C4752"/>
    <w:rsid w:val="000C485D"/>
    <w:rsid w:val="000C4931"/>
    <w:rsid w:val="000C49A1"/>
    <w:rsid w:val="000C4B93"/>
    <w:rsid w:val="000C4C0C"/>
    <w:rsid w:val="000C4C4C"/>
    <w:rsid w:val="000C4C78"/>
    <w:rsid w:val="000C4CE1"/>
    <w:rsid w:val="000C4D27"/>
    <w:rsid w:val="000C4EE3"/>
    <w:rsid w:val="000C4F18"/>
    <w:rsid w:val="000C4FB2"/>
    <w:rsid w:val="000C5017"/>
    <w:rsid w:val="000C5020"/>
    <w:rsid w:val="000C50AB"/>
    <w:rsid w:val="000C50B7"/>
    <w:rsid w:val="000C5212"/>
    <w:rsid w:val="000C52BD"/>
    <w:rsid w:val="000C538F"/>
    <w:rsid w:val="000C53FB"/>
    <w:rsid w:val="000C5459"/>
    <w:rsid w:val="000C59D5"/>
    <w:rsid w:val="000C5D52"/>
    <w:rsid w:val="000C5D90"/>
    <w:rsid w:val="000C5DBD"/>
    <w:rsid w:val="000C5E47"/>
    <w:rsid w:val="000C5FC9"/>
    <w:rsid w:val="000C6082"/>
    <w:rsid w:val="000C6090"/>
    <w:rsid w:val="000C61F1"/>
    <w:rsid w:val="000C6255"/>
    <w:rsid w:val="000C6352"/>
    <w:rsid w:val="000C6364"/>
    <w:rsid w:val="000C6475"/>
    <w:rsid w:val="000C651D"/>
    <w:rsid w:val="000C65C9"/>
    <w:rsid w:val="000C65E0"/>
    <w:rsid w:val="000C6672"/>
    <w:rsid w:val="000C670E"/>
    <w:rsid w:val="000C6823"/>
    <w:rsid w:val="000C682B"/>
    <w:rsid w:val="000C6959"/>
    <w:rsid w:val="000C6A4E"/>
    <w:rsid w:val="000C6A64"/>
    <w:rsid w:val="000C6AF1"/>
    <w:rsid w:val="000C6B5F"/>
    <w:rsid w:val="000C6B7D"/>
    <w:rsid w:val="000C6C31"/>
    <w:rsid w:val="000C6C72"/>
    <w:rsid w:val="000C6CA5"/>
    <w:rsid w:val="000C6E21"/>
    <w:rsid w:val="000C6E77"/>
    <w:rsid w:val="000C6FD9"/>
    <w:rsid w:val="000C70D3"/>
    <w:rsid w:val="000C71AB"/>
    <w:rsid w:val="000C7271"/>
    <w:rsid w:val="000C756E"/>
    <w:rsid w:val="000C758C"/>
    <w:rsid w:val="000C7673"/>
    <w:rsid w:val="000C7843"/>
    <w:rsid w:val="000C790F"/>
    <w:rsid w:val="000C792D"/>
    <w:rsid w:val="000C792E"/>
    <w:rsid w:val="000C79C9"/>
    <w:rsid w:val="000C7A13"/>
    <w:rsid w:val="000C7B83"/>
    <w:rsid w:val="000C7C10"/>
    <w:rsid w:val="000C7C46"/>
    <w:rsid w:val="000C7EE9"/>
    <w:rsid w:val="000D00B9"/>
    <w:rsid w:val="000D013F"/>
    <w:rsid w:val="000D0289"/>
    <w:rsid w:val="000D0787"/>
    <w:rsid w:val="000D08DA"/>
    <w:rsid w:val="000D0A2A"/>
    <w:rsid w:val="000D0ABE"/>
    <w:rsid w:val="000D0E12"/>
    <w:rsid w:val="000D0F29"/>
    <w:rsid w:val="000D0F6F"/>
    <w:rsid w:val="000D0FA6"/>
    <w:rsid w:val="000D1032"/>
    <w:rsid w:val="000D1090"/>
    <w:rsid w:val="000D10D0"/>
    <w:rsid w:val="000D11B0"/>
    <w:rsid w:val="000D1234"/>
    <w:rsid w:val="000D1479"/>
    <w:rsid w:val="000D15BD"/>
    <w:rsid w:val="000D15D8"/>
    <w:rsid w:val="000D16CB"/>
    <w:rsid w:val="000D170A"/>
    <w:rsid w:val="000D17E3"/>
    <w:rsid w:val="000D1836"/>
    <w:rsid w:val="000D1893"/>
    <w:rsid w:val="000D19A0"/>
    <w:rsid w:val="000D1A45"/>
    <w:rsid w:val="000D1B20"/>
    <w:rsid w:val="000D1CF6"/>
    <w:rsid w:val="000D1DC8"/>
    <w:rsid w:val="000D1DF6"/>
    <w:rsid w:val="000D1E3A"/>
    <w:rsid w:val="000D1E96"/>
    <w:rsid w:val="000D1FFD"/>
    <w:rsid w:val="000D2035"/>
    <w:rsid w:val="000D2061"/>
    <w:rsid w:val="000D2065"/>
    <w:rsid w:val="000D210B"/>
    <w:rsid w:val="000D21D0"/>
    <w:rsid w:val="000D2337"/>
    <w:rsid w:val="000D23E3"/>
    <w:rsid w:val="000D24D7"/>
    <w:rsid w:val="000D259E"/>
    <w:rsid w:val="000D25C3"/>
    <w:rsid w:val="000D28E9"/>
    <w:rsid w:val="000D291E"/>
    <w:rsid w:val="000D2920"/>
    <w:rsid w:val="000D2C30"/>
    <w:rsid w:val="000D2CC6"/>
    <w:rsid w:val="000D2CEC"/>
    <w:rsid w:val="000D2D2A"/>
    <w:rsid w:val="000D2DF5"/>
    <w:rsid w:val="000D2E5D"/>
    <w:rsid w:val="000D2EB0"/>
    <w:rsid w:val="000D2EF1"/>
    <w:rsid w:val="000D2F2F"/>
    <w:rsid w:val="000D2F94"/>
    <w:rsid w:val="000D2FDB"/>
    <w:rsid w:val="000D3004"/>
    <w:rsid w:val="000D3094"/>
    <w:rsid w:val="000D30D7"/>
    <w:rsid w:val="000D30FF"/>
    <w:rsid w:val="000D31A2"/>
    <w:rsid w:val="000D31F2"/>
    <w:rsid w:val="000D323E"/>
    <w:rsid w:val="000D326B"/>
    <w:rsid w:val="000D3288"/>
    <w:rsid w:val="000D334F"/>
    <w:rsid w:val="000D352B"/>
    <w:rsid w:val="000D35EF"/>
    <w:rsid w:val="000D36B9"/>
    <w:rsid w:val="000D3838"/>
    <w:rsid w:val="000D397D"/>
    <w:rsid w:val="000D399C"/>
    <w:rsid w:val="000D39DA"/>
    <w:rsid w:val="000D3C9F"/>
    <w:rsid w:val="000D3DD7"/>
    <w:rsid w:val="000D3F06"/>
    <w:rsid w:val="000D3FAD"/>
    <w:rsid w:val="000D40DA"/>
    <w:rsid w:val="000D411D"/>
    <w:rsid w:val="000D4216"/>
    <w:rsid w:val="000D428D"/>
    <w:rsid w:val="000D42E3"/>
    <w:rsid w:val="000D430C"/>
    <w:rsid w:val="000D431F"/>
    <w:rsid w:val="000D4473"/>
    <w:rsid w:val="000D463F"/>
    <w:rsid w:val="000D4769"/>
    <w:rsid w:val="000D47A3"/>
    <w:rsid w:val="000D48DD"/>
    <w:rsid w:val="000D4924"/>
    <w:rsid w:val="000D49F7"/>
    <w:rsid w:val="000D4A17"/>
    <w:rsid w:val="000D4B82"/>
    <w:rsid w:val="000D4BF2"/>
    <w:rsid w:val="000D4DE9"/>
    <w:rsid w:val="000D4EE1"/>
    <w:rsid w:val="000D4F5B"/>
    <w:rsid w:val="000D4F6E"/>
    <w:rsid w:val="000D5301"/>
    <w:rsid w:val="000D5392"/>
    <w:rsid w:val="000D53AD"/>
    <w:rsid w:val="000D53B8"/>
    <w:rsid w:val="000D53D7"/>
    <w:rsid w:val="000D540E"/>
    <w:rsid w:val="000D542B"/>
    <w:rsid w:val="000D56D4"/>
    <w:rsid w:val="000D5729"/>
    <w:rsid w:val="000D5782"/>
    <w:rsid w:val="000D57B2"/>
    <w:rsid w:val="000D58C9"/>
    <w:rsid w:val="000D59AA"/>
    <w:rsid w:val="000D5A0F"/>
    <w:rsid w:val="000D5A74"/>
    <w:rsid w:val="000D5AE7"/>
    <w:rsid w:val="000D5B00"/>
    <w:rsid w:val="000D5C5A"/>
    <w:rsid w:val="000D5DDF"/>
    <w:rsid w:val="000D5DE1"/>
    <w:rsid w:val="000D5EA2"/>
    <w:rsid w:val="000D5F63"/>
    <w:rsid w:val="000D6022"/>
    <w:rsid w:val="000D60AC"/>
    <w:rsid w:val="000D6227"/>
    <w:rsid w:val="000D623C"/>
    <w:rsid w:val="000D6313"/>
    <w:rsid w:val="000D6355"/>
    <w:rsid w:val="000D63A2"/>
    <w:rsid w:val="000D67D1"/>
    <w:rsid w:val="000D6861"/>
    <w:rsid w:val="000D68E2"/>
    <w:rsid w:val="000D6918"/>
    <w:rsid w:val="000D70AF"/>
    <w:rsid w:val="000D71A0"/>
    <w:rsid w:val="000D7211"/>
    <w:rsid w:val="000D7252"/>
    <w:rsid w:val="000D72C5"/>
    <w:rsid w:val="000D72EE"/>
    <w:rsid w:val="000D735F"/>
    <w:rsid w:val="000D73A2"/>
    <w:rsid w:val="000D73E7"/>
    <w:rsid w:val="000D745D"/>
    <w:rsid w:val="000D7499"/>
    <w:rsid w:val="000D7641"/>
    <w:rsid w:val="000D77A5"/>
    <w:rsid w:val="000D799C"/>
    <w:rsid w:val="000D7AA9"/>
    <w:rsid w:val="000D7B18"/>
    <w:rsid w:val="000D7C3E"/>
    <w:rsid w:val="000D7CEA"/>
    <w:rsid w:val="000D7D6D"/>
    <w:rsid w:val="000D7E4D"/>
    <w:rsid w:val="000E0083"/>
    <w:rsid w:val="000E01CD"/>
    <w:rsid w:val="000E04E9"/>
    <w:rsid w:val="000E0527"/>
    <w:rsid w:val="000E054C"/>
    <w:rsid w:val="000E055E"/>
    <w:rsid w:val="000E05FA"/>
    <w:rsid w:val="000E064E"/>
    <w:rsid w:val="000E06A0"/>
    <w:rsid w:val="000E0964"/>
    <w:rsid w:val="000E0AB9"/>
    <w:rsid w:val="000E0DE3"/>
    <w:rsid w:val="000E0E12"/>
    <w:rsid w:val="000E1111"/>
    <w:rsid w:val="000E116D"/>
    <w:rsid w:val="000E117D"/>
    <w:rsid w:val="000E11CE"/>
    <w:rsid w:val="000E12E4"/>
    <w:rsid w:val="000E13B3"/>
    <w:rsid w:val="000E142D"/>
    <w:rsid w:val="000E14EF"/>
    <w:rsid w:val="000E18BF"/>
    <w:rsid w:val="000E193D"/>
    <w:rsid w:val="000E19B2"/>
    <w:rsid w:val="000E1A25"/>
    <w:rsid w:val="000E1A8E"/>
    <w:rsid w:val="000E1B01"/>
    <w:rsid w:val="000E1D9A"/>
    <w:rsid w:val="000E1F00"/>
    <w:rsid w:val="000E2000"/>
    <w:rsid w:val="000E20CA"/>
    <w:rsid w:val="000E2223"/>
    <w:rsid w:val="000E2252"/>
    <w:rsid w:val="000E241D"/>
    <w:rsid w:val="000E2469"/>
    <w:rsid w:val="000E24EC"/>
    <w:rsid w:val="000E2688"/>
    <w:rsid w:val="000E26D5"/>
    <w:rsid w:val="000E272E"/>
    <w:rsid w:val="000E273E"/>
    <w:rsid w:val="000E27C0"/>
    <w:rsid w:val="000E27E1"/>
    <w:rsid w:val="000E2860"/>
    <w:rsid w:val="000E2891"/>
    <w:rsid w:val="000E2958"/>
    <w:rsid w:val="000E29B5"/>
    <w:rsid w:val="000E2A16"/>
    <w:rsid w:val="000E2B09"/>
    <w:rsid w:val="000E2E7C"/>
    <w:rsid w:val="000E2F69"/>
    <w:rsid w:val="000E2FF7"/>
    <w:rsid w:val="000E3021"/>
    <w:rsid w:val="000E3086"/>
    <w:rsid w:val="000E3168"/>
    <w:rsid w:val="000E31D5"/>
    <w:rsid w:val="000E3338"/>
    <w:rsid w:val="000E33B6"/>
    <w:rsid w:val="000E340C"/>
    <w:rsid w:val="000E3583"/>
    <w:rsid w:val="000E35DE"/>
    <w:rsid w:val="000E3664"/>
    <w:rsid w:val="000E3851"/>
    <w:rsid w:val="000E3899"/>
    <w:rsid w:val="000E38B3"/>
    <w:rsid w:val="000E38D0"/>
    <w:rsid w:val="000E396A"/>
    <w:rsid w:val="000E39A9"/>
    <w:rsid w:val="000E3B50"/>
    <w:rsid w:val="000E3DE6"/>
    <w:rsid w:val="000E4060"/>
    <w:rsid w:val="000E41DD"/>
    <w:rsid w:val="000E41EB"/>
    <w:rsid w:val="000E42D8"/>
    <w:rsid w:val="000E4402"/>
    <w:rsid w:val="000E4456"/>
    <w:rsid w:val="000E44C6"/>
    <w:rsid w:val="000E44E5"/>
    <w:rsid w:val="000E4601"/>
    <w:rsid w:val="000E46E8"/>
    <w:rsid w:val="000E4823"/>
    <w:rsid w:val="000E48ED"/>
    <w:rsid w:val="000E496E"/>
    <w:rsid w:val="000E49E1"/>
    <w:rsid w:val="000E4A89"/>
    <w:rsid w:val="000E4AA6"/>
    <w:rsid w:val="000E4ADA"/>
    <w:rsid w:val="000E4D7C"/>
    <w:rsid w:val="000E4D83"/>
    <w:rsid w:val="000E4DA3"/>
    <w:rsid w:val="000E4E37"/>
    <w:rsid w:val="000E4F04"/>
    <w:rsid w:val="000E4F30"/>
    <w:rsid w:val="000E4FD7"/>
    <w:rsid w:val="000E4FF4"/>
    <w:rsid w:val="000E506E"/>
    <w:rsid w:val="000E50ED"/>
    <w:rsid w:val="000E5126"/>
    <w:rsid w:val="000E51A8"/>
    <w:rsid w:val="000E5249"/>
    <w:rsid w:val="000E5343"/>
    <w:rsid w:val="000E535D"/>
    <w:rsid w:val="000E54A6"/>
    <w:rsid w:val="000E550E"/>
    <w:rsid w:val="000E561F"/>
    <w:rsid w:val="000E56AA"/>
    <w:rsid w:val="000E56C7"/>
    <w:rsid w:val="000E5905"/>
    <w:rsid w:val="000E5932"/>
    <w:rsid w:val="000E5945"/>
    <w:rsid w:val="000E599B"/>
    <w:rsid w:val="000E5AD3"/>
    <w:rsid w:val="000E5B7A"/>
    <w:rsid w:val="000E5CAE"/>
    <w:rsid w:val="000E5D69"/>
    <w:rsid w:val="000E5ED7"/>
    <w:rsid w:val="000E5F16"/>
    <w:rsid w:val="000E5F87"/>
    <w:rsid w:val="000E5FA0"/>
    <w:rsid w:val="000E6045"/>
    <w:rsid w:val="000E6430"/>
    <w:rsid w:val="000E64A5"/>
    <w:rsid w:val="000E6524"/>
    <w:rsid w:val="000E65B3"/>
    <w:rsid w:val="000E65C4"/>
    <w:rsid w:val="000E65C6"/>
    <w:rsid w:val="000E6703"/>
    <w:rsid w:val="000E67B3"/>
    <w:rsid w:val="000E6854"/>
    <w:rsid w:val="000E6924"/>
    <w:rsid w:val="000E6A9E"/>
    <w:rsid w:val="000E6AB0"/>
    <w:rsid w:val="000E6B73"/>
    <w:rsid w:val="000E6C03"/>
    <w:rsid w:val="000E6C94"/>
    <w:rsid w:val="000E6DC8"/>
    <w:rsid w:val="000E6E9E"/>
    <w:rsid w:val="000E6F01"/>
    <w:rsid w:val="000E6FE3"/>
    <w:rsid w:val="000E6FF1"/>
    <w:rsid w:val="000E702E"/>
    <w:rsid w:val="000E7030"/>
    <w:rsid w:val="000E70D9"/>
    <w:rsid w:val="000E711A"/>
    <w:rsid w:val="000E71B3"/>
    <w:rsid w:val="000E71D0"/>
    <w:rsid w:val="000E72D5"/>
    <w:rsid w:val="000E73C1"/>
    <w:rsid w:val="000E73D0"/>
    <w:rsid w:val="000E741A"/>
    <w:rsid w:val="000E75C5"/>
    <w:rsid w:val="000E7620"/>
    <w:rsid w:val="000E7682"/>
    <w:rsid w:val="000E76B1"/>
    <w:rsid w:val="000E76BC"/>
    <w:rsid w:val="000E76EA"/>
    <w:rsid w:val="000E7847"/>
    <w:rsid w:val="000E7998"/>
    <w:rsid w:val="000E7A5C"/>
    <w:rsid w:val="000E7A91"/>
    <w:rsid w:val="000E7B06"/>
    <w:rsid w:val="000E7B0D"/>
    <w:rsid w:val="000E7B26"/>
    <w:rsid w:val="000E7F1B"/>
    <w:rsid w:val="000E7F38"/>
    <w:rsid w:val="000F0009"/>
    <w:rsid w:val="000F006D"/>
    <w:rsid w:val="000F00A2"/>
    <w:rsid w:val="000F0103"/>
    <w:rsid w:val="000F03A0"/>
    <w:rsid w:val="000F054F"/>
    <w:rsid w:val="000F05B9"/>
    <w:rsid w:val="000F060D"/>
    <w:rsid w:val="000F0627"/>
    <w:rsid w:val="000F070D"/>
    <w:rsid w:val="000F0865"/>
    <w:rsid w:val="000F0A5D"/>
    <w:rsid w:val="000F0A67"/>
    <w:rsid w:val="000F0B63"/>
    <w:rsid w:val="000F0BF6"/>
    <w:rsid w:val="000F0C41"/>
    <w:rsid w:val="000F0D50"/>
    <w:rsid w:val="000F0E95"/>
    <w:rsid w:val="000F0F49"/>
    <w:rsid w:val="000F1086"/>
    <w:rsid w:val="000F11A3"/>
    <w:rsid w:val="000F1287"/>
    <w:rsid w:val="000F12F3"/>
    <w:rsid w:val="000F1466"/>
    <w:rsid w:val="000F155F"/>
    <w:rsid w:val="000F16DE"/>
    <w:rsid w:val="000F174B"/>
    <w:rsid w:val="000F17C5"/>
    <w:rsid w:val="000F17FB"/>
    <w:rsid w:val="000F1908"/>
    <w:rsid w:val="000F1937"/>
    <w:rsid w:val="000F19C0"/>
    <w:rsid w:val="000F1A38"/>
    <w:rsid w:val="000F1ABE"/>
    <w:rsid w:val="000F1ADA"/>
    <w:rsid w:val="000F1CD6"/>
    <w:rsid w:val="000F1DC2"/>
    <w:rsid w:val="000F1E41"/>
    <w:rsid w:val="000F1ED3"/>
    <w:rsid w:val="000F202A"/>
    <w:rsid w:val="000F2092"/>
    <w:rsid w:val="000F20F7"/>
    <w:rsid w:val="000F2681"/>
    <w:rsid w:val="000F2824"/>
    <w:rsid w:val="000F2896"/>
    <w:rsid w:val="000F2900"/>
    <w:rsid w:val="000F2916"/>
    <w:rsid w:val="000F2981"/>
    <w:rsid w:val="000F2A34"/>
    <w:rsid w:val="000F2AD0"/>
    <w:rsid w:val="000F2B18"/>
    <w:rsid w:val="000F2B46"/>
    <w:rsid w:val="000F2B54"/>
    <w:rsid w:val="000F2D8E"/>
    <w:rsid w:val="000F2D8F"/>
    <w:rsid w:val="000F2D9F"/>
    <w:rsid w:val="000F2E2E"/>
    <w:rsid w:val="000F2E81"/>
    <w:rsid w:val="000F2F2F"/>
    <w:rsid w:val="000F2F4A"/>
    <w:rsid w:val="000F2FA1"/>
    <w:rsid w:val="000F3190"/>
    <w:rsid w:val="000F3194"/>
    <w:rsid w:val="000F31C6"/>
    <w:rsid w:val="000F32FA"/>
    <w:rsid w:val="000F337C"/>
    <w:rsid w:val="000F34E2"/>
    <w:rsid w:val="000F34F6"/>
    <w:rsid w:val="000F35CE"/>
    <w:rsid w:val="000F35D0"/>
    <w:rsid w:val="000F3612"/>
    <w:rsid w:val="000F3952"/>
    <w:rsid w:val="000F3BC0"/>
    <w:rsid w:val="000F3BE3"/>
    <w:rsid w:val="000F3C6A"/>
    <w:rsid w:val="000F3DAB"/>
    <w:rsid w:val="000F3E2C"/>
    <w:rsid w:val="000F3EA7"/>
    <w:rsid w:val="000F3F13"/>
    <w:rsid w:val="000F3F3D"/>
    <w:rsid w:val="000F4001"/>
    <w:rsid w:val="000F406E"/>
    <w:rsid w:val="000F407C"/>
    <w:rsid w:val="000F4222"/>
    <w:rsid w:val="000F4233"/>
    <w:rsid w:val="000F43E8"/>
    <w:rsid w:val="000F45CA"/>
    <w:rsid w:val="000F46C7"/>
    <w:rsid w:val="000F4764"/>
    <w:rsid w:val="000F4855"/>
    <w:rsid w:val="000F4872"/>
    <w:rsid w:val="000F4938"/>
    <w:rsid w:val="000F49BD"/>
    <w:rsid w:val="000F4A80"/>
    <w:rsid w:val="000F4B40"/>
    <w:rsid w:val="000F4CD3"/>
    <w:rsid w:val="000F4DCA"/>
    <w:rsid w:val="000F4FDF"/>
    <w:rsid w:val="000F50BD"/>
    <w:rsid w:val="000F522F"/>
    <w:rsid w:val="000F52EF"/>
    <w:rsid w:val="000F5307"/>
    <w:rsid w:val="000F53C6"/>
    <w:rsid w:val="000F552B"/>
    <w:rsid w:val="000F5580"/>
    <w:rsid w:val="000F55E9"/>
    <w:rsid w:val="000F5602"/>
    <w:rsid w:val="000F5651"/>
    <w:rsid w:val="000F5685"/>
    <w:rsid w:val="000F5861"/>
    <w:rsid w:val="000F586C"/>
    <w:rsid w:val="000F590F"/>
    <w:rsid w:val="000F597A"/>
    <w:rsid w:val="000F59B4"/>
    <w:rsid w:val="000F59EE"/>
    <w:rsid w:val="000F5B4F"/>
    <w:rsid w:val="000F5C54"/>
    <w:rsid w:val="000F5D06"/>
    <w:rsid w:val="000F5FC5"/>
    <w:rsid w:val="000F606B"/>
    <w:rsid w:val="000F60C8"/>
    <w:rsid w:val="000F610B"/>
    <w:rsid w:val="000F6273"/>
    <w:rsid w:val="000F62C4"/>
    <w:rsid w:val="000F6357"/>
    <w:rsid w:val="000F6383"/>
    <w:rsid w:val="000F63D0"/>
    <w:rsid w:val="000F64B6"/>
    <w:rsid w:val="000F64CA"/>
    <w:rsid w:val="000F652E"/>
    <w:rsid w:val="000F6577"/>
    <w:rsid w:val="000F6593"/>
    <w:rsid w:val="000F65DE"/>
    <w:rsid w:val="000F6681"/>
    <w:rsid w:val="000F6710"/>
    <w:rsid w:val="000F6715"/>
    <w:rsid w:val="000F68B5"/>
    <w:rsid w:val="000F6A50"/>
    <w:rsid w:val="000F6B2C"/>
    <w:rsid w:val="000F6B50"/>
    <w:rsid w:val="000F6B96"/>
    <w:rsid w:val="000F6D91"/>
    <w:rsid w:val="000F6EDD"/>
    <w:rsid w:val="000F70C5"/>
    <w:rsid w:val="000F72CE"/>
    <w:rsid w:val="000F73C6"/>
    <w:rsid w:val="000F7438"/>
    <w:rsid w:val="000F74DD"/>
    <w:rsid w:val="000F7545"/>
    <w:rsid w:val="000F755C"/>
    <w:rsid w:val="000F7571"/>
    <w:rsid w:val="000F7836"/>
    <w:rsid w:val="000F7843"/>
    <w:rsid w:val="000F7902"/>
    <w:rsid w:val="000F7956"/>
    <w:rsid w:val="000F7A3B"/>
    <w:rsid w:val="000F7BB3"/>
    <w:rsid w:val="000F7CB1"/>
    <w:rsid w:val="000F7DE8"/>
    <w:rsid w:val="000F7ED1"/>
    <w:rsid w:val="000F7F2A"/>
    <w:rsid w:val="000F7F32"/>
    <w:rsid w:val="001001AE"/>
    <w:rsid w:val="0010026F"/>
    <w:rsid w:val="001002F5"/>
    <w:rsid w:val="00100352"/>
    <w:rsid w:val="00100374"/>
    <w:rsid w:val="0010046E"/>
    <w:rsid w:val="001005C6"/>
    <w:rsid w:val="001005D8"/>
    <w:rsid w:val="00100613"/>
    <w:rsid w:val="00100617"/>
    <w:rsid w:val="00100678"/>
    <w:rsid w:val="001006A0"/>
    <w:rsid w:val="00100713"/>
    <w:rsid w:val="0010084B"/>
    <w:rsid w:val="00100B7E"/>
    <w:rsid w:val="00100B99"/>
    <w:rsid w:val="00100BCC"/>
    <w:rsid w:val="00100C37"/>
    <w:rsid w:val="00100D34"/>
    <w:rsid w:val="00100DFB"/>
    <w:rsid w:val="00100F5C"/>
    <w:rsid w:val="00100F81"/>
    <w:rsid w:val="00100FB1"/>
    <w:rsid w:val="001010A1"/>
    <w:rsid w:val="001010A3"/>
    <w:rsid w:val="001010B4"/>
    <w:rsid w:val="00101104"/>
    <w:rsid w:val="00101154"/>
    <w:rsid w:val="0010132D"/>
    <w:rsid w:val="001015F3"/>
    <w:rsid w:val="00101663"/>
    <w:rsid w:val="0010169D"/>
    <w:rsid w:val="001016ED"/>
    <w:rsid w:val="001017E5"/>
    <w:rsid w:val="001017F3"/>
    <w:rsid w:val="00101871"/>
    <w:rsid w:val="0010199C"/>
    <w:rsid w:val="001019C3"/>
    <w:rsid w:val="001019E2"/>
    <w:rsid w:val="001019EE"/>
    <w:rsid w:val="00101A30"/>
    <w:rsid w:val="00101C6C"/>
    <w:rsid w:val="00101C90"/>
    <w:rsid w:val="00101CB0"/>
    <w:rsid w:val="00101CF3"/>
    <w:rsid w:val="00101D64"/>
    <w:rsid w:val="00101E40"/>
    <w:rsid w:val="0010208F"/>
    <w:rsid w:val="0010211D"/>
    <w:rsid w:val="00102163"/>
    <w:rsid w:val="0010224E"/>
    <w:rsid w:val="0010250B"/>
    <w:rsid w:val="00102623"/>
    <w:rsid w:val="00102679"/>
    <w:rsid w:val="00102722"/>
    <w:rsid w:val="001028F6"/>
    <w:rsid w:val="001028F9"/>
    <w:rsid w:val="0010297D"/>
    <w:rsid w:val="00102A1B"/>
    <w:rsid w:val="00102AD1"/>
    <w:rsid w:val="00102BC6"/>
    <w:rsid w:val="00102CB3"/>
    <w:rsid w:val="00102D38"/>
    <w:rsid w:val="00102DBB"/>
    <w:rsid w:val="00102E6E"/>
    <w:rsid w:val="0010309A"/>
    <w:rsid w:val="0010310C"/>
    <w:rsid w:val="00103197"/>
    <w:rsid w:val="001031D4"/>
    <w:rsid w:val="00103354"/>
    <w:rsid w:val="0010335D"/>
    <w:rsid w:val="001033EA"/>
    <w:rsid w:val="0010364C"/>
    <w:rsid w:val="00103740"/>
    <w:rsid w:val="001037AC"/>
    <w:rsid w:val="00103BDC"/>
    <w:rsid w:val="00103D41"/>
    <w:rsid w:val="00103D76"/>
    <w:rsid w:val="00103D9C"/>
    <w:rsid w:val="00103DCA"/>
    <w:rsid w:val="00103E34"/>
    <w:rsid w:val="001040C7"/>
    <w:rsid w:val="0010418D"/>
    <w:rsid w:val="001042E7"/>
    <w:rsid w:val="00104326"/>
    <w:rsid w:val="001043AC"/>
    <w:rsid w:val="00104554"/>
    <w:rsid w:val="001045EA"/>
    <w:rsid w:val="001045EF"/>
    <w:rsid w:val="00104690"/>
    <w:rsid w:val="001046EF"/>
    <w:rsid w:val="00104744"/>
    <w:rsid w:val="00104887"/>
    <w:rsid w:val="001048CA"/>
    <w:rsid w:val="001048FE"/>
    <w:rsid w:val="00104929"/>
    <w:rsid w:val="00104966"/>
    <w:rsid w:val="001049F0"/>
    <w:rsid w:val="00104AA8"/>
    <w:rsid w:val="00104B56"/>
    <w:rsid w:val="00104CF9"/>
    <w:rsid w:val="00104DDC"/>
    <w:rsid w:val="00104DE8"/>
    <w:rsid w:val="00104F62"/>
    <w:rsid w:val="001051A1"/>
    <w:rsid w:val="001051B9"/>
    <w:rsid w:val="001052A8"/>
    <w:rsid w:val="00105466"/>
    <w:rsid w:val="0010557F"/>
    <w:rsid w:val="00105580"/>
    <w:rsid w:val="00105596"/>
    <w:rsid w:val="0010559A"/>
    <w:rsid w:val="001055C8"/>
    <w:rsid w:val="001055EB"/>
    <w:rsid w:val="00105631"/>
    <w:rsid w:val="00105781"/>
    <w:rsid w:val="001058A1"/>
    <w:rsid w:val="00105918"/>
    <w:rsid w:val="0010592C"/>
    <w:rsid w:val="001059C8"/>
    <w:rsid w:val="001059E7"/>
    <w:rsid w:val="001059F7"/>
    <w:rsid w:val="00105B5F"/>
    <w:rsid w:val="00105C26"/>
    <w:rsid w:val="00105C99"/>
    <w:rsid w:val="00105CA6"/>
    <w:rsid w:val="00105CC3"/>
    <w:rsid w:val="00105D06"/>
    <w:rsid w:val="00105D4E"/>
    <w:rsid w:val="00105D91"/>
    <w:rsid w:val="00105DEB"/>
    <w:rsid w:val="00105E19"/>
    <w:rsid w:val="00105EDE"/>
    <w:rsid w:val="00105F74"/>
    <w:rsid w:val="00105F82"/>
    <w:rsid w:val="00106113"/>
    <w:rsid w:val="0010616D"/>
    <w:rsid w:val="0010645C"/>
    <w:rsid w:val="001064FB"/>
    <w:rsid w:val="001065F1"/>
    <w:rsid w:val="001066B4"/>
    <w:rsid w:val="00106710"/>
    <w:rsid w:val="00106717"/>
    <w:rsid w:val="0010672E"/>
    <w:rsid w:val="001067BC"/>
    <w:rsid w:val="001067C8"/>
    <w:rsid w:val="0010683F"/>
    <w:rsid w:val="00106B11"/>
    <w:rsid w:val="00106B82"/>
    <w:rsid w:val="00106C1A"/>
    <w:rsid w:val="00106D18"/>
    <w:rsid w:val="00106DBE"/>
    <w:rsid w:val="00106E75"/>
    <w:rsid w:val="00106EB4"/>
    <w:rsid w:val="00106EC8"/>
    <w:rsid w:val="00106F4A"/>
    <w:rsid w:val="00106F5E"/>
    <w:rsid w:val="00106FDE"/>
    <w:rsid w:val="00107016"/>
    <w:rsid w:val="0010707A"/>
    <w:rsid w:val="001070FA"/>
    <w:rsid w:val="001072CC"/>
    <w:rsid w:val="0010732A"/>
    <w:rsid w:val="0010736C"/>
    <w:rsid w:val="001073E6"/>
    <w:rsid w:val="001074DF"/>
    <w:rsid w:val="001074EC"/>
    <w:rsid w:val="0010759B"/>
    <w:rsid w:val="00107614"/>
    <w:rsid w:val="00107826"/>
    <w:rsid w:val="00107BDA"/>
    <w:rsid w:val="00107D05"/>
    <w:rsid w:val="00107E19"/>
    <w:rsid w:val="00107FA1"/>
    <w:rsid w:val="00110231"/>
    <w:rsid w:val="001102E9"/>
    <w:rsid w:val="0011041D"/>
    <w:rsid w:val="0011046A"/>
    <w:rsid w:val="00110522"/>
    <w:rsid w:val="0011054A"/>
    <w:rsid w:val="00110579"/>
    <w:rsid w:val="0011068F"/>
    <w:rsid w:val="001106FB"/>
    <w:rsid w:val="0011078B"/>
    <w:rsid w:val="001107C1"/>
    <w:rsid w:val="001107FB"/>
    <w:rsid w:val="00110BB6"/>
    <w:rsid w:val="00110D14"/>
    <w:rsid w:val="00110D65"/>
    <w:rsid w:val="00110D9E"/>
    <w:rsid w:val="0011102E"/>
    <w:rsid w:val="0011113D"/>
    <w:rsid w:val="0011114D"/>
    <w:rsid w:val="0011120B"/>
    <w:rsid w:val="00111381"/>
    <w:rsid w:val="001113F4"/>
    <w:rsid w:val="00111568"/>
    <w:rsid w:val="00111673"/>
    <w:rsid w:val="001116B1"/>
    <w:rsid w:val="001116BF"/>
    <w:rsid w:val="001116EC"/>
    <w:rsid w:val="001118BA"/>
    <w:rsid w:val="00111BAE"/>
    <w:rsid w:val="00111C0E"/>
    <w:rsid w:val="00111DE9"/>
    <w:rsid w:val="00111E76"/>
    <w:rsid w:val="00111FFD"/>
    <w:rsid w:val="0011209D"/>
    <w:rsid w:val="00112124"/>
    <w:rsid w:val="00112441"/>
    <w:rsid w:val="001124D0"/>
    <w:rsid w:val="00112565"/>
    <w:rsid w:val="001126F2"/>
    <w:rsid w:val="00112743"/>
    <w:rsid w:val="00112785"/>
    <w:rsid w:val="0011282E"/>
    <w:rsid w:val="0011284B"/>
    <w:rsid w:val="001128BE"/>
    <w:rsid w:val="001129A6"/>
    <w:rsid w:val="001129E6"/>
    <w:rsid w:val="00112B09"/>
    <w:rsid w:val="00112B0D"/>
    <w:rsid w:val="00112B74"/>
    <w:rsid w:val="00112D32"/>
    <w:rsid w:val="00112E84"/>
    <w:rsid w:val="00112F70"/>
    <w:rsid w:val="0011311E"/>
    <w:rsid w:val="001131BF"/>
    <w:rsid w:val="001131EB"/>
    <w:rsid w:val="00113264"/>
    <w:rsid w:val="0011337D"/>
    <w:rsid w:val="001133A1"/>
    <w:rsid w:val="001133FA"/>
    <w:rsid w:val="00113410"/>
    <w:rsid w:val="00113580"/>
    <w:rsid w:val="0011372E"/>
    <w:rsid w:val="00113A36"/>
    <w:rsid w:val="00113CAE"/>
    <w:rsid w:val="00113CB7"/>
    <w:rsid w:val="00113EB0"/>
    <w:rsid w:val="00113F60"/>
    <w:rsid w:val="00113F6E"/>
    <w:rsid w:val="00113FEE"/>
    <w:rsid w:val="00114066"/>
    <w:rsid w:val="001141CA"/>
    <w:rsid w:val="001141E3"/>
    <w:rsid w:val="0011421B"/>
    <w:rsid w:val="00114241"/>
    <w:rsid w:val="0011433D"/>
    <w:rsid w:val="001144E5"/>
    <w:rsid w:val="00114707"/>
    <w:rsid w:val="00114749"/>
    <w:rsid w:val="0011487C"/>
    <w:rsid w:val="00114911"/>
    <w:rsid w:val="00114A2A"/>
    <w:rsid w:val="00114A34"/>
    <w:rsid w:val="00114BF4"/>
    <w:rsid w:val="00114CBF"/>
    <w:rsid w:val="00114DDE"/>
    <w:rsid w:val="00114E0E"/>
    <w:rsid w:val="00114F34"/>
    <w:rsid w:val="00115029"/>
    <w:rsid w:val="0011520C"/>
    <w:rsid w:val="0011522D"/>
    <w:rsid w:val="001152AD"/>
    <w:rsid w:val="001152B6"/>
    <w:rsid w:val="0011539B"/>
    <w:rsid w:val="001155FD"/>
    <w:rsid w:val="00115640"/>
    <w:rsid w:val="00115662"/>
    <w:rsid w:val="001156E7"/>
    <w:rsid w:val="00115781"/>
    <w:rsid w:val="001159B4"/>
    <w:rsid w:val="001159BA"/>
    <w:rsid w:val="00115B4A"/>
    <w:rsid w:val="00115BDA"/>
    <w:rsid w:val="00115C98"/>
    <w:rsid w:val="00115D8D"/>
    <w:rsid w:val="00115E4A"/>
    <w:rsid w:val="00115EA6"/>
    <w:rsid w:val="00115F37"/>
    <w:rsid w:val="0011628A"/>
    <w:rsid w:val="001162AE"/>
    <w:rsid w:val="0011649D"/>
    <w:rsid w:val="001164A1"/>
    <w:rsid w:val="001164AE"/>
    <w:rsid w:val="0011656C"/>
    <w:rsid w:val="0011657A"/>
    <w:rsid w:val="0011668D"/>
    <w:rsid w:val="00116727"/>
    <w:rsid w:val="0011678F"/>
    <w:rsid w:val="00116806"/>
    <w:rsid w:val="001169FF"/>
    <w:rsid w:val="00116BC3"/>
    <w:rsid w:val="00116C9C"/>
    <w:rsid w:val="00116CCD"/>
    <w:rsid w:val="00116D46"/>
    <w:rsid w:val="00116E1F"/>
    <w:rsid w:val="00116F74"/>
    <w:rsid w:val="00116FA6"/>
    <w:rsid w:val="00116FFE"/>
    <w:rsid w:val="001170A5"/>
    <w:rsid w:val="00117181"/>
    <w:rsid w:val="00117421"/>
    <w:rsid w:val="00117622"/>
    <w:rsid w:val="00117629"/>
    <w:rsid w:val="00117710"/>
    <w:rsid w:val="00117738"/>
    <w:rsid w:val="0011786B"/>
    <w:rsid w:val="00117882"/>
    <w:rsid w:val="0011794C"/>
    <w:rsid w:val="00117A43"/>
    <w:rsid w:val="00117B5A"/>
    <w:rsid w:val="00117C89"/>
    <w:rsid w:val="00117DB7"/>
    <w:rsid w:val="00117E9C"/>
    <w:rsid w:val="00117F95"/>
    <w:rsid w:val="00117FA0"/>
    <w:rsid w:val="00120355"/>
    <w:rsid w:val="0012038B"/>
    <w:rsid w:val="001203DD"/>
    <w:rsid w:val="001203F5"/>
    <w:rsid w:val="00120407"/>
    <w:rsid w:val="00120479"/>
    <w:rsid w:val="00120913"/>
    <w:rsid w:val="00120ABA"/>
    <w:rsid w:val="00120B67"/>
    <w:rsid w:val="00120CA2"/>
    <w:rsid w:val="00120CEF"/>
    <w:rsid w:val="00120DE8"/>
    <w:rsid w:val="00120DFC"/>
    <w:rsid w:val="001212F1"/>
    <w:rsid w:val="001212F8"/>
    <w:rsid w:val="00121465"/>
    <w:rsid w:val="00121775"/>
    <w:rsid w:val="001217F5"/>
    <w:rsid w:val="00121829"/>
    <w:rsid w:val="0012192D"/>
    <w:rsid w:val="00121A3D"/>
    <w:rsid w:val="00121C34"/>
    <w:rsid w:val="00121CC8"/>
    <w:rsid w:val="00121CCF"/>
    <w:rsid w:val="00121E14"/>
    <w:rsid w:val="001221E3"/>
    <w:rsid w:val="001222FB"/>
    <w:rsid w:val="0012238D"/>
    <w:rsid w:val="0012239F"/>
    <w:rsid w:val="00122430"/>
    <w:rsid w:val="001225E2"/>
    <w:rsid w:val="00122614"/>
    <w:rsid w:val="00122615"/>
    <w:rsid w:val="0012262B"/>
    <w:rsid w:val="001226E6"/>
    <w:rsid w:val="0012278E"/>
    <w:rsid w:val="001228CF"/>
    <w:rsid w:val="00122A7C"/>
    <w:rsid w:val="00122AF6"/>
    <w:rsid w:val="00122B48"/>
    <w:rsid w:val="00122BBB"/>
    <w:rsid w:val="00122C04"/>
    <w:rsid w:val="00122C26"/>
    <w:rsid w:val="00122C2C"/>
    <w:rsid w:val="00122CF7"/>
    <w:rsid w:val="00122D3F"/>
    <w:rsid w:val="00122E19"/>
    <w:rsid w:val="00122E20"/>
    <w:rsid w:val="00122F21"/>
    <w:rsid w:val="00123269"/>
    <w:rsid w:val="00123737"/>
    <w:rsid w:val="00123746"/>
    <w:rsid w:val="00123761"/>
    <w:rsid w:val="00123A42"/>
    <w:rsid w:val="00123A9E"/>
    <w:rsid w:val="00123B06"/>
    <w:rsid w:val="00123B9A"/>
    <w:rsid w:val="00123BC7"/>
    <w:rsid w:val="00123C19"/>
    <w:rsid w:val="00123CA6"/>
    <w:rsid w:val="00123E0F"/>
    <w:rsid w:val="00123EC8"/>
    <w:rsid w:val="0012413E"/>
    <w:rsid w:val="00124144"/>
    <w:rsid w:val="00124325"/>
    <w:rsid w:val="001243DB"/>
    <w:rsid w:val="00124437"/>
    <w:rsid w:val="001245AC"/>
    <w:rsid w:val="00124834"/>
    <w:rsid w:val="00124883"/>
    <w:rsid w:val="00124988"/>
    <w:rsid w:val="00124A29"/>
    <w:rsid w:val="00124C13"/>
    <w:rsid w:val="00124C6D"/>
    <w:rsid w:val="00124C8B"/>
    <w:rsid w:val="00124CAE"/>
    <w:rsid w:val="00124D50"/>
    <w:rsid w:val="00124E50"/>
    <w:rsid w:val="00124F07"/>
    <w:rsid w:val="0012510A"/>
    <w:rsid w:val="00125132"/>
    <w:rsid w:val="00125133"/>
    <w:rsid w:val="001251AB"/>
    <w:rsid w:val="001251C8"/>
    <w:rsid w:val="001252DC"/>
    <w:rsid w:val="0012532D"/>
    <w:rsid w:val="0012538F"/>
    <w:rsid w:val="001254E3"/>
    <w:rsid w:val="001255DB"/>
    <w:rsid w:val="001255F4"/>
    <w:rsid w:val="00125719"/>
    <w:rsid w:val="001258C1"/>
    <w:rsid w:val="001258D9"/>
    <w:rsid w:val="0012599C"/>
    <w:rsid w:val="001259DD"/>
    <w:rsid w:val="00125A4D"/>
    <w:rsid w:val="00125BD6"/>
    <w:rsid w:val="00125CE9"/>
    <w:rsid w:val="00125D08"/>
    <w:rsid w:val="00125D91"/>
    <w:rsid w:val="00125E94"/>
    <w:rsid w:val="00125F6E"/>
    <w:rsid w:val="00126106"/>
    <w:rsid w:val="00126196"/>
    <w:rsid w:val="00126222"/>
    <w:rsid w:val="0012630B"/>
    <w:rsid w:val="00126392"/>
    <w:rsid w:val="00126798"/>
    <w:rsid w:val="0012679D"/>
    <w:rsid w:val="001267EB"/>
    <w:rsid w:val="0012686B"/>
    <w:rsid w:val="00126AA1"/>
    <w:rsid w:val="00126B9D"/>
    <w:rsid w:val="00126D8E"/>
    <w:rsid w:val="00126DB4"/>
    <w:rsid w:val="00126E05"/>
    <w:rsid w:val="00126E2E"/>
    <w:rsid w:val="00126EAD"/>
    <w:rsid w:val="00126FEA"/>
    <w:rsid w:val="001271BB"/>
    <w:rsid w:val="0012749E"/>
    <w:rsid w:val="001274B5"/>
    <w:rsid w:val="001274E7"/>
    <w:rsid w:val="0012759B"/>
    <w:rsid w:val="001275B1"/>
    <w:rsid w:val="00127773"/>
    <w:rsid w:val="001277E3"/>
    <w:rsid w:val="0012783C"/>
    <w:rsid w:val="001278BC"/>
    <w:rsid w:val="001278C9"/>
    <w:rsid w:val="00127986"/>
    <w:rsid w:val="00127A8F"/>
    <w:rsid w:val="00127B24"/>
    <w:rsid w:val="00127BC2"/>
    <w:rsid w:val="00127C06"/>
    <w:rsid w:val="00127CA8"/>
    <w:rsid w:val="00127DCD"/>
    <w:rsid w:val="00127E4B"/>
    <w:rsid w:val="00127EA8"/>
    <w:rsid w:val="0013019E"/>
    <w:rsid w:val="00130250"/>
    <w:rsid w:val="001302AF"/>
    <w:rsid w:val="00130307"/>
    <w:rsid w:val="001304AE"/>
    <w:rsid w:val="0013060E"/>
    <w:rsid w:val="0013063A"/>
    <w:rsid w:val="0013088F"/>
    <w:rsid w:val="00130914"/>
    <w:rsid w:val="001309A4"/>
    <w:rsid w:val="00130A06"/>
    <w:rsid w:val="00130A32"/>
    <w:rsid w:val="00130A43"/>
    <w:rsid w:val="00130BE9"/>
    <w:rsid w:val="00130C20"/>
    <w:rsid w:val="00130D16"/>
    <w:rsid w:val="00130D43"/>
    <w:rsid w:val="00130D8C"/>
    <w:rsid w:val="00130EA5"/>
    <w:rsid w:val="00130F6F"/>
    <w:rsid w:val="00131099"/>
    <w:rsid w:val="00131218"/>
    <w:rsid w:val="001312CB"/>
    <w:rsid w:val="0013130D"/>
    <w:rsid w:val="0013157A"/>
    <w:rsid w:val="001315D3"/>
    <w:rsid w:val="001315D6"/>
    <w:rsid w:val="001317EA"/>
    <w:rsid w:val="001318BC"/>
    <w:rsid w:val="001318DA"/>
    <w:rsid w:val="001318E1"/>
    <w:rsid w:val="00131C1C"/>
    <w:rsid w:val="00131F1B"/>
    <w:rsid w:val="0013208A"/>
    <w:rsid w:val="001320CD"/>
    <w:rsid w:val="001320D4"/>
    <w:rsid w:val="00132131"/>
    <w:rsid w:val="00132250"/>
    <w:rsid w:val="001323E3"/>
    <w:rsid w:val="00132448"/>
    <w:rsid w:val="0013249D"/>
    <w:rsid w:val="00132555"/>
    <w:rsid w:val="00132765"/>
    <w:rsid w:val="001327CA"/>
    <w:rsid w:val="00132918"/>
    <w:rsid w:val="00132961"/>
    <w:rsid w:val="00132977"/>
    <w:rsid w:val="00132A31"/>
    <w:rsid w:val="00132BEC"/>
    <w:rsid w:val="00132D2E"/>
    <w:rsid w:val="00132DFB"/>
    <w:rsid w:val="00132E1A"/>
    <w:rsid w:val="00132FB1"/>
    <w:rsid w:val="0013302D"/>
    <w:rsid w:val="0013319B"/>
    <w:rsid w:val="00133320"/>
    <w:rsid w:val="0013337B"/>
    <w:rsid w:val="00133395"/>
    <w:rsid w:val="0013340E"/>
    <w:rsid w:val="0013344B"/>
    <w:rsid w:val="00133464"/>
    <w:rsid w:val="001336C2"/>
    <w:rsid w:val="001337DD"/>
    <w:rsid w:val="00133B1B"/>
    <w:rsid w:val="00133C22"/>
    <w:rsid w:val="00133CCC"/>
    <w:rsid w:val="00133D63"/>
    <w:rsid w:val="00133E15"/>
    <w:rsid w:val="00133EA1"/>
    <w:rsid w:val="00133F03"/>
    <w:rsid w:val="00133F4D"/>
    <w:rsid w:val="00133F56"/>
    <w:rsid w:val="00133FDD"/>
    <w:rsid w:val="00134146"/>
    <w:rsid w:val="001341BF"/>
    <w:rsid w:val="00134243"/>
    <w:rsid w:val="001343DF"/>
    <w:rsid w:val="0013450E"/>
    <w:rsid w:val="001345EE"/>
    <w:rsid w:val="001345FB"/>
    <w:rsid w:val="001347CC"/>
    <w:rsid w:val="001347DB"/>
    <w:rsid w:val="0013487C"/>
    <w:rsid w:val="00134D9A"/>
    <w:rsid w:val="00134E9E"/>
    <w:rsid w:val="00134F49"/>
    <w:rsid w:val="00134F5B"/>
    <w:rsid w:val="00134FC9"/>
    <w:rsid w:val="00135035"/>
    <w:rsid w:val="0013517F"/>
    <w:rsid w:val="00135252"/>
    <w:rsid w:val="0013528A"/>
    <w:rsid w:val="001352F9"/>
    <w:rsid w:val="00135301"/>
    <w:rsid w:val="001353C0"/>
    <w:rsid w:val="0013553D"/>
    <w:rsid w:val="001355BC"/>
    <w:rsid w:val="00135618"/>
    <w:rsid w:val="001356B2"/>
    <w:rsid w:val="00135835"/>
    <w:rsid w:val="001358DD"/>
    <w:rsid w:val="00135961"/>
    <w:rsid w:val="00135AC7"/>
    <w:rsid w:val="00135DF7"/>
    <w:rsid w:val="00135E57"/>
    <w:rsid w:val="00135E6A"/>
    <w:rsid w:val="00135EF1"/>
    <w:rsid w:val="001360D5"/>
    <w:rsid w:val="001364AF"/>
    <w:rsid w:val="00136594"/>
    <w:rsid w:val="0013666D"/>
    <w:rsid w:val="001366CC"/>
    <w:rsid w:val="0013677C"/>
    <w:rsid w:val="001368D2"/>
    <w:rsid w:val="00136942"/>
    <w:rsid w:val="00136A40"/>
    <w:rsid w:val="00136A41"/>
    <w:rsid w:val="00136B82"/>
    <w:rsid w:val="00136C71"/>
    <w:rsid w:val="00136D2E"/>
    <w:rsid w:val="00136D7B"/>
    <w:rsid w:val="00136DB3"/>
    <w:rsid w:val="00136E3B"/>
    <w:rsid w:val="00136F66"/>
    <w:rsid w:val="00136F69"/>
    <w:rsid w:val="00136FDA"/>
    <w:rsid w:val="0013708F"/>
    <w:rsid w:val="00137117"/>
    <w:rsid w:val="00137127"/>
    <w:rsid w:val="0013725B"/>
    <w:rsid w:val="00137308"/>
    <w:rsid w:val="0013732F"/>
    <w:rsid w:val="0013754C"/>
    <w:rsid w:val="001375BD"/>
    <w:rsid w:val="0013763A"/>
    <w:rsid w:val="00137641"/>
    <w:rsid w:val="001378AE"/>
    <w:rsid w:val="001378FF"/>
    <w:rsid w:val="0013793F"/>
    <w:rsid w:val="00137971"/>
    <w:rsid w:val="001379CB"/>
    <w:rsid w:val="001379FF"/>
    <w:rsid w:val="00137A7B"/>
    <w:rsid w:val="00137AA5"/>
    <w:rsid w:val="00137C72"/>
    <w:rsid w:val="00137D2D"/>
    <w:rsid w:val="00137D4C"/>
    <w:rsid w:val="00137EB7"/>
    <w:rsid w:val="00137ECE"/>
    <w:rsid w:val="00137F4E"/>
    <w:rsid w:val="00137FE5"/>
    <w:rsid w:val="00140162"/>
    <w:rsid w:val="00140277"/>
    <w:rsid w:val="0014043F"/>
    <w:rsid w:val="001404CE"/>
    <w:rsid w:val="00140728"/>
    <w:rsid w:val="001407EA"/>
    <w:rsid w:val="00140927"/>
    <w:rsid w:val="00140A93"/>
    <w:rsid w:val="00140ACC"/>
    <w:rsid w:val="00140AD8"/>
    <w:rsid w:val="00140CC8"/>
    <w:rsid w:val="00140F7E"/>
    <w:rsid w:val="0014120C"/>
    <w:rsid w:val="00141243"/>
    <w:rsid w:val="00141284"/>
    <w:rsid w:val="001412D3"/>
    <w:rsid w:val="00141368"/>
    <w:rsid w:val="00141378"/>
    <w:rsid w:val="0014140E"/>
    <w:rsid w:val="00141585"/>
    <w:rsid w:val="001415E8"/>
    <w:rsid w:val="001415EA"/>
    <w:rsid w:val="00141638"/>
    <w:rsid w:val="0014165E"/>
    <w:rsid w:val="00141689"/>
    <w:rsid w:val="00141742"/>
    <w:rsid w:val="00141788"/>
    <w:rsid w:val="001417EA"/>
    <w:rsid w:val="00141980"/>
    <w:rsid w:val="001419AB"/>
    <w:rsid w:val="00141A00"/>
    <w:rsid w:val="00141B66"/>
    <w:rsid w:val="00141B8D"/>
    <w:rsid w:val="00141D4A"/>
    <w:rsid w:val="00141D58"/>
    <w:rsid w:val="00141E64"/>
    <w:rsid w:val="00141F17"/>
    <w:rsid w:val="00141F5D"/>
    <w:rsid w:val="00141FC2"/>
    <w:rsid w:val="001420C1"/>
    <w:rsid w:val="001422FF"/>
    <w:rsid w:val="00142304"/>
    <w:rsid w:val="00142356"/>
    <w:rsid w:val="0014236A"/>
    <w:rsid w:val="00142528"/>
    <w:rsid w:val="0014262A"/>
    <w:rsid w:val="00142635"/>
    <w:rsid w:val="00142670"/>
    <w:rsid w:val="001426DE"/>
    <w:rsid w:val="001428AC"/>
    <w:rsid w:val="001428F9"/>
    <w:rsid w:val="001428FC"/>
    <w:rsid w:val="00142A37"/>
    <w:rsid w:val="00142A96"/>
    <w:rsid w:val="00142AE2"/>
    <w:rsid w:val="00142B61"/>
    <w:rsid w:val="00142B73"/>
    <w:rsid w:val="00142D27"/>
    <w:rsid w:val="00142ECE"/>
    <w:rsid w:val="00143002"/>
    <w:rsid w:val="00143007"/>
    <w:rsid w:val="0014302C"/>
    <w:rsid w:val="001431E1"/>
    <w:rsid w:val="00143279"/>
    <w:rsid w:val="001432DC"/>
    <w:rsid w:val="0014332C"/>
    <w:rsid w:val="0014346B"/>
    <w:rsid w:val="0014348A"/>
    <w:rsid w:val="00143551"/>
    <w:rsid w:val="00143953"/>
    <w:rsid w:val="00143966"/>
    <w:rsid w:val="001439BD"/>
    <w:rsid w:val="001439E7"/>
    <w:rsid w:val="00143C2C"/>
    <w:rsid w:val="00143D3C"/>
    <w:rsid w:val="00143F02"/>
    <w:rsid w:val="00143F36"/>
    <w:rsid w:val="00143F41"/>
    <w:rsid w:val="00143FBA"/>
    <w:rsid w:val="0014410D"/>
    <w:rsid w:val="001442B9"/>
    <w:rsid w:val="001442EA"/>
    <w:rsid w:val="0014430E"/>
    <w:rsid w:val="0014430F"/>
    <w:rsid w:val="001443C5"/>
    <w:rsid w:val="00144470"/>
    <w:rsid w:val="0014452A"/>
    <w:rsid w:val="0014453A"/>
    <w:rsid w:val="00144583"/>
    <w:rsid w:val="001445BB"/>
    <w:rsid w:val="00144682"/>
    <w:rsid w:val="001447A8"/>
    <w:rsid w:val="001448C6"/>
    <w:rsid w:val="00144970"/>
    <w:rsid w:val="00144AA7"/>
    <w:rsid w:val="00144AAA"/>
    <w:rsid w:val="00144C6C"/>
    <w:rsid w:val="00144C92"/>
    <w:rsid w:val="00144D38"/>
    <w:rsid w:val="00145042"/>
    <w:rsid w:val="00145143"/>
    <w:rsid w:val="0014515F"/>
    <w:rsid w:val="00145273"/>
    <w:rsid w:val="001455AD"/>
    <w:rsid w:val="00145791"/>
    <w:rsid w:val="0014597E"/>
    <w:rsid w:val="00145AB7"/>
    <w:rsid w:val="00145CE1"/>
    <w:rsid w:val="00145D94"/>
    <w:rsid w:val="00145EA6"/>
    <w:rsid w:val="00145EE6"/>
    <w:rsid w:val="001460F9"/>
    <w:rsid w:val="00146197"/>
    <w:rsid w:val="00146323"/>
    <w:rsid w:val="001463E1"/>
    <w:rsid w:val="0014648D"/>
    <w:rsid w:val="001464D8"/>
    <w:rsid w:val="00146568"/>
    <w:rsid w:val="00146632"/>
    <w:rsid w:val="0014679C"/>
    <w:rsid w:val="00146863"/>
    <w:rsid w:val="0014692B"/>
    <w:rsid w:val="00146A4E"/>
    <w:rsid w:val="00146A67"/>
    <w:rsid w:val="00146A99"/>
    <w:rsid w:val="00146B3C"/>
    <w:rsid w:val="00146BBA"/>
    <w:rsid w:val="00146C8F"/>
    <w:rsid w:val="00146E58"/>
    <w:rsid w:val="00146F61"/>
    <w:rsid w:val="0014704A"/>
    <w:rsid w:val="001470A7"/>
    <w:rsid w:val="0014719B"/>
    <w:rsid w:val="00147237"/>
    <w:rsid w:val="00147327"/>
    <w:rsid w:val="00147455"/>
    <w:rsid w:val="00147515"/>
    <w:rsid w:val="00147521"/>
    <w:rsid w:val="001475D8"/>
    <w:rsid w:val="0014760D"/>
    <w:rsid w:val="0014764F"/>
    <w:rsid w:val="001476DF"/>
    <w:rsid w:val="001476EB"/>
    <w:rsid w:val="00147849"/>
    <w:rsid w:val="00147963"/>
    <w:rsid w:val="0014798A"/>
    <w:rsid w:val="00147A26"/>
    <w:rsid w:val="00147A47"/>
    <w:rsid w:val="00147AF5"/>
    <w:rsid w:val="00147BC9"/>
    <w:rsid w:val="00147BE4"/>
    <w:rsid w:val="00147C03"/>
    <w:rsid w:val="00147C1F"/>
    <w:rsid w:val="00147CBE"/>
    <w:rsid w:val="00147D3E"/>
    <w:rsid w:val="00147EB0"/>
    <w:rsid w:val="00147F72"/>
    <w:rsid w:val="001500BF"/>
    <w:rsid w:val="00150162"/>
    <w:rsid w:val="0015017C"/>
    <w:rsid w:val="0015021F"/>
    <w:rsid w:val="0015024D"/>
    <w:rsid w:val="00150316"/>
    <w:rsid w:val="001503E2"/>
    <w:rsid w:val="00150542"/>
    <w:rsid w:val="0015068F"/>
    <w:rsid w:val="00150774"/>
    <w:rsid w:val="001508B7"/>
    <w:rsid w:val="001508BF"/>
    <w:rsid w:val="0015093B"/>
    <w:rsid w:val="001509C8"/>
    <w:rsid w:val="00150A0A"/>
    <w:rsid w:val="00150B4C"/>
    <w:rsid w:val="00150CF9"/>
    <w:rsid w:val="00150D61"/>
    <w:rsid w:val="00150EE5"/>
    <w:rsid w:val="00150FCE"/>
    <w:rsid w:val="00151226"/>
    <w:rsid w:val="00151262"/>
    <w:rsid w:val="00151288"/>
    <w:rsid w:val="001513FE"/>
    <w:rsid w:val="00151419"/>
    <w:rsid w:val="0015150F"/>
    <w:rsid w:val="00151601"/>
    <w:rsid w:val="00151612"/>
    <w:rsid w:val="00151674"/>
    <w:rsid w:val="0015170C"/>
    <w:rsid w:val="00151716"/>
    <w:rsid w:val="00151749"/>
    <w:rsid w:val="00151793"/>
    <w:rsid w:val="00151918"/>
    <w:rsid w:val="00151A69"/>
    <w:rsid w:val="00151B06"/>
    <w:rsid w:val="00151C52"/>
    <w:rsid w:val="00151D69"/>
    <w:rsid w:val="00151DAF"/>
    <w:rsid w:val="00151EE3"/>
    <w:rsid w:val="00151F1C"/>
    <w:rsid w:val="00151F83"/>
    <w:rsid w:val="00151F87"/>
    <w:rsid w:val="00151FCE"/>
    <w:rsid w:val="00152043"/>
    <w:rsid w:val="001520B0"/>
    <w:rsid w:val="001520F1"/>
    <w:rsid w:val="001521BB"/>
    <w:rsid w:val="001521F8"/>
    <w:rsid w:val="00152270"/>
    <w:rsid w:val="00152378"/>
    <w:rsid w:val="001524D3"/>
    <w:rsid w:val="0015252B"/>
    <w:rsid w:val="001526CC"/>
    <w:rsid w:val="001526FB"/>
    <w:rsid w:val="0015288C"/>
    <w:rsid w:val="0015293C"/>
    <w:rsid w:val="00152990"/>
    <w:rsid w:val="00152AB4"/>
    <w:rsid w:val="00152AE8"/>
    <w:rsid w:val="00152C75"/>
    <w:rsid w:val="00152C8C"/>
    <w:rsid w:val="00152E2B"/>
    <w:rsid w:val="00152E91"/>
    <w:rsid w:val="00152FBC"/>
    <w:rsid w:val="00153039"/>
    <w:rsid w:val="001530DA"/>
    <w:rsid w:val="00153155"/>
    <w:rsid w:val="00153206"/>
    <w:rsid w:val="0015330A"/>
    <w:rsid w:val="00153342"/>
    <w:rsid w:val="001535B4"/>
    <w:rsid w:val="001535C8"/>
    <w:rsid w:val="001535DD"/>
    <w:rsid w:val="00153600"/>
    <w:rsid w:val="00153764"/>
    <w:rsid w:val="001537D1"/>
    <w:rsid w:val="00153866"/>
    <w:rsid w:val="001539BC"/>
    <w:rsid w:val="001539C4"/>
    <w:rsid w:val="00153A36"/>
    <w:rsid w:val="00153A4D"/>
    <w:rsid w:val="00153BB9"/>
    <w:rsid w:val="00153BC5"/>
    <w:rsid w:val="00153CAB"/>
    <w:rsid w:val="00153DE5"/>
    <w:rsid w:val="00153ED0"/>
    <w:rsid w:val="00153F44"/>
    <w:rsid w:val="00153F5A"/>
    <w:rsid w:val="00153F83"/>
    <w:rsid w:val="00153FB3"/>
    <w:rsid w:val="0015402A"/>
    <w:rsid w:val="00154122"/>
    <w:rsid w:val="00154346"/>
    <w:rsid w:val="001543AA"/>
    <w:rsid w:val="0015446F"/>
    <w:rsid w:val="001544B0"/>
    <w:rsid w:val="001544E9"/>
    <w:rsid w:val="00154677"/>
    <w:rsid w:val="0015479F"/>
    <w:rsid w:val="00154844"/>
    <w:rsid w:val="001548B1"/>
    <w:rsid w:val="0015490D"/>
    <w:rsid w:val="00154AAE"/>
    <w:rsid w:val="00154AC4"/>
    <w:rsid w:val="00154B8F"/>
    <w:rsid w:val="00154B90"/>
    <w:rsid w:val="00154BA1"/>
    <w:rsid w:val="00154C46"/>
    <w:rsid w:val="00154CC0"/>
    <w:rsid w:val="00154DAE"/>
    <w:rsid w:val="00154E0D"/>
    <w:rsid w:val="00154E5C"/>
    <w:rsid w:val="00154E96"/>
    <w:rsid w:val="00154F0D"/>
    <w:rsid w:val="00155142"/>
    <w:rsid w:val="0015518F"/>
    <w:rsid w:val="001551D1"/>
    <w:rsid w:val="00155228"/>
    <w:rsid w:val="00155250"/>
    <w:rsid w:val="00155399"/>
    <w:rsid w:val="001553A0"/>
    <w:rsid w:val="001553C3"/>
    <w:rsid w:val="00155464"/>
    <w:rsid w:val="00155519"/>
    <w:rsid w:val="00155867"/>
    <w:rsid w:val="00155941"/>
    <w:rsid w:val="00155C41"/>
    <w:rsid w:val="00155D5E"/>
    <w:rsid w:val="00155DFB"/>
    <w:rsid w:val="00155E66"/>
    <w:rsid w:val="00155ECF"/>
    <w:rsid w:val="00155EEB"/>
    <w:rsid w:val="0015602C"/>
    <w:rsid w:val="001560B1"/>
    <w:rsid w:val="001560F1"/>
    <w:rsid w:val="0015616F"/>
    <w:rsid w:val="0015618A"/>
    <w:rsid w:val="00156318"/>
    <w:rsid w:val="0015635E"/>
    <w:rsid w:val="001564B8"/>
    <w:rsid w:val="0015657A"/>
    <w:rsid w:val="0015666B"/>
    <w:rsid w:val="0015671E"/>
    <w:rsid w:val="00156947"/>
    <w:rsid w:val="001569E0"/>
    <w:rsid w:val="00156A6A"/>
    <w:rsid w:val="00156B4F"/>
    <w:rsid w:val="00156CCC"/>
    <w:rsid w:val="00156DB9"/>
    <w:rsid w:val="00156DD5"/>
    <w:rsid w:val="00156E0E"/>
    <w:rsid w:val="00156E28"/>
    <w:rsid w:val="00156EE9"/>
    <w:rsid w:val="00156EF1"/>
    <w:rsid w:val="00157012"/>
    <w:rsid w:val="00157083"/>
    <w:rsid w:val="0015727E"/>
    <w:rsid w:val="00157338"/>
    <w:rsid w:val="00157463"/>
    <w:rsid w:val="00157534"/>
    <w:rsid w:val="001575DF"/>
    <w:rsid w:val="00157683"/>
    <w:rsid w:val="001576A3"/>
    <w:rsid w:val="00157771"/>
    <w:rsid w:val="00157773"/>
    <w:rsid w:val="001577B9"/>
    <w:rsid w:val="001578BF"/>
    <w:rsid w:val="0015793B"/>
    <w:rsid w:val="001579EA"/>
    <w:rsid w:val="00157AD6"/>
    <w:rsid w:val="00157BEF"/>
    <w:rsid w:val="00157C8C"/>
    <w:rsid w:val="00157C8D"/>
    <w:rsid w:val="00157D01"/>
    <w:rsid w:val="00157E67"/>
    <w:rsid w:val="00157EA1"/>
    <w:rsid w:val="00157F49"/>
    <w:rsid w:val="00157F4C"/>
    <w:rsid w:val="00157FA6"/>
    <w:rsid w:val="00160026"/>
    <w:rsid w:val="0016002F"/>
    <w:rsid w:val="001601BA"/>
    <w:rsid w:val="0016025D"/>
    <w:rsid w:val="00160264"/>
    <w:rsid w:val="001603EC"/>
    <w:rsid w:val="00160484"/>
    <w:rsid w:val="00160485"/>
    <w:rsid w:val="001604D5"/>
    <w:rsid w:val="0016051B"/>
    <w:rsid w:val="00160529"/>
    <w:rsid w:val="00160565"/>
    <w:rsid w:val="00160609"/>
    <w:rsid w:val="0016076C"/>
    <w:rsid w:val="00160852"/>
    <w:rsid w:val="00160879"/>
    <w:rsid w:val="001608EF"/>
    <w:rsid w:val="00160997"/>
    <w:rsid w:val="00160A97"/>
    <w:rsid w:val="00160AC2"/>
    <w:rsid w:val="00160C60"/>
    <w:rsid w:val="00160D2A"/>
    <w:rsid w:val="00160DBA"/>
    <w:rsid w:val="00160FB0"/>
    <w:rsid w:val="00160FF0"/>
    <w:rsid w:val="0016114E"/>
    <w:rsid w:val="001611E4"/>
    <w:rsid w:val="0016120F"/>
    <w:rsid w:val="00161305"/>
    <w:rsid w:val="00161447"/>
    <w:rsid w:val="0016147F"/>
    <w:rsid w:val="001614F7"/>
    <w:rsid w:val="0016154A"/>
    <w:rsid w:val="00161558"/>
    <w:rsid w:val="0016164F"/>
    <w:rsid w:val="00161831"/>
    <w:rsid w:val="001618CF"/>
    <w:rsid w:val="001618DF"/>
    <w:rsid w:val="00161934"/>
    <w:rsid w:val="001619BD"/>
    <w:rsid w:val="001619FD"/>
    <w:rsid w:val="00161B97"/>
    <w:rsid w:val="00161B99"/>
    <w:rsid w:val="00161C5C"/>
    <w:rsid w:val="00161CDB"/>
    <w:rsid w:val="00161D58"/>
    <w:rsid w:val="00161E12"/>
    <w:rsid w:val="00162156"/>
    <w:rsid w:val="00162162"/>
    <w:rsid w:val="0016225B"/>
    <w:rsid w:val="00162275"/>
    <w:rsid w:val="001622A6"/>
    <w:rsid w:val="00162313"/>
    <w:rsid w:val="0016237B"/>
    <w:rsid w:val="0016242E"/>
    <w:rsid w:val="00162440"/>
    <w:rsid w:val="00162536"/>
    <w:rsid w:val="001625A1"/>
    <w:rsid w:val="00162628"/>
    <w:rsid w:val="00162771"/>
    <w:rsid w:val="001627AD"/>
    <w:rsid w:val="001627EA"/>
    <w:rsid w:val="0016283A"/>
    <w:rsid w:val="00162866"/>
    <w:rsid w:val="00162885"/>
    <w:rsid w:val="001628D1"/>
    <w:rsid w:val="00162A72"/>
    <w:rsid w:val="00162AC7"/>
    <w:rsid w:val="00162B78"/>
    <w:rsid w:val="00162CB9"/>
    <w:rsid w:val="00162CE8"/>
    <w:rsid w:val="00162D35"/>
    <w:rsid w:val="00162EBC"/>
    <w:rsid w:val="001631A1"/>
    <w:rsid w:val="0016322E"/>
    <w:rsid w:val="001632B3"/>
    <w:rsid w:val="00163335"/>
    <w:rsid w:val="00163367"/>
    <w:rsid w:val="001634A3"/>
    <w:rsid w:val="001635A9"/>
    <w:rsid w:val="001636AE"/>
    <w:rsid w:val="0016383E"/>
    <w:rsid w:val="00163840"/>
    <w:rsid w:val="00163A97"/>
    <w:rsid w:val="00163AA9"/>
    <w:rsid w:val="00163AD3"/>
    <w:rsid w:val="00163B17"/>
    <w:rsid w:val="00163B52"/>
    <w:rsid w:val="00163D37"/>
    <w:rsid w:val="0016420E"/>
    <w:rsid w:val="0016424E"/>
    <w:rsid w:val="0016429F"/>
    <w:rsid w:val="001642D1"/>
    <w:rsid w:val="001643C2"/>
    <w:rsid w:val="001644F3"/>
    <w:rsid w:val="0016451F"/>
    <w:rsid w:val="001646AC"/>
    <w:rsid w:val="00164722"/>
    <w:rsid w:val="0016475B"/>
    <w:rsid w:val="0016481B"/>
    <w:rsid w:val="0016482D"/>
    <w:rsid w:val="001648F5"/>
    <w:rsid w:val="00164A36"/>
    <w:rsid w:val="00164AF0"/>
    <w:rsid w:val="00164B62"/>
    <w:rsid w:val="00164B90"/>
    <w:rsid w:val="00164BBA"/>
    <w:rsid w:val="00164C5E"/>
    <w:rsid w:val="00164D22"/>
    <w:rsid w:val="00164DCE"/>
    <w:rsid w:val="00164EA3"/>
    <w:rsid w:val="00165065"/>
    <w:rsid w:val="0016509D"/>
    <w:rsid w:val="0016521E"/>
    <w:rsid w:val="00165264"/>
    <w:rsid w:val="00165387"/>
    <w:rsid w:val="001653FA"/>
    <w:rsid w:val="00165423"/>
    <w:rsid w:val="00165476"/>
    <w:rsid w:val="00165514"/>
    <w:rsid w:val="00165549"/>
    <w:rsid w:val="00165554"/>
    <w:rsid w:val="0016555E"/>
    <w:rsid w:val="00165621"/>
    <w:rsid w:val="001656E6"/>
    <w:rsid w:val="001658B1"/>
    <w:rsid w:val="00165957"/>
    <w:rsid w:val="0016598D"/>
    <w:rsid w:val="00165A31"/>
    <w:rsid w:val="00165A53"/>
    <w:rsid w:val="00165A60"/>
    <w:rsid w:val="00165BC4"/>
    <w:rsid w:val="00165C9E"/>
    <w:rsid w:val="00165D6C"/>
    <w:rsid w:val="00165E0D"/>
    <w:rsid w:val="00166033"/>
    <w:rsid w:val="001660C6"/>
    <w:rsid w:val="00166139"/>
    <w:rsid w:val="00166247"/>
    <w:rsid w:val="001662BA"/>
    <w:rsid w:val="00166370"/>
    <w:rsid w:val="00166387"/>
    <w:rsid w:val="0016643B"/>
    <w:rsid w:val="001664A0"/>
    <w:rsid w:val="001664FC"/>
    <w:rsid w:val="0016650F"/>
    <w:rsid w:val="001665AD"/>
    <w:rsid w:val="0016665F"/>
    <w:rsid w:val="001666E3"/>
    <w:rsid w:val="00166720"/>
    <w:rsid w:val="00166728"/>
    <w:rsid w:val="001667AA"/>
    <w:rsid w:val="001667FD"/>
    <w:rsid w:val="0016695F"/>
    <w:rsid w:val="00166A3A"/>
    <w:rsid w:val="00166B12"/>
    <w:rsid w:val="00166B5C"/>
    <w:rsid w:val="00166BC4"/>
    <w:rsid w:val="00166CF2"/>
    <w:rsid w:val="00166D57"/>
    <w:rsid w:val="00166EEE"/>
    <w:rsid w:val="00166F1D"/>
    <w:rsid w:val="00166F25"/>
    <w:rsid w:val="00166F26"/>
    <w:rsid w:val="00166F4D"/>
    <w:rsid w:val="00167038"/>
    <w:rsid w:val="00167163"/>
    <w:rsid w:val="00167245"/>
    <w:rsid w:val="00167272"/>
    <w:rsid w:val="00167281"/>
    <w:rsid w:val="0016743F"/>
    <w:rsid w:val="00167509"/>
    <w:rsid w:val="001675BC"/>
    <w:rsid w:val="001677A6"/>
    <w:rsid w:val="00167850"/>
    <w:rsid w:val="001678BF"/>
    <w:rsid w:val="00167918"/>
    <w:rsid w:val="0016797F"/>
    <w:rsid w:val="0016799F"/>
    <w:rsid w:val="001679B7"/>
    <w:rsid w:val="001679D9"/>
    <w:rsid w:val="001679F1"/>
    <w:rsid w:val="00167A2D"/>
    <w:rsid w:val="00167A49"/>
    <w:rsid w:val="00167C34"/>
    <w:rsid w:val="00167C8B"/>
    <w:rsid w:val="00167CD1"/>
    <w:rsid w:val="00167CFE"/>
    <w:rsid w:val="00167DE3"/>
    <w:rsid w:val="00167EE6"/>
    <w:rsid w:val="00167F76"/>
    <w:rsid w:val="00167FE8"/>
    <w:rsid w:val="00170054"/>
    <w:rsid w:val="0017005B"/>
    <w:rsid w:val="001703B9"/>
    <w:rsid w:val="0017041E"/>
    <w:rsid w:val="0017058F"/>
    <w:rsid w:val="00170896"/>
    <w:rsid w:val="00170ADB"/>
    <w:rsid w:val="00170C32"/>
    <w:rsid w:val="00170D8E"/>
    <w:rsid w:val="00170E18"/>
    <w:rsid w:val="00170EDD"/>
    <w:rsid w:val="0017105A"/>
    <w:rsid w:val="001710AE"/>
    <w:rsid w:val="0017118F"/>
    <w:rsid w:val="001711A2"/>
    <w:rsid w:val="001711BD"/>
    <w:rsid w:val="0017122B"/>
    <w:rsid w:val="00171329"/>
    <w:rsid w:val="00171419"/>
    <w:rsid w:val="0017164D"/>
    <w:rsid w:val="00171865"/>
    <w:rsid w:val="0017188A"/>
    <w:rsid w:val="001718C9"/>
    <w:rsid w:val="00171955"/>
    <w:rsid w:val="001719E9"/>
    <w:rsid w:val="001719F1"/>
    <w:rsid w:val="00171B3B"/>
    <w:rsid w:val="00171C9A"/>
    <w:rsid w:val="00171D0D"/>
    <w:rsid w:val="00171E65"/>
    <w:rsid w:val="00171EAE"/>
    <w:rsid w:val="00171EB3"/>
    <w:rsid w:val="00172106"/>
    <w:rsid w:val="00172121"/>
    <w:rsid w:val="00172172"/>
    <w:rsid w:val="001721CE"/>
    <w:rsid w:val="001722BD"/>
    <w:rsid w:val="001722C9"/>
    <w:rsid w:val="00172392"/>
    <w:rsid w:val="001725BA"/>
    <w:rsid w:val="00172600"/>
    <w:rsid w:val="001729CA"/>
    <w:rsid w:val="00172AFB"/>
    <w:rsid w:val="00172B14"/>
    <w:rsid w:val="00172CA8"/>
    <w:rsid w:val="00172D73"/>
    <w:rsid w:val="00172FD1"/>
    <w:rsid w:val="00173081"/>
    <w:rsid w:val="0017321F"/>
    <w:rsid w:val="0017328D"/>
    <w:rsid w:val="00173296"/>
    <w:rsid w:val="00173367"/>
    <w:rsid w:val="0017352B"/>
    <w:rsid w:val="00173568"/>
    <w:rsid w:val="0017375D"/>
    <w:rsid w:val="001737AC"/>
    <w:rsid w:val="001737D9"/>
    <w:rsid w:val="00173819"/>
    <w:rsid w:val="00173899"/>
    <w:rsid w:val="001738F0"/>
    <w:rsid w:val="00173966"/>
    <w:rsid w:val="00173A32"/>
    <w:rsid w:val="00173ABE"/>
    <w:rsid w:val="00173B1E"/>
    <w:rsid w:val="00173B79"/>
    <w:rsid w:val="00173C8B"/>
    <w:rsid w:val="00173E5E"/>
    <w:rsid w:val="00173F1C"/>
    <w:rsid w:val="001740E5"/>
    <w:rsid w:val="001741E8"/>
    <w:rsid w:val="0017420D"/>
    <w:rsid w:val="00174282"/>
    <w:rsid w:val="001742B9"/>
    <w:rsid w:val="001742E3"/>
    <w:rsid w:val="001743E6"/>
    <w:rsid w:val="00174440"/>
    <w:rsid w:val="00174504"/>
    <w:rsid w:val="00174641"/>
    <w:rsid w:val="00174654"/>
    <w:rsid w:val="0017474D"/>
    <w:rsid w:val="001747FC"/>
    <w:rsid w:val="001748A9"/>
    <w:rsid w:val="001748C7"/>
    <w:rsid w:val="00174907"/>
    <w:rsid w:val="0017495D"/>
    <w:rsid w:val="00174DF7"/>
    <w:rsid w:val="00174EE4"/>
    <w:rsid w:val="00174F42"/>
    <w:rsid w:val="0017504F"/>
    <w:rsid w:val="00175094"/>
    <w:rsid w:val="001751DF"/>
    <w:rsid w:val="0017542F"/>
    <w:rsid w:val="00175496"/>
    <w:rsid w:val="001754B5"/>
    <w:rsid w:val="001755C9"/>
    <w:rsid w:val="00175729"/>
    <w:rsid w:val="00175771"/>
    <w:rsid w:val="00175936"/>
    <w:rsid w:val="00175980"/>
    <w:rsid w:val="00175ACF"/>
    <w:rsid w:val="00175B4D"/>
    <w:rsid w:val="00175BA9"/>
    <w:rsid w:val="00175BE6"/>
    <w:rsid w:val="00175CC6"/>
    <w:rsid w:val="00175DAB"/>
    <w:rsid w:val="00175E7E"/>
    <w:rsid w:val="0017600D"/>
    <w:rsid w:val="00176016"/>
    <w:rsid w:val="00176155"/>
    <w:rsid w:val="00176230"/>
    <w:rsid w:val="00176279"/>
    <w:rsid w:val="001763DE"/>
    <w:rsid w:val="0017643F"/>
    <w:rsid w:val="00176491"/>
    <w:rsid w:val="001764E0"/>
    <w:rsid w:val="00176626"/>
    <w:rsid w:val="00176691"/>
    <w:rsid w:val="00176772"/>
    <w:rsid w:val="00176821"/>
    <w:rsid w:val="0017682A"/>
    <w:rsid w:val="0017689C"/>
    <w:rsid w:val="001768F6"/>
    <w:rsid w:val="001769A1"/>
    <w:rsid w:val="001769BA"/>
    <w:rsid w:val="00176A17"/>
    <w:rsid w:val="00176B77"/>
    <w:rsid w:val="00176B9F"/>
    <w:rsid w:val="00176CA7"/>
    <w:rsid w:val="00177030"/>
    <w:rsid w:val="00177044"/>
    <w:rsid w:val="00177090"/>
    <w:rsid w:val="0017710F"/>
    <w:rsid w:val="00177297"/>
    <w:rsid w:val="001772DA"/>
    <w:rsid w:val="00177352"/>
    <w:rsid w:val="0017746B"/>
    <w:rsid w:val="0017746F"/>
    <w:rsid w:val="00177501"/>
    <w:rsid w:val="001775B9"/>
    <w:rsid w:val="001775BC"/>
    <w:rsid w:val="001775C2"/>
    <w:rsid w:val="00177661"/>
    <w:rsid w:val="0017778F"/>
    <w:rsid w:val="001778AE"/>
    <w:rsid w:val="001778F2"/>
    <w:rsid w:val="0017797C"/>
    <w:rsid w:val="00177981"/>
    <w:rsid w:val="00177A72"/>
    <w:rsid w:val="00177C2F"/>
    <w:rsid w:val="00177C55"/>
    <w:rsid w:val="00177E48"/>
    <w:rsid w:val="00177FEC"/>
    <w:rsid w:val="00180031"/>
    <w:rsid w:val="001801B6"/>
    <w:rsid w:val="001801F8"/>
    <w:rsid w:val="00180298"/>
    <w:rsid w:val="001802C7"/>
    <w:rsid w:val="001802D7"/>
    <w:rsid w:val="00180318"/>
    <w:rsid w:val="00180333"/>
    <w:rsid w:val="001803F2"/>
    <w:rsid w:val="001804F4"/>
    <w:rsid w:val="001807F4"/>
    <w:rsid w:val="0018086F"/>
    <w:rsid w:val="00180DBF"/>
    <w:rsid w:val="00180DC2"/>
    <w:rsid w:val="00180DD5"/>
    <w:rsid w:val="00180FE8"/>
    <w:rsid w:val="00181029"/>
    <w:rsid w:val="0018107C"/>
    <w:rsid w:val="00181112"/>
    <w:rsid w:val="0018114C"/>
    <w:rsid w:val="00181178"/>
    <w:rsid w:val="001812E2"/>
    <w:rsid w:val="0018153A"/>
    <w:rsid w:val="0018170F"/>
    <w:rsid w:val="00181768"/>
    <w:rsid w:val="0018181E"/>
    <w:rsid w:val="00181831"/>
    <w:rsid w:val="0018183D"/>
    <w:rsid w:val="00181A01"/>
    <w:rsid w:val="00181A1C"/>
    <w:rsid w:val="00181A37"/>
    <w:rsid w:val="00181B07"/>
    <w:rsid w:val="00181B5A"/>
    <w:rsid w:val="00181CAB"/>
    <w:rsid w:val="00181CDF"/>
    <w:rsid w:val="00181D2B"/>
    <w:rsid w:val="00181E0D"/>
    <w:rsid w:val="00181E48"/>
    <w:rsid w:val="00181F3B"/>
    <w:rsid w:val="00181F45"/>
    <w:rsid w:val="00181F50"/>
    <w:rsid w:val="00181FBB"/>
    <w:rsid w:val="001820E6"/>
    <w:rsid w:val="001822F6"/>
    <w:rsid w:val="00182319"/>
    <w:rsid w:val="00182325"/>
    <w:rsid w:val="00182336"/>
    <w:rsid w:val="001823D5"/>
    <w:rsid w:val="00182545"/>
    <w:rsid w:val="001825FB"/>
    <w:rsid w:val="001826D3"/>
    <w:rsid w:val="001826F4"/>
    <w:rsid w:val="00182765"/>
    <w:rsid w:val="001827E2"/>
    <w:rsid w:val="001829A4"/>
    <w:rsid w:val="00182A38"/>
    <w:rsid w:val="00182BBD"/>
    <w:rsid w:val="00182BEA"/>
    <w:rsid w:val="00182DEA"/>
    <w:rsid w:val="00182ED1"/>
    <w:rsid w:val="001830D9"/>
    <w:rsid w:val="0018330C"/>
    <w:rsid w:val="001833BC"/>
    <w:rsid w:val="00183737"/>
    <w:rsid w:val="001838D5"/>
    <w:rsid w:val="001838E4"/>
    <w:rsid w:val="00183966"/>
    <w:rsid w:val="001839D5"/>
    <w:rsid w:val="00183A28"/>
    <w:rsid w:val="00183AA9"/>
    <w:rsid w:val="00183AEC"/>
    <w:rsid w:val="00183E2E"/>
    <w:rsid w:val="00183E9E"/>
    <w:rsid w:val="00183F07"/>
    <w:rsid w:val="00183F9A"/>
    <w:rsid w:val="00183FBD"/>
    <w:rsid w:val="001840CD"/>
    <w:rsid w:val="001841E7"/>
    <w:rsid w:val="00184264"/>
    <w:rsid w:val="001843EB"/>
    <w:rsid w:val="001843EC"/>
    <w:rsid w:val="001845C7"/>
    <w:rsid w:val="001847AA"/>
    <w:rsid w:val="001847B7"/>
    <w:rsid w:val="001847D8"/>
    <w:rsid w:val="00184A59"/>
    <w:rsid w:val="00184B57"/>
    <w:rsid w:val="00184BEF"/>
    <w:rsid w:val="00184DC2"/>
    <w:rsid w:val="00184E25"/>
    <w:rsid w:val="00184E4B"/>
    <w:rsid w:val="00184E69"/>
    <w:rsid w:val="00184F90"/>
    <w:rsid w:val="00184FF9"/>
    <w:rsid w:val="00185016"/>
    <w:rsid w:val="00185174"/>
    <w:rsid w:val="00185278"/>
    <w:rsid w:val="001852F3"/>
    <w:rsid w:val="00185330"/>
    <w:rsid w:val="0018537D"/>
    <w:rsid w:val="0018545C"/>
    <w:rsid w:val="0018581E"/>
    <w:rsid w:val="00185852"/>
    <w:rsid w:val="001858F0"/>
    <w:rsid w:val="00185ABC"/>
    <w:rsid w:val="00185C11"/>
    <w:rsid w:val="00185C48"/>
    <w:rsid w:val="00185D24"/>
    <w:rsid w:val="00185D45"/>
    <w:rsid w:val="00185F9D"/>
    <w:rsid w:val="00185FB7"/>
    <w:rsid w:val="00185FE8"/>
    <w:rsid w:val="00186078"/>
    <w:rsid w:val="00186118"/>
    <w:rsid w:val="00186170"/>
    <w:rsid w:val="00186186"/>
    <w:rsid w:val="00186242"/>
    <w:rsid w:val="001864AA"/>
    <w:rsid w:val="00186510"/>
    <w:rsid w:val="00186558"/>
    <w:rsid w:val="0018656A"/>
    <w:rsid w:val="001866A2"/>
    <w:rsid w:val="001867ED"/>
    <w:rsid w:val="00186845"/>
    <w:rsid w:val="001868F6"/>
    <w:rsid w:val="001869B1"/>
    <w:rsid w:val="00186A84"/>
    <w:rsid w:val="00186B82"/>
    <w:rsid w:val="00186C45"/>
    <w:rsid w:val="00186C7F"/>
    <w:rsid w:val="00186CA4"/>
    <w:rsid w:val="00186D37"/>
    <w:rsid w:val="00186EA3"/>
    <w:rsid w:val="0018704B"/>
    <w:rsid w:val="00187167"/>
    <w:rsid w:val="00187393"/>
    <w:rsid w:val="00187467"/>
    <w:rsid w:val="00187472"/>
    <w:rsid w:val="0018749E"/>
    <w:rsid w:val="001874D0"/>
    <w:rsid w:val="00187599"/>
    <w:rsid w:val="00187670"/>
    <w:rsid w:val="00187760"/>
    <w:rsid w:val="00187913"/>
    <w:rsid w:val="00187964"/>
    <w:rsid w:val="00187A97"/>
    <w:rsid w:val="00187AA4"/>
    <w:rsid w:val="00187ADE"/>
    <w:rsid w:val="00187BDB"/>
    <w:rsid w:val="00187BE9"/>
    <w:rsid w:val="00187C38"/>
    <w:rsid w:val="00187CD3"/>
    <w:rsid w:val="00187D45"/>
    <w:rsid w:val="00187DA4"/>
    <w:rsid w:val="00187DA8"/>
    <w:rsid w:val="00187DC9"/>
    <w:rsid w:val="00187F4D"/>
    <w:rsid w:val="00187F72"/>
    <w:rsid w:val="00187FB7"/>
    <w:rsid w:val="00190069"/>
    <w:rsid w:val="001903C1"/>
    <w:rsid w:val="001903E5"/>
    <w:rsid w:val="001903E9"/>
    <w:rsid w:val="00190420"/>
    <w:rsid w:val="00190483"/>
    <w:rsid w:val="001905D6"/>
    <w:rsid w:val="0019060F"/>
    <w:rsid w:val="0019066E"/>
    <w:rsid w:val="00190767"/>
    <w:rsid w:val="001907C6"/>
    <w:rsid w:val="001907F5"/>
    <w:rsid w:val="0019088C"/>
    <w:rsid w:val="001908E8"/>
    <w:rsid w:val="00190914"/>
    <w:rsid w:val="00190BA9"/>
    <w:rsid w:val="00190BD1"/>
    <w:rsid w:val="00190BE2"/>
    <w:rsid w:val="00190CB6"/>
    <w:rsid w:val="00190D3D"/>
    <w:rsid w:val="00190D6E"/>
    <w:rsid w:val="00190DAF"/>
    <w:rsid w:val="00190EC0"/>
    <w:rsid w:val="00190EF9"/>
    <w:rsid w:val="00190F40"/>
    <w:rsid w:val="00191000"/>
    <w:rsid w:val="0019101E"/>
    <w:rsid w:val="00191072"/>
    <w:rsid w:val="0019149D"/>
    <w:rsid w:val="0019153D"/>
    <w:rsid w:val="00191553"/>
    <w:rsid w:val="0019168D"/>
    <w:rsid w:val="0019169C"/>
    <w:rsid w:val="0019181E"/>
    <w:rsid w:val="00191850"/>
    <w:rsid w:val="0019188A"/>
    <w:rsid w:val="001918E4"/>
    <w:rsid w:val="0019192D"/>
    <w:rsid w:val="00191A0F"/>
    <w:rsid w:val="00191B77"/>
    <w:rsid w:val="00191BC4"/>
    <w:rsid w:val="00191CE6"/>
    <w:rsid w:val="00191E0E"/>
    <w:rsid w:val="00191EA0"/>
    <w:rsid w:val="00191F94"/>
    <w:rsid w:val="00191FCC"/>
    <w:rsid w:val="0019202D"/>
    <w:rsid w:val="00192096"/>
    <w:rsid w:val="001920AA"/>
    <w:rsid w:val="001920B8"/>
    <w:rsid w:val="00192140"/>
    <w:rsid w:val="001921E4"/>
    <w:rsid w:val="00192260"/>
    <w:rsid w:val="001922DC"/>
    <w:rsid w:val="001923E2"/>
    <w:rsid w:val="00192433"/>
    <w:rsid w:val="001924A3"/>
    <w:rsid w:val="00192534"/>
    <w:rsid w:val="00192668"/>
    <w:rsid w:val="00192832"/>
    <w:rsid w:val="0019299C"/>
    <w:rsid w:val="001929A7"/>
    <w:rsid w:val="00192A08"/>
    <w:rsid w:val="00192AB5"/>
    <w:rsid w:val="00192B14"/>
    <w:rsid w:val="00192C15"/>
    <w:rsid w:val="00192C33"/>
    <w:rsid w:val="00192C3B"/>
    <w:rsid w:val="00192E7F"/>
    <w:rsid w:val="00192FCB"/>
    <w:rsid w:val="001930BF"/>
    <w:rsid w:val="00193299"/>
    <w:rsid w:val="0019339C"/>
    <w:rsid w:val="00193471"/>
    <w:rsid w:val="00193561"/>
    <w:rsid w:val="0019360D"/>
    <w:rsid w:val="00193620"/>
    <w:rsid w:val="001936E6"/>
    <w:rsid w:val="001937DA"/>
    <w:rsid w:val="00193875"/>
    <w:rsid w:val="001938AC"/>
    <w:rsid w:val="001938EA"/>
    <w:rsid w:val="001939D4"/>
    <w:rsid w:val="00193BB8"/>
    <w:rsid w:val="00193BBB"/>
    <w:rsid w:val="00193C3B"/>
    <w:rsid w:val="00193D8B"/>
    <w:rsid w:val="00193E33"/>
    <w:rsid w:val="00193E96"/>
    <w:rsid w:val="00193ED6"/>
    <w:rsid w:val="00193FE5"/>
    <w:rsid w:val="00193FFE"/>
    <w:rsid w:val="001940E1"/>
    <w:rsid w:val="00194103"/>
    <w:rsid w:val="00194104"/>
    <w:rsid w:val="00194192"/>
    <w:rsid w:val="001942D5"/>
    <w:rsid w:val="00194370"/>
    <w:rsid w:val="0019443F"/>
    <w:rsid w:val="0019456D"/>
    <w:rsid w:val="00194656"/>
    <w:rsid w:val="001947EC"/>
    <w:rsid w:val="001948E8"/>
    <w:rsid w:val="00194A08"/>
    <w:rsid w:val="00194A8C"/>
    <w:rsid w:val="00194ADC"/>
    <w:rsid w:val="00194D99"/>
    <w:rsid w:val="00194DF0"/>
    <w:rsid w:val="00195153"/>
    <w:rsid w:val="0019521C"/>
    <w:rsid w:val="00195478"/>
    <w:rsid w:val="0019574F"/>
    <w:rsid w:val="001957A2"/>
    <w:rsid w:val="00195858"/>
    <w:rsid w:val="00195A0B"/>
    <w:rsid w:val="00195BA4"/>
    <w:rsid w:val="00195C9E"/>
    <w:rsid w:val="00195E70"/>
    <w:rsid w:val="00195F0C"/>
    <w:rsid w:val="00195F80"/>
    <w:rsid w:val="001960CB"/>
    <w:rsid w:val="0019611B"/>
    <w:rsid w:val="00196170"/>
    <w:rsid w:val="00196244"/>
    <w:rsid w:val="0019625F"/>
    <w:rsid w:val="001962DD"/>
    <w:rsid w:val="0019632A"/>
    <w:rsid w:val="00196409"/>
    <w:rsid w:val="00196459"/>
    <w:rsid w:val="001966C3"/>
    <w:rsid w:val="00196781"/>
    <w:rsid w:val="0019685E"/>
    <w:rsid w:val="001968C2"/>
    <w:rsid w:val="0019692D"/>
    <w:rsid w:val="00196B72"/>
    <w:rsid w:val="00196C6A"/>
    <w:rsid w:val="00196D2F"/>
    <w:rsid w:val="00196E82"/>
    <w:rsid w:val="00196E9C"/>
    <w:rsid w:val="00196EBB"/>
    <w:rsid w:val="00196EEC"/>
    <w:rsid w:val="00196FAF"/>
    <w:rsid w:val="0019702F"/>
    <w:rsid w:val="00197055"/>
    <w:rsid w:val="001970C8"/>
    <w:rsid w:val="00197124"/>
    <w:rsid w:val="00197288"/>
    <w:rsid w:val="00197352"/>
    <w:rsid w:val="00197365"/>
    <w:rsid w:val="001973BA"/>
    <w:rsid w:val="0019741A"/>
    <w:rsid w:val="0019743A"/>
    <w:rsid w:val="00197477"/>
    <w:rsid w:val="001974AB"/>
    <w:rsid w:val="0019753B"/>
    <w:rsid w:val="001975FF"/>
    <w:rsid w:val="0019762D"/>
    <w:rsid w:val="0019764D"/>
    <w:rsid w:val="00197978"/>
    <w:rsid w:val="00197A77"/>
    <w:rsid w:val="00197B2F"/>
    <w:rsid w:val="00197B56"/>
    <w:rsid w:val="00197B7E"/>
    <w:rsid w:val="00197BE0"/>
    <w:rsid w:val="00197DB2"/>
    <w:rsid w:val="00197EEC"/>
    <w:rsid w:val="001A00CE"/>
    <w:rsid w:val="001A02E8"/>
    <w:rsid w:val="001A02F9"/>
    <w:rsid w:val="001A0342"/>
    <w:rsid w:val="001A0510"/>
    <w:rsid w:val="001A0525"/>
    <w:rsid w:val="001A0678"/>
    <w:rsid w:val="001A0722"/>
    <w:rsid w:val="001A09A8"/>
    <w:rsid w:val="001A09DF"/>
    <w:rsid w:val="001A0A00"/>
    <w:rsid w:val="001A0BDA"/>
    <w:rsid w:val="001A0CC9"/>
    <w:rsid w:val="001A0CDF"/>
    <w:rsid w:val="001A0D2C"/>
    <w:rsid w:val="001A0DD4"/>
    <w:rsid w:val="001A0E21"/>
    <w:rsid w:val="001A0E46"/>
    <w:rsid w:val="001A0F26"/>
    <w:rsid w:val="001A0F31"/>
    <w:rsid w:val="001A11D6"/>
    <w:rsid w:val="001A125A"/>
    <w:rsid w:val="001A1308"/>
    <w:rsid w:val="001A1408"/>
    <w:rsid w:val="001A1436"/>
    <w:rsid w:val="001A14CE"/>
    <w:rsid w:val="001A1575"/>
    <w:rsid w:val="001A18CB"/>
    <w:rsid w:val="001A19EE"/>
    <w:rsid w:val="001A1BAA"/>
    <w:rsid w:val="001A1BDC"/>
    <w:rsid w:val="001A1D3A"/>
    <w:rsid w:val="001A1DAE"/>
    <w:rsid w:val="001A1DF8"/>
    <w:rsid w:val="001A1E46"/>
    <w:rsid w:val="001A1F40"/>
    <w:rsid w:val="001A2043"/>
    <w:rsid w:val="001A20BA"/>
    <w:rsid w:val="001A2113"/>
    <w:rsid w:val="001A21F8"/>
    <w:rsid w:val="001A221B"/>
    <w:rsid w:val="001A22F9"/>
    <w:rsid w:val="001A245F"/>
    <w:rsid w:val="001A2778"/>
    <w:rsid w:val="001A2835"/>
    <w:rsid w:val="001A286F"/>
    <w:rsid w:val="001A28C2"/>
    <w:rsid w:val="001A29C6"/>
    <w:rsid w:val="001A29E8"/>
    <w:rsid w:val="001A2B18"/>
    <w:rsid w:val="001A2BAE"/>
    <w:rsid w:val="001A2BE0"/>
    <w:rsid w:val="001A2CD8"/>
    <w:rsid w:val="001A2F45"/>
    <w:rsid w:val="001A30C7"/>
    <w:rsid w:val="001A315C"/>
    <w:rsid w:val="001A347F"/>
    <w:rsid w:val="001A34A1"/>
    <w:rsid w:val="001A36E1"/>
    <w:rsid w:val="001A37EF"/>
    <w:rsid w:val="001A3932"/>
    <w:rsid w:val="001A3C78"/>
    <w:rsid w:val="001A3C8B"/>
    <w:rsid w:val="001A3D06"/>
    <w:rsid w:val="001A3D4B"/>
    <w:rsid w:val="001A3E0C"/>
    <w:rsid w:val="001A3F7F"/>
    <w:rsid w:val="001A3FB7"/>
    <w:rsid w:val="001A3FC1"/>
    <w:rsid w:val="001A408B"/>
    <w:rsid w:val="001A40D6"/>
    <w:rsid w:val="001A41F3"/>
    <w:rsid w:val="001A4275"/>
    <w:rsid w:val="001A42D7"/>
    <w:rsid w:val="001A430C"/>
    <w:rsid w:val="001A434C"/>
    <w:rsid w:val="001A4537"/>
    <w:rsid w:val="001A4569"/>
    <w:rsid w:val="001A45D9"/>
    <w:rsid w:val="001A462E"/>
    <w:rsid w:val="001A4697"/>
    <w:rsid w:val="001A46CE"/>
    <w:rsid w:val="001A47F8"/>
    <w:rsid w:val="001A4997"/>
    <w:rsid w:val="001A4A16"/>
    <w:rsid w:val="001A4E3C"/>
    <w:rsid w:val="001A4E3E"/>
    <w:rsid w:val="001A4ED1"/>
    <w:rsid w:val="001A50B2"/>
    <w:rsid w:val="001A51C6"/>
    <w:rsid w:val="001A51E3"/>
    <w:rsid w:val="001A53BF"/>
    <w:rsid w:val="001A54EA"/>
    <w:rsid w:val="001A5504"/>
    <w:rsid w:val="001A567F"/>
    <w:rsid w:val="001A5782"/>
    <w:rsid w:val="001A5832"/>
    <w:rsid w:val="001A58AB"/>
    <w:rsid w:val="001A58B8"/>
    <w:rsid w:val="001A5A41"/>
    <w:rsid w:val="001A5B13"/>
    <w:rsid w:val="001A5D3D"/>
    <w:rsid w:val="001A5DE2"/>
    <w:rsid w:val="001A5E9A"/>
    <w:rsid w:val="001A5EA2"/>
    <w:rsid w:val="001A5F3A"/>
    <w:rsid w:val="001A5F46"/>
    <w:rsid w:val="001A5F94"/>
    <w:rsid w:val="001A5FA5"/>
    <w:rsid w:val="001A60C3"/>
    <w:rsid w:val="001A6241"/>
    <w:rsid w:val="001A624C"/>
    <w:rsid w:val="001A6390"/>
    <w:rsid w:val="001A6451"/>
    <w:rsid w:val="001A64D5"/>
    <w:rsid w:val="001A64E1"/>
    <w:rsid w:val="001A656B"/>
    <w:rsid w:val="001A683A"/>
    <w:rsid w:val="001A68C8"/>
    <w:rsid w:val="001A6946"/>
    <w:rsid w:val="001A69D6"/>
    <w:rsid w:val="001A6BF3"/>
    <w:rsid w:val="001A6D09"/>
    <w:rsid w:val="001A6DC5"/>
    <w:rsid w:val="001A6DDC"/>
    <w:rsid w:val="001A6F1D"/>
    <w:rsid w:val="001A6F74"/>
    <w:rsid w:val="001A7079"/>
    <w:rsid w:val="001A7218"/>
    <w:rsid w:val="001A74EA"/>
    <w:rsid w:val="001A74EE"/>
    <w:rsid w:val="001A76EC"/>
    <w:rsid w:val="001A7848"/>
    <w:rsid w:val="001A784B"/>
    <w:rsid w:val="001A78C9"/>
    <w:rsid w:val="001A7983"/>
    <w:rsid w:val="001A79C5"/>
    <w:rsid w:val="001A79F9"/>
    <w:rsid w:val="001A7A97"/>
    <w:rsid w:val="001A7AC2"/>
    <w:rsid w:val="001A7AEB"/>
    <w:rsid w:val="001A7B08"/>
    <w:rsid w:val="001A7B39"/>
    <w:rsid w:val="001A7B4D"/>
    <w:rsid w:val="001A7C65"/>
    <w:rsid w:val="001A7CCF"/>
    <w:rsid w:val="001A7D0A"/>
    <w:rsid w:val="001A7EE4"/>
    <w:rsid w:val="001B0108"/>
    <w:rsid w:val="001B0117"/>
    <w:rsid w:val="001B01B3"/>
    <w:rsid w:val="001B0358"/>
    <w:rsid w:val="001B0411"/>
    <w:rsid w:val="001B05B6"/>
    <w:rsid w:val="001B05BC"/>
    <w:rsid w:val="001B0603"/>
    <w:rsid w:val="001B0687"/>
    <w:rsid w:val="001B07BB"/>
    <w:rsid w:val="001B07D4"/>
    <w:rsid w:val="001B086C"/>
    <w:rsid w:val="001B087A"/>
    <w:rsid w:val="001B08B6"/>
    <w:rsid w:val="001B08D7"/>
    <w:rsid w:val="001B098A"/>
    <w:rsid w:val="001B0998"/>
    <w:rsid w:val="001B09BD"/>
    <w:rsid w:val="001B0B23"/>
    <w:rsid w:val="001B0BF9"/>
    <w:rsid w:val="001B0D95"/>
    <w:rsid w:val="001B0E48"/>
    <w:rsid w:val="001B0E7B"/>
    <w:rsid w:val="001B0EE5"/>
    <w:rsid w:val="001B0F2B"/>
    <w:rsid w:val="001B1056"/>
    <w:rsid w:val="001B10FA"/>
    <w:rsid w:val="001B12B2"/>
    <w:rsid w:val="001B13D8"/>
    <w:rsid w:val="001B144C"/>
    <w:rsid w:val="001B150B"/>
    <w:rsid w:val="001B19E1"/>
    <w:rsid w:val="001B1B7A"/>
    <w:rsid w:val="001B1BAB"/>
    <w:rsid w:val="001B1D6A"/>
    <w:rsid w:val="001B1E0A"/>
    <w:rsid w:val="001B1E1D"/>
    <w:rsid w:val="001B1F29"/>
    <w:rsid w:val="001B20B0"/>
    <w:rsid w:val="001B2113"/>
    <w:rsid w:val="001B214C"/>
    <w:rsid w:val="001B2244"/>
    <w:rsid w:val="001B233F"/>
    <w:rsid w:val="001B2377"/>
    <w:rsid w:val="001B2487"/>
    <w:rsid w:val="001B2507"/>
    <w:rsid w:val="001B25E2"/>
    <w:rsid w:val="001B26A0"/>
    <w:rsid w:val="001B26B3"/>
    <w:rsid w:val="001B2856"/>
    <w:rsid w:val="001B2BC9"/>
    <w:rsid w:val="001B2CB8"/>
    <w:rsid w:val="001B2CE8"/>
    <w:rsid w:val="001B2F16"/>
    <w:rsid w:val="001B308A"/>
    <w:rsid w:val="001B315F"/>
    <w:rsid w:val="001B32A1"/>
    <w:rsid w:val="001B3345"/>
    <w:rsid w:val="001B3387"/>
    <w:rsid w:val="001B340A"/>
    <w:rsid w:val="001B351B"/>
    <w:rsid w:val="001B358C"/>
    <w:rsid w:val="001B3625"/>
    <w:rsid w:val="001B362D"/>
    <w:rsid w:val="001B371D"/>
    <w:rsid w:val="001B3AB0"/>
    <w:rsid w:val="001B3B09"/>
    <w:rsid w:val="001B3BEB"/>
    <w:rsid w:val="001B3C30"/>
    <w:rsid w:val="001B3CB3"/>
    <w:rsid w:val="001B3E6C"/>
    <w:rsid w:val="001B3E94"/>
    <w:rsid w:val="001B3EBE"/>
    <w:rsid w:val="001B3ECD"/>
    <w:rsid w:val="001B3F37"/>
    <w:rsid w:val="001B40FA"/>
    <w:rsid w:val="001B434E"/>
    <w:rsid w:val="001B43BB"/>
    <w:rsid w:val="001B4635"/>
    <w:rsid w:val="001B4760"/>
    <w:rsid w:val="001B4770"/>
    <w:rsid w:val="001B479A"/>
    <w:rsid w:val="001B4836"/>
    <w:rsid w:val="001B4842"/>
    <w:rsid w:val="001B4A49"/>
    <w:rsid w:val="001B4A73"/>
    <w:rsid w:val="001B4B89"/>
    <w:rsid w:val="001B4CCF"/>
    <w:rsid w:val="001B4D18"/>
    <w:rsid w:val="001B4D61"/>
    <w:rsid w:val="001B4F20"/>
    <w:rsid w:val="001B503B"/>
    <w:rsid w:val="001B51AB"/>
    <w:rsid w:val="001B533C"/>
    <w:rsid w:val="001B5658"/>
    <w:rsid w:val="001B56ED"/>
    <w:rsid w:val="001B572C"/>
    <w:rsid w:val="001B5861"/>
    <w:rsid w:val="001B58F2"/>
    <w:rsid w:val="001B59DD"/>
    <w:rsid w:val="001B5A96"/>
    <w:rsid w:val="001B5BB9"/>
    <w:rsid w:val="001B5BF6"/>
    <w:rsid w:val="001B5E74"/>
    <w:rsid w:val="001B5ED0"/>
    <w:rsid w:val="001B6048"/>
    <w:rsid w:val="001B6243"/>
    <w:rsid w:val="001B62D5"/>
    <w:rsid w:val="001B6445"/>
    <w:rsid w:val="001B64E1"/>
    <w:rsid w:val="001B6566"/>
    <w:rsid w:val="001B65E5"/>
    <w:rsid w:val="001B65F1"/>
    <w:rsid w:val="001B6633"/>
    <w:rsid w:val="001B6804"/>
    <w:rsid w:val="001B69EA"/>
    <w:rsid w:val="001B6A16"/>
    <w:rsid w:val="001B6B01"/>
    <w:rsid w:val="001B6B03"/>
    <w:rsid w:val="001B6B27"/>
    <w:rsid w:val="001B6C13"/>
    <w:rsid w:val="001B6C71"/>
    <w:rsid w:val="001B6CDC"/>
    <w:rsid w:val="001B6F30"/>
    <w:rsid w:val="001B7020"/>
    <w:rsid w:val="001B7044"/>
    <w:rsid w:val="001B711A"/>
    <w:rsid w:val="001B7221"/>
    <w:rsid w:val="001B7277"/>
    <w:rsid w:val="001B72F0"/>
    <w:rsid w:val="001B74CF"/>
    <w:rsid w:val="001B75C9"/>
    <w:rsid w:val="001B7617"/>
    <w:rsid w:val="001B76DF"/>
    <w:rsid w:val="001B7819"/>
    <w:rsid w:val="001B78F7"/>
    <w:rsid w:val="001B79F1"/>
    <w:rsid w:val="001B7A39"/>
    <w:rsid w:val="001B7A54"/>
    <w:rsid w:val="001B7ACB"/>
    <w:rsid w:val="001B7AED"/>
    <w:rsid w:val="001B7CE2"/>
    <w:rsid w:val="001B7D09"/>
    <w:rsid w:val="001B7EBD"/>
    <w:rsid w:val="001C02F8"/>
    <w:rsid w:val="001C03F4"/>
    <w:rsid w:val="001C04B5"/>
    <w:rsid w:val="001C0788"/>
    <w:rsid w:val="001C0885"/>
    <w:rsid w:val="001C08C5"/>
    <w:rsid w:val="001C0947"/>
    <w:rsid w:val="001C097A"/>
    <w:rsid w:val="001C0987"/>
    <w:rsid w:val="001C0B62"/>
    <w:rsid w:val="001C0C58"/>
    <w:rsid w:val="001C0E49"/>
    <w:rsid w:val="001C0E85"/>
    <w:rsid w:val="001C0EC8"/>
    <w:rsid w:val="001C0F07"/>
    <w:rsid w:val="001C0F17"/>
    <w:rsid w:val="001C0F59"/>
    <w:rsid w:val="001C10E7"/>
    <w:rsid w:val="001C11A0"/>
    <w:rsid w:val="001C1295"/>
    <w:rsid w:val="001C131B"/>
    <w:rsid w:val="001C1421"/>
    <w:rsid w:val="001C152D"/>
    <w:rsid w:val="001C160F"/>
    <w:rsid w:val="001C163A"/>
    <w:rsid w:val="001C1793"/>
    <w:rsid w:val="001C18D7"/>
    <w:rsid w:val="001C19EF"/>
    <w:rsid w:val="001C1ACE"/>
    <w:rsid w:val="001C1AF5"/>
    <w:rsid w:val="001C1DC2"/>
    <w:rsid w:val="001C1E2E"/>
    <w:rsid w:val="001C1E48"/>
    <w:rsid w:val="001C1E95"/>
    <w:rsid w:val="001C1EE6"/>
    <w:rsid w:val="001C1FAA"/>
    <w:rsid w:val="001C2159"/>
    <w:rsid w:val="001C2191"/>
    <w:rsid w:val="001C2235"/>
    <w:rsid w:val="001C22B9"/>
    <w:rsid w:val="001C2306"/>
    <w:rsid w:val="001C2308"/>
    <w:rsid w:val="001C2327"/>
    <w:rsid w:val="001C2357"/>
    <w:rsid w:val="001C247A"/>
    <w:rsid w:val="001C2487"/>
    <w:rsid w:val="001C2532"/>
    <w:rsid w:val="001C2802"/>
    <w:rsid w:val="001C2836"/>
    <w:rsid w:val="001C2884"/>
    <w:rsid w:val="001C28F8"/>
    <w:rsid w:val="001C29E7"/>
    <w:rsid w:val="001C29FC"/>
    <w:rsid w:val="001C2A57"/>
    <w:rsid w:val="001C2BB4"/>
    <w:rsid w:val="001C2BCF"/>
    <w:rsid w:val="001C2C51"/>
    <w:rsid w:val="001C2CF6"/>
    <w:rsid w:val="001C2D22"/>
    <w:rsid w:val="001C2D5B"/>
    <w:rsid w:val="001C2ED4"/>
    <w:rsid w:val="001C2EDC"/>
    <w:rsid w:val="001C2F4E"/>
    <w:rsid w:val="001C2FD9"/>
    <w:rsid w:val="001C2FE3"/>
    <w:rsid w:val="001C3009"/>
    <w:rsid w:val="001C3050"/>
    <w:rsid w:val="001C32F4"/>
    <w:rsid w:val="001C33D4"/>
    <w:rsid w:val="001C348D"/>
    <w:rsid w:val="001C34C5"/>
    <w:rsid w:val="001C351A"/>
    <w:rsid w:val="001C3542"/>
    <w:rsid w:val="001C355A"/>
    <w:rsid w:val="001C355B"/>
    <w:rsid w:val="001C36E2"/>
    <w:rsid w:val="001C37B9"/>
    <w:rsid w:val="001C37BA"/>
    <w:rsid w:val="001C3849"/>
    <w:rsid w:val="001C38B9"/>
    <w:rsid w:val="001C38EB"/>
    <w:rsid w:val="001C3904"/>
    <w:rsid w:val="001C39AE"/>
    <w:rsid w:val="001C3CC4"/>
    <w:rsid w:val="001C3CF5"/>
    <w:rsid w:val="001C3D23"/>
    <w:rsid w:val="001C3D8A"/>
    <w:rsid w:val="001C3E41"/>
    <w:rsid w:val="001C3E5E"/>
    <w:rsid w:val="001C3EBC"/>
    <w:rsid w:val="001C3F6F"/>
    <w:rsid w:val="001C4028"/>
    <w:rsid w:val="001C414A"/>
    <w:rsid w:val="001C41E6"/>
    <w:rsid w:val="001C42DC"/>
    <w:rsid w:val="001C4393"/>
    <w:rsid w:val="001C439B"/>
    <w:rsid w:val="001C45D3"/>
    <w:rsid w:val="001C45F5"/>
    <w:rsid w:val="001C46CD"/>
    <w:rsid w:val="001C472E"/>
    <w:rsid w:val="001C47C4"/>
    <w:rsid w:val="001C485F"/>
    <w:rsid w:val="001C49B5"/>
    <w:rsid w:val="001C4ADF"/>
    <w:rsid w:val="001C4B1E"/>
    <w:rsid w:val="001C4C63"/>
    <w:rsid w:val="001C4C98"/>
    <w:rsid w:val="001C4CD3"/>
    <w:rsid w:val="001C4D10"/>
    <w:rsid w:val="001C4FD2"/>
    <w:rsid w:val="001C4FE6"/>
    <w:rsid w:val="001C5286"/>
    <w:rsid w:val="001C5475"/>
    <w:rsid w:val="001C556C"/>
    <w:rsid w:val="001C55C5"/>
    <w:rsid w:val="001C568E"/>
    <w:rsid w:val="001C5739"/>
    <w:rsid w:val="001C575A"/>
    <w:rsid w:val="001C5858"/>
    <w:rsid w:val="001C587C"/>
    <w:rsid w:val="001C599E"/>
    <w:rsid w:val="001C59B7"/>
    <w:rsid w:val="001C59CC"/>
    <w:rsid w:val="001C59FD"/>
    <w:rsid w:val="001C5A5E"/>
    <w:rsid w:val="001C5A96"/>
    <w:rsid w:val="001C5AC6"/>
    <w:rsid w:val="001C5B29"/>
    <w:rsid w:val="001C5C10"/>
    <w:rsid w:val="001C5D04"/>
    <w:rsid w:val="001C5DEF"/>
    <w:rsid w:val="001C5E3F"/>
    <w:rsid w:val="001C5F19"/>
    <w:rsid w:val="001C6104"/>
    <w:rsid w:val="001C61BA"/>
    <w:rsid w:val="001C6230"/>
    <w:rsid w:val="001C6367"/>
    <w:rsid w:val="001C649B"/>
    <w:rsid w:val="001C664C"/>
    <w:rsid w:val="001C68FB"/>
    <w:rsid w:val="001C6904"/>
    <w:rsid w:val="001C6ACB"/>
    <w:rsid w:val="001C6C6E"/>
    <w:rsid w:val="001C6CDD"/>
    <w:rsid w:val="001C6D37"/>
    <w:rsid w:val="001C6D3A"/>
    <w:rsid w:val="001C6DDF"/>
    <w:rsid w:val="001C6E90"/>
    <w:rsid w:val="001C6EAE"/>
    <w:rsid w:val="001C6EC4"/>
    <w:rsid w:val="001C6EEB"/>
    <w:rsid w:val="001C6F30"/>
    <w:rsid w:val="001C6F4F"/>
    <w:rsid w:val="001C6FC9"/>
    <w:rsid w:val="001C704E"/>
    <w:rsid w:val="001C70D4"/>
    <w:rsid w:val="001C717C"/>
    <w:rsid w:val="001C72B0"/>
    <w:rsid w:val="001C738E"/>
    <w:rsid w:val="001C7466"/>
    <w:rsid w:val="001C74A8"/>
    <w:rsid w:val="001C7607"/>
    <w:rsid w:val="001C763D"/>
    <w:rsid w:val="001C76AE"/>
    <w:rsid w:val="001C79EA"/>
    <w:rsid w:val="001C7AAD"/>
    <w:rsid w:val="001C7CED"/>
    <w:rsid w:val="001C7D84"/>
    <w:rsid w:val="001C7E1C"/>
    <w:rsid w:val="001C7E29"/>
    <w:rsid w:val="001C7F06"/>
    <w:rsid w:val="001C7F2F"/>
    <w:rsid w:val="001D0442"/>
    <w:rsid w:val="001D0501"/>
    <w:rsid w:val="001D08B9"/>
    <w:rsid w:val="001D0966"/>
    <w:rsid w:val="001D0C8D"/>
    <w:rsid w:val="001D0D24"/>
    <w:rsid w:val="001D0E7D"/>
    <w:rsid w:val="001D1126"/>
    <w:rsid w:val="001D1158"/>
    <w:rsid w:val="001D11A6"/>
    <w:rsid w:val="001D11CA"/>
    <w:rsid w:val="001D12B1"/>
    <w:rsid w:val="001D1535"/>
    <w:rsid w:val="001D1689"/>
    <w:rsid w:val="001D16A5"/>
    <w:rsid w:val="001D1749"/>
    <w:rsid w:val="001D18A7"/>
    <w:rsid w:val="001D197E"/>
    <w:rsid w:val="001D19AE"/>
    <w:rsid w:val="001D19F5"/>
    <w:rsid w:val="001D1AE7"/>
    <w:rsid w:val="001D1B06"/>
    <w:rsid w:val="001D1B5D"/>
    <w:rsid w:val="001D1C85"/>
    <w:rsid w:val="001D1DD8"/>
    <w:rsid w:val="001D1E19"/>
    <w:rsid w:val="001D1E87"/>
    <w:rsid w:val="001D1F40"/>
    <w:rsid w:val="001D1FF4"/>
    <w:rsid w:val="001D2154"/>
    <w:rsid w:val="001D22A7"/>
    <w:rsid w:val="001D237E"/>
    <w:rsid w:val="001D2440"/>
    <w:rsid w:val="001D254F"/>
    <w:rsid w:val="001D257A"/>
    <w:rsid w:val="001D2628"/>
    <w:rsid w:val="001D26AA"/>
    <w:rsid w:val="001D27FF"/>
    <w:rsid w:val="001D286D"/>
    <w:rsid w:val="001D286E"/>
    <w:rsid w:val="001D29B9"/>
    <w:rsid w:val="001D2C8B"/>
    <w:rsid w:val="001D2C99"/>
    <w:rsid w:val="001D2D4C"/>
    <w:rsid w:val="001D2EE5"/>
    <w:rsid w:val="001D2F75"/>
    <w:rsid w:val="001D305C"/>
    <w:rsid w:val="001D3151"/>
    <w:rsid w:val="001D315B"/>
    <w:rsid w:val="001D32A4"/>
    <w:rsid w:val="001D336C"/>
    <w:rsid w:val="001D35FF"/>
    <w:rsid w:val="001D3671"/>
    <w:rsid w:val="001D36AC"/>
    <w:rsid w:val="001D3717"/>
    <w:rsid w:val="001D372D"/>
    <w:rsid w:val="001D38CF"/>
    <w:rsid w:val="001D39F9"/>
    <w:rsid w:val="001D3A07"/>
    <w:rsid w:val="001D3AB4"/>
    <w:rsid w:val="001D3B1D"/>
    <w:rsid w:val="001D3B5D"/>
    <w:rsid w:val="001D3BB6"/>
    <w:rsid w:val="001D3C95"/>
    <w:rsid w:val="001D3CB5"/>
    <w:rsid w:val="001D3DA1"/>
    <w:rsid w:val="001D3FDF"/>
    <w:rsid w:val="001D4053"/>
    <w:rsid w:val="001D42AE"/>
    <w:rsid w:val="001D431B"/>
    <w:rsid w:val="001D4483"/>
    <w:rsid w:val="001D4597"/>
    <w:rsid w:val="001D45E2"/>
    <w:rsid w:val="001D45E9"/>
    <w:rsid w:val="001D4654"/>
    <w:rsid w:val="001D46AF"/>
    <w:rsid w:val="001D4844"/>
    <w:rsid w:val="001D4845"/>
    <w:rsid w:val="001D4A5F"/>
    <w:rsid w:val="001D4B3E"/>
    <w:rsid w:val="001D4B76"/>
    <w:rsid w:val="001D4C92"/>
    <w:rsid w:val="001D4CAC"/>
    <w:rsid w:val="001D4D98"/>
    <w:rsid w:val="001D4E26"/>
    <w:rsid w:val="001D4FA1"/>
    <w:rsid w:val="001D5055"/>
    <w:rsid w:val="001D528D"/>
    <w:rsid w:val="001D52DE"/>
    <w:rsid w:val="001D537D"/>
    <w:rsid w:val="001D5458"/>
    <w:rsid w:val="001D54F3"/>
    <w:rsid w:val="001D55AA"/>
    <w:rsid w:val="001D568B"/>
    <w:rsid w:val="001D56AD"/>
    <w:rsid w:val="001D5821"/>
    <w:rsid w:val="001D588B"/>
    <w:rsid w:val="001D58CA"/>
    <w:rsid w:val="001D599A"/>
    <w:rsid w:val="001D59C6"/>
    <w:rsid w:val="001D59D0"/>
    <w:rsid w:val="001D59E9"/>
    <w:rsid w:val="001D5A94"/>
    <w:rsid w:val="001D5AB6"/>
    <w:rsid w:val="001D5CEE"/>
    <w:rsid w:val="001D5D07"/>
    <w:rsid w:val="001D5D7F"/>
    <w:rsid w:val="001D5E3E"/>
    <w:rsid w:val="001D5FFC"/>
    <w:rsid w:val="001D608A"/>
    <w:rsid w:val="001D620B"/>
    <w:rsid w:val="001D63CC"/>
    <w:rsid w:val="001D63E1"/>
    <w:rsid w:val="001D6402"/>
    <w:rsid w:val="001D652F"/>
    <w:rsid w:val="001D6571"/>
    <w:rsid w:val="001D65D1"/>
    <w:rsid w:val="001D65FE"/>
    <w:rsid w:val="001D66B6"/>
    <w:rsid w:val="001D66BD"/>
    <w:rsid w:val="001D6701"/>
    <w:rsid w:val="001D6715"/>
    <w:rsid w:val="001D6752"/>
    <w:rsid w:val="001D6756"/>
    <w:rsid w:val="001D679A"/>
    <w:rsid w:val="001D6B27"/>
    <w:rsid w:val="001D6BCB"/>
    <w:rsid w:val="001D6BEB"/>
    <w:rsid w:val="001D6BFF"/>
    <w:rsid w:val="001D6C68"/>
    <w:rsid w:val="001D6C6A"/>
    <w:rsid w:val="001D6C7C"/>
    <w:rsid w:val="001D6ED7"/>
    <w:rsid w:val="001D6FDF"/>
    <w:rsid w:val="001D7146"/>
    <w:rsid w:val="001D7316"/>
    <w:rsid w:val="001D7449"/>
    <w:rsid w:val="001D761E"/>
    <w:rsid w:val="001D76D1"/>
    <w:rsid w:val="001D7742"/>
    <w:rsid w:val="001D7998"/>
    <w:rsid w:val="001D7AFC"/>
    <w:rsid w:val="001D7B0C"/>
    <w:rsid w:val="001D7CAA"/>
    <w:rsid w:val="001D7EF8"/>
    <w:rsid w:val="001D7F3F"/>
    <w:rsid w:val="001E0065"/>
    <w:rsid w:val="001E020A"/>
    <w:rsid w:val="001E0399"/>
    <w:rsid w:val="001E0485"/>
    <w:rsid w:val="001E04AF"/>
    <w:rsid w:val="001E0520"/>
    <w:rsid w:val="001E055B"/>
    <w:rsid w:val="001E058F"/>
    <w:rsid w:val="001E05E6"/>
    <w:rsid w:val="001E07A2"/>
    <w:rsid w:val="001E08A6"/>
    <w:rsid w:val="001E09D6"/>
    <w:rsid w:val="001E0BE8"/>
    <w:rsid w:val="001E0D0C"/>
    <w:rsid w:val="001E0D1E"/>
    <w:rsid w:val="001E0F74"/>
    <w:rsid w:val="001E10DA"/>
    <w:rsid w:val="001E1267"/>
    <w:rsid w:val="001E12C8"/>
    <w:rsid w:val="001E13FB"/>
    <w:rsid w:val="001E1426"/>
    <w:rsid w:val="001E1427"/>
    <w:rsid w:val="001E14F3"/>
    <w:rsid w:val="001E152D"/>
    <w:rsid w:val="001E17D8"/>
    <w:rsid w:val="001E17F7"/>
    <w:rsid w:val="001E1891"/>
    <w:rsid w:val="001E1951"/>
    <w:rsid w:val="001E1BCA"/>
    <w:rsid w:val="001E1C2D"/>
    <w:rsid w:val="001E1D07"/>
    <w:rsid w:val="001E1DF8"/>
    <w:rsid w:val="001E1EDE"/>
    <w:rsid w:val="001E1F47"/>
    <w:rsid w:val="001E1F61"/>
    <w:rsid w:val="001E21B5"/>
    <w:rsid w:val="001E234B"/>
    <w:rsid w:val="001E2504"/>
    <w:rsid w:val="001E2588"/>
    <w:rsid w:val="001E27FF"/>
    <w:rsid w:val="001E2947"/>
    <w:rsid w:val="001E2C12"/>
    <w:rsid w:val="001E2D06"/>
    <w:rsid w:val="001E2E9D"/>
    <w:rsid w:val="001E2F45"/>
    <w:rsid w:val="001E2F88"/>
    <w:rsid w:val="001E2FA4"/>
    <w:rsid w:val="001E306F"/>
    <w:rsid w:val="001E30A9"/>
    <w:rsid w:val="001E3204"/>
    <w:rsid w:val="001E321F"/>
    <w:rsid w:val="001E3301"/>
    <w:rsid w:val="001E3311"/>
    <w:rsid w:val="001E33FF"/>
    <w:rsid w:val="001E35D6"/>
    <w:rsid w:val="001E3685"/>
    <w:rsid w:val="001E37CA"/>
    <w:rsid w:val="001E37E0"/>
    <w:rsid w:val="001E380A"/>
    <w:rsid w:val="001E3958"/>
    <w:rsid w:val="001E3BF8"/>
    <w:rsid w:val="001E3C03"/>
    <w:rsid w:val="001E3DBF"/>
    <w:rsid w:val="001E3DDC"/>
    <w:rsid w:val="001E3E15"/>
    <w:rsid w:val="001E3E43"/>
    <w:rsid w:val="001E3F07"/>
    <w:rsid w:val="001E3F1C"/>
    <w:rsid w:val="001E413D"/>
    <w:rsid w:val="001E4238"/>
    <w:rsid w:val="001E4294"/>
    <w:rsid w:val="001E4392"/>
    <w:rsid w:val="001E448E"/>
    <w:rsid w:val="001E4492"/>
    <w:rsid w:val="001E464D"/>
    <w:rsid w:val="001E464E"/>
    <w:rsid w:val="001E479F"/>
    <w:rsid w:val="001E47FB"/>
    <w:rsid w:val="001E4898"/>
    <w:rsid w:val="001E48B5"/>
    <w:rsid w:val="001E4CA4"/>
    <w:rsid w:val="001E4D2F"/>
    <w:rsid w:val="001E4E01"/>
    <w:rsid w:val="001E5054"/>
    <w:rsid w:val="001E50A2"/>
    <w:rsid w:val="001E51BA"/>
    <w:rsid w:val="001E51D6"/>
    <w:rsid w:val="001E535C"/>
    <w:rsid w:val="001E538F"/>
    <w:rsid w:val="001E53EA"/>
    <w:rsid w:val="001E5408"/>
    <w:rsid w:val="001E549A"/>
    <w:rsid w:val="001E5590"/>
    <w:rsid w:val="001E5656"/>
    <w:rsid w:val="001E566C"/>
    <w:rsid w:val="001E56E6"/>
    <w:rsid w:val="001E5767"/>
    <w:rsid w:val="001E59B6"/>
    <w:rsid w:val="001E59F4"/>
    <w:rsid w:val="001E5A0E"/>
    <w:rsid w:val="001E5A3A"/>
    <w:rsid w:val="001E5A59"/>
    <w:rsid w:val="001E5B6C"/>
    <w:rsid w:val="001E5B7B"/>
    <w:rsid w:val="001E5CB0"/>
    <w:rsid w:val="001E5CBC"/>
    <w:rsid w:val="001E5CFA"/>
    <w:rsid w:val="001E5D91"/>
    <w:rsid w:val="001E5D9E"/>
    <w:rsid w:val="001E5DFA"/>
    <w:rsid w:val="001E6031"/>
    <w:rsid w:val="001E607B"/>
    <w:rsid w:val="001E6214"/>
    <w:rsid w:val="001E6452"/>
    <w:rsid w:val="001E64F8"/>
    <w:rsid w:val="001E670D"/>
    <w:rsid w:val="001E6749"/>
    <w:rsid w:val="001E68C0"/>
    <w:rsid w:val="001E68F0"/>
    <w:rsid w:val="001E6A68"/>
    <w:rsid w:val="001E6B87"/>
    <w:rsid w:val="001E6BC6"/>
    <w:rsid w:val="001E6E68"/>
    <w:rsid w:val="001E6FAE"/>
    <w:rsid w:val="001E70AB"/>
    <w:rsid w:val="001E7134"/>
    <w:rsid w:val="001E7234"/>
    <w:rsid w:val="001E738B"/>
    <w:rsid w:val="001E7425"/>
    <w:rsid w:val="001E750D"/>
    <w:rsid w:val="001E76E0"/>
    <w:rsid w:val="001E7A11"/>
    <w:rsid w:val="001E7A66"/>
    <w:rsid w:val="001E7AD3"/>
    <w:rsid w:val="001E7ADA"/>
    <w:rsid w:val="001E7B29"/>
    <w:rsid w:val="001E7C7C"/>
    <w:rsid w:val="001E7E2E"/>
    <w:rsid w:val="001E7F62"/>
    <w:rsid w:val="001E7F86"/>
    <w:rsid w:val="001E7F9B"/>
    <w:rsid w:val="001E7F9F"/>
    <w:rsid w:val="001F0024"/>
    <w:rsid w:val="001F0060"/>
    <w:rsid w:val="001F00D2"/>
    <w:rsid w:val="001F00D3"/>
    <w:rsid w:val="001F015F"/>
    <w:rsid w:val="001F018C"/>
    <w:rsid w:val="001F01EA"/>
    <w:rsid w:val="001F0287"/>
    <w:rsid w:val="001F0291"/>
    <w:rsid w:val="001F0468"/>
    <w:rsid w:val="001F0485"/>
    <w:rsid w:val="001F04AD"/>
    <w:rsid w:val="001F065A"/>
    <w:rsid w:val="001F0706"/>
    <w:rsid w:val="001F0779"/>
    <w:rsid w:val="001F078C"/>
    <w:rsid w:val="001F0798"/>
    <w:rsid w:val="001F096D"/>
    <w:rsid w:val="001F09B2"/>
    <w:rsid w:val="001F09C3"/>
    <w:rsid w:val="001F0B59"/>
    <w:rsid w:val="001F0CD8"/>
    <w:rsid w:val="001F0D2B"/>
    <w:rsid w:val="001F0E7D"/>
    <w:rsid w:val="001F0E8A"/>
    <w:rsid w:val="001F0EC1"/>
    <w:rsid w:val="001F0F05"/>
    <w:rsid w:val="001F106F"/>
    <w:rsid w:val="001F120D"/>
    <w:rsid w:val="001F13BB"/>
    <w:rsid w:val="001F1537"/>
    <w:rsid w:val="001F1628"/>
    <w:rsid w:val="001F164F"/>
    <w:rsid w:val="001F199C"/>
    <w:rsid w:val="001F1AA5"/>
    <w:rsid w:val="001F1B41"/>
    <w:rsid w:val="001F1C6B"/>
    <w:rsid w:val="001F1C70"/>
    <w:rsid w:val="001F1E45"/>
    <w:rsid w:val="001F2110"/>
    <w:rsid w:val="001F2160"/>
    <w:rsid w:val="001F2689"/>
    <w:rsid w:val="001F276D"/>
    <w:rsid w:val="001F276F"/>
    <w:rsid w:val="001F27B6"/>
    <w:rsid w:val="001F289E"/>
    <w:rsid w:val="001F2931"/>
    <w:rsid w:val="001F2A74"/>
    <w:rsid w:val="001F2AB7"/>
    <w:rsid w:val="001F2C87"/>
    <w:rsid w:val="001F2CB1"/>
    <w:rsid w:val="001F2EA4"/>
    <w:rsid w:val="001F302E"/>
    <w:rsid w:val="001F31F4"/>
    <w:rsid w:val="001F33C8"/>
    <w:rsid w:val="001F3469"/>
    <w:rsid w:val="001F349D"/>
    <w:rsid w:val="001F34D3"/>
    <w:rsid w:val="001F3547"/>
    <w:rsid w:val="001F35DA"/>
    <w:rsid w:val="001F384A"/>
    <w:rsid w:val="001F3974"/>
    <w:rsid w:val="001F39ED"/>
    <w:rsid w:val="001F3A3D"/>
    <w:rsid w:val="001F3A6B"/>
    <w:rsid w:val="001F3AD0"/>
    <w:rsid w:val="001F3AF5"/>
    <w:rsid w:val="001F3B0D"/>
    <w:rsid w:val="001F3BB4"/>
    <w:rsid w:val="001F3BD6"/>
    <w:rsid w:val="001F3D43"/>
    <w:rsid w:val="001F3E22"/>
    <w:rsid w:val="001F3E58"/>
    <w:rsid w:val="001F3F39"/>
    <w:rsid w:val="001F3F6D"/>
    <w:rsid w:val="001F3F90"/>
    <w:rsid w:val="001F3FAF"/>
    <w:rsid w:val="001F4032"/>
    <w:rsid w:val="001F40A4"/>
    <w:rsid w:val="001F4283"/>
    <w:rsid w:val="001F42D3"/>
    <w:rsid w:val="001F435E"/>
    <w:rsid w:val="001F437C"/>
    <w:rsid w:val="001F4382"/>
    <w:rsid w:val="001F4453"/>
    <w:rsid w:val="001F4556"/>
    <w:rsid w:val="001F465C"/>
    <w:rsid w:val="001F46D3"/>
    <w:rsid w:val="001F47B3"/>
    <w:rsid w:val="001F48E2"/>
    <w:rsid w:val="001F4912"/>
    <w:rsid w:val="001F496B"/>
    <w:rsid w:val="001F49BC"/>
    <w:rsid w:val="001F4A3F"/>
    <w:rsid w:val="001F4B58"/>
    <w:rsid w:val="001F4BEE"/>
    <w:rsid w:val="001F4C14"/>
    <w:rsid w:val="001F4C22"/>
    <w:rsid w:val="001F4D71"/>
    <w:rsid w:val="001F4E31"/>
    <w:rsid w:val="001F4E6E"/>
    <w:rsid w:val="001F4E98"/>
    <w:rsid w:val="001F4F34"/>
    <w:rsid w:val="001F4F76"/>
    <w:rsid w:val="001F4F8A"/>
    <w:rsid w:val="001F500B"/>
    <w:rsid w:val="001F50A3"/>
    <w:rsid w:val="001F50C9"/>
    <w:rsid w:val="001F5156"/>
    <w:rsid w:val="001F51B2"/>
    <w:rsid w:val="001F5364"/>
    <w:rsid w:val="001F5507"/>
    <w:rsid w:val="001F55A4"/>
    <w:rsid w:val="001F5796"/>
    <w:rsid w:val="001F58A1"/>
    <w:rsid w:val="001F58E8"/>
    <w:rsid w:val="001F5999"/>
    <w:rsid w:val="001F59FE"/>
    <w:rsid w:val="001F5A3C"/>
    <w:rsid w:val="001F5ACF"/>
    <w:rsid w:val="001F5AE5"/>
    <w:rsid w:val="001F5BF6"/>
    <w:rsid w:val="001F5C00"/>
    <w:rsid w:val="001F5C57"/>
    <w:rsid w:val="001F5D64"/>
    <w:rsid w:val="001F5DAB"/>
    <w:rsid w:val="001F5E17"/>
    <w:rsid w:val="001F5E2C"/>
    <w:rsid w:val="001F5EAD"/>
    <w:rsid w:val="001F5F30"/>
    <w:rsid w:val="001F5FDB"/>
    <w:rsid w:val="001F6099"/>
    <w:rsid w:val="001F60C3"/>
    <w:rsid w:val="001F618F"/>
    <w:rsid w:val="001F620B"/>
    <w:rsid w:val="001F6288"/>
    <w:rsid w:val="001F62B3"/>
    <w:rsid w:val="001F62CC"/>
    <w:rsid w:val="001F664F"/>
    <w:rsid w:val="001F66AC"/>
    <w:rsid w:val="001F683E"/>
    <w:rsid w:val="001F685A"/>
    <w:rsid w:val="001F69EA"/>
    <w:rsid w:val="001F6A6B"/>
    <w:rsid w:val="001F6C3A"/>
    <w:rsid w:val="001F6C4B"/>
    <w:rsid w:val="001F6C5F"/>
    <w:rsid w:val="001F6DF2"/>
    <w:rsid w:val="001F6E0F"/>
    <w:rsid w:val="001F6E3D"/>
    <w:rsid w:val="001F6E79"/>
    <w:rsid w:val="001F6E9E"/>
    <w:rsid w:val="001F6F2D"/>
    <w:rsid w:val="001F70A1"/>
    <w:rsid w:val="001F71CB"/>
    <w:rsid w:val="001F720A"/>
    <w:rsid w:val="001F75C7"/>
    <w:rsid w:val="001F76DC"/>
    <w:rsid w:val="001F7710"/>
    <w:rsid w:val="001F77C4"/>
    <w:rsid w:val="001F787A"/>
    <w:rsid w:val="001F78B0"/>
    <w:rsid w:val="001F79B1"/>
    <w:rsid w:val="001F7BCC"/>
    <w:rsid w:val="001F7C37"/>
    <w:rsid w:val="001F7D7A"/>
    <w:rsid w:val="001F7D97"/>
    <w:rsid w:val="00200000"/>
    <w:rsid w:val="0020006B"/>
    <w:rsid w:val="002000D6"/>
    <w:rsid w:val="00200157"/>
    <w:rsid w:val="00200320"/>
    <w:rsid w:val="002003A2"/>
    <w:rsid w:val="00200402"/>
    <w:rsid w:val="00200476"/>
    <w:rsid w:val="002006F5"/>
    <w:rsid w:val="002006FC"/>
    <w:rsid w:val="00200763"/>
    <w:rsid w:val="00200918"/>
    <w:rsid w:val="00200936"/>
    <w:rsid w:val="002009B1"/>
    <w:rsid w:val="00200A48"/>
    <w:rsid w:val="00200B49"/>
    <w:rsid w:val="00200B6F"/>
    <w:rsid w:val="00200DBB"/>
    <w:rsid w:val="00200F97"/>
    <w:rsid w:val="002012ED"/>
    <w:rsid w:val="002013F2"/>
    <w:rsid w:val="00201456"/>
    <w:rsid w:val="0020160F"/>
    <w:rsid w:val="002016F3"/>
    <w:rsid w:val="00201761"/>
    <w:rsid w:val="002017E2"/>
    <w:rsid w:val="00201830"/>
    <w:rsid w:val="00201939"/>
    <w:rsid w:val="00201A0E"/>
    <w:rsid w:val="00201A7C"/>
    <w:rsid w:val="00201AAD"/>
    <w:rsid w:val="00201B9E"/>
    <w:rsid w:val="00201DBE"/>
    <w:rsid w:val="00201E61"/>
    <w:rsid w:val="00201F00"/>
    <w:rsid w:val="00201F22"/>
    <w:rsid w:val="00202397"/>
    <w:rsid w:val="002023B5"/>
    <w:rsid w:val="00202440"/>
    <w:rsid w:val="0020253D"/>
    <w:rsid w:val="002025F8"/>
    <w:rsid w:val="002028FF"/>
    <w:rsid w:val="00202BE0"/>
    <w:rsid w:val="00202C6E"/>
    <w:rsid w:val="00202C7E"/>
    <w:rsid w:val="00202CA4"/>
    <w:rsid w:val="00202CB3"/>
    <w:rsid w:val="00202DC9"/>
    <w:rsid w:val="00202DF0"/>
    <w:rsid w:val="00202E2C"/>
    <w:rsid w:val="00202E2E"/>
    <w:rsid w:val="00202E44"/>
    <w:rsid w:val="00202F2B"/>
    <w:rsid w:val="00202F92"/>
    <w:rsid w:val="0020305D"/>
    <w:rsid w:val="002030A5"/>
    <w:rsid w:val="00203169"/>
    <w:rsid w:val="00203177"/>
    <w:rsid w:val="002032DB"/>
    <w:rsid w:val="0020336D"/>
    <w:rsid w:val="002033A2"/>
    <w:rsid w:val="0020346D"/>
    <w:rsid w:val="00203471"/>
    <w:rsid w:val="00203530"/>
    <w:rsid w:val="002035C2"/>
    <w:rsid w:val="00203675"/>
    <w:rsid w:val="002036F8"/>
    <w:rsid w:val="002037A4"/>
    <w:rsid w:val="002037A9"/>
    <w:rsid w:val="00203865"/>
    <w:rsid w:val="0020396D"/>
    <w:rsid w:val="00203988"/>
    <w:rsid w:val="002039D4"/>
    <w:rsid w:val="00203A63"/>
    <w:rsid w:val="00203B15"/>
    <w:rsid w:val="00203E6E"/>
    <w:rsid w:val="00203E98"/>
    <w:rsid w:val="00203F98"/>
    <w:rsid w:val="00203FB1"/>
    <w:rsid w:val="00203FC3"/>
    <w:rsid w:val="0020407F"/>
    <w:rsid w:val="0020412F"/>
    <w:rsid w:val="0020420B"/>
    <w:rsid w:val="00204398"/>
    <w:rsid w:val="002043DA"/>
    <w:rsid w:val="00204422"/>
    <w:rsid w:val="00204452"/>
    <w:rsid w:val="002044CC"/>
    <w:rsid w:val="002045C3"/>
    <w:rsid w:val="002046EB"/>
    <w:rsid w:val="00204727"/>
    <w:rsid w:val="0020476D"/>
    <w:rsid w:val="002047E1"/>
    <w:rsid w:val="002048C0"/>
    <w:rsid w:val="00204A2D"/>
    <w:rsid w:val="00204A35"/>
    <w:rsid w:val="00204BBD"/>
    <w:rsid w:val="00204C77"/>
    <w:rsid w:val="00204ECE"/>
    <w:rsid w:val="00204FD2"/>
    <w:rsid w:val="00204FF5"/>
    <w:rsid w:val="00205081"/>
    <w:rsid w:val="002050DA"/>
    <w:rsid w:val="002052DC"/>
    <w:rsid w:val="002053E4"/>
    <w:rsid w:val="00205479"/>
    <w:rsid w:val="002055A9"/>
    <w:rsid w:val="002055F6"/>
    <w:rsid w:val="002055F8"/>
    <w:rsid w:val="00205762"/>
    <w:rsid w:val="00205847"/>
    <w:rsid w:val="0020599E"/>
    <w:rsid w:val="002059EA"/>
    <w:rsid w:val="00205A31"/>
    <w:rsid w:val="00205BD7"/>
    <w:rsid w:val="00205CF1"/>
    <w:rsid w:val="00205DD7"/>
    <w:rsid w:val="00205ECF"/>
    <w:rsid w:val="00206061"/>
    <w:rsid w:val="002061DD"/>
    <w:rsid w:val="00206200"/>
    <w:rsid w:val="0020628D"/>
    <w:rsid w:val="002062D1"/>
    <w:rsid w:val="0020660D"/>
    <w:rsid w:val="002066FC"/>
    <w:rsid w:val="0020678E"/>
    <w:rsid w:val="002068A6"/>
    <w:rsid w:val="002068F0"/>
    <w:rsid w:val="00206A95"/>
    <w:rsid w:val="00206AE0"/>
    <w:rsid w:val="00206CD7"/>
    <w:rsid w:val="00206F62"/>
    <w:rsid w:val="00206F6D"/>
    <w:rsid w:val="00206FDC"/>
    <w:rsid w:val="00207114"/>
    <w:rsid w:val="00207140"/>
    <w:rsid w:val="00207175"/>
    <w:rsid w:val="0020719C"/>
    <w:rsid w:val="002071CD"/>
    <w:rsid w:val="0020750E"/>
    <w:rsid w:val="0020755F"/>
    <w:rsid w:val="00207599"/>
    <w:rsid w:val="0020759E"/>
    <w:rsid w:val="002075C0"/>
    <w:rsid w:val="00207625"/>
    <w:rsid w:val="002077A4"/>
    <w:rsid w:val="002077CD"/>
    <w:rsid w:val="002077EB"/>
    <w:rsid w:val="002078BE"/>
    <w:rsid w:val="00207994"/>
    <w:rsid w:val="00207A63"/>
    <w:rsid w:val="00207B95"/>
    <w:rsid w:val="00207CE5"/>
    <w:rsid w:val="00207F83"/>
    <w:rsid w:val="00207FA3"/>
    <w:rsid w:val="00210032"/>
    <w:rsid w:val="00210214"/>
    <w:rsid w:val="00210265"/>
    <w:rsid w:val="002103B2"/>
    <w:rsid w:val="0021051D"/>
    <w:rsid w:val="002105A3"/>
    <w:rsid w:val="002105DE"/>
    <w:rsid w:val="00210695"/>
    <w:rsid w:val="002106D3"/>
    <w:rsid w:val="00210852"/>
    <w:rsid w:val="0021088B"/>
    <w:rsid w:val="002108B3"/>
    <w:rsid w:val="002109CA"/>
    <w:rsid w:val="00210CD1"/>
    <w:rsid w:val="00210D1D"/>
    <w:rsid w:val="00210DCA"/>
    <w:rsid w:val="00210E64"/>
    <w:rsid w:val="00210E76"/>
    <w:rsid w:val="00210EA7"/>
    <w:rsid w:val="00210EC3"/>
    <w:rsid w:val="00210F85"/>
    <w:rsid w:val="00211241"/>
    <w:rsid w:val="00211299"/>
    <w:rsid w:val="002112F7"/>
    <w:rsid w:val="00211315"/>
    <w:rsid w:val="002114E9"/>
    <w:rsid w:val="0021152D"/>
    <w:rsid w:val="0021155B"/>
    <w:rsid w:val="00211669"/>
    <w:rsid w:val="00211859"/>
    <w:rsid w:val="002118A7"/>
    <w:rsid w:val="00211940"/>
    <w:rsid w:val="00211AA4"/>
    <w:rsid w:val="00211ACC"/>
    <w:rsid w:val="00211B65"/>
    <w:rsid w:val="00211DBE"/>
    <w:rsid w:val="00211E27"/>
    <w:rsid w:val="00211E40"/>
    <w:rsid w:val="00211EBF"/>
    <w:rsid w:val="00211F32"/>
    <w:rsid w:val="002120E4"/>
    <w:rsid w:val="00212312"/>
    <w:rsid w:val="002123CC"/>
    <w:rsid w:val="002124C2"/>
    <w:rsid w:val="00212554"/>
    <w:rsid w:val="0021270F"/>
    <w:rsid w:val="00212736"/>
    <w:rsid w:val="00212752"/>
    <w:rsid w:val="002128C4"/>
    <w:rsid w:val="002129EC"/>
    <w:rsid w:val="00212A4B"/>
    <w:rsid w:val="00212A55"/>
    <w:rsid w:val="00212BF3"/>
    <w:rsid w:val="00212CDF"/>
    <w:rsid w:val="00212DCA"/>
    <w:rsid w:val="00212DD7"/>
    <w:rsid w:val="00212EC1"/>
    <w:rsid w:val="00212F4A"/>
    <w:rsid w:val="00212F71"/>
    <w:rsid w:val="0021300B"/>
    <w:rsid w:val="00213014"/>
    <w:rsid w:val="002131D8"/>
    <w:rsid w:val="00213206"/>
    <w:rsid w:val="002132DD"/>
    <w:rsid w:val="002134A2"/>
    <w:rsid w:val="00213546"/>
    <w:rsid w:val="00213567"/>
    <w:rsid w:val="0021358A"/>
    <w:rsid w:val="0021359F"/>
    <w:rsid w:val="0021370B"/>
    <w:rsid w:val="002137EE"/>
    <w:rsid w:val="00213A3F"/>
    <w:rsid w:val="00213AC8"/>
    <w:rsid w:val="00213AF7"/>
    <w:rsid w:val="00213C17"/>
    <w:rsid w:val="00213D36"/>
    <w:rsid w:val="00213FB3"/>
    <w:rsid w:val="00213FF7"/>
    <w:rsid w:val="0021401C"/>
    <w:rsid w:val="002140BD"/>
    <w:rsid w:val="00214173"/>
    <w:rsid w:val="0021417E"/>
    <w:rsid w:val="0021438A"/>
    <w:rsid w:val="00214417"/>
    <w:rsid w:val="0021451C"/>
    <w:rsid w:val="002146A6"/>
    <w:rsid w:val="0021493C"/>
    <w:rsid w:val="00214944"/>
    <w:rsid w:val="00214A69"/>
    <w:rsid w:val="00214CF2"/>
    <w:rsid w:val="00214EDD"/>
    <w:rsid w:val="00214FF6"/>
    <w:rsid w:val="0021500A"/>
    <w:rsid w:val="002152B3"/>
    <w:rsid w:val="002152E7"/>
    <w:rsid w:val="0021545C"/>
    <w:rsid w:val="0021550F"/>
    <w:rsid w:val="00215518"/>
    <w:rsid w:val="00215563"/>
    <w:rsid w:val="002155A6"/>
    <w:rsid w:val="00215647"/>
    <w:rsid w:val="002156B3"/>
    <w:rsid w:val="00215771"/>
    <w:rsid w:val="0021583D"/>
    <w:rsid w:val="00215854"/>
    <w:rsid w:val="002158AC"/>
    <w:rsid w:val="00215969"/>
    <w:rsid w:val="00215BB2"/>
    <w:rsid w:val="00215FB3"/>
    <w:rsid w:val="00216067"/>
    <w:rsid w:val="002160D0"/>
    <w:rsid w:val="00216152"/>
    <w:rsid w:val="0021616B"/>
    <w:rsid w:val="002161E2"/>
    <w:rsid w:val="00216235"/>
    <w:rsid w:val="00216301"/>
    <w:rsid w:val="002163AF"/>
    <w:rsid w:val="002163D9"/>
    <w:rsid w:val="00216490"/>
    <w:rsid w:val="002164D3"/>
    <w:rsid w:val="00216660"/>
    <w:rsid w:val="00216759"/>
    <w:rsid w:val="0021677D"/>
    <w:rsid w:val="002167B5"/>
    <w:rsid w:val="002169AF"/>
    <w:rsid w:val="00216AB9"/>
    <w:rsid w:val="00216AE7"/>
    <w:rsid w:val="00216AEF"/>
    <w:rsid w:val="00216C06"/>
    <w:rsid w:val="00216D4A"/>
    <w:rsid w:val="00216D80"/>
    <w:rsid w:val="00216D9F"/>
    <w:rsid w:val="00216EDA"/>
    <w:rsid w:val="00216F51"/>
    <w:rsid w:val="00216FD7"/>
    <w:rsid w:val="00217189"/>
    <w:rsid w:val="00217237"/>
    <w:rsid w:val="00217395"/>
    <w:rsid w:val="0021747B"/>
    <w:rsid w:val="002174B3"/>
    <w:rsid w:val="002174CE"/>
    <w:rsid w:val="002175A4"/>
    <w:rsid w:val="0021773C"/>
    <w:rsid w:val="00217936"/>
    <w:rsid w:val="00217971"/>
    <w:rsid w:val="002179B4"/>
    <w:rsid w:val="00217A69"/>
    <w:rsid w:val="00217C26"/>
    <w:rsid w:val="00217C75"/>
    <w:rsid w:val="00217CCD"/>
    <w:rsid w:val="00217CE1"/>
    <w:rsid w:val="00220011"/>
    <w:rsid w:val="00220025"/>
    <w:rsid w:val="002200B5"/>
    <w:rsid w:val="002201B9"/>
    <w:rsid w:val="002203F3"/>
    <w:rsid w:val="0022049E"/>
    <w:rsid w:val="00220625"/>
    <w:rsid w:val="00220728"/>
    <w:rsid w:val="0022086C"/>
    <w:rsid w:val="00220874"/>
    <w:rsid w:val="002208CE"/>
    <w:rsid w:val="00220A39"/>
    <w:rsid w:val="00220A78"/>
    <w:rsid w:val="00220A8B"/>
    <w:rsid w:val="00220AED"/>
    <w:rsid w:val="00220B19"/>
    <w:rsid w:val="00220B5F"/>
    <w:rsid w:val="00220BB5"/>
    <w:rsid w:val="00221042"/>
    <w:rsid w:val="002210B8"/>
    <w:rsid w:val="002213D8"/>
    <w:rsid w:val="002214D0"/>
    <w:rsid w:val="002215C6"/>
    <w:rsid w:val="00221629"/>
    <w:rsid w:val="002216CD"/>
    <w:rsid w:val="00221783"/>
    <w:rsid w:val="00221793"/>
    <w:rsid w:val="0022197E"/>
    <w:rsid w:val="00221A13"/>
    <w:rsid w:val="00221A2F"/>
    <w:rsid w:val="00221A7A"/>
    <w:rsid w:val="00221D50"/>
    <w:rsid w:val="00221DA7"/>
    <w:rsid w:val="00221F40"/>
    <w:rsid w:val="00222005"/>
    <w:rsid w:val="00222122"/>
    <w:rsid w:val="0022221F"/>
    <w:rsid w:val="00222627"/>
    <w:rsid w:val="0022267C"/>
    <w:rsid w:val="002227BB"/>
    <w:rsid w:val="002227D6"/>
    <w:rsid w:val="002229B5"/>
    <w:rsid w:val="00222A00"/>
    <w:rsid w:val="00222B2C"/>
    <w:rsid w:val="00222B53"/>
    <w:rsid w:val="00222CCC"/>
    <w:rsid w:val="00222D5E"/>
    <w:rsid w:val="00222E37"/>
    <w:rsid w:val="00222EC0"/>
    <w:rsid w:val="00222FC2"/>
    <w:rsid w:val="00222FE1"/>
    <w:rsid w:val="00223013"/>
    <w:rsid w:val="00223132"/>
    <w:rsid w:val="002231D7"/>
    <w:rsid w:val="00223243"/>
    <w:rsid w:val="00223290"/>
    <w:rsid w:val="002232D4"/>
    <w:rsid w:val="00223346"/>
    <w:rsid w:val="0022345F"/>
    <w:rsid w:val="00223479"/>
    <w:rsid w:val="00223521"/>
    <w:rsid w:val="002235EC"/>
    <w:rsid w:val="002238C4"/>
    <w:rsid w:val="00223A9C"/>
    <w:rsid w:val="00223B65"/>
    <w:rsid w:val="00223BEC"/>
    <w:rsid w:val="00223D0D"/>
    <w:rsid w:val="00223E45"/>
    <w:rsid w:val="00223E6B"/>
    <w:rsid w:val="00223F11"/>
    <w:rsid w:val="0022409B"/>
    <w:rsid w:val="002240D8"/>
    <w:rsid w:val="002241AD"/>
    <w:rsid w:val="002241B4"/>
    <w:rsid w:val="00224322"/>
    <w:rsid w:val="0022432C"/>
    <w:rsid w:val="002243EA"/>
    <w:rsid w:val="00224429"/>
    <w:rsid w:val="0022457D"/>
    <w:rsid w:val="0022467E"/>
    <w:rsid w:val="0022479E"/>
    <w:rsid w:val="0022482F"/>
    <w:rsid w:val="00224934"/>
    <w:rsid w:val="00224A74"/>
    <w:rsid w:val="00224AED"/>
    <w:rsid w:val="00224BED"/>
    <w:rsid w:val="00224BF5"/>
    <w:rsid w:val="00224C1A"/>
    <w:rsid w:val="00224C9E"/>
    <w:rsid w:val="00224DDD"/>
    <w:rsid w:val="00225026"/>
    <w:rsid w:val="0022518C"/>
    <w:rsid w:val="002251B1"/>
    <w:rsid w:val="00225224"/>
    <w:rsid w:val="002252EE"/>
    <w:rsid w:val="00225332"/>
    <w:rsid w:val="00225382"/>
    <w:rsid w:val="00225455"/>
    <w:rsid w:val="0022555C"/>
    <w:rsid w:val="0022556A"/>
    <w:rsid w:val="002255E7"/>
    <w:rsid w:val="00225689"/>
    <w:rsid w:val="002256EE"/>
    <w:rsid w:val="00225785"/>
    <w:rsid w:val="002257C7"/>
    <w:rsid w:val="00225817"/>
    <w:rsid w:val="0022583B"/>
    <w:rsid w:val="002258BE"/>
    <w:rsid w:val="002259B5"/>
    <w:rsid w:val="002259F8"/>
    <w:rsid w:val="00225A7E"/>
    <w:rsid w:val="00225A8A"/>
    <w:rsid w:val="00225B92"/>
    <w:rsid w:val="00225C7F"/>
    <w:rsid w:val="00225D74"/>
    <w:rsid w:val="00225EAC"/>
    <w:rsid w:val="00225EF1"/>
    <w:rsid w:val="00225EF3"/>
    <w:rsid w:val="00225F63"/>
    <w:rsid w:val="00225FBC"/>
    <w:rsid w:val="002260B1"/>
    <w:rsid w:val="002260FC"/>
    <w:rsid w:val="0022611A"/>
    <w:rsid w:val="00226228"/>
    <w:rsid w:val="002262A7"/>
    <w:rsid w:val="002262C6"/>
    <w:rsid w:val="00226325"/>
    <w:rsid w:val="0022632A"/>
    <w:rsid w:val="00226398"/>
    <w:rsid w:val="002264CB"/>
    <w:rsid w:val="002265F2"/>
    <w:rsid w:val="0022672C"/>
    <w:rsid w:val="0022672F"/>
    <w:rsid w:val="002268EF"/>
    <w:rsid w:val="002269C9"/>
    <w:rsid w:val="00226BC4"/>
    <w:rsid w:val="00226C21"/>
    <w:rsid w:val="00226D3F"/>
    <w:rsid w:val="00226E96"/>
    <w:rsid w:val="00226ECA"/>
    <w:rsid w:val="00226F00"/>
    <w:rsid w:val="00226F42"/>
    <w:rsid w:val="00226F4A"/>
    <w:rsid w:val="00226F5C"/>
    <w:rsid w:val="002271F8"/>
    <w:rsid w:val="00227222"/>
    <w:rsid w:val="00227300"/>
    <w:rsid w:val="0022733B"/>
    <w:rsid w:val="00227354"/>
    <w:rsid w:val="00227476"/>
    <w:rsid w:val="002274EE"/>
    <w:rsid w:val="0022751E"/>
    <w:rsid w:val="002276C7"/>
    <w:rsid w:val="0022776E"/>
    <w:rsid w:val="00227775"/>
    <w:rsid w:val="0022780B"/>
    <w:rsid w:val="002278E1"/>
    <w:rsid w:val="00227939"/>
    <w:rsid w:val="002279F2"/>
    <w:rsid w:val="00227A26"/>
    <w:rsid w:val="00227B68"/>
    <w:rsid w:val="00227BA0"/>
    <w:rsid w:val="00227BA1"/>
    <w:rsid w:val="00227CA4"/>
    <w:rsid w:val="00227EED"/>
    <w:rsid w:val="00227EFF"/>
    <w:rsid w:val="00227FC3"/>
    <w:rsid w:val="00230002"/>
    <w:rsid w:val="002300DC"/>
    <w:rsid w:val="00230198"/>
    <w:rsid w:val="00230280"/>
    <w:rsid w:val="002302C4"/>
    <w:rsid w:val="002304A1"/>
    <w:rsid w:val="00230684"/>
    <w:rsid w:val="00230891"/>
    <w:rsid w:val="002309CC"/>
    <w:rsid w:val="00230CC2"/>
    <w:rsid w:val="00230E3B"/>
    <w:rsid w:val="00230E97"/>
    <w:rsid w:val="00230F7B"/>
    <w:rsid w:val="00230FA2"/>
    <w:rsid w:val="0023117A"/>
    <w:rsid w:val="00231288"/>
    <w:rsid w:val="00231354"/>
    <w:rsid w:val="0023144A"/>
    <w:rsid w:val="002314D2"/>
    <w:rsid w:val="00231533"/>
    <w:rsid w:val="0023159F"/>
    <w:rsid w:val="002315D6"/>
    <w:rsid w:val="00231837"/>
    <w:rsid w:val="00231B8B"/>
    <w:rsid w:val="00231C37"/>
    <w:rsid w:val="00231F47"/>
    <w:rsid w:val="00232042"/>
    <w:rsid w:val="00232084"/>
    <w:rsid w:val="00232097"/>
    <w:rsid w:val="00232199"/>
    <w:rsid w:val="00232212"/>
    <w:rsid w:val="002322AA"/>
    <w:rsid w:val="0023234D"/>
    <w:rsid w:val="0023245C"/>
    <w:rsid w:val="00232520"/>
    <w:rsid w:val="0023259C"/>
    <w:rsid w:val="00232766"/>
    <w:rsid w:val="00232941"/>
    <w:rsid w:val="0023298E"/>
    <w:rsid w:val="002329BC"/>
    <w:rsid w:val="00232C5D"/>
    <w:rsid w:val="00232C9E"/>
    <w:rsid w:val="00232CC2"/>
    <w:rsid w:val="00232D13"/>
    <w:rsid w:val="00232D89"/>
    <w:rsid w:val="00232EF4"/>
    <w:rsid w:val="00232EF7"/>
    <w:rsid w:val="00232FC2"/>
    <w:rsid w:val="002330D3"/>
    <w:rsid w:val="00233149"/>
    <w:rsid w:val="0023319E"/>
    <w:rsid w:val="002334A6"/>
    <w:rsid w:val="002334A9"/>
    <w:rsid w:val="002334AD"/>
    <w:rsid w:val="002334DF"/>
    <w:rsid w:val="002337AF"/>
    <w:rsid w:val="00233A45"/>
    <w:rsid w:val="00233B0E"/>
    <w:rsid w:val="00233BB5"/>
    <w:rsid w:val="00233D80"/>
    <w:rsid w:val="00233D8A"/>
    <w:rsid w:val="00233DD6"/>
    <w:rsid w:val="00233E63"/>
    <w:rsid w:val="00233F4E"/>
    <w:rsid w:val="002340B2"/>
    <w:rsid w:val="002340F3"/>
    <w:rsid w:val="002341E5"/>
    <w:rsid w:val="0023420B"/>
    <w:rsid w:val="0023420C"/>
    <w:rsid w:val="00234411"/>
    <w:rsid w:val="00234448"/>
    <w:rsid w:val="0023445C"/>
    <w:rsid w:val="00234695"/>
    <w:rsid w:val="002346B8"/>
    <w:rsid w:val="002348DD"/>
    <w:rsid w:val="00234D03"/>
    <w:rsid w:val="00234D4B"/>
    <w:rsid w:val="00234F03"/>
    <w:rsid w:val="00234F35"/>
    <w:rsid w:val="00234F6A"/>
    <w:rsid w:val="0023501D"/>
    <w:rsid w:val="00235051"/>
    <w:rsid w:val="002350B9"/>
    <w:rsid w:val="002350D6"/>
    <w:rsid w:val="0023516D"/>
    <w:rsid w:val="0023521F"/>
    <w:rsid w:val="0023527E"/>
    <w:rsid w:val="002352CC"/>
    <w:rsid w:val="00235496"/>
    <w:rsid w:val="0023555D"/>
    <w:rsid w:val="00235581"/>
    <w:rsid w:val="002355D7"/>
    <w:rsid w:val="00235649"/>
    <w:rsid w:val="002356F6"/>
    <w:rsid w:val="00235766"/>
    <w:rsid w:val="002357B8"/>
    <w:rsid w:val="0023587B"/>
    <w:rsid w:val="002359B8"/>
    <w:rsid w:val="00235A04"/>
    <w:rsid w:val="00235A12"/>
    <w:rsid w:val="00235AFF"/>
    <w:rsid w:val="00235B97"/>
    <w:rsid w:val="00235BAB"/>
    <w:rsid w:val="00235CD7"/>
    <w:rsid w:val="00235DCA"/>
    <w:rsid w:val="00235E3B"/>
    <w:rsid w:val="00235F6D"/>
    <w:rsid w:val="00235F90"/>
    <w:rsid w:val="00236046"/>
    <w:rsid w:val="0023609D"/>
    <w:rsid w:val="002360F2"/>
    <w:rsid w:val="00236105"/>
    <w:rsid w:val="0023610C"/>
    <w:rsid w:val="00236227"/>
    <w:rsid w:val="00236352"/>
    <w:rsid w:val="0023643A"/>
    <w:rsid w:val="0023643D"/>
    <w:rsid w:val="00236469"/>
    <w:rsid w:val="0023669D"/>
    <w:rsid w:val="00236741"/>
    <w:rsid w:val="00236970"/>
    <w:rsid w:val="0023698D"/>
    <w:rsid w:val="00236A65"/>
    <w:rsid w:val="00236AEA"/>
    <w:rsid w:val="00236C3F"/>
    <w:rsid w:val="00236CA3"/>
    <w:rsid w:val="00236D84"/>
    <w:rsid w:val="00236D93"/>
    <w:rsid w:val="00236E50"/>
    <w:rsid w:val="00236F49"/>
    <w:rsid w:val="00237095"/>
    <w:rsid w:val="0023712C"/>
    <w:rsid w:val="002373A5"/>
    <w:rsid w:val="00237550"/>
    <w:rsid w:val="00237586"/>
    <w:rsid w:val="00237883"/>
    <w:rsid w:val="002379FE"/>
    <w:rsid w:val="00237A0F"/>
    <w:rsid w:val="00237A7D"/>
    <w:rsid w:val="00237AF9"/>
    <w:rsid w:val="00237B0D"/>
    <w:rsid w:val="00237B0F"/>
    <w:rsid w:val="00237BCA"/>
    <w:rsid w:val="00237CA3"/>
    <w:rsid w:val="00237CCF"/>
    <w:rsid w:val="00237F91"/>
    <w:rsid w:val="00240063"/>
    <w:rsid w:val="002400C1"/>
    <w:rsid w:val="0024011B"/>
    <w:rsid w:val="00240291"/>
    <w:rsid w:val="00240295"/>
    <w:rsid w:val="002402AF"/>
    <w:rsid w:val="00240394"/>
    <w:rsid w:val="002403A7"/>
    <w:rsid w:val="002403EB"/>
    <w:rsid w:val="002405A3"/>
    <w:rsid w:val="00240634"/>
    <w:rsid w:val="0024063A"/>
    <w:rsid w:val="0024067B"/>
    <w:rsid w:val="0024067D"/>
    <w:rsid w:val="0024068B"/>
    <w:rsid w:val="00240738"/>
    <w:rsid w:val="0024081B"/>
    <w:rsid w:val="002409AD"/>
    <w:rsid w:val="00240B2F"/>
    <w:rsid w:val="00240B66"/>
    <w:rsid w:val="00240CEA"/>
    <w:rsid w:val="00240D27"/>
    <w:rsid w:val="00240DD3"/>
    <w:rsid w:val="00240DF2"/>
    <w:rsid w:val="00240EDC"/>
    <w:rsid w:val="00240F49"/>
    <w:rsid w:val="00241192"/>
    <w:rsid w:val="0024119D"/>
    <w:rsid w:val="002411EE"/>
    <w:rsid w:val="002413B7"/>
    <w:rsid w:val="002413CB"/>
    <w:rsid w:val="002413E1"/>
    <w:rsid w:val="00241499"/>
    <w:rsid w:val="00241506"/>
    <w:rsid w:val="002416C4"/>
    <w:rsid w:val="00241887"/>
    <w:rsid w:val="002418A5"/>
    <w:rsid w:val="00241AAF"/>
    <w:rsid w:val="00241AC2"/>
    <w:rsid w:val="00241C64"/>
    <w:rsid w:val="00241CA2"/>
    <w:rsid w:val="00241D13"/>
    <w:rsid w:val="00241D24"/>
    <w:rsid w:val="00241E25"/>
    <w:rsid w:val="00241E99"/>
    <w:rsid w:val="00241EA8"/>
    <w:rsid w:val="00241F34"/>
    <w:rsid w:val="00241F71"/>
    <w:rsid w:val="00241FE8"/>
    <w:rsid w:val="002420E5"/>
    <w:rsid w:val="002421A1"/>
    <w:rsid w:val="002421DD"/>
    <w:rsid w:val="002424BB"/>
    <w:rsid w:val="00242508"/>
    <w:rsid w:val="00242729"/>
    <w:rsid w:val="0024276D"/>
    <w:rsid w:val="002428CB"/>
    <w:rsid w:val="00242957"/>
    <w:rsid w:val="00242A2E"/>
    <w:rsid w:val="00242BD9"/>
    <w:rsid w:val="00242C38"/>
    <w:rsid w:val="00242C4E"/>
    <w:rsid w:val="00242C6C"/>
    <w:rsid w:val="00242C70"/>
    <w:rsid w:val="00242CB7"/>
    <w:rsid w:val="00242CF5"/>
    <w:rsid w:val="00242E48"/>
    <w:rsid w:val="00242EBE"/>
    <w:rsid w:val="00243051"/>
    <w:rsid w:val="0024312F"/>
    <w:rsid w:val="00243146"/>
    <w:rsid w:val="00243243"/>
    <w:rsid w:val="002434EA"/>
    <w:rsid w:val="00243581"/>
    <w:rsid w:val="002435E6"/>
    <w:rsid w:val="00243605"/>
    <w:rsid w:val="0024374D"/>
    <w:rsid w:val="0024379A"/>
    <w:rsid w:val="00243804"/>
    <w:rsid w:val="002438CE"/>
    <w:rsid w:val="00243927"/>
    <w:rsid w:val="002439A3"/>
    <w:rsid w:val="002439D3"/>
    <w:rsid w:val="002439D9"/>
    <w:rsid w:val="00243A1C"/>
    <w:rsid w:val="00243A48"/>
    <w:rsid w:val="00243B7E"/>
    <w:rsid w:val="00243BBB"/>
    <w:rsid w:val="00243F3A"/>
    <w:rsid w:val="00243F8B"/>
    <w:rsid w:val="00243FC9"/>
    <w:rsid w:val="00244065"/>
    <w:rsid w:val="00244320"/>
    <w:rsid w:val="002443AE"/>
    <w:rsid w:val="002444C6"/>
    <w:rsid w:val="002445DF"/>
    <w:rsid w:val="002446CC"/>
    <w:rsid w:val="002446DC"/>
    <w:rsid w:val="002446ED"/>
    <w:rsid w:val="00244733"/>
    <w:rsid w:val="00244755"/>
    <w:rsid w:val="002447F1"/>
    <w:rsid w:val="00244804"/>
    <w:rsid w:val="002449C1"/>
    <w:rsid w:val="00244A70"/>
    <w:rsid w:val="00244AAC"/>
    <w:rsid w:val="00244B2B"/>
    <w:rsid w:val="00244C28"/>
    <w:rsid w:val="00244C5F"/>
    <w:rsid w:val="00244CFD"/>
    <w:rsid w:val="00244D52"/>
    <w:rsid w:val="00244D67"/>
    <w:rsid w:val="00244DBB"/>
    <w:rsid w:val="00244DE5"/>
    <w:rsid w:val="002450AE"/>
    <w:rsid w:val="00245116"/>
    <w:rsid w:val="0024540A"/>
    <w:rsid w:val="002455F6"/>
    <w:rsid w:val="002456D7"/>
    <w:rsid w:val="0024577C"/>
    <w:rsid w:val="00245790"/>
    <w:rsid w:val="0024585E"/>
    <w:rsid w:val="00245875"/>
    <w:rsid w:val="00245894"/>
    <w:rsid w:val="0024589A"/>
    <w:rsid w:val="00245A33"/>
    <w:rsid w:val="00245AA1"/>
    <w:rsid w:val="00245AE0"/>
    <w:rsid w:val="00245B61"/>
    <w:rsid w:val="00245BAD"/>
    <w:rsid w:val="00245BEE"/>
    <w:rsid w:val="00245C80"/>
    <w:rsid w:val="00245E68"/>
    <w:rsid w:val="00245EEB"/>
    <w:rsid w:val="00245F38"/>
    <w:rsid w:val="00245F40"/>
    <w:rsid w:val="00245F62"/>
    <w:rsid w:val="00245FC6"/>
    <w:rsid w:val="0024606A"/>
    <w:rsid w:val="0024609E"/>
    <w:rsid w:val="00246173"/>
    <w:rsid w:val="0024618F"/>
    <w:rsid w:val="00246229"/>
    <w:rsid w:val="002462A7"/>
    <w:rsid w:val="00246363"/>
    <w:rsid w:val="0024639C"/>
    <w:rsid w:val="00246488"/>
    <w:rsid w:val="00246575"/>
    <w:rsid w:val="002466E6"/>
    <w:rsid w:val="00246700"/>
    <w:rsid w:val="00246702"/>
    <w:rsid w:val="0024691D"/>
    <w:rsid w:val="00246925"/>
    <w:rsid w:val="00246A0C"/>
    <w:rsid w:val="00246A70"/>
    <w:rsid w:val="00246B80"/>
    <w:rsid w:val="00246BDE"/>
    <w:rsid w:val="00246C2B"/>
    <w:rsid w:val="00246CB5"/>
    <w:rsid w:val="00246D03"/>
    <w:rsid w:val="00246D09"/>
    <w:rsid w:val="00246E4A"/>
    <w:rsid w:val="002471CC"/>
    <w:rsid w:val="002471E3"/>
    <w:rsid w:val="002472C7"/>
    <w:rsid w:val="002474AC"/>
    <w:rsid w:val="0024763B"/>
    <w:rsid w:val="0024766C"/>
    <w:rsid w:val="00247671"/>
    <w:rsid w:val="00247762"/>
    <w:rsid w:val="002477FF"/>
    <w:rsid w:val="0024780B"/>
    <w:rsid w:val="0024788E"/>
    <w:rsid w:val="002478BC"/>
    <w:rsid w:val="002478DE"/>
    <w:rsid w:val="00247A27"/>
    <w:rsid w:val="00247A28"/>
    <w:rsid w:val="00247A2D"/>
    <w:rsid w:val="00247C37"/>
    <w:rsid w:val="00247C3F"/>
    <w:rsid w:val="00247EC1"/>
    <w:rsid w:val="0025006B"/>
    <w:rsid w:val="002500EC"/>
    <w:rsid w:val="00250238"/>
    <w:rsid w:val="0025025A"/>
    <w:rsid w:val="00250278"/>
    <w:rsid w:val="00250298"/>
    <w:rsid w:val="0025039C"/>
    <w:rsid w:val="00250426"/>
    <w:rsid w:val="00250507"/>
    <w:rsid w:val="00250589"/>
    <w:rsid w:val="002507C7"/>
    <w:rsid w:val="002508BE"/>
    <w:rsid w:val="00250954"/>
    <w:rsid w:val="002509FB"/>
    <w:rsid w:val="00250A92"/>
    <w:rsid w:val="00250B26"/>
    <w:rsid w:val="00250B2B"/>
    <w:rsid w:val="00250BD0"/>
    <w:rsid w:val="00250D88"/>
    <w:rsid w:val="00250EA2"/>
    <w:rsid w:val="00250F6F"/>
    <w:rsid w:val="00251189"/>
    <w:rsid w:val="002511CD"/>
    <w:rsid w:val="002511E7"/>
    <w:rsid w:val="0025120C"/>
    <w:rsid w:val="0025121E"/>
    <w:rsid w:val="0025123C"/>
    <w:rsid w:val="0025130F"/>
    <w:rsid w:val="00251420"/>
    <w:rsid w:val="002514D0"/>
    <w:rsid w:val="00251508"/>
    <w:rsid w:val="0025157D"/>
    <w:rsid w:val="002516AC"/>
    <w:rsid w:val="00251754"/>
    <w:rsid w:val="0025189F"/>
    <w:rsid w:val="0025191E"/>
    <w:rsid w:val="00251929"/>
    <w:rsid w:val="002519DA"/>
    <w:rsid w:val="00251A0B"/>
    <w:rsid w:val="00251A49"/>
    <w:rsid w:val="00251A7F"/>
    <w:rsid w:val="00251A90"/>
    <w:rsid w:val="00251B5F"/>
    <w:rsid w:val="00251B65"/>
    <w:rsid w:val="00251B6D"/>
    <w:rsid w:val="00251CC4"/>
    <w:rsid w:val="00251E7F"/>
    <w:rsid w:val="00251E82"/>
    <w:rsid w:val="00251FC4"/>
    <w:rsid w:val="002520A4"/>
    <w:rsid w:val="00252316"/>
    <w:rsid w:val="00252389"/>
    <w:rsid w:val="00252402"/>
    <w:rsid w:val="002525F3"/>
    <w:rsid w:val="0025264A"/>
    <w:rsid w:val="00252688"/>
    <w:rsid w:val="0025287E"/>
    <w:rsid w:val="002528A7"/>
    <w:rsid w:val="002528D5"/>
    <w:rsid w:val="00252994"/>
    <w:rsid w:val="00252A11"/>
    <w:rsid w:val="00252A53"/>
    <w:rsid w:val="00252C58"/>
    <w:rsid w:val="00252CD8"/>
    <w:rsid w:val="00252CDE"/>
    <w:rsid w:val="00252E84"/>
    <w:rsid w:val="00252F4F"/>
    <w:rsid w:val="0025307C"/>
    <w:rsid w:val="00253179"/>
    <w:rsid w:val="002531A9"/>
    <w:rsid w:val="002532F9"/>
    <w:rsid w:val="00253317"/>
    <w:rsid w:val="0025332C"/>
    <w:rsid w:val="002533B2"/>
    <w:rsid w:val="0025347F"/>
    <w:rsid w:val="00253482"/>
    <w:rsid w:val="00253592"/>
    <w:rsid w:val="0025368B"/>
    <w:rsid w:val="00253A83"/>
    <w:rsid w:val="00253AA9"/>
    <w:rsid w:val="00253C67"/>
    <w:rsid w:val="00253C91"/>
    <w:rsid w:val="00253D25"/>
    <w:rsid w:val="00253E28"/>
    <w:rsid w:val="00253F02"/>
    <w:rsid w:val="00253FF1"/>
    <w:rsid w:val="00253FF9"/>
    <w:rsid w:val="0025400A"/>
    <w:rsid w:val="00254039"/>
    <w:rsid w:val="002541F0"/>
    <w:rsid w:val="00254319"/>
    <w:rsid w:val="00254399"/>
    <w:rsid w:val="002543DE"/>
    <w:rsid w:val="002543EE"/>
    <w:rsid w:val="00254519"/>
    <w:rsid w:val="0025451C"/>
    <w:rsid w:val="0025454F"/>
    <w:rsid w:val="0025456C"/>
    <w:rsid w:val="002547CF"/>
    <w:rsid w:val="0025480E"/>
    <w:rsid w:val="00254926"/>
    <w:rsid w:val="00254941"/>
    <w:rsid w:val="00254955"/>
    <w:rsid w:val="00254964"/>
    <w:rsid w:val="00254A66"/>
    <w:rsid w:val="00254B1C"/>
    <w:rsid w:val="00254B63"/>
    <w:rsid w:val="00254BBE"/>
    <w:rsid w:val="00254BF4"/>
    <w:rsid w:val="00254CE7"/>
    <w:rsid w:val="00254DDF"/>
    <w:rsid w:val="00254E57"/>
    <w:rsid w:val="00254E59"/>
    <w:rsid w:val="00254ECF"/>
    <w:rsid w:val="00254EFA"/>
    <w:rsid w:val="00254F4F"/>
    <w:rsid w:val="00255138"/>
    <w:rsid w:val="00255392"/>
    <w:rsid w:val="00255393"/>
    <w:rsid w:val="002553A2"/>
    <w:rsid w:val="002554C5"/>
    <w:rsid w:val="00255561"/>
    <w:rsid w:val="00255701"/>
    <w:rsid w:val="002557F9"/>
    <w:rsid w:val="00255950"/>
    <w:rsid w:val="00255AAD"/>
    <w:rsid w:val="00255AF5"/>
    <w:rsid w:val="00255AF7"/>
    <w:rsid w:val="00255D99"/>
    <w:rsid w:val="00255F68"/>
    <w:rsid w:val="00256010"/>
    <w:rsid w:val="00256046"/>
    <w:rsid w:val="0025613D"/>
    <w:rsid w:val="00256178"/>
    <w:rsid w:val="002562CC"/>
    <w:rsid w:val="002562DD"/>
    <w:rsid w:val="00256301"/>
    <w:rsid w:val="002563A3"/>
    <w:rsid w:val="00256455"/>
    <w:rsid w:val="00256642"/>
    <w:rsid w:val="00256838"/>
    <w:rsid w:val="0025684D"/>
    <w:rsid w:val="00256981"/>
    <w:rsid w:val="002569A9"/>
    <w:rsid w:val="00256A36"/>
    <w:rsid w:val="00256A43"/>
    <w:rsid w:val="00256B9E"/>
    <w:rsid w:val="00256C05"/>
    <w:rsid w:val="00256C4F"/>
    <w:rsid w:val="00256CC1"/>
    <w:rsid w:val="00256CCE"/>
    <w:rsid w:val="00256E48"/>
    <w:rsid w:val="00256F1B"/>
    <w:rsid w:val="0025701E"/>
    <w:rsid w:val="0025708E"/>
    <w:rsid w:val="002570DD"/>
    <w:rsid w:val="002570E6"/>
    <w:rsid w:val="00257101"/>
    <w:rsid w:val="0025718D"/>
    <w:rsid w:val="002573AE"/>
    <w:rsid w:val="002573BA"/>
    <w:rsid w:val="00257478"/>
    <w:rsid w:val="00257786"/>
    <w:rsid w:val="002578DE"/>
    <w:rsid w:val="00257906"/>
    <w:rsid w:val="00257948"/>
    <w:rsid w:val="00257C03"/>
    <w:rsid w:val="00257C1A"/>
    <w:rsid w:val="00257E4C"/>
    <w:rsid w:val="00257EC0"/>
    <w:rsid w:val="00257FD5"/>
    <w:rsid w:val="00260030"/>
    <w:rsid w:val="00260084"/>
    <w:rsid w:val="00260094"/>
    <w:rsid w:val="002600A9"/>
    <w:rsid w:val="00260145"/>
    <w:rsid w:val="002601DB"/>
    <w:rsid w:val="0026030B"/>
    <w:rsid w:val="0026036A"/>
    <w:rsid w:val="002603CD"/>
    <w:rsid w:val="0026059E"/>
    <w:rsid w:val="0026066D"/>
    <w:rsid w:val="00260721"/>
    <w:rsid w:val="002607AB"/>
    <w:rsid w:val="002608D4"/>
    <w:rsid w:val="00260A6B"/>
    <w:rsid w:val="00260AAE"/>
    <w:rsid w:val="00260D37"/>
    <w:rsid w:val="00260DF9"/>
    <w:rsid w:val="00260DFE"/>
    <w:rsid w:val="00260E65"/>
    <w:rsid w:val="00260F30"/>
    <w:rsid w:val="00260FCD"/>
    <w:rsid w:val="00261102"/>
    <w:rsid w:val="002611F9"/>
    <w:rsid w:val="002612F4"/>
    <w:rsid w:val="0026138E"/>
    <w:rsid w:val="00261467"/>
    <w:rsid w:val="0026156A"/>
    <w:rsid w:val="002615AB"/>
    <w:rsid w:val="002616E5"/>
    <w:rsid w:val="002617BC"/>
    <w:rsid w:val="002617BF"/>
    <w:rsid w:val="002617DC"/>
    <w:rsid w:val="0026182E"/>
    <w:rsid w:val="0026195E"/>
    <w:rsid w:val="00261A47"/>
    <w:rsid w:val="00261B8D"/>
    <w:rsid w:val="00261BF2"/>
    <w:rsid w:val="00261D2A"/>
    <w:rsid w:val="00261D62"/>
    <w:rsid w:val="00261E55"/>
    <w:rsid w:val="00261FA3"/>
    <w:rsid w:val="002620A1"/>
    <w:rsid w:val="00262284"/>
    <w:rsid w:val="002622A7"/>
    <w:rsid w:val="00262347"/>
    <w:rsid w:val="00262386"/>
    <w:rsid w:val="002623C5"/>
    <w:rsid w:val="00262416"/>
    <w:rsid w:val="00262484"/>
    <w:rsid w:val="0026255E"/>
    <w:rsid w:val="002625E4"/>
    <w:rsid w:val="002626C1"/>
    <w:rsid w:val="00262745"/>
    <w:rsid w:val="00262930"/>
    <w:rsid w:val="00262933"/>
    <w:rsid w:val="00262940"/>
    <w:rsid w:val="00262B80"/>
    <w:rsid w:val="00262BDD"/>
    <w:rsid w:val="00262CB5"/>
    <w:rsid w:val="00262D4B"/>
    <w:rsid w:val="00262DB5"/>
    <w:rsid w:val="00262DEE"/>
    <w:rsid w:val="00262ED8"/>
    <w:rsid w:val="00262F0F"/>
    <w:rsid w:val="00262FFA"/>
    <w:rsid w:val="0026306A"/>
    <w:rsid w:val="002631CD"/>
    <w:rsid w:val="00263255"/>
    <w:rsid w:val="00263259"/>
    <w:rsid w:val="00263268"/>
    <w:rsid w:val="00263360"/>
    <w:rsid w:val="00263375"/>
    <w:rsid w:val="0026348E"/>
    <w:rsid w:val="00263665"/>
    <w:rsid w:val="00263754"/>
    <w:rsid w:val="0026389F"/>
    <w:rsid w:val="00263A59"/>
    <w:rsid w:val="00263CC8"/>
    <w:rsid w:val="00263D60"/>
    <w:rsid w:val="00263D6E"/>
    <w:rsid w:val="00263DB2"/>
    <w:rsid w:val="00263DFE"/>
    <w:rsid w:val="00263F40"/>
    <w:rsid w:val="00263F4E"/>
    <w:rsid w:val="00264019"/>
    <w:rsid w:val="0026421C"/>
    <w:rsid w:val="002642D0"/>
    <w:rsid w:val="002644B1"/>
    <w:rsid w:val="0026450B"/>
    <w:rsid w:val="002645E8"/>
    <w:rsid w:val="002646C0"/>
    <w:rsid w:val="0026498D"/>
    <w:rsid w:val="002649FC"/>
    <w:rsid w:val="00264A43"/>
    <w:rsid w:val="00264B5E"/>
    <w:rsid w:val="00264BC9"/>
    <w:rsid w:val="00264C1F"/>
    <w:rsid w:val="00264E75"/>
    <w:rsid w:val="00264FA1"/>
    <w:rsid w:val="00264FC1"/>
    <w:rsid w:val="0026501B"/>
    <w:rsid w:val="0026513C"/>
    <w:rsid w:val="0026519B"/>
    <w:rsid w:val="002651F6"/>
    <w:rsid w:val="00265297"/>
    <w:rsid w:val="00265861"/>
    <w:rsid w:val="002658AE"/>
    <w:rsid w:val="002658B8"/>
    <w:rsid w:val="00265A16"/>
    <w:rsid w:val="00265A2B"/>
    <w:rsid w:val="00265B44"/>
    <w:rsid w:val="00265BC0"/>
    <w:rsid w:val="00265C1B"/>
    <w:rsid w:val="00265C22"/>
    <w:rsid w:val="00265C8E"/>
    <w:rsid w:val="00265CA8"/>
    <w:rsid w:val="00265D7C"/>
    <w:rsid w:val="00265E0F"/>
    <w:rsid w:val="00265E62"/>
    <w:rsid w:val="00265F42"/>
    <w:rsid w:val="00265F4F"/>
    <w:rsid w:val="00265F5C"/>
    <w:rsid w:val="00266070"/>
    <w:rsid w:val="00266102"/>
    <w:rsid w:val="002661D1"/>
    <w:rsid w:val="002662C4"/>
    <w:rsid w:val="00266319"/>
    <w:rsid w:val="0026656B"/>
    <w:rsid w:val="0026666F"/>
    <w:rsid w:val="002666F3"/>
    <w:rsid w:val="00266794"/>
    <w:rsid w:val="0026680F"/>
    <w:rsid w:val="002668E7"/>
    <w:rsid w:val="00266A64"/>
    <w:rsid w:val="00266C2D"/>
    <w:rsid w:val="00266CA0"/>
    <w:rsid w:val="00266CA9"/>
    <w:rsid w:val="00266DD7"/>
    <w:rsid w:val="00266DEE"/>
    <w:rsid w:val="00266E78"/>
    <w:rsid w:val="00266F49"/>
    <w:rsid w:val="0026704B"/>
    <w:rsid w:val="0026712C"/>
    <w:rsid w:val="002671BF"/>
    <w:rsid w:val="002671CF"/>
    <w:rsid w:val="0026738B"/>
    <w:rsid w:val="002673F4"/>
    <w:rsid w:val="002674CD"/>
    <w:rsid w:val="002677B7"/>
    <w:rsid w:val="00267817"/>
    <w:rsid w:val="00267853"/>
    <w:rsid w:val="00267880"/>
    <w:rsid w:val="00267952"/>
    <w:rsid w:val="00267A61"/>
    <w:rsid w:val="00267AE8"/>
    <w:rsid w:val="00267BF8"/>
    <w:rsid w:val="00267C50"/>
    <w:rsid w:val="00267CC5"/>
    <w:rsid w:val="00267D1D"/>
    <w:rsid w:val="00267D46"/>
    <w:rsid w:val="00267DC6"/>
    <w:rsid w:val="00267F18"/>
    <w:rsid w:val="00270134"/>
    <w:rsid w:val="00270169"/>
    <w:rsid w:val="0027038B"/>
    <w:rsid w:val="002703CA"/>
    <w:rsid w:val="00270465"/>
    <w:rsid w:val="00270468"/>
    <w:rsid w:val="0027059B"/>
    <w:rsid w:val="00270611"/>
    <w:rsid w:val="0027063C"/>
    <w:rsid w:val="0027065D"/>
    <w:rsid w:val="0027078B"/>
    <w:rsid w:val="002707F7"/>
    <w:rsid w:val="002708A6"/>
    <w:rsid w:val="00270BAC"/>
    <w:rsid w:val="00270BC7"/>
    <w:rsid w:val="00270CC3"/>
    <w:rsid w:val="00270D9D"/>
    <w:rsid w:val="00270E6A"/>
    <w:rsid w:val="00270FA2"/>
    <w:rsid w:val="00270FAD"/>
    <w:rsid w:val="00270FF8"/>
    <w:rsid w:val="00271030"/>
    <w:rsid w:val="00271045"/>
    <w:rsid w:val="00271046"/>
    <w:rsid w:val="002710A9"/>
    <w:rsid w:val="002711D3"/>
    <w:rsid w:val="00271242"/>
    <w:rsid w:val="00271339"/>
    <w:rsid w:val="0027133B"/>
    <w:rsid w:val="0027138C"/>
    <w:rsid w:val="002713F5"/>
    <w:rsid w:val="002714B1"/>
    <w:rsid w:val="002714BA"/>
    <w:rsid w:val="0027157C"/>
    <w:rsid w:val="002715C6"/>
    <w:rsid w:val="002715FD"/>
    <w:rsid w:val="00271641"/>
    <w:rsid w:val="0027168A"/>
    <w:rsid w:val="00271848"/>
    <w:rsid w:val="00271AA3"/>
    <w:rsid w:val="00271AD5"/>
    <w:rsid w:val="00271BE3"/>
    <w:rsid w:val="00271BF6"/>
    <w:rsid w:val="00271C44"/>
    <w:rsid w:val="00271C69"/>
    <w:rsid w:val="00271FBE"/>
    <w:rsid w:val="0027200E"/>
    <w:rsid w:val="002720AD"/>
    <w:rsid w:val="002721C6"/>
    <w:rsid w:val="002722A2"/>
    <w:rsid w:val="002722AC"/>
    <w:rsid w:val="002723F1"/>
    <w:rsid w:val="002723F5"/>
    <w:rsid w:val="0027245B"/>
    <w:rsid w:val="0027266D"/>
    <w:rsid w:val="002726D2"/>
    <w:rsid w:val="002727EA"/>
    <w:rsid w:val="0027292A"/>
    <w:rsid w:val="00272973"/>
    <w:rsid w:val="002729D1"/>
    <w:rsid w:val="002729E8"/>
    <w:rsid w:val="00272AF2"/>
    <w:rsid w:val="00272B19"/>
    <w:rsid w:val="00272DD5"/>
    <w:rsid w:val="00272E27"/>
    <w:rsid w:val="00272F77"/>
    <w:rsid w:val="0027300C"/>
    <w:rsid w:val="0027304B"/>
    <w:rsid w:val="00273158"/>
    <w:rsid w:val="00273171"/>
    <w:rsid w:val="0027320D"/>
    <w:rsid w:val="002732CF"/>
    <w:rsid w:val="0027343A"/>
    <w:rsid w:val="002734AE"/>
    <w:rsid w:val="002735B0"/>
    <w:rsid w:val="002739F6"/>
    <w:rsid w:val="00273ACE"/>
    <w:rsid w:val="00273AF6"/>
    <w:rsid w:val="00273AFE"/>
    <w:rsid w:val="00273B52"/>
    <w:rsid w:val="00273C51"/>
    <w:rsid w:val="00273C7D"/>
    <w:rsid w:val="00273C81"/>
    <w:rsid w:val="00273FD4"/>
    <w:rsid w:val="00273FFF"/>
    <w:rsid w:val="00274010"/>
    <w:rsid w:val="00274039"/>
    <w:rsid w:val="002742BE"/>
    <w:rsid w:val="00274591"/>
    <w:rsid w:val="002745F4"/>
    <w:rsid w:val="002745F8"/>
    <w:rsid w:val="00274600"/>
    <w:rsid w:val="00274626"/>
    <w:rsid w:val="002746B5"/>
    <w:rsid w:val="002746CD"/>
    <w:rsid w:val="002746E7"/>
    <w:rsid w:val="0027475B"/>
    <w:rsid w:val="002747C4"/>
    <w:rsid w:val="00274826"/>
    <w:rsid w:val="0027498D"/>
    <w:rsid w:val="00274A93"/>
    <w:rsid w:val="00274ADC"/>
    <w:rsid w:val="00274BF6"/>
    <w:rsid w:val="00274C30"/>
    <w:rsid w:val="00274D35"/>
    <w:rsid w:val="00274D88"/>
    <w:rsid w:val="00274EC6"/>
    <w:rsid w:val="00274FBB"/>
    <w:rsid w:val="002750E3"/>
    <w:rsid w:val="0027515D"/>
    <w:rsid w:val="0027516C"/>
    <w:rsid w:val="00275191"/>
    <w:rsid w:val="002751AB"/>
    <w:rsid w:val="002751EF"/>
    <w:rsid w:val="0027521C"/>
    <w:rsid w:val="00275262"/>
    <w:rsid w:val="00275551"/>
    <w:rsid w:val="00275671"/>
    <w:rsid w:val="00275953"/>
    <w:rsid w:val="00275A33"/>
    <w:rsid w:val="00275A4C"/>
    <w:rsid w:val="00275A7A"/>
    <w:rsid w:val="00275CC8"/>
    <w:rsid w:val="00275CF8"/>
    <w:rsid w:val="00275D26"/>
    <w:rsid w:val="00275F7B"/>
    <w:rsid w:val="0027609B"/>
    <w:rsid w:val="002760D8"/>
    <w:rsid w:val="00276171"/>
    <w:rsid w:val="00276178"/>
    <w:rsid w:val="0027646E"/>
    <w:rsid w:val="002764CD"/>
    <w:rsid w:val="0027657C"/>
    <w:rsid w:val="00276607"/>
    <w:rsid w:val="0027660E"/>
    <w:rsid w:val="00276670"/>
    <w:rsid w:val="002767D3"/>
    <w:rsid w:val="002768A9"/>
    <w:rsid w:val="00276A2E"/>
    <w:rsid w:val="00276B30"/>
    <w:rsid w:val="00276B45"/>
    <w:rsid w:val="00276BA5"/>
    <w:rsid w:val="00276D44"/>
    <w:rsid w:val="00276D9B"/>
    <w:rsid w:val="00276E23"/>
    <w:rsid w:val="00276E26"/>
    <w:rsid w:val="00276E37"/>
    <w:rsid w:val="00276E93"/>
    <w:rsid w:val="00276F57"/>
    <w:rsid w:val="00276FC7"/>
    <w:rsid w:val="00277154"/>
    <w:rsid w:val="002771F3"/>
    <w:rsid w:val="00277347"/>
    <w:rsid w:val="002774A7"/>
    <w:rsid w:val="002776AA"/>
    <w:rsid w:val="002777CF"/>
    <w:rsid w:val="002777F2"/>
    <w:rsid w:val="002777FC"/>
    <w:rsid w:val="00277829"/>
    <w:rsid w:val="00277BD6"/>
    <w:rsid w:val="00277D1B"/>
    <w:rsid w:val="00277D67"/>
    <w:rsid w:val="00277DE9"/>
    <w:rsid w:val="00277EF1"/>
    <w:rsid w:val="00277F82"/>
    <w:rsid w:val="0028003B"/>
    <w:rsid w:val="00280109"/>
    <w:rsid w:val="00280142"/>
    <w:rsid w:val="0028014A"/>
    <w:rsid w:val="002801E2"/>
    <w:rsid w:val="002801F9"/>
    <w:rsid w:val="002802D6"/>
    <w:rsid w:val="002803D2"/>
    <w:rsid w:val="002805B9"/>
    <w:rsid w:val="00280731"/>
    <w:rsid w:val="002807C5"/>
    <w:rsid w:val="00280877"/>
    <w:rsid w:val="002809B1"/>
    <w:rsid w:val="00280BEA"/>
    <w:rsid w:val="00280BF0"/>
    <w:rsid w:val="00280D02"/>
    <w:rsid w:val="00280D99"/>
    <w:rsid w:val="00280E53"/>
    <w:rsid w:val="00280F02"/>
    <w:rsid w:val="00280F07"/>
    <w:rsid w:val="002810F9"/>
    <w:rsid w:val="00281112"/>
    <w:rsid w:val="0028119F"/>
    <w:rsid w:val="002811E8"/>
    <w:rsid w:val="002811F1"/>
    <w:rsid w:val="00281202"/>
    <w:rsid w:val="00281543"/>
    <w:rsid w:val="00281598"/>
    <w:rsid w:val="00281633"/>
    <w:rsid w:val="0028163B"/>
    <w:rsid w:val="00281782"/>
    <w:rsid w:val="00281788"/>
    <w:rsid w:val="0028189E"/>
    <w:rsid w:val="00281921"/>
    <w:rsid w:val="00281A6B"/>
    <w:rsid w:val="00281ABD"/>
    <w:rsid w:val="00281ACD"/>
    <w:rsid w:val="00281AE5"/>
    <w:rsid w:val="00281BD1"/>
    <w:rsid w:val="00281CFB"/>
    <w:rsid w:val="00281D4E"/>
    <w:rsid w:val="00281EE2"/>
    <w:rsid w:val="00281F8B"/>
    <w:rsid w:val="00282059"/>
    <w:rsid w:val="002820F5"/>
    <w:rsid w:val="0028218E"/>
    <w:rsid w:val="0028228E"/>
    <w:rsid w:val="002823FC"/>
    <w:rsid w:val="00282467"/>
    <w:rsid w:val="002825F8"/>
    <w:rsid w:val="00282682"/>
    <w:rsid w:val="002826E3"/>
    <w:rsid w:val="00282813"/>
    <w:rsid w:val="00282836"/>
    <w:rsid w:val="0028285E"/>
    <w:rsid w:val="002828A6"/>
    <w:rsid w:val="00282A3E"/>
    <w:rsid w:val="00282BDB"/>
    <w:rsid w:val="00282D9D"/>
    <w:rsid w:val="00282E99"/>
    <w:rsid w:val="00282EF1"/>
    <w:rsid w:val="00282F01"/>
    <w:rsid w:val="00282F7A"/>
    <w:rsid w:val="00283132"/>
    <w:rsid w:val="0028315F"/>
    <w:rsid w:val="002831F8"/>
    <w:rsid w:val="00283362"/>
    <w:rsid w:val="00283456"/>
    <w:rsid w:val="0028350E"/>
    <w:rsid w:val="0028370A"/>
    <w:rsid w:val="00283721"/>
    <w:rsid w:val="002838F7"/>
    <w:rsid w:val="00283A1F"/>
    <w:rsid w:val="00283A73"/>
    <w:rsid w:val="00283A7B"/>
    <w:rsid w:val="00283A7C"/>
    <w:rsid w:val="00283C6A"/>
    <w:rsid w:val="00283E24"/>
    <w:rsid w:val="0028411F"/>
    <w:rsid w:val="002842BB"/>
    <w:rsid w:val="002842D6"/>
    <w:rsid w:val="002847B1"/>
    <w:rsid w:val="0028493F"/>
    <w:rsid w:val="002849F2"/>
    <w:rsid w:val="00284A37"/>
    <w:rsid w:val="00284B4D"/>
    <w:rsid w:val="00284B70"/>
    <w:rsid w:val="00284BCA"/>
    <w:rsid w:val="00284CA3"/>
    <w:rsid w:val="00284CBA"/>
    <w:rsid w:val="00284D36"/>
    <w:rsid w:val="00284D65"/>
    <w:rsid w:val="00284E13"/>
    <w:rsid w:val="00284EF9"/>
    <w:rsid w:val="00284FD3"/>
    <w:rsid w:val="00285047"/>
    <w:rsid w:val="002850FC"/>
    <w:rsid w:val="00285112"/>
    <w:rsid w:val="002852BD"/>
    <w:rsid w:val="00285379"/>
    <w:rsid w:val="00285448"/>
    <w:rsid w:val="00285599"/>
    <w:rsid w:val="002855F0"/>
    <w:rsid w:val="0028562E"/>
    <w:rsid w:val="00285636"/>
    <w:rsid w:val="00285713"/>
    <w:rsid w:val="00285747"/>
    <w:rsid w:val="00285785"/>
    <w:rsid w:val="002857C3"/>
    <w:rsid w:val="002857C4"/>
    <w:rsid w:val="00285B88"/>
    <w:rsid w:val="00285BD2"/>
    <w:rsid w:val="00285C8F"/>
    <w:rsid w:val="00285D9B"/>
    <w:rsid w:val="00285F36"/>
    <w:rsid w:val="00285F8D"/>
    <w:rsid w:val="00285FC3"/>
    <w:rsid w:val="00286016"/>
    <w:rsid w:val="00286041"/>
    <w:rsid w:val="0028604C"/>
    <w:rsid w:val="0028605F"/>
    <w:rsid w:val="0028606B"/>
    <w:rsid w:val="002860C2"/>
    <w:rsid w:val="002860D0"/>
    <w:rsid w:val="0028621F"/>
    <w:rsid w:val="002862AC"/>
    <w:rsid w:val="002864C7"/>
    <w:rsid w:val="00286569"/>
    <w:rsid w:val="0028663D"/>
    <w:rsid w:val="00286661"/>
    <w:rsid w:val="002866C2"/>
    <w:rsid w:val="0028676B"/>
    <w:rsid w:val="00286851"/>
    <w:rsid w:val="00286B2F"/>
    <w:rsid w:val="00286BAE"/>
    <w:rsid w:val="00286C31"/>
    <w:rsid w:val="00286C35"/>
    <w:rsid w:val="00286D27"/>
    <w:rsid w:val="00286F5C"/>
    <w:rsid w:val="0028700D"/>
    <w:rsid w:val="0028706B"/>
    <w:rsid w:val="00287308"/>
    <w:rsid w:val="00287346"/>
    <w:rsid w:val="0028737F"/>
    <w:rsid w:val="002873C0"/>
    <w:rsid w:val="00287558"/>
    <w:rsid w:val="002876C7"/>
    <w:rsid w:val="0028770E"/>
    <w:rsid w:val="00287739"/>
    <w:rsid w:val="00287746"/>
    <w:rsid w:val="00287849"/>
    <w:rsid w:val="00287A1A"/>
    <w:rsid w:val="00287A1B"/>
    <w:rsid w:val="00287A2A"/>
    <w:rsid w:val="00287A65"/>
    <w:rsid w:val="00287AE4"/>
    <w:rsid w:val="00287BF7"/>
    <w:rsid w:val="00287E23"/>
    <w:rsid w:val="00287EE1"/>
    <w:rsid w:val="00287F3D"/>
    <w:rsid w:val="00287F8F"/>
    <w:rsid w:val="00287FAE"/>
    <w:rsid w:val="0029002B"/>
    <w:rsid w:val="00290042"/>
    <w:rsid w:val="002900B5"/>
    <w:rsid w:val="002901D7"/>
    <w:rsid w:val="002903C8"/>
    <w:rsid w:val="002903ED"/>
    <w:rsid w:val="00290488"/>
    <w:rsid w:val="002904F8"/>
    <w:rsid w:val="00290639"/>
    <w:rsid w:val="00290664"/>
    <w:rsid w:val="002906BB"/>
    <w:rsid w:val="002906CF"/>
    <w:rsid w:val="002908C7"/>
    <w:rsid w:val="00290926"/>
    <w:rsid w:val="0029099C"/>
    <w:rsid w:val="002909AA"/>
    <w:rsid w:val="00290A4E"/>
    <w:rsid w:val="00290AF7"/>
    <w:rsid w:val="00290B69"/>
    <w:rsid w:val="00290B72"/>
    <w:rsid w:val="00290DAC"/>
    <w:rsid w:val="00290E18"/>
    <w:rsid w:val="00290F4E"/>
    <w:rsid w:val="00290FDA"/>
    <w:rsid w:val="00291119"/>
    <w:rsid w:val="002911FA"/>
    <w:rsid w:val="00291312"/>
    <w:rsid w:val="0029131E"/>
    <w:rsid w:val="0029139A"/>
    <w:rsid w:val="002913B9"/>
    <w:rsid w:val="002916B7"/>
    <w:rsid w:val="002916D6"/>
    <w:rsid w:val="00291733"/>
    <w:rsid w:val="0029173F"/>
    <w:rsid w:val="002917AF"/>
    <w:rsid w:val="002919F0"/>
    <w:rsid w:val="00291A54"/>
    <w:rsid w:val="00291A6A"/>
    <w:rsid w:val="00291A72"/>
    <w:rsid w:val="00291A8B"/>
    <w:rsid w:val="00291BC5"/>
    <w:rsid w:val="00291D22"/>
    <w:rsid w:val="00291D64"/>
    <w:rsid w:val="00291DE4"/>
    <w:rsid w:val="00291EB0"/>
    <w:rsid w:val="002921A8"/>
    <w:rsid w:val="002921BE"/>
    <w:rsid w:val="002921F0"/>
    <w:rsid w:val="0029222C"/>
    <w:rsid w:val="0029233A"/>
    <w:rsid w:val="00292374"/>
    <w:rsid w:val="002923B6"/>
    <w:rsid w:val="0029246E"/>
    <w:rsid w:val="00292641"/>
    <w:rsid w:val="00292691"/>
    <w:rsid w:val="002926D8"/>
    <w:rsid w:val="00292705"/>
    <w:rsid w:val="00292990"/>
    <w:rsid w:val="00292A11"/>
    <w:rsid w:val="00292B7C"/>
    <w:rsid w:val="00292E83"/>
    <w:rsid w:val="00292E97"/>
    <w:rsid w:val="00292F50"/>
    <w:rsid w:val="00293007"/>
    <w:rsid w:val="0029310E"/>
    <w:rsid w:val="0029317C"/>
    <w:rsid w:val="002931FC"/>
    <w:rsid w:val="002932C5"/>
    <w:rsid w:val="002932CE"/>
    <w:rsid w:val="00293382"/>
    <w:rsid w:val="002934BD"/>
    <w:rsid w:val="002934D3"/>
    <w:rsid w:val="00293670"/>
    <w:rsid w:val="00293796"/>
    <w:rsid w:val="0029379F"/>
    <w:rsid w:val="002937F6"/>
    <w:rsid w:val="00293AC2"/>
    <w:rsid w:val="00293C56"/>
    <w:rsid w:val="00293C5E"/>
    <w:rsid w:val="00293C90"/>
    <w:rsid w:val="00293D87"/>
    <w:rsid w:val="00293DB8"/>
    <w:rsid w:val="00293E35"/>
    <w:rsid w:val="00293E3C"/>
    <w:rsid w:val="00293F88"/>
    <w:rsid w:val="00293FE0"/>
    <w:rsid w:val="00294009"/>
    <w:rsid w:val="00294051"/>
    <w:rsid w:val="00294090"/>
    <w:rsid w:val="002940CA"/>
    <w:rsid w:val="002940CE"/>
    <w:rsid w:val="002941A1"/>
    <w:rsid w:val="002941A6"/>
    <w:rsid w:val="002941AB"/>
    <w:rsid w:val="0029433F"/>
    <w:rsid w:val="00294574"/>
    <w:rsid w:val="0029481B"/>
    <w:rsid w:val="00294857"/>
    <w:rsid w:val="002949CC"/>
    <w:rsid w:val="00294A0E"/>
    <w:rsid w:val="00294C44"/>
    <w:rsid w:val="00294F0F"/>
    <w:rsid w:val="00294F72"/>
    <w:rsid w:val="002950AA"/>
    <w:rsid w:val="00295220"/>
    <w:rsid w:val="002952D0"/>
    <w:rsid w:val="002952F1"/>
    <w:rsid w:val="00295345"/>
    <w:rsid w:val="0029552A"/>
    <w:rsid w:val="002955EA"/>
    <w:rsid w:val="002955FA"/>
    <w:rsid w:val="0029577F"/>
    <w:rsid w:val="00295AE2"/>
    <w:rsid w:val="00295BE8"/>
    <w:rsid w:val="00295FB3"/>
    <w:rsid w:val="0029613A"/>
    <w:rsid w:val="002961CE"/>
    <w:rsid w:val="002963EB"/>
    <w:rsid w:val="0029645A"/>
    <w:rsid w:val="002964F0"/>
    <w:rsid w:val="0029653D"/>
    <w:rsid w:val="002966CB"/>
    <w:rsid w:val="0029670D"/>
    <w:rsid w:val="00296775"/>
    <w:rsid w:val="0029677B"/>
    <w:rsid w:val="00296789"/>
    <w:rsid w:val="0029684B"/>
    <w:rsid w:val="002968DF"/>
    <w:rsid w:val="0029694B"/>
    <w:rsid w:val="0029698C"/>
    <w:rsid w:val="002969B1"/>
    <w:rsid w:val="00296A51"/>
    <w:rsid w:val="00296AC1"/>
    <w:rsid w:val="00296C04"/>
    <w:rsid w:val="00296E3C"/>
    <w:rsid w:val="00296EED"/>
    <w:rsid w:val="00296F83"/>
    <w:rsid w:val="00296FCE"/>
    <w:rsid w:val="002970CA"/>
    <w:rsid w:val="0029721D"/>
    <w:rsid w:val="00297255"/>
    <w:rsid w:val="0029726C"/>
    <w:rsid w:val="0029730B"/>
    <w:rsid w:val="002974EB"/>
    <w:rsid w:val="00297525"/>
    <w:rsid w:val="00297526"/>
    <w:rsid w:val="002975ED"/>
    <w:rsid w:val="00297679"/>
    <w:rsid w:val="00297745"/>
    <w:rsid w:val="00297987"/>
    <w:rsid w:val="00297E57"/>
    <w:rsid w:val="00297EA1"/>
    <w:rsid w:val="00297F7D"/>
    <w:rsid w:val="00297FCC"/>
    <w:rsid w:val="002A0036"/>
    <w:rsid w:val="002A028B"/>
    <w:rsid w:val="002A030E"/>
    <w:rsid w:val="002A050B"/>
    <w:rsid w:val="002A073E"/>
    <w:rsid w:val="002A0847"/>
    <w:rsid w:val="002A08CF"/>
    <w:rsid w:val="002A0A0C"/>
    <w:rsid w:val="002A0A29"/>
    <w:rsid w:val="002A0A91"/>
    <w:rsid w:val="002A0A9E"/>
    <w:rsid w:val="002A0ADD"/>
    <w:rsid w:val="002A0C7C"/>
    <w:rsid w:val="002A0F00"/>
    <w:rsid w:val="002A0FC4"/>
    <w:rsid w:val="002A106B"/>
    <w:rsid w:val="002A122D"/>
    <w:rsid w:val="002A1244"/>
    <w:rsid w:val="002A12E3"/>
    <w:rsid w:val="002A13C2"/>
    <w:rsid w:val="002A1525"/>
    <w:rsid w:val="002A15DA"/>
    <w:rsid w:val="002A1745"/>
    <w:rsid w:val="002A17A7"/>
    <w:rsid w:val="002A17A8"/>
    <w:rsid w:val="002A17DA"/>
    <w:rsid w:val="002A1886"/>
    <w:rsid w:val="002A18C2"/>
    <w:rsid w:val="002A191E"/>
    <w:rsid w:val="002A1A10"/>
    <w:rsid w:val="002A1AC2"/>
    <w:rsid w:val="002A1C07"/>
    <w:rsid w:val="002A1C8E"/>
    <w:rsid w:val="002A1DD0"/>
    <w:rsid w:val="002A1DFF"/>
    <w:rsid w:val="002A1E20"/>
    <w:rsid w:val="002A1E66"/>
    <w:rsid w:val="002A1F17"/>
    <w:rsid w:val="002A1F90"/>
    <w:rsid w:val="002A20C8"/>
    <w:rsid w:val="002A22FC"/>
    <w:rsid w:val="002A2324"/>
    <w:rsid w:val="002A2415"/>
    <w:rsid w:val="002A2440"/>
    <w:rsid w:val="002A25F2"/>
    <w:rsid w:val="002A2630"/>
    <w:rsid w:val="002A2655"/>
    <w:rsid w:val="002A2659"/>
    <w:rsid w:val="002A265F"/>
    <w:rsid w:val="002A2854"/>
    <w:rsid w:val="002A2987"/>
    <w:rsid w:val="002A29E0"/>
    <w:rsid w:val="002A2A4B"/>
    <w:rsid w:val="002A2A98"/>
    <w:rsid w:val="002A2B39"/>
    <w:rsid w:val="002A2B69"/>
    <w:rsid w:val="002A2BB9"/>
    <w:rsid w:val="002A2C1D"/>
    <w:rsid w:val="002A2D1C"/>
    <w:rsid w:val="002A2D6A"/>
    <w:rsid w:val="002A2D7D"/>
    <w:rsid w:val="002A2DED"/>
    <w:rsid w:val="002A2E5A"/>
    <w:rsid w:val="002A2ECB"/>
    <w:rsid w:val="002A2EE7"/>
    <w:rsid w:val="002A2EF8"/>
    <w:rsid w:val="002A3043"/>
    <w:rsid w:val="002A312E"/>
    <w:rsid w:val="002A3160"/>
    <w:rsid w:val="002A3175"/>
    <w:rsid w:val="002A3288"/>
    <w:rsid w:val="002A33AD"/>
    <w:rsid w:val="002A35EF"/>
    <w:rsid w:val="002A3667"/>
    <w:rsid w:val="002A3863"/>
    <w:rsid w:val="002A39FB"/>
    <w:rsid w:val="002A3A52"/>
    <w:rsid w:val="002A3A56"/>
    <w:rsid w:val="002A3ACA"/>
    <w:rsid w:val="002A3B44"/>
    <w:rsid w:val="002A3BF1"/>
    <w:rsid w:val="002A3C72"/>
    <w:rsid w:val="002A3CA0"/>
    <w:rsid w:val="002A3EB2"/>
    <w:rsid w:val="002A40C4"/>
    <w:rsid w:val="002A42C6"/>
    <w:rsid w:val="002A42F8"/>
    <w:rsid w:val="002A4359"/>
    <w:rsid w:val="002A4512"/>
    <w:rsid w:val="002A465D"/>
    <w:rsid w:val="002A4853"/>
    <w:rsid w:val="002A49C8"/>
    <w:rsid w:val="002A49E6"/>
    <w:rsid w:val="002A4A06"/>
    <w:rsid w:val="002A4A3C"/>
    <w:rsid w:val="002A4B75"/>
    <w:rsid w:val="002A4BA0"/>
    <w:rsid w:val="002A4BF2"/>
    <w:rsid w:val="002A4CB9"/>
    <w:rsid w:val="002A4D7B"/>
    <w:rsid w:val="002A4DF7"/>
    <w:rsid w:val="002A4DFB"/>
    <w:rsid w:val="002A4EB8"/>
    <w:rsid w:val="002A4FB0"/>
    <w:rsid w:val="002A5058"/>
    <w:rsid w:val="002A50C1"/>
    <w:rsid w:val="002A5137"/>
    <w:rsid w:val="002A5255"/>
    <w:rsid w:val="002A52D4"/>
    <w:rsid w:val="002A5309"/>
    <w:rsid w:val="002A534B"/>
    <w:rsid w:val="002A53EC"/>
    <w:rsid w:val="002A543F"/>
    <w:rsid w:val="002A544A"/>
    <w:rsid w:val="002A556D"/>
    <w:rsid w:val="002A559F"/>
    <w:rsid w:val="002A55F5"/>
    <w:rsid w:val="002A5715"/>
    <w:rsid w:val="002A57E7"/>
    <w:rsid w:val="002A5901"/>
    <w:rsid w:val="002A5943"/>
    <w:rsid w:val="002A597B"/>
    <w:rsid w:val="002A5B13"/>
    <w:rsid w:val="002A5B26"/>
    <w:rsid w:val="002A5B49"/>
    <w:rsid w:val="002A5C52"/>
    <w:rsid w:val="002A5CEF"/>
    <w:rsid w:val="002A5DE8"/>
    <w:rsid w:val="002A5DEA"/>
    <w:rsid w:val="002A5E90"/>
    <w:rsid w:val="002A60FD"/>
    <w:rsid w:val="002A6167"/>
    <w:rsid w:val="002A6214"/>
    <w:rsid w:val="002A622B"/>
    <w:rsid w:val="002A627A"/>
    <w:rsid w:val="002A6308"/>
    <w:rsid w:val="002A6481"/>
    <w:rsid w:val="002A64A3"/>
    <w:rsid w:val="002A64F0"/>
    <w:rsid w:val="002A657E"/>
    <w:rsid w:val="002A6699"/>
    <w:rsid w:val="002A6791"/>
    <w:rsid w:val="002A688E"/>
    <w:rsid w:val="002A68FA"/>
    <w:rsid w:val="002A6991"/>
    <w:rsid w:val="002A6992"/>
    <w:rsid w:val="002A69AF"/>
    <w:rsid w:val="002A6AB9"/>
    <w:rsid w:val="002A6C7C"/>
    <w:rsid w:val="002A6CC0"/>
    <w:rsid w:val="002A6D1F"/>
    <w:rsid w:val="002A6E24"/>
    <w:rsid w:val="002A6E98"/>
    <w:rsid w:val="002A6E9A"/>
    <w:rsid w:val="002A6F38"/>
    <w:rsid w:val="002A700B"/>
    <w:rsid w:val="002A7018"/>
    <w:rsid w:val="002A7170"/>
    <w:rsid w:val="002A71BA"/>
    <w:rsid w:val="002A73E6"/>
    <w:rsid w:val="002A74DA"/>
    <w:rsid w:val="002A75C9"/>
    <w:rsid w:val="002A77F8"/>
    <w:rsid w:val="002A77FB"/>
    <w:rsid w:val="002A7839"/>
    <w:rsid w:val="002A786A"/>
    <w:rsid w:val="002A7885"/>
    <w:rsid w:val="002A78AA"/>
    <w:rsid w:val="002A78C2"/>
    <w:rsid w:val="002A797E"/>
    <w:rsid w:val="002A79D0"/>
    <w:rsid w:val="002A7AA9"/>
    <w:rsid w:val="002A7AB3"/>
    <w:rsid w:val="002A7BEC"/>
    <w:rsid w:val="002A7BFB"/>
    <w:rsid w:val="002A7C30"/>
    <w:rsid w:val="002A7D99"/>
    <w:rsid w:val="002A7E47"/>
    <w:rsid w:val="002A7E68"/>
    <w:rsid w:val="002A7F67"/>
    <w:rsid w:val="002A7F91"/>
    <w:rsid w:val="002A7FAC"/>
    <w:rsid w:val="002A7FBD"/>
    <w:rsid w:val="002A7FBE"/>
    <w:rsid w:val="002B003A"/>
    <w:rsid w:val="002B0071"/>
    <w:rsid w:val="002B00A6"/>
    <w:rsid w:val="002B00A7"/>
    <w:rsid w:val="002B016D"/>
    <w:rsid w:val="002B01F5"/>
    <w:rsid w:val="002B02F7"/>
    <w:rsid w:val="002B034E"/>
    <w:rsid w:val="002B034F"/>
    <w:rsid w:val="002B037A"/>
    <w:rsid w:val="002B03FC"/>
    <w:rsid w:val="002B0486"/>
    <w:rsid w:val="002B04A4"/>
    <w:rsid w:val="002B04ED"/>
    <w:rsid w:val="002B0618"/>
    <w:rsid w:val="002B08A5"/>
    <w:rsid w:val="002B0990"/>
    <w:rsid w:val="002B09D5"/>
    <w:rsid w:val="002B0A38"/>
    <w:rsid w:val="002B0AAB"/>
    <w:rsid w:val="002B0C9B"/>
    <w:rsid w:val="002B0E31"/>
    <w:rsid w:val="002B1098"/>
    <w:rsid w:val="002B10FA"/>
    <w:rsid w:val="002B1289"/>
    <w:rsid w:val="002B1377"/>
    <w:rsid w:val="002B13D4"/>
    <w:rsid w:val="002B165F"/>
    <w:rsid w:val="002B1B7D"/>
    <w:rsid w:val="002B1C02"/>
    <w:rsid w:val="002B1D02"/>
    <w:rsid w:val="002B1DE3"/>
    <w:rsid w:val="002B1F6E"/>
    <w:rsid w:val="002B20CE"/>
    <w:rsid w:val="002B21BC"/>
    <w:rsid w:val="002B21F0"/>
    <w:rsid w:val="002B21FF"/>
    <w:rsid w:val="002B2289"/>
    <w:rsid w:val="002B25E1"/>
    <w:rsid w:val="002B28AD"/>
    <w:rsid w:val="002B29E9"/>
    <w:rsid w:val="002B2ADD"/>
    <w:rsid w:val="002B2B96"/>
    <w:rsid w:val="002B2BD0"/>
    <w:rsid w:val="002B2BDD"/>
    <w:rsid w:val="002B2C8B"/>
    <w:rsid w:val="002B2D65"/>
    <w:rsid w:val="002B304A"/>
    <w:rsid w:val="002B317E"/>
    <w:rsid w:val="002B31B9"/>
    <w:rsid w:val="002B325F"/>
    <w:rsid w:val="002B3311"/>
    <w:rsid w:val="002B3317"/>
    <w:rsid w:val="002B3347"/>
    <w:rsid w:val="002B3393"/>
    <w:rsid w:val="002B350B"/>
    <w:rsid w:val="002B3562"/>
    <w:rsid w:val="002B37C8"/>
    <w:rsid w:val="002B3957"/>
    <w:rsid w:val="002B39B1"/>
    <w:rsid w:val="002B3B3D"/>
    <w:rsid w:val="002B3E2E"/>
    <w:rsid w:val="002B40E0"/>
    <w:rsid w:val="002B4229"/>
    <w:rsid w:val="002B4257"/>
    <w:rsid w:val="002B432A"/>
    <w:rsid w:val="002B435F"/>
    <w:rsid w:val="002B448C"/>
    <w:rsid w:val="002B4758"/>
    <w:rsid w:val="002B47AB"/>
    <w:rsid w:val="002B4AFD"/>
    <w:rsid w:val="002B4B47"/>
    <w:rsid w:val="002B4B76"/>
    <w:rsid w:val="002B4CCE"/>
    <w:rsid w:val="002B4D02"/>
    <w:rsid w:val="002B4E86"/>
    <w:rsid w:val="002B5079"/>
    <w:rsid w:val="002B5109"/>
    <w:rsid w:val="002B51B2"/>
    <w:rsid w:val="002B51CE"/>
    <w:rsid w:val="002B5276"/>
    <w:rsid w:val="002B52FD"/>
    <w:rsid w:val="002B5304"/>
    <w:rsid w:val="002B541C"/>
    <w:rsid w:val="002B547F"/>
    <w:rsid w:val="002B5581"/>
    <w:rsid w:val="002B5696"/>
    <w:rsid w:val="002B581F"/>
    <w:rsid w:val="002B58BF"/>
    <w:rsid w:val="002B5A1B"/>
    <w:rsid w:val="002B5B8F"/>
    <w:rsid w:val="002B5C57"/>
    <w:rsid w:val="002B5CDC"/>
    <w:rsid w:val="002B5E27"/>
    <w:rsid w:val="002B5FD7"/>
    <w:rsid w:val="002B6181"/>
    <w:rsid w:val="002B6376"/>
    <w:rsid w:val="002B6869"/>
    <w:rsid w:val="002B6874"/>
    <w:rsid w:val="002B68E8"/>
    <w:rsid w:val="002B698E"/>
    <w:rsid w:val="002B69E1"/>
    <w:rsid w:val="002B6A12"/>
    <w:rsid w:val="002B6A2F"/>
    <w:rsid w:val="002B6A9C"/>
    <w:rsid w:val="002B6ACE"/>
    <w:rsid w:val="002B6AFC"/>
    <w:rsid w:val="002B6BB6"/>
    <w:rsid w:val="002B6C29"/>
    <w:rsid w:val="002B6C8D"/>
    <w:rsid w:val="002B6CA9"/>
    <w:rsid w:val="002B6D9F"/>
    <w:rsid w:val="002B6E07"/>
    <w:rsid w:val="002B6EFD"/>
    <w:rsid w:val="002B6F54"/>
    <w:rsid w:val="002B70F5"/>
    <w:rsid w:val="002B710A"/>
    <w:rsid w:val="002B713F"/>
    <w:rsid w:val="002B71E9"/>
    <w:rsid w:val="002B72A4"/>
    <w:rsid w:val="002B734A"/>
    <w:rsid w:val="002B7359"/>
    <w:rsid w:val="002B747F"/>
    <w:rsid w:val="002B761C"/>
    <w:rsid w:val="002B76A5"/>
    <w:rsid w:val="002B783C"/>
    <w:rsid w:val="002B783D"/>
    <w:rsid w:val="002B79BB"/>
    <w:rsid w:val="002B7AA0"/>
    <w:rsid w:val="002B7BD9"/>
    <w:rsid w:val="002B7C2B"/>
    <w:rsid w:val="002B7DD2"/>
    <w:rsid w:val="002B7EB2"/>
    <w:rsid w:val="002B7F54"/>
    <w:rsid w:val="002C007B"/>
    <w:rsid w:val="002C0106"/>
    <w:rsid w:val="002C0169"/>
    <w:rsid w:val="002C01EC"/>
    <w:rsid w:val="002C0201"/>
    <w:rsid w:val="002C0211"/>
    <w:rsid w:val="002C02BD"/>
    <w:rsid w:val="002C03DB"/>
    <w:rsid w:val="002C0402"/>
    <w:rsid w:val="002C04D5"/>
    <w:rsid w:val="002C057F"/>
    <w:rsid w:val="002C0614"/>
    <w:rsid w:val="002C076D"/>
    <w:rsid w:val="002C0A13"/>
    <w:rsid w:val="002C0D59"/>
    <w:rsid w:val="002C0FB2"/>
    <w:rsid w:val="002C0FC0"/>
    <w:rsid w:val="002C1105"/>
    <w:rsid w:val="002C11E9"/>
    <w:rsid w:val="002C146E"/>
    <w:rsid w:val="002C15C8"/>
    <w:rsid w:val="002C17D1"/>
    <w:rsid w:val="002C18AC"/>
    <w:rsid w:val="002C192B"/>
    <w:rsid w:val="002C1A2D"/>
    <w:rsid w:val="002C1A3A"/>
    <w:rsid w:val="002C1B51"/>
    <w:rsid w:val="002C1B93"/>
    <w:rsid w:val="002C1C27"/>
    <w:rsid w:val="002C1C39"/>
    <w:rsid w:val="002C1C3C"/>
    <w:rsid w:val="002C1C5B"/>
    <w:rsid w:val="002C1C71"/>
    <w:rsid w:val="002C1D52"/>
    <w:rsid w:val="002C1DD5"/>
    <w:rsid w:val="002C1DDC"/>
    <w:rsid w:val="002C1F52"/>
    <w:rsid w:val="002C21BB"/>
    <w:rsid w:val="002C225A"/>
    <w:rsid w:val="002C2274"/>
    <w:rsid w:val="002C2370"/>
    <w:rsid w:val="002C245F"/>
    <w:rsid w:val="002C257A"/>
    <w:rsid w:val="002C2602"/>
    <w:rsid w:val="002C263D"/>
    <w:rsid w:val="002C2642"/>
    <w:rsid w:val="002C2660"/>
    <w:rsid w:val="002C269C"/>
    <w:rsid w:val="002C278A"/>
    <w:rsid w:val="002C27D3"/>
    <w:rsid w:val="002C283C"/>
    <w:rsid w:val="002C29B6"/>
    <w:rsid w:val="002C2C98"/>
    <w:rsid w:val="002C2D70"/>
    <w:rsid w:val="002C2DF6"/>
    <w:rsid w:val="002C2FBC"/>
    <w:rsid w:val="002C2FE9"/>
    <w:rsid w:val="002C3139"/>
    <w:rsid w:val="002C31BB"/>
    <w:rsid w:val="002C3281"/>
    <w:rsid w:val="002C3580"/>
    <w:rsid w:val="002C3661"/>
    <w:rsid w:val="002C3802"/>
    <w:rsid w:val="002C3838"/>
    <w:rsid w:val="002C3900"/>
    <w:rsid w:val="002C3937"/>
    <w:rsid w:val="002C3ADB"/>
    <w:rsid w:val="002C3B14"/>
    <w:rsid w:val="002C3B20"/>
    <w:rsid w:val="002C3B97"/>
    <w:rsid w:val="002C3CD1"/>
    <w:rsid w:val="002C3CDA"/>
    <w:rsid w:val="002C3E58"/>
    <w:rsid w:val="002C3FBF"/>
    <w:rsid w:val="002C3FDE"/>
    <w:rsid w:val="002C413D"/>
    <w:rsid w:val="002C433E"/>
    <w:rsid w:val="002C4388"/>
    <w:rsid w:val="002C4523"/>
    <w:rsid w:val="002C45EB"/>
    <w:rsid w:val="002C46C5"/>
    <w:rsid w:val="002C472F"/>
    <w:rsid w:val="002C4764"/>
    <w:rsid w:val="002C4A35"/>
    <w:rsid w:val="002C4AA2"/>
    <w:rsid w:val="002C4AB4"/>
    <w:rsid w:val="002C4D0E"/>
    <w:rsid w:val="002C4E18"/>
    <w:rsid w:val="002C4E67"/>
    <w:rsid w:val="002C4EEA"/>
    <w:rsid w:val="002C4F83"/>
    <w:rsid w:val="002C5210"/>
    <w:rsid w:val="002C52C4"/>
    <w:rsid w:val="002C54E4"/>
    <w:rsid w:val="002C554E"/>
    <w:rsid w:val="002C558B"/>
    <w:rsid w:val="002C55C5"/>
    <w:rsid w:val="002C5601"/>
    <w:rsid w:val="002C5610"/>
    <w:rsid w:val="002C5636"/>
    <w:rsid w:val="002C57A9"/>
    <w:rsid w:val="002C589E"/>
    <w:rsid w:val="002C58CD"/>
    <w:rsid w:val="002C5902"/>
    <w:rsid w:val="002C5A9D"/>
    <w:rsid w:val="002C5B4B"/>
    <w:rsid w:val="002C5CED"/>
    <w:rsid w:val="002C5E39"/>
    <w:rsid w:val="002C5F35"/>
    <w:rsid w:val="002C61D8"/>
    <w:rsid w:val="002C61F8"/>
    <w:rsid w:val="002C62E0"/>
    <w:rsid w:val="002C62F6"/>
    <w:rsid w:val="002C637F"/>
    <w:rsid w:val="002C6623"/>
    <w:rsid w:val="002C67A2"/>
    <w:rsid w:val="002C6A45"/>
    <w:rsid w:val="002C6A89"/>
    <w:rsid w:val="002C6BE0"/>
    <w:rsid w:val="002C6C3C"/>
    <w:rsid w:val="002C6F62"/>
    <w:rsid w:val="002C7070"/>
    <w:rsid w:val="002C7272"/>
    <w:rsid w:val="002C7632"/>
    <w:rsid w:val="002C76D0"/>
    <w:rsid w:val="002C76D6"/>
    <w:rsid w:val="002C775E"/>
    <w:rsid w:val="002C7820"/>
    <w:rsid w:val="002C78AD"/>
    <w:rsid w:val="002C7A48"/>
    <w:rsid w:val="002C7CD0"/>
    <w:rsid w:val="002C7DD6"/>
    <w:rsid w:val="002C7E4B"/>
    <w:rsid w:val="002D012A"/>
    <w:rsid w:val="002D025F"/>
    <w:rsid w:val="002D0321"/>
    <w:rsid w:val="002D046E"/>
    <w:rsid w:val="002D050E"/>
    <w:rsid w:val="002D0710"/>
    <w:rsid w:val="002D0738"/>
    <w:rsid w:val="002D074D"/>
    <w:rsid w:val="002D076B"/>
    <w:rsid w:val="002D086A"/>
    <w:rsid w:val="002D08D2"/>
    <w:rsid w:val="002D08F8"/>
    <w:rsid w:val="002D0918"/>
    <w:rsid w:val="002D09E0"/>
    <w:rsid w:val="002D0A2E"/>
    <w:rsid w:val="002D0AF6"/>
    <w:rsid w:val="002D0D25"/>
    <w:rsid w:val="002D0E47"/>
    <w:rsid w:val="002D100A"/>
    <w:rsid w:val="002D11CF"/>
    <w:rsid w:val="002D13DF"/>
    <w:rsid w:val="002D1420"/>
    <w:rsid w:val="002D17B1"/>
    <w:rsid w:val="002D185A"/>
    <w:rsid w:val="002D188B"/>
    <w:rsid w:val="002D19CB"/>
    <w:rsid w:val="002D1A27"/>
    <w:rsid w:val="002D1B0B"/>
    <w:rsid w:val="002D1B75"/>
    <w:rsid w:val="002D1BFD"/>
    <w:rsid w:val="002D1C85"/>
    <w:rsid w:val="002D1D38"/>
    <w:rsid w:val="002D1E3C"/>
    <w:rsid w:val="002D1EA6"/>
    <w:rsid w:val="002D1F09"/>
    <w:rsid w:val="002D2235"/>
    <w:rsid w:val="002D22F2"/>
    <w:rsid w:val="002D233F"/>
    <w:rsid w:val="002D2514"/>
    <w:rsid w:val="002D2537"/>
    <w:rsid w:val="002D259B"/>
    <w:rsid w:val="002D263D"/>
    <w:rsid w:val="002D268F"/>
    <w:rsid w:val="002D27A0"/>
    <w:rsid w:val="002D2A0D"/>
    <w:rsid w:val="002D2B88"/>
    <w:rsid w:val="002D2BB3"/>
    <w:rsid w:val="002D2BF6"/>
    <w:rsid w:val="002D2DA9"/>
    <w:rsid w:val="002D2F1F"/>
    <w:rsid w:val="002D3129"/>
    <w:rsid w:val="002D351C"/>
    <w:rsid w:val="002D3522"/>
    <w:rsid w:val="002D355F"/>
    <w:rsid w:val="002D358F"/>
    <w:rsid w:val="002D37FC"/>
    <w:rsid w:val="002D3866"/>
    <w:rsid w:val="002D39EC"/>
    <w:rsid w:val="002D3B03"/>
    <w:rsid w:val="002D3C29"/>
    <w:rsid w:val="002D3D41"/>
    <w:rsid w:val="002D3E48"/>
    <w:rsid w:val="002D412C"/>
    <w:rsid w:val="002D41E3"/>
    <w:rsid w:val="002D429A"/>
    <w:rsid w:val="002D42A8"/>
    <w:rsid w:val="002D433A"/>
    <w:rsid w:val="002D449A"/>
    <w:rsid w:val="002D44DC"/>
    <w:rsid w:val="002D4540"/>
    <w:rsid w:val="002D4560"/>
    <w:rsid w:val="002D45D2"/>
    <w:rsid w:val="002D4672"/>
    <w:rsid w:val="002D477D"/>
    <w:rsid w:val="002D4A9A"/>
    <w:rsid w:val="002D4B02"/>
    <w:rsid w:val="002D4B31"/>
    <w:rsid w:val="002D4B69"/>
    <w:rsid w:val="002D4CE0"/>
    <w:rsid w:val="002D4D6E"/>
    <w:rsid w:val="002D4FD3"/>
    <w:rsid w:val="002D5249"/>
    <w:rsid w:val="002D5349"/>
    <w:rsid w:val="002D54AF"/>
    <w:rsid w:val="002D5547"/>
    <w:rsid w:val="002D5596"/>
    <w:rsid w:val="002D5763"/>
    <w:rsid w:val="002D5794"/>
    <w:rsid w:val="002D57C1"/>
    <w:rsid w:val="002D5871"/>
    <w:rsid w:val="002D5A19"/>
    <w:rsid w:val="002D5A9D"/>
    <w:rsid w:val="002D5ADF"/>
    <w:rsid w:val="002D5B08"/>
    <w:rsid w:val="002D5C22"/>
    <w:rsid w:val="002D5E9B"/>
    <w:rsid w:val="002D6023"/>
    <w:rsid w:val="002D6085"/>
    <w:rsid w:val="002D60D1"/>
    <w:rsid w:val="002D61EC"/>
    <w:rsid w:val="002D624C"/>
    <w:rsid w:val="002D62F5"/>
    <w:rsid w:val="002D639E"/>
    <w:rsid w:val="002D6426"/>
    <w:rsid w:val="002D643F"/>
    <w:rsid w:val="002D6486"/>
    <w:rsid w:val="002D6578"/>
    <w:rsid w:val="002D668D"/>
    <w:rsid w:val="002D66DA"/>
    <w:rsid w:val="002D67F4"/>
    <w:rsid w:val="002D6995"/>
    <w:rsid w:val="002D6C41"/>
    <w:rsid w:val="002D6DD7"/>
    <w:rsid w:val="002D6E4B"/>
    <w:rsid w:val="002D7010"/>
    <w:rsid w:val="002D71C9"/>
    <w:rsid w:val="002D7264"/>
    <w:rsid w:val="002D7388"/>
    <w:rsid w:val="002D7416"/>
    <w:rsid w:val="002D763A"/>
    <w:rsid w:val="002D7836"/>
    <w:rsid w:val="002D7842"/>
    <w:rsid w:val="002D7870"/>
    <w:rsid w:val="002D79C6"/>
    <w:rsid w:val="002D7B64"/>
    <w:rsid w:val="002D7C36"/>
    <w:rsid w:val="002D7D37"/>
    <w:rsid w:val="002D7DBF"/>
    <w:rsid w:val="002D7EDD"/>
    <w:rsid w:val="002E0004"/>
    <w:rsid w:val="002E007B"/>
    <w:rsid w:val="002E0148"/>
    <w:rsid w:val="002E0187"/>
    <w:rsid w:val="002E0274"/>
    <w:rsid w:val="002E0384"/>
    <w:rsid w:val="002E03CA"/>
    <w:rsid w:val="002E042D"/>
    <w:rsid w:val="002E0464"/>
    <w:rsid w:val="002E04B9"/>
    <w:rsid w:val="002E0594"/>
    <w:rsid w:val="002E065C"/>
    <w:rsid w:val="002E08FF"/>
    <w:rsid w:val="002E09C0"/>
    <w:rsid w:val="002E09C5"/>
    <w:rsid w:val="002E0A27"/>
    <w:rsid w:val="002E0D3B"/>
    <w:rsid w:val="002E0E06"/>
    <w:rsid w:val="002E0F69"/>
    <w:rsid w:val="002E0F99"/>
    <w:rsid w:val="002E1098"/>
    <w:rsid w:val="002E10AF"/>
    <w:rsid w:val="002E10EF"/>
    <w:rsid w:val="002E1163"/>
    <w:rsid w:val="002E136E"/>
    <w:rsid w:val="002E1375"/>
    <w:rsid w:val="002E13C9"/>
    <w:rsid w:val="002E1515"/>
    <w:rsid w:val="002E15FF"/>
    <w:rsid w:val="002E16E1"/>
    <w:rsid w:val="002E179F"/>
    <w:rsid w:val="002E17E3"/>
    <w:rsid w:val="002E18F9"/>
    <w:rsid w:val="002E193E"/>
    <w:rsid w:val="002E1A23"/>
    <w:rsid w:val="002E1B0A"/>
    <w:rsid w:val="002E1C72"/>
    <w:rsid w:val="002E1C9C"/>
    <w:rsid w:val="002E1D15"/>
    <w:rsid w:val="002E1D7C"/>
    <w:rsid w:val="002E1DC9"/>
    <w:rsid w:val="002E1FF3"/>
    <w:rsid w:val="002E2071"/>
    <w:rsid w:val="002E20F6"/>
    <w:rsid w:val="002E2126"/>
    <w:rsid w:val="002E2156"/>
    <w:rsid w:val="002E21C8"/>
    <w:rsid w:val="002E21E4"/>
    <w:rsid w:val="002E223C"/>
    <w:rsid w:val="002E22B5"/>
    <w:rsid w:val="002E2341"/>
    <w:rsid w:val="002E237D"/>
    <w:rsid w:val="002E2447"/>
    <w:rsid w:val="002E244A"/>
    <w:rsid w:val="002E2471"/>
    <w:rsid w:val="002E24C5"/>
    <w:rsid w:val="002E2509"/>
    <w:rsid w:val="002E2779"/>
    <w:rsid w:val="002E2782"/>
    <w:rsid w:val="002E27D5"/>
    <w:rsid w:val="002E2854"/>
    <w:rsid w:val="002E2AE8"/>
    <w:rsid w:val="002E2B06"/>
    <w:rsid w:val="002E2B7D"/>
    <w:rsid w:val="002E2B98"/>
    <w:rsid w:val="002E2C5E"/>
    <w:rsid w:val="002E2DED"/>
    <w:rsid w:val="002E2EBB"/>
    <w:rsid w:val="002E2ECA"/>
    <w:rsid w:val="002E30B2"/>
    <w:rsid w:val="002E331C"/>
    <w:rsid w:val="002E3469"/>
    <w:rsid w:val="002E359B"/>
    <w:rsid w:val="002E35BE"/>
    <w:rsid w:val="002E35C7"/>
    <w:rsid w:val="002E35E8"/>
    <w:rsid w:val="002E3613"/>
    <w:rsid w:val="002E3635"/>
    <w:rsid w:val="002E3677"/>
    <w:rsid w:val="002E37A6"/>
    <w:rsid w:val="002E387C"/>
    <w:rsid w:val="002E3D75"/>
    <w:rsid w:val="002E3EDA"/>
    <w:rsid w:val="002E3F01"/>
    <w:rsid w:val="002E40A9"/>
    <w:rsid w:val="002E4167"/>
    <w:rsid w:val="002E41E1"/>
    <w:rsid w:val="002E4246"/>
    <w:rsid w:val="002E4290"/>
    <w:rsid w:val="002E4309"/>
    <w:rsid w:val="002E435A"/>
    <w:rsid w:val="002E4373"/>
    <w:rsid w:val="002E4495"/>
    <w:rsid w:val="002E464C"/>
    <w:rsid w:val="002E477C"/>
    <w:rsid w:val="002E47EE"/>
    <w:rsid w:val="002E4882"/>
    <w:rsid w:val="002E4978"/>
    <w:rsid w:val="002E4D6A"/>
    <w:rsid w:val="002E4D86"/>
    <w:rsid w:val="002E5122"/>
    <w:rsid w:val="002E52E0"/>
    <w:rsid w:val="002E5380"/>
    <w:rsid w:val="002E54CA"/>
    <w:rsid w:val="002E55D3"/>
    <w:rsid w:val="002E55FA"/>
    <w:rsid w:val="002E56DE"/>
    <w:rsid w:val="002E5704"/>
    <w:rsid w:val="002E576A"/>
    <w:rsid w:val="002E5925"/>
    <w:rsid w:val="002E5A85"/>
    <w:rsid w:val="002E5AAE"/>
    <w:rsid w:val="002E5AFB"/>
    <w:rsid w:val="002E5B17"/>
    <w:rsid w:val="002E5C4D"/>
    <w:rsid w:val="002E5CA7"/>
    <w:rsid w:val="002E5CC8"/>
    <w:rsid w:val="002E5D73"/>
    <w:rsid w:val="002E5EAC"/>
    <w:rsid w:val="002E5FFA"/>
    <w:rsid w:val="002E6047"/>
    <w:rsid w:val="002E6149"/>
    <w:rsid w:val="002E6160"/>
    <w:rsid w:val="002E61E0"/>
    <w:rsid w:val="002E652A"/>
    <w:rsid w:val="002E65E7"/>
    <w:rsid w:val="002E6677"/>
    <w:rsid w:val="002E668A"/>
    <w:rsid w:val="002E66B6"/>
    <w:rsid w:val="002E67D4"/>
    <w:rsid w:val="002E67F8"/>
    <w:rsid w:val="002E68F9"/>
    <w:rsid w:val="002E6A8A"/>
    <w:rsid w:val="002E6D09"/>
    <w:rsid w:val="002E6E63"/>
    <w:rsid w:val="002E6EE1"/>
    <w:rsid w:val="002E6FA2"/>
    <w:rsid w:val="002E705A"/>
    <w:rsid w:val="002E7194"/>
    <w:rsid w:val="002E71C9"/>
    <w:rsid w:val="002E71ED"/>
    <w:rsid w:val="002E721A"/>
    <w:rsid w:val="002E74E8"/>
    <w:rsid w:val="002E7519"/>
    <w:rsid w:val="002E7544"/>
    <w:rsid w:val="002E7651"/>
    <w:rsid w:val="002E76D1"/>
    <w:rsid w:val="002E7796"/>
    <w:rsid w:val="002E7A2C"/>
    <w:rsid w:val="002E7A67"/>
    <w:rsid w:val="002E7C58"/>
    <w:rsid w:val="002E7CA6"/>
    <w:rsid w:val="002E7CFB"/>
    <w:rsid w:val="002E7DC4"/>
    <w:rsid w:val="002E7E07"/>
    <w:rsid w:val="002E7E29"/>
    <w:rsid w:val="002E7F41"/>
    <w:rsid w:val="002F00FA"/>
    <w:rsid w:val="002F0107"/>
    <w:rsid w:val="002F0154"/>
    <w:rsid w:val="002F01A1"/>
    <w:rsid w:val="002F0252"/>
    <w:rsid w:val="002F03A7"/>
    <w:rsid w:val="002F049D"/>
    <w:rsid w:val="002F0649"/>
    <w:rsid w:val="002F065B"/>
    <w:rsid w:val="002F06D9"/>
    <w:rsid w:val="002F06E1"/>
    <w:rsid w:val="002F0766"/>
    <w:rsid w:val="002F07C7"/>
    <w:rsid w:val="002F0AB2"/>
    <w:rsid w:val="002F0B2F"/>
    <w:rsid w:val="002F0D99"/>
    <w:rsid w:val="002F0ED3"/>
    <w:rsid w:val="002F10F1"/>
    <w:rsid w:val="002F11DC"/>
    <w:rsid w:val="002F1453"/>
    <w:rsid w:val="002F1599"/>
    <w:rsid w:val="002F1678"/>
    <w:rsid w:val="002F179D"/>
    <w:rsid w:val="002F189C"/>
    <w:rsid w:val="002F19E8"/>
    <w:rsid w:val="002F1A80"/>
    <w:rsid w:val="002F1BA6"/>
    <w:rsid w:val="002F1DEE"/>
    <w:rsid w:val="002F1DF4"/>
    <w:rsid w:val="002F2039"/>
    <w:rsid w:val="002F213C"/>
    <w:rsid w:val="002F2200"/>
    <w:rsid w:val="002F225A"/>
    <w:rsid w:val="002F2366"/>
    <w:rsid w:val="002F246A"/>
    <w:rsid w:val="002F2547"/>
    <w:rsid w:val="002F25B6"/>
    <w:rsid w:val="002F25D9"/>
    <w:rsid w:val="002F275F"/>
    <w:rsid w:val="002F2764"/>
    <w:rsid w:val="002F27AD"/>
    <w:rsid w:val="002F280B"/>
    <w:rsid w:val="002F292C"/>
    <w:rsid w:val="002F294D"/>
    <w:rsid w:val="002F2C51"/>
    <w:rsid w:val="002F2C7D"/>
    <w:rsid w:val="002F2E93"/>
    <w:rsid w:val="002F2EAD"/>
    <w:rsid w:val="002F30F8"/>
    <w:rsid w:val="002F310E"/>
    <w:rsid w:val="002F3155"/>
    <w:rsid w:val="002F31F0"/>
    <w:rsid w:val="002F325B"/>
    <w:rsid w:val="002F32DF"/>
    <w:rsid w:val="002F337B"/>
    <w:rsid w:val="002F33AE"/>
    <w:rsid w:val="002F34CC"/>
    <w:rsid w:val="002F3594"/>
    <w:rsid w:val="002F35DF"/>
    <w:rsid w:val="002F3670"/>
    <w:rsid w:val="002F3760"/>
    <w:rsid w:val="002F37A3"/>
    <w:rsid w:val="002F37E4"/>
    <w:rsid w:val="002F389F"/>
    <w:rsid w:val="002F3BE4"/>
    <w:rsid w:val="002F3C8C"/>
    <w:rsid w:val="002F3D0F"/>
    <w:rsid w:val="002F3D2E"/>
    <w:rsid w:val="002F3E2C"/>
    <w:rsid w:val="002F3F7E"/>
    <w:rsid w:val="002F4034"/>
    <w:rsid w:val="002F4143"/>
    <w:rsid w:val="002F4183"/>
    <w:rsid w:val="002F41EA"/>
    <w:rsid w:val="002F4257"/>
    <w:rsid w:val="002F4314"/>
    <w:rsid w:val="002F4582"/>
    <w:rsid w:val="002F45F3"/>
    <w:rsid w:val="002F4747"/>
    <w:rsid w:val="002F4766"/>
    <w:rsid w:val="002F47F1"/>
    <w:rsid w:val="002F486C"/>
    <w:rsid w:val="002F48BA"/>
    <w:rsid w:val="002F49B3"/>
    <w:rsid w:val="002F49F8"/>
    <w:rsid w:val="002F4A98"/>
    <w:rsid w:val="002F4ABA"/>
    <w:rsid w:val="002F4B0D"/>
    <w:rsid w:val="002F4C0D"/>
    <w:rsid w:val="002F4ED1"/>
    <w:rsid w:val="002F50BA"/>
    <w:rsid w:val="002F5217"/>
    <w:rsid w:val="002F5234"/>
    <w:rsid w:val="002F5282"/>
    <w:rsid w:val="002F52E9"/>
    <w:rsid w:val="002F54B5"/>
    <w:rsid w:val="002F570B"/>
    <w:rsid w:val="002F574A"/>
    <w:rsid w:val="002F5771"/>
    <w:rsid w:val="002F589E"/>
    <w:rsid w:val="002F58E7"/>
    <w:rsid w:val="002F59ED"/>
    <w:rsid w:val="002F5AF2"/>
    <w:rsid w:val="002F5C78"/>
    <w:rsid w:val="002F5D20"/>
    <w:rsid w:val="002F61E0"/>
    <w:rsid w:val="002F6259"/>
    <w:rsid w:val="002F626A"/>
    <w:rsid w:val="002F63A5"/>
    <w:rsid w:val="002F646E"/>
    <w:rsid w:val="002F66C0"/>
    <w:rsid w:val="002F6704"/>
    <w:rsid w:val="002F6A2A"/>
    <w:rsid w:val="002F6A45"/>
    <w:rsid w:val="002F6A65"/>
    <w:rsid w:val="002F6B11"/>
    <w:rsid w:val="002F6B81"/>
    <w:rsid w:val="002F6B87"/>
    <w:rsid w:val="002F6BF6"/>
    <w:rsid w:val="002F6CA4"/>
    <w:rsid w:val="002F6CA6"/>
    <w:rsid w:val="002F6CBC"/>
    <w:rsid w:val="002F6EF1"/>
    <w:rsid w:val="002F6F73"/>
    <w:rsid w:val="002F6FD7"/>
    <w:rsid w:val="002F71A5"/>
    <w:rsid w:val="002F72AD"/>
    <w:rsid w:val="002F7332"/>
    <w:rsid w:val="002F741C"/>
    <w:rsid w:val="002F7489"/>
    <w:rsid w:val="002F749E"/>
    <w:rsid w:val="002F7649"/>
    <w:rsid w:val="002F79C3"/>
    <w:rsid w:val="002F7A0B"/>
    <w:rsid w:val="002F7A4A"/>
    <w:rsid w:val="002F7B6F"/>
    <w:rsid w:val="002F7BED"/>
    <w:rsid w:val="002F7D49"/>
    <w:rsid w:val="002F7D69"/>
    <w:rsid w:val="002F7DA1"/>
    <w:rsid w:val="002F7E17"/>
    <w:rsid w:val="002F7E1B"/>
    <w:rsid w:val="002F7E8C"/>
    <w:rsid w:val="0030006E"/>
    <w:rsid w:val="00300076"/>
    <w:rsid w:val="0030007C"/>
    <w:rsid w:val="003002DD"/>
    <w:rsid w:val="00300336"/>
    <w:rsid w:val="003003DE"/>
    <w:rsid w:val="00300426"/>
    <w:rsid w:val="00300712"/>
    <w:rsid w:val="0030083D"/>
    <w:rsid w:val="003008A2"/>
    <w:rsid w:val="00300A14"/>
    <w:rsid w:val="00300A25"/>
    <w:rsid w:val="00300B29"/>
    <w:rsid w:val="00300C83"/>
    <w:rsid w:val="003010F8"/>
    <w:rsid w:val="0030117F"/>
    <w:rsid w:val="003012B0"/>
    <w:rsid w:val="0030132C"/>
    <w:rsid w:val="00301363"/>
    <w:rsid w:val="00301480"/>
    <w:rsid w:val="003014A8"/>
    <w:rsid w:val="003014B3"/>
    <w:rsid w:val="00301506"/>
    <w:rsid w:val="00301582"/>
    <w:rsid w:val="00301584"/>
    <w:rsid w:val="0030160B"/>
    <w:rsid w:val="0030174F"/>
    <w:rsid w:val="00301780"/>
    <w:rsid w:val="003018F5"/>
    <w:rsid w:val="0030196F"/>
    <w:rsid w:val="00301984"/>
    <w:rsid w:val="003019CB"/>
    <w:rsid w:val="003019D7"/>
    <w:rsid w:val="00301C4D"/>
    <w:rsid w:val="00301F74"/>
    <w:rsid w:val="00301FF8"/>
    <w:rsid w:val="003021BA"/>
    <w:rsid w:val="003022B2"/>
    <w:rsid w:val="003022D2"/>
    <w:rsid w:val="003023B2"/>
    <w:rsid w:val="00302592"/>
    <w:rsid w:val="003025BC"/>
    <w:rsid w:val="00302642"/>
    <w:rsid w:val="0030269B"/>
    <w:rsid w:val="003027B7"/>
    <w:rsid w:val="00302803"/>
    <w:rsid w:val="00302985"/>
    <w:rsid w:val="00302A07"/>
    <w:rsid w:val="00302AB8"/>
    <w:rsid w:val="00302AF3"/>
    <w:rsid w:val="00302B79"/>
    <w:rsid w:val="00302DFB"/>
    <w:rsid w:val="00302E50"/>
    <w:rsid w:val="00302E90"/>
    <w:rsid w:val="00302FA0"/>
    <w:rsid w:val="0030300B"/>
    <w:rsid w:val="003030EC"/>
    <w:rsid w:val="00303217"/>
    <w:rsid w:val="0030363C"/>
    <w:rsid w:val="00303674"/>
    <w:rsid w:val="0030370E"/>
    <w:rsid w:val="0030377C"/>
    <w:rsid w:val="003037AA"/>
    <w:rsid w:val="0030386B"/>
    <w:rsid w:val="00303A8C"/>
    <w:rsid w:val="00303BFE"/>
    <w:rsid w:val="00303D5F"/>
    <w:rsid w:val="003040A8"/>
    <w:rsid w:val="003040A9"/>
    <w:rsid w:val="003041FC"/>
    <w:rsid w:val="0030424F"/>
    <w:rsid w:val="0030435B"/>
    <w:rsid w:val="003043A3"/>
    <w:rsid w:val="003043C7"/>
    <w:rsid w:val="0030446F"/>
    <w:rsid w:val="00304522"/>
    <w:rsid w:val="00304593"/>
    <w:rsid w:val="003045D6"/>
    <w:rsid w:val="003045DA"/>
    <w:rsid w:val="0030485F"/>
    <w:rsid w:val="0030488A"/>
    <w:rsid w:val="00304928"/>
    <w:rsid w:val="00304A04"/>
    <w:rsid w:val="00304AB8"/>
    <w:rsid w:val="00304C13"/>
    <w:rsid w:val="00304C8E"/>
    <w:rsid w:val="00304CA7"/>
    <w:rsid w:val="00304DB1"/>
    <w:rsid w:val="00304E10"/>
    <w:rsid w:val="00304E6A"/>
    <w:rsid w:val="00304F45"/>
    <w:rsid w:val="00304F69"/>
    <w:rsid w:val="00304F9E"/>
    <w:rsid w:val="00305225"/>
    <w:rsid w:val="003053DD"/>
    <w:rsid w:val="00305593"/>
    <w:rsid w:val="00305679"/>
    <w:rsid w:val="003056DB"/>
    <w:rsid w:val="003056FC"/>
    <w:rsid w:val="00305708"/>
    <w:rsid w:val="0030585B"/>
    <w:rsid w:val="0030599F"/>
    <w:rsid w:val="003059CF"/>
    <w:rsid w:val="00305A3E"/>
    <w:rsid w:val="00305B67"/>
    <w:rsid w:val="00305B97"/>
    <w:rsid w:val="00305C8B"/>
    <w:rsid w:val="00305CE4"/>
    <w:rsid w:val="00305D15"/>
    <w:rsid w:val="00305E0B"/>
    <w:rsid w:val="00305FFB"/>
    <w:rsid w:val="00306043"/>
    <w:rsid w:val="00306158"/>
    <w:rsid w:val="003061CE"/>
    <w:rsid w:val="00306217"/>
    <w:rsid w:val="0030625A"/>
    <w:rsid w:val="003062CC"/>
    <w:rsid w:val="00306408"/>
    <w:rsid w:val="003064A1"/>
    <w:rsid w:val="003064D0"/>
    <w:rsid w:val="00306585"/>
    <w:rsid w:val="003066E5"/>
    <w:rsid w:val="0030673D"/>
    <w:rsid w:val="00306769"/>
    <w:rsid w:val="003067C6"/>
    <w:rsid w:val="003067E7"/>
    <w:rsid w:val="003067FD"/>
    <w:rsid w:val="003068DB"/>
    <w:rsid w:val="00306919"/>
    <w:rsid w:val="003069B4"/>
    <w:rsid w:val="003069FF"/>
    <w:rsid w:val="00306A4B"/>
    <w:rsid w:val="00306A50"/>
    <w:rsid w:val="00306AA3"/>
    <w:rsid w:val="00306C85"/>
    <w:rsid w:val="00306CC6"/>
    <w:rsid w:val="00306CD4"/>
    <w:rsid w:val="00306DF3"/>
    <w:rsid w:val="00306E9B"/>
    <w:rsid w:val="00306EE7"/>
    <w:rsid w:val="00306F2E"/>
    <w:rsid w:val="00306F64"/>
    <w:rsid w:val="003070B4"/>
    <w:rsid w:val="00307148"/>
    <w:rsid w:val="0030723B"/>
    <w:rsid w:val="00307430"/>
    <w:rsid w:val="0030743A"/>
    <w:rsid w:val="00307504"/>
    <w:rsid w:val="00307633"/>
    <w:rsid w:val="00307696"/>
    <w:rsid w:val="0030778C"/>
    <w:rsid w:val="00307879"/>
    <w:rsid w:val="0030792E"/>
    <w:rsid w:val="00307A08"/>
    <w:rsid w:val="00307A79"/>
    <w:rsid w:val="00307C5F"/>
    <w:rsid w:val="00307DEC"/>
    <w:rsid w:val="00307E7B"/>
    <w:rsid w:val="00307ECB"/>
    <w:rsid w:val="00307F6B"/>
    <w:rsid w:val="0031004C"/>
    <w:rsid w:val="00310084"/>
    <w:rsid w:val="003100D8"/>
    <w:rsid w:val="00310240"/>
    <w:rsid w:val="00310290"/>
    <w:rsid w:val="003102F0"/>
    <w:rsid w:val="0031030D"/>
    <w:rsid w:val="003105EF"/>
    <w:rsid w:val="0031068A"/>
    <w:rsid w:val="003107C8"/>
    <w:rsid w:val="003107D9"/>
    <w:rsid w:val="003108A3"/>
    <w:rsid w:val="00310A69"/>
    <w:rsid w:val="00310AA7"/>
    <w:rsid w:val="00310B45"/>
    <w:rsid w:val="00310B70"/>
    <w:rsid w:val="00310C28"/>
    <w:rsid w:val="00310C46"/>
    <w:rsid w:val="00310D47"/>
    <w:rsid w:val="00310DAB"/>
    <w:rsid w:val="00310DB1"/>
    <w:rsid w:val="00310E18"/>
    <w:rsid w:val="00310E39"/>
    <w:rsid w:val="00310E4E"/>
    <w:rsid w:val="00310E81"/>
    <w:rsid w:val="00310FCC"/>
    <w:rsid w:val="00310FF4"/>
    <w:rsid w:val="0031112B"/>
    <w:rsid w:val="003112F5"/>
    <w:rsid w:val="003113ED"/>
    <w:rsid w:val="00311437"/>
    <w:rsid w:val="00311442"/>
    <w:rsid w:val="003114C9"/>
    <w:rsid w:val="0031157F"/>
    <w:rsid w:val="00311699"/>
    <w:rsid w:val="00311744"/>
    <w:rsid w:val="0031183B"/>
    <w:rsid w:val="003118C6"/>
    <w:rsid w:val="00311970"/>
    <w:rsid w:val="00311A1B"/>
    <w:rsid w:val="00311A36"/>
    <w:rsid w:val="00311B16"/>
    <w:rsid w:val="00311CA6"/>
    <w:rsid w:val="00311CDA"/>
    <w:rsid w:val="00311F48"/>
    <w:rsid w:val="00311FDF"/>
    <w:rsid w:val="003120BC"/>
    <w:rsid w:val="00312326"/>
    <w:rsid w:val="003123CB"/>
    <w:rsid w:val="00312466"/>
    <w:rsid w:val="003126AB"/>
    <w:rsid w:val="003126C7"/>
    <w:rsid w:val="00312708"/>
    <w:rsid w:val="0031270C"/>
    <w:rsid w:val="00312A05"/>
    <w:rsid w:val="00312BA8"/>
    <w:rsid w:val="00312CFA"/>
    <w:rsid w:val="00312F9C"/>
    <w:rsid w:val="00313046"/>
    <w:rsid w:val="003130D9"/>
    <w:rsid w:val="00313309"/>
    <w:rsid w:val="0031343E"/>
    <w:rsid w:val="00313577"/>
    <w:rsid w:val="0031357E"/>
    <w:rsid w:val="00313614"/>
    <w:rsid w:val="003136EB"/>
    <w:rsid w:val="003137C9"/>
    <w:rsid w:val="00313A0F"/>
    <w:rsid w:val="00313A22"/>
    <w:rsid w:val="00313A28"/>
    <w:rsid w:val="00313B5E"/>
    <w:rsid w:val="00313BAB"/>
    <w:rsid w:val="00313C71"/>
    <w:rsid w:val="00313C80"/>
    <w:rsid w:val="00313CFD"/>
    <w:rsid w:val="00313E68"/>
    <w:rsid w:val="00313E7C"/>
    <w:rsid w:val="0031424F"/>
    <w:rsid w:val="00314362"/>
    <w:rsid w:val="00314461"/>
    <w:rsid w:val="003145BF"/>
    <w:rsid w:val="003146A6"/>
    <w:rsid w:val="00314789"/>
    <w:rsid w:val="003147C2"/>
    <w:rsid w:val="003148D0"/>
    <w:rsid w:val="00314C10"/>
    <w:rsid w:val="00314CA6"/>
    <w:rsid w:val="00314E83"/>
    <w:rsid w:val="00314F22"/>
    <w:rsid w:val="00314FA1"/>
    <w:rsid w:val="00315033"/>
    <w:rsid w:val="0031508E"/>
    <w:rsid w:val="003150FE"/>
    <w:rsid w:val="003151C5"/>
    <w:rsid w:val="0031521A"/>
    <w:rsid w:val="00315420"/>
    <w:rsid w:val="003154CD"/>
    <w:rsid w:val="00315624"/>
    <w:rsid w:val="003156B8"/>
    <w:rsid w:val="0031570F"/>
    <w:rsid w:val="00315787"/>
    <w:rsid w:val="00315881"/>
    <w:rsid w:val="00315940"/>
    <w:rsid w:val="003159F7"/>
    <w:rsid w:val="00315A36"/>
    <w:rsid w:val="00315B70"/>
    <w:rsid w:val="00315C46"/>
    <w:rsid w:val="00315D42"/>
    <w:rsid w:val="00315EB8"/>
    <w:rsid w:val="00315F3E"/>
    <w:rsid w:val="00315F5D"/>
    <w:rsid w:val="00315FD0"/>
    <w:rsid w:val="00315FF6"/>
    <w:rsid w:val="003160EB"/>
    <w:rsid w:val="003161A8"/>
    <w:rsid w:val="0031621A"/>
    <w:rsid w:val="00316286"/>
    <w:rsid w:val="003163BF"/>
    <w:rsid w:val="003164B8"/>
    <w:rsid w:val="003166C0"/>
    <w:rsid w:val="003166D3"/>
    <w:rsid w:val="0031693F"/>
    <w:rsid w:val="0031695F"/>
    <w:rsid w:val="0031698A"/>
    <w:rsid w:val="00316A55"/>
    <w:rsid w:val="00316B6E"/>
    <w:rsid w:val="00316BB7"/>
    <w:rsid w:val="00316C2A"/>
    <w:rsid w:val="00316C3B"/>
    <w:rsid w:val="00316C58"/>
    <w:rsid w:val="00316CAD"/>
    <w:rsid w:val="00316CD9"/>
    <w:rsid w:val="00316D26"/>
    <w:rsid w:val="00316D58"/>
    <w:rsid w:val="00316F16"/>
    <w:rsid w:val="00316F72"/>
    <w:rsid w:val="00316F80"/>
    <w:rsid w:val="0031716B"/>
    <w:rsid w:val="00317370"/>
    <w:rsid w:val="003173D8"/>
    <w:rsid w:val="003173DD"/>
    <w:rsid w:val="00317593"/>
    <w:rsid w:val="00317677"/>
    <w:rsid w:val="003176D6"/>
    <w:rsid w:val="00317709"/>
    <w:rsid w:val="00317713"/>
    <w:rsid w:val="0031772B"/>
    <w:rsid w:val="00317734"/>
    <w:rsid w:val="0031785A"/>
    <w:rsid w:val="00317951"/>
    <w:rsid w:val="00317AAE"/>
    <w:rsid w:val="00317C10"/>
    <w:rsid w:val="00317CBE"/>
    <w:rsid w:val="00317D0B"/>
    <w:rsid w:val="00317DD6"/>
    <w:rsid w:val="00317F1D"/>
    <w:rsid w:val="00317FEC"/>
    <w:rsid w:val="0032016A"/>
    <w:rsid w:val="00320258"/>
    <w:rsid w:val="00320409"/>
    <w:rsid w:val="0032041D"/>
    <w:rsid w:val="003204E6"/>
    <w:rsid w:val="00320526"/>
    <w:rsid w:val="003207FA"/>
    <w:rsid w:val="00320808"/>
    <w:rsid w:val="0032087C"/>
    <w:rsid w:val="00320930"/>
    <w:rsid w:val="00320A90"/>
    <w:rsid w:val="00320C21"/>
    <w:rsid w:val="00320C29"/>
    <w:rsid w:val="00320C99"/>
    <w:rsid w:val="00320D59"/>
    <w:rsid w:val="00320DC2"/>
    <w:rsid w:val="00320DD5"/>
    <w:rsid w:val="00320E38"/>
    <w:rsid w:val="00320E3B"/>
    <w:rsid w:val="00320E43"/>
    <w:rsid w:val="00320F19"/>
    <w:rsid w:val="00320F43"/>
    <w:rsid w:val="0032107F"/>
    <w:rsid w:val="0032112A"/>
    <w:rsid w:val="00321138"/>
    <w:rsid w:val="003211B2"/>
    <w:rsid w:val="00321219"/>
    <w:rsid w:val="0032129B"/>
    <w:rsid w:val="003212A9"/>
    <w:rsid w:val="00321495"/>
    <w:rsid w:val="003216A4"/>
    <w:rsid w:val="003217D5"/>
    <w:rsid w:val="003217EB"/>
    <w:rsid w:val="0032182F"/>
    <w:rsid w:val="00321849"/>
    <w:rsid w:val="00321891"/>
    <w:rsid w:val="003218F0"/>
    <w:rsid w:val="00321951"/>
    <w:rsid w:val="00321B51"/>
    <w:rsid w:val="00321E06"/>
    <w:rsid w:val="00322214"/>
    <w:rsid w:val="00322236"/>
    <w:rsid w:val="00322239"/>
    <w:rsid w:val="0032223D"/>
    <w:rsid w:val="003225E4"/>
    <w:rsid w:val="003226B6"/>
    <w:rsid w:val="00322742"/>
    <w:rsid w:val="003227DC"/>
    <w:rsid w:val="003228C3"/>
    <w:rsid w:val="00322951"/>
    <w:rsid w:val="003229EF"/>
    <w:rsid w:val="00322A7C"/>
    <w:rsid w:val="00322AD4"/>
    <w:rsid w:val="00322CAC"/>
    <w:rsid w:val="00322CC9"/>
    <w:rsid w:val="00322CDC"/>
    <w:rsid w:val="00322E7D"/>
    <w:rsid w:val="00322FA9"/>
    <w:rsid w:val="00323059"/>
    <w:rsid w:val="0032307E"/>
    <w:rsid w:val="003230AE"/>
    <w:rsid w:val="003230E5"/>
    <w:rsid w:val="00323131"/>
    <w:rsid w:val="0032327D"/>
    <w:rsid w:val="003232E0"/>
    <w:rsid w:val="0032331A"/>
    <w:rsid w:val="0032390E"/>
    <w:rsid w:val="0032393D"/>
    <w:rsid w:val="003239E0"/>
    <w:rsid w:val="00323A31"/>
    <w:rsid w:val="00323A40"/>
    <w:rsid w:val="00323A42"/>
    <w:rsid w:val="00323A4B"/>
    <w:rsid w:val="00323AF8"/>
    <w:rsid w:val="00323B65"/>
    <w:rsid w:val="00323B6F"/>
    <w:rsid w:val="00323D1D"/>
    <w:rsid w:val="00323D3A"/>
    <w:rsid w:val="00323DF1"/>
    <w:rsid w:val="00323E2A"/>
    <w:rsid w:val="00323ECD"/>
    <w:rsid w:val="00323F4D"/>
    <w:rsid w:val="00323FEC"/>
    <w:rsid w:val="0032401A"/>
    <w:rsid w:val="00324089"/>
    <w:rsid w:val="00324153"/>
    <w:rsid w:val="00324329"/>
    <w:rsid w:val="003243B4"/>
    <w:rsid w:val="0032440A"/>
    <w:rsid w:val="003244B7"/>
    <w:rsid w:val="003244B9"/>
    <w:rsid w:val="003249CC"/>
    <w:rsid w:val="00324A77"/>
    <w:rsid w:val="00324B42"/>
    <w:rsid w:val="00324B5C"/>
    <w:rsid w:val="00324C14"/>
    <w:rsid w:val="00324C52"/>
    <w:rsid w:val="00324D31"/>
    <w:rsid w:val="00324DD2"/>
    <w:rsid w:val="00324DEC"/>
    <w:rsid w:val="00324E32"/>
    <w:rsid w:val="00324F89"/>
    <w:rsid w:val="00324F96"/>
    <w:rsid w:val="00324FC6"/>
    <w:rsid w:val="0032514F"/>
    <w:rsid w:val="00325180"/>
    <w:rsid w:val="00325238"/>
    <w:rsid w:val="00325307"/>
    <w:rsid w:val="00325376"/>
    <w:rsid w:val="003253DD"/>
    <w:rsid w:val="0032571D"/>
    <w:rsid w:val="0032584C"/>
    <w:rsid w:val="003258A1"/>
    <w:rsid w:val="003258D3"/>
    <w:rsid w:val="00325A55"/>
    <w:rsid w:val="00325A98"/>
    <w:rsid w:val="00325B3D"/>
    <w:rsid w:val="00325B99"/>
    <w:rsid w:val="00325BAC"/>
    <w:rsid w:val="00325C82"/>
    <w:rsid w:val="00325D72"/>
    <w:rsid w:val="00325DFA"/>
    <w:rsid w:val="00325E0F"/>
    <w:rsid w:val="00325EAE"/>
    <w:rsid w:val="00325EF1"/>
    <w:rsid w:val="00325FB4"/>
    <w:rsid w:val="00325FE5"/>
    <w:rsid w:val="003261D5"/>
    <w:rsid w:val="00326251"/>
    <w:rsid w:val="003263C7"/>
    <w:rsid w:val="0032648D"/>
    <w:rsid w:val="003265A2"/>
    <w:rsid w:val="00326797"/>
    <w:rsid w:val="00326855"/>
    <w:rsid w:val="00326A14"/>
    <w:rsid w:val="00326A3A"/>
    <w:rsid w:val="00326B2C"/>
    <w:rsid w:val="00326B80"/>
    <w:rsid w:val="00326CD8"/>
    <w:rsid w:val="00326CDD"/>
    <w:rsid w:val="00326D81"/>
    <w:rsid w:val="00326DAF"/>
    <w:rsid w:val="00326E4C"/>
    <w:rsid w:val="00326EC1"/>
    <w:rsid w:val="00326F49"/>
    <w:rsid w:val="00326F54"/>
    <w:rsid w:val="00326FEF"/>
    <w:rsid w:val="0032706D"/>
    <w:rsid w:val="003270EF"/>
    <w:rsid w:val="00327111"/>
    <w:rsid w:val="0032720D"/>
    <w:rsid w:val="0032743A"/>
    <w:rsid w:val="00327766"/>
    <w:rsid w:val="00327996"/>
    <w:rsid w:val="00327BC4"/>
    <w:rsid w:val="00327C76"/>
    <w:rsid w:val="00327CD0"/>
    <w:rsid w:val="00327D51"/>
    <w:rsid w:val="00327DEF"/>
    <w:rsid w:val="00327E36"/>
    <w:rsid w:val="00327F38"/>
    <w:rsid w:val="00327FCF"/>
    <w:rsid w:val="00327FEB"/>
    <w:rsid w:val="003300FF"/>
    <w:rsid w:val="003301ED"/>
    <w:rsid w:val="00330396"/>
    <w:rsid w:val="003304A4"/>
    <w:rsid w:val="003306E8"/>
    <w:rsid w:val="003306F8"/>
    <w:rsid w:val="00330742"/>
    <w:rsid w:val="00330754"/>
    <w:rsid w:val="003307EB"/>
    <w:rsid w:val="00330844"/>
    <w:rsid w:val="003308AC"/>
    <w:rsid w:val="0033099A"/>
    <w:rsid w:val="00330A50"/>
    <w:rsid w:val="00330B0E"/>
    <w:rsid w:val="00330B64"/>
    <w:rsid w:val="00330C3E"/>
    <w:rsid w:val="00330CC9"/>
    <w:rsid w:val="00330D58"/>
    <w:rsid w:val="00330DFC"/>
    <w:rsid w:val="00330E1C"/>
    <w:rsid w:val="00330EB3"/>
    <w:rsid w:val="00330EDD"/>
    <w:rsid w:val="00330FF8"/>
    <w:rsid w:val="003310D8"/>
    <w:rsid w:val="00331162"/>
    <w:rsid w:val="00331174"/>
    <w:rsid w:val="003311AD"/>
    <w:rsid w:val="003311EA"/>
    <w:rsid w:val="00331219"/>
    <w:rsid w:val="0033124F"/>
    <w:rsid w:val="003312A1"/>
    <w:rsid w:val="003312C6"/>
    <w:rsid w:val="003315CF"/>
    <w:rsid w:val="00331714"/>
    <w:rsid w:val="0033171B"/>
    <w:rsid w:val="00331753"/>
    <w:rsid w:val="00331786"/>
    <w:rsid w:val="003317BC"/>
    <w:rsid w:val="0033184C"/>
    <w:rsid w:val="00331A90"/>
    <w:rsid w:val="00331C07"/>
    <w:rsid w:val="00331CB3"/>
    <w:rsid w:val="00331D40"/>
    <w:rsid w:val="00331E33"/>
    <w:rsid w:val="00332012"/>
    <w:rsid w:val="00332038"/>
    <w:rsid w:val="00332077"/>
    <w:rsid w:val="003320EF"/>
    <w:rsid w:val="003322D1"/>
    <w:rsid w:val="003322E7"/>
    <w:rsid w:val="0033239C"/>
    <w:rsid w:val="003323DB"/>
    <w:rsid w:val="00332499"/>
    <w:rsid w:val="003324C6"/>
    <w:rsid w:val="00332542"/>
    <w:rsid w:val="0033257A"/>
    <w:rsid w:val="00332741"/>
    <w:rsid w:val="003327F6"/>
    <w:rsid w:val="0033282C"/>
    <w:rsid w:val="003328AE"/>
    <w:rsid w:val="003328D9"/>
    <w:rsid w:val="003328E3"/>
    <w:rsid w:val="00332923"/>
    <w:rsid w:val="00332926"/>
    <w:rsid w:val="00332A23"/>
    <w:rsid w:val="00332AE9"/>
    <w:rsid w:val="00332AF2"/>
    <w:rsid w:val="00332C54"/>
    <w:rsid w:val="00332D68"/>
    <w:rsid w:val="00332D88"/>
    <w:rsid w:val="00332E48"/>
    <w:rsid w:val="00332ECB"/>
    <w:rsid w:val="00332FBD"/>
    <w:rsid w:val="00332FFE"/>
    <w:rsid w:val="003330D4"/>
    <w:rsid w:val="003331AA"/>
    <w:rsid w:val="00333289"/>
    <w:rsid w:val="00333412"/>
    <w:rsid w:val="003334BE"/>
    <w:rsid w:val="00333531"/>
    <w:rsid w:val="0033356A"/>
    <w:rsid w:val="0033359C"/>
    <w:rsid w:val="003335CC"/>
    <w:rsid w:val="003335F5"/>
    <w:rsid w:val="00333680"/>
    <w:rsid w:val="003336CC"/>
    <w:rsid w:val="003336E8"/>
    <w:rsid w:val="00333925"/>
    <w:rsid w:val="00333A33"/>
    <w:rsid w:val="00333BA5"/>
    <w:rsid w:val="00333BDE"/>
    <w:rsid w:val="00333C21"/>
    <w:rsid w:val="00333D40"/>
    <w:rsid w:val="00333D61"/>
    <w:rsid w:val="00333E02"/>
    <w:rsid w:val="00333E15"/>
    <w:rsid w:val="00333ECD"/>
    <w:rsid w:val="00333FF4"/>
    <w:rsid w:val="00334032"/>
    <w:rsid w:val="0033423F"/>
    <w:rsid w:val="0033430F"/>
    <w:rsid w:val="003343A1"/>
    <w:rsid w:val="003343E1"/>
    <w:rsid w:val="0033445A"/>
    <w:rsid w:val="0033458A"/>
    <w:rsid w:val="00334647"/>
    <w:rsid w:val="003346AA"/>
    <w:rsid w:val="003348CD"/>
    <w:rsid w:val="003348E9"/>
    <w:rsid w:val="003348FD"/>
    <w:rsid w:val="003349E4"/>
    <w:rsid w:val="00334C99"/>
    <w:rsid w:val="00334CEA"/>
    <w:rsid w:val="00334CFC"/>
    <w:rsid w:val="00334D58"/>
    <w:rsid w:val="00334FBA"/>
    <w:rsid w:val="00334FF1"/>
    <w:rsid w:val="00335159"/>
    <w:rsid w:val="003354D9"/>
    <w:rsid w:val="003355DA"/>
    <w:rsid w:val="00335655"/>
    <w:rsid w:val="003356D5"/>
    <w:rsid w:val="00335717"/>
    <w:rsid w:val="0033579A"/>
    <w:rsid w:val="00335874"/>
    <w:rsid w:val="003358CF"/>
    <w:rsid w:val="00335A1F"/>
    <w:rsid w:val="00335A9A"/>
    <w:rsid w:val="00335AB3"/>
    <w:rsid w:val="00335B0E"/>
    <w:rsid w:val="00335B65"/>
    <w:rsid w:val="00335D85"/>
    <w:rsid w:val="00335EEB"/>
    <w:rsid w:val="00336037"/>
    <w:rsid w:val="00336104"/>
    <w:rsid w:val="00336117"/>
    <w:rsid w:val="0033614F"/>
    <w:rsid w:val="003361CC"/>
    <w:rsid w:val="003363EB"/>
    <w:rsid w:val="0033664A"/>
    <w:rsid w:val="003366E6"/>
    <w:rsid w:val="0033676F"/>
    <w:rsid w:val="00336774"/>
    <w:rsid w:val="00336842"/>
    <w:rsid w:val="00336AF3"/>
    <w:rsid w:val="00336BF6"/>
    <w:rsid w:val="00336C91"/>
    <w:rsid w:val="00336D3F"/>
    <w:rsid w:val="00336E37"/>
    <w:rsid w:val="00336F63"/>
    <w:rsid w:val="003370E7"/>
    <w:rsid w:val="00337148"/>
    <w:rsid w:val="0033722F"/>
    <w:rsid w:val="00337231"/>
    <w:rsid w:val="003373A9"/>
    <w:rsid w:val="00337504"/>
    <w:rsid w:val="00337511"/>
    <w:rsid w:val="003376B4"/>
    <w:rsid w:val="00337722"/>
    <w:rsid w:val="003377A9"/>
    <w:rsid w:val="003377BD"/>
    <w:rsid w:val="0033789F"/>
    <w:rsid w:val="00337AB3"/>
    <w:rsid w:val="00337BB9"/>
    <w:rsid w:val="00337CD2"/>
    <w:rsid w:val="00337DCD"/>
    <w:rsid w:val="00337EA5"/>
    <w:rsid w:val="00337F47"/>
    <w:rsid w:val="00340009"/>
    <w:rsid w:val="003400C3"/>
    <w:rsid w:val="0034017B"/>
    <w:rsid w:val="0034037B"/>
    <w:rsid w:val="003403CC"/>
    <w:rsid w:val="00340514"/>
    <w:rsid w:val="00340621"/>
    <w:rsid w:val="0034067A"/>
    <w:rsid w:val="003408B7"/>
    <w:rsid w:val="0034091E"/>
    <w:rsid w:val="00340A7A"/>
    <w:rsid w:val="00340A85"/>
    <w:rsid w:val="00340B23"/>
    <w:rsid w:val="00340BCC"/>
    <w:rsid w:val="00340C00"/>
    <w:rsid w:val="00340C24"/>
    <w:rsid w:val="00340CC6"/>
    <w:rsid w:val="00340E29"/>
    <w:rsid w:val="00340E2B"/>
    <w:rsid w:val="00340EC9"/>
    <w:rsid w:val="00340F2E"/>
    <w:rsid w:val="00341055"/>
    <w:rsid w:val="00341116"/>
    <w:rsid w:val="0034128E"/>
    <w:rsid w:val="00341304"/>
    <w:rsid w:val="003413C3"/>
    <w:rsid w:val="00341415"/>
    <w:rsid w:val="003414AF"/>
    <w:rsid w:val="003414BA"/>
    <w:rsid w:val="0034163F"/>
    <w:rsid w:val="00341685"/>
    <w:rsid w:val="0034175D"/>
    <w:rsid w:val="00341770"/>
    <w:rsid w:val="003417E8"/>
    <w:rsid w:val="003418BE"/>
    <w:rsid w:val="003418E0"/>
    <w:rsid w:val="0034193E"/>
    <w:rsid w:val="003419EB"/>
    <w:rsid w:val="00341B17"/>
    <w:rsid w:val="00341B3D"/>
    <w:rsid w:val="00341BA3"/>
    <w:rsid w:val="00341BF1"/>
    <w:rsid w:val="00341D52"/>
    <w:rsid w:val="00341F18"/>
    <w:rsid w:val="0034207B"/>
    <w:rsid w:val="003422DD"/>
    <w:rsid w:val="00342399"/>
    <w:rsid w:val="003423C2"/>
    <w:rsid w:val="003424C0"/>
    <w:rsid w:val="003424C2"/>
    <w:rsid w:val="00342522"/>
    <w:rsid w:val="003427DA"/>
    <w:rsid w:val="00342803"/>
    <w:rsid w:val="00342820"/>
    <w:rsid w:val="00342855"/>
    <w:rsid w:val="003428BF"/>
    <w:rsid w:val="003428C3"/>
    <w:rsid w:val="003428D0"/>
    <w:rsid w:val="003429B3"/>
    <w:rsid w:val="00342B0F"/>
    <w:rsid w:val="00342B49"/>
    <w:rsid w:val="00342BB1"/>
    <w:rsid w:val="00342CD6"/>
    <w:rsid w:val="00342D7C"/>
    <w:rsid w:val="00342E51"/>
    <w:rsid w:val="00342FBB"/>
    <w:rsid w:val="00343030"/>
    <w:rsid w:val="0034313F"/>
    <w:rsid w:val="00343191"/>
    <w:rsid w:val="003431AD"/>
    <w:rsid w:val="003432F8"/>
    <w:rsid w:val="0034335A"/>
    <w:rsid w:val="00343390"/>
    <w:rsid w:val="00343591"/>
    <w:rsid w:val="003435D2"/>
    <w:rsid w:val="00343733"/>
    <w:rsid w:val="003437F9"/>
    <w:rsid w:val="00343AFB"/>
    <w:rsid w:val="00343B20"/>
    <w:rsid w:val="00343B49"/>
    <w:rsid w:val="00343C76"/>
    <w:rsid w:val="00343CC3"/>
    <w:rsid w:val="00343D7D"/>
    <w:rsid w:val="00343DEC"/>
    <w:rsid w:val="00343DF3"/>
    <w:rsid w:val="00343EEA"/>
    <w:rsid w:val="00343F43"/>
    <w:rsid w:val="00344095"/>
    <w:rsid w:val="003440D8"/>
    <w:rsid w:val="003442E7"/>
    <w:rsid w:val="003442FE"/>
    <w:rsid w:val="003444E3"/>
    <w:rsid w:val="003445C3"/>
    <w:rsid w:val="00344616"/>
    <w:rsid w:val="00344674"/>
    <w:rsid w:val="003446B8"/>
    <w:rsid w:val="0034483D"/>
    <w:rsid w:val="003448B6"/>
    <w:rsid w:val="00344904"/>
    <w:rsid w:val="00344AE7"/>
    <w:rsid w:val="00344B4D"/>
    <w:rsid w:val="00344B6C"/>
    <w:rsid w:val="00344C15"/>
    <w:rsid w:val="00344D11"/>
    <w:rsid w:val="00344D9E"/>
    <w:rsid w:val="003450BB"/>
    <w:rsid w:val="00345277"/>
    <w:rsid w:val="003452A5"/>
    <w:rsid w:val="003458FE"/>
    <w:rsid w:val="003459C5"/>
    <w:rsid w:val="00345A26"/>
    <w:rsid w:val="00345B18"/>
    <w:rsid w:val="00345C00"/>
    <w:rsid w:val="00345D73"/>
    <w:rsid w:val="00345F31"/>
    <w:rsid w:val="00346009"/>
    <w:rsid w:val="00346065"/>
    <w:rsid w:val="003460AC"/>
    <w:rsid w:val="00346138"/>
    <w:rsid w:val="0034613C"/>
    <w:rsid w:val="0034624A"/>
    <w:rsid w:val="00346288"/>
    <w:rsid w:val="00346294"/>
    <w:rsid w:val="003462C7"/>
    <w:rsid w:val="003463F0"/>
    <w:rsid w:val="0034651D"/>
    <w:rsid w:val="00346581"/>
    <w:rsid w:val="00346635"/>
    <w:rsid w:val="0034670D"/>
    <w:rsid w:val="00346846"/>
    <w:rsid w:val="00346A37"/>
    <w:rsid w:val="00346A9A"/>
    <w:rsid w:val="00346A9D"/>
    <w:rsid w:val="00346AED"/>
    <w:rsid w:val="00346C75"/>
    <w:rsid w:val="00346D7A"/>
    <w:rsid w:val="00346FBA"/>
    <w:rsid w:val="00346FEB"/>
    <w:rsid w:val="00347165"/>
    <w:rsid w:val="003471B3"/>
    <w:rsid w:val="0034725C"/>
    <w:rsid w:val="003475C0"/>
    <w:rsid w:val="003476AF"/>
    <w:rsid w:val="00347710"/>
    <w:rsid w:val="003478BE"/>
    <w:rsid w:val="003478CA"/>
    <w:rsid w:val="0034793B"/>
    <w:rsid w:val="003479BC"/>
    <w:rsid w:val="00347ABD"/>
    <w:rsid w:val="00347B19"/>
    <w:rsid w:val="00347CCE"/>
    <w:rsid w:val="0035022D"/>
    <w:rsid w:val="00350276"/>
    <w:rsid w:val="0035040C"/>
    <w:rsid w:val="00350495"/>
    <w:rsid w:val="003504C5"/>
    <w:rsid w:val="003505EF"/>
    <w:rsid w:val="0035071A"/>
    <w:rsid w:val="00350795"/>
    <w:rsid w:val="00350841"/>
    <w:rsid w:val="003508BC"/>
    <w:rsid w:val="00350968"/>
    <w:rsid w:val="00350997"/>
    <w:rsid w:val="00350A0D"/>
    <w:rsid w:val="00350A1F"/>
    <w:rsid w:val="00350A89"/>
    <w:rsid w:val="00350BE1"/>
    <w:rsid w:val="00350C2A"/>
    <w:rsid w:val="00350CC2"/>
    <w:rsid w:val="00350D52"/>
    <w:rsid w:val="00351079"/>
    <w:rsid w:val="00351083"/>
    <w:rsid w:val="003511C0"/>
    <w:rsid w:val="0035139B"/>
    <w:rsid w:val="0035160A"/>
    <w:rsid w:val="00351655"/>
    <w:rsid w:val="00351679"/>
    <w:rsid w:val="003516E0"/>
    <w:rsid w:val="0035196B"/>
    <w:rsid w:val="003519A7"/>
    <w:rsid w:val="003519E3"/>
    <w:rsid w:val="00351A7A"/>
    <w:rsid w:val="00351B71"/>
    <w:rsid w:val="00351B9D"/>
    <w:rsid w:val="00351C7B"/>
    <w:rsid w:val="00351D24"/>
    <w:rsid w:val="00351D91"/>
    <w:rsid w:val="00351DDA"/>
    <w:rsid w:val="00351EA8"/>
    <w:rsid w:val="00351F84"/>
    <w:rsid w:val="00351FB6"/>
    <w:rsid w:val="00352154"/>
    <w:rsid w:val="0035215C"/>
    <w:rsid w:val="00352183"/>
    <w:rsid w:val="00352221"/>
    <w:rsid w:val="003522DA"/>
    <w:rsid w:val="00352411"/>
    <w:rsid w:val="00352561"/>
    <w:rsid w:val="0035256F"/>
    <w:rsid w:val="00352590"/>
    <w:rsid w:val="0035267F"/>
    <w:rsid w:val="003526AA"/>
    <w:rsid w:val="0035277D"/>
    <w:rsid w:val="00352852"/>
    <w:rsid w:val="00352A4C"/>
    <w:rsid w:val="00352A7F"/>
    <w:rsid w:val="00352A9D"/>
    <w:rsid w:val="00352BD7"/>
    <w:rsid w:val="00352CB7"/>
    <w:rsid w:val="00352D44"/>
    <w:rsid w:val="00352E17"/>
    <w:rsid w:val="0035307D"/>
    <w:rsid w:val="00353124"/>
    <w:rsid w:val="003531D5"/>
    <w:rsid w:val="00353283"/>
    <w:rsid w:val="003534B4"/>
    <w:rsid w:val="003534CB"/>
    <w:rsid w:val="0035355F"/>
    <w:rsid w:val="003536BD"/>
    <w:rsid w:val="003537AB"/>
    <w:rsid w:val="003537F1"/>
    <w:rsid w:val="003538A9"/>
    <w:rsid w:val="003538D6"/>
    <w:rsid w:val="00353919"/>
    <w:rsid w:val="00353979"/>
    <w:rsid w:val="00353AEF"/>
    <w:rsid w:val="00353C79"/>
    <w:rsid w:val="00353D06"/>
    <w:rsid w:val="00353D37"/>
    <w:rsid w:val="00353EE7"/>
    <w:rsid w:val="00353FC1"/>
    <w:rsid w:val="00354221"/>
    <w:rsid w:val="00354258"/>
    <w:rsid w:val="003542B2"/>
    <w:rsid w:val="003543EC"/>
    <w:rsid w:val="003543EF"/>
    <w:rsid w:val="00354422"/>
    <w:rsid w:val="0035453D"/>
    <w:rsid w:val="0035464C"/>
    <w:rsid w:val="00354667"/>
    <w:rsid w:val="003546C9"/>
    <w:rsid w:val="0035476C"/>
    <w:rsid w:val="0035476E"/>
    <w:rsid w:val="003547EF"/>
    <w:rsid w:val="00354800"/>
    <w:rsid w:val="00354812"/>
    <w:rsid w:val="00354823"/>
    <w:rsid w:val="003548D6"/>
    <w:rsid w:val="00354908"/>
    <w:rsid w:val="0035498E"/>
    <w:rsid w:val="00354A23"/>
    <w:rsid w:val="00354ABA"/>
    <w:rsid w:val="00354B80"/>
    <w:rsid w:val="00354CC3"/>
    <w:rsid w:val="00354E2F"/>
    <w:rsid w:val="00354E99"/>
    <w:rsid w:val="0035547F"/>
    <w:rsid w:val="00355484"/>
    <w:rsid w:val="003556C7"/>
    <w:rsid w:val="00355774"/>
    <w:rsid w:val="0035578E"/>
    <w:rsid w:val="0035579A"/>
    <w:rsid w:val="003557B7"/>
    <w:rsid w:val="003557FF"/>
    <w:rsid w:val="00355927"/>
    <w:rsid w:val="003559CB"/>
    <w:rsid w:val="00355C40"/>
    <w:rsid w:val="00355E2F"/>
    <w:rsid w:val="00355EC8"/>
    <w:rsid w:val="00355F4F"/>
    <w:rsid w:val="00355FAB"/>
    <w:rsid w:val="00356011"/>
    <w:rsid w:val="00356067"/>
    <w:rsid w:val="0035622E"/>
    <w:rsid w:val="00356545"/>
    <w:rsid w:val="003565A7"/>
    <w:rsid w:val="003565B2"/>
    <w:rsid w:val="003565F2"/>
    <w:rsid w:val="00356623"/>
    <w:rsid w:val="00356698"/>
    <w:rsid w:val="003566D7"/>
    <w:rsid w:val="00356737"/>
    <w:rsid w:val="0035692D"/>
    <w:rsid w:val="0035697F"/>
    <w:rsid w:val="003569AC"/>
    <w:rsid w:val="003569B9"/>
    <w:rsid w:val="003569C1"/>
    <w:rsid w:val="00356A1B"/>
    <w:rsid w:val="00356AA0"/>
    <w:rsid w:val="00356B29"/>
    <w:rsid w:val="00356B53"/>
    <w:rsid w:val="00356C3A"/>
    <w:rsid w:val="00356CBD"/>
    <w:rsid w:val="00356E97"/>
    <w:rsid w:val="00356FE3"/>
    <w:rsid w:val="0035751A"/>
    <w:rsid w:val="0035765F"/>
    <w:rsid w:val="00357838"/>
    <w:rsid w:val="00357846"/>
    <w:rsid w:val="003578A8"/>
    <w:rsid w:val="003578C6"/>
    <w:rsid w:val="0035790D"/>
    <w:rsid w:val="003579EF"/>
    <w:rsid w:val="00357A7D"/>
    <w:rsid w:val="00357A9E"/>
    <w:rsid w:val="00357BAF"/>
    <w:rsid w:val="00357C5C"/>
    <w:rsid w:val="00357C86"/>
    <w:rsid w:val="00357D21"/>
    <w:rsid w:val="00357D36"/>
    <w:rsid w:val="00357DF7"/>
    <w:rsid w:val="00357EBA"/>
    <w:rsid w:val="00357F6E"/>
    <w:rsid w:val="00357FDC"/>
    <w:rsid w:val="0036001C"/>
    <w:rsid w:val="00360058"/>
    <w:rsid w:val="0036021C"/>
    <w:rsid w:val="0036021F"/>
    <w:rsid w:val="00360322"/>
    <w:rsid w:val="0036032A"/>
    <w:rsid w:val="0036040F"/>
    <w:rsid w:val="003605B6"/>
    <w:rsid w:val="00360654"/>
    <w:rsid w:val="00360709"/>
    <w:rsid w:val="00360793"/>
    <w:rsid w:val="00360840"/>
    <w:rsid w:val="003609C1"/>
    <w:rsid w:val="00360B41"/>
    <w:rsid w:val="00360BE5"/>
    <w:rsid w:val="00360C78"/>
    <w:rsid w:val="00360D97"/>
    <w:rsid w:val="00360DA8"/>
    <w:rsid w:val="00360F10"/>
    <w:rsid w:val="00360F68"/>
    <w:rsid w:val="00361049"/>
    <w:rsid w:val="00361266"/>
    <w:rsid w:val="0036136B"/>
    <w:rsid w:val="003613A7"/>
    <w:rsid w:val="003614CC"/>
    <w:rsid w:val="0036153D"/>
    <w:rsid w:val="0036163D"/>
    <w:rsid w:val="0036177E"/>
    <w:rsid w:val="00361884"/>
    <w:rsid w:val="003619B1"/>
    <w:rsid w:val="003619DE"/>
    <w:rsid w:val="00361ADD"/>
    <w:rsid w:val="00361C75"/>
    <w:rsid w:val="00361D34"/>
    <w:rsid w:val="00361DAD"/>
    <w:rsid w:val="00361F63"/>
    <w:rsid w:val="0036207E"/>
    <w:rsid w:val="003620F8"/>
    <w:rsid w:val="003620FE"/>
    <w:rsid w:val="00362147"/>
    <w:rsid w:val="003622C4"/>
    <w:rsid w:val="0036230F"/>
    <w:rsid w:val="00362333"/>
    <w:rsid w:val="00362353"/>
    <w:rsid w:val="0036235E"/>
    <w:rsid w:val="00362372"/>
    <w:rsid w:val="003623E2"/>
    <w:rsid w:val="00362454"/>
    <w:rsid w:val="003624D6"/>
    <w:rsid w:val="003625C2"/>
    <w:rsid w:val="00362851"/>
    <w:rsid w:val="0036288B"/>
    <w:rsid w:val="0036292F"/>
    <w:rsid w:val="00362B34"/>
    <w:rsid w:val="00362B5A"/>
    <w:rsid w:val="00362B62"/>
    <w:rsid w:val="00362B8B"/>
    <w:rsid w:val="00362CA8"/>
    <w:rsid w:val="00362CDF"/>
    <w:rsid w:val="00362DF7"/>
    <w:rsid w:val="00362F09"/>
    <w:rsid w:val="00362F55"/>
    <w:rsid w:val="0036306A"/>
    <w:rsid w:val="003630F9"/>
    <w:rsid w:val="0036311F"/>
    <w:rsid w:val="0036320F"/>
    <w:rsid w:val="00363475"/>
    <w:rsid w:val="00363586"/>
    <w:rsid w:val="003635E9"/>
    <w:rsid w:val="00363652"/>
    <w:rsid w:val="003636B0"/>
    <w:rsid w:val="0036376D"/>
    <w:rsid w:val="0036389F"/>
    <w:rsid w:val="003638E0"/>
    <w:rsid w:val="003638E4"/>
    <w:rsid w:val="0036391B"/>
    <w:rsid w:val="0036393E"/>
    <w:rsid w:val="00363A65"/>
    <w:rsid w:val="00363CDD"/>
    <w:rsid w:val="003641BB"/>
    <w:rsid w:val="003643AB"/>
    <w:rsid w:val="003644C3"/>
    <w:rsid w:val="003644CC"/>
    <w:rsid w:val="003644CD"/>
    <w:rsid w:val="00364551"/>
    <w:rsid w:val="00364578"/>
    <w:rsid w:val="00364616"/>
    <w:rsid w:val="00364679"/>
    <w:rsid w:val="003646E8"/>
    <w:rsid w:val="003646E9"/>
    <w:rsid w:val="00364797"/>
    <w:rsid w:val="00364AF8"/>
    <w:rsid w:val="00364B21"/>
    <w:rsid w:val="00364E8C"/>
    <w:rsid w:val="00364F2A"/>
    <w:rsid w:val="00364FCC"/>
    <w:rsid w:val="003652AD"/>
    <w:rsid w:val="00365334"/>
    <w:rsid w:val="00365336"/>
    <w:rsid w:val="00365341"/>
    <w:rsid w:val="00365472"/>
    <w:rsid w:val="00365510"/>
    <w:rsid w:val="00365684"/>
    <w:rsid w:val="003657C2"/>
    <w:rsid w:val="003657C5"/>
    <w:rsid w:val="00365812"/>
    <w:rsid w:val="00365895"/>
    <w:rsid w:val="00365902"/>
    <w:rsid w:val="0036591C"/>
    <w:rsid w:val="003659DC"/>
    <w:rsid w:val="00365A8A"/>
    <w:rsid w:val="00365AFD"/>
    <w:rsid w:val="00365B47"/>
    <w:rsid w:val="00365C83"/>
    <w:rsid w:val="00365CA3"/>
    <w:rsid w:val="00365CBA"/>
    <w:rsid w:val="00365D57"/>
    <w:rsid w:val="00365E92"/>
    <w:rsid w:val="00365F0B"/>
    <w:rsid w:val="00365FEB"/>
    <w:rsid w:val="00366202"/>
    <w:rsid w:val="003664AD"/>
    <w:rsid w:val="003664F2"/>
    <w:rsid w:val="0036660B"/>
    <w:rsid w:val="00366729"/>
    <w:rsid w:val="0036680E"/>
    <w:rsid w:val="00366836"/>
    <w:rsid w:val="0036695C"/>
    <w:rsid w:val="003669E6"/>
    <w:rsid w:val="00366A15"/>
    <w:rsid w:val="00366AA7"/>
    <w:rsid w:val="00366E13"/>
    <w:rsid w:val="00366EF9"/>
    <w:rsid w:val="00366F23"/>
    <w:rsid w:val="00366F3F"/>
    <w:rsid w:val="00366F43"/>
    <w:rsid w:val="00367016"/>
    <w:rsid w:val="00367558"/>
    <w:rsid w:val="0036758E"/>
    <w:rsid w:val="003675FA"/>
    <w:rsid w:val="00367603"/>
    <w:rsid w:val="00367677"/>
    <w:rsid w:val="003676BD"/>
    <w:rsid w:val="003676C8"/>
    <w:rsid w:val="00367791"/>
    <w:rsid w:val="003677A0"/>
    <w:rsid w:val="00367805"/>
    <w:rsid w:val="003678C4"/>
    <w:rsid w:val="0036791D"/>
    <w:rsid w:val="003679E3"/>
    <w:rsid w:val="00367A12"/>
    <w:rsid w:val="0037004A"/>
    <w:rsid w:val="00370074"/>
    <w:rsid w:val="00370083"/>
    <w:rsid w:val="00370143"/>
    <w:rsid w:val="003702E2"/>
    <w:rsid w:val="0037050E"/>
    <w:rsid w:val="0037052E"/>
    <w:rsid w:val="00370584"/>
    <w:rsid w:val="003705AF"/>
    <w:rsid w:val="003705B1"/>
    <w:rsid w:val="00370617"/>
    <w:rsid w:val="0037065E"/>
    <w:rsid w:val="00370729"/>
    <w:rsid w:val="003707D3"/>
    <w:rsid w:val="00370807"/>
    <w:rsid w:val="00370936"/>
    <w:rsid w:val="00370991"/>
    <w:rsid w:val="00370A0E"/>
    <w:rsid w:val="00370B3D"/>
    <w:rsid w:val="00370C12"/>
    <w:rsid w:val="003710D1"/>
    <w:rsid w:val="003710E8"/>
    <w:rsid w:val="003712B3"/>
    <w:rsid w:val="0037134A"/>
    <w:rsid w:val="00371476"/>
    <w:rsid w:val="0037154C"/>
    <w:rsid w:val="00371586"/>
    <w:rsid w:val="003715DF"/>
    <w:rsid w:val="00371642"/>
    <w:rsid w:val="00371885"/>
    <w:rsid w:val="003718EF"/>
    <w:rsid w:val="003719AB"/>
    <w:rsid w:val="00371A19"/>
    <w:rsid w:val="00371B7C"/>
    <w:rsid w:val="00371B8C"/>
    <w:rsid w:val="00371E79"/>
    <w:rsid w:val="00372170"/>
    <w:rsid w:val="00372200"/>
    <w:rsid w:val="00372226"/>
    <w:rsid w:val="00372234"/>
    <w:rsid w:val="003722E2"/>
    <w:rsid w:val="00372318"/>
    <w:rsid w:val="0037233B"/>
    <w:rsid w:val="003723AC"/>
    <w:rsid w:val="003723F7"/>
    <w:rsid w:val="003724E1"/>
    <w:rsid w:val="003725EC"/>
    <w:rsid w:val="00372624"/>
    <w:rsid w:val="0037270A"/>
    <w:rsid w:val="00372760"/>
    <w:rsid w:val="003727C2"/>
    <w:rsid w:val="00372855"/>
    <w:rsid w:val="0037287B"/>
    <w:rsid w:val="00372AD0"/>
    <w:rsid w:val="00372AE9"/>
    <w:rsid w:val="00372B51"/>
    <w:rsid w:val="00372CBA"/>
    <w:rsid w:val="00372DF1"/>
    <w:rsid w:val="00372E29"/>
    <w:rsid w:val="00372F1A"/>
    <w:rsid w:val="00373005"/>
    <w:rsid w:val="0037302B"/>
    <w:rsid w:val="00373046"/>
    <w:rsid w:val="00373070"/>
    <w:rsid w:val="00373121"/>
    <w:rsid w:val="003732E5"/>
    <w:rsid w:val="0037332F"/>
    <w:rsid w:val="0037333D"/>
    <w:rsid w:val="003733A3"/>
    <w:rsid w:val="003736BB"/>
    <w:rsid w:val="00373742"/>
    <w:rsid w:val="00373849"/>
    <w:rsid w:val="00373B6E"/>
    <w:rsid w:val="00373C00"/>
    <w:rsid w:val="00373C6F"/>
    <w:rsid w:val="00373C85"/>
    <w:rsid w:val="00373CEA"/>
    <w:rsid w:val="00373D3D"/>
    <w:rsid w:val="00374043"/>
    <w:rsid w:val="003740B3"/>
    <w:rsid w:val="0037423B"/>
    <w:rsid w:val="00374374"/>
    <w:rsid w:val="00374610"/>
    <w:rsid w:val="00374693"/>
    <w:rsid w:val="00374731"/>
    <w:rsid w:val="003747F5"/>
    <w:rsid w:val="003748B0"/>
    <w:rsid w:val="003748B4"/>
    <w:rsid w:val="003748D8"/>
    <w:rsid w:val="00374AC3"/>
    <w:rsid w:val="00374ADE"/>
    <w:rsid w:val="00374B48"/>
    <w:rsid w:val="00374E1C"/>
    <w:rsid w:val="00374F1E"/>
    <w:rsid w:val="00375000"/>
    <w:rsid w:val="00375005"/>
    <w:rsid w:val="00375073"/>
    <w:rsid w:val="0037534D"/>
    <w:rsid w:val="003753B6"/>
    <w:rsid w:val="0037543E"/>
    <w:rsid w:val="003754F5"/>
    <w:rsid w:val="0037568F"/>
    <w:rsid w:val="003756F1"/>
    <w:rsid w:val="00375724"/>
    <w:rsid w:val="00375843"/>
    <w:rsid w:val="00375941"/>
    <w:rsid w:val="00375A66"/>
    <w:rsid w:val="00375B93"/>
    <w:rsid w:val="00375D7B"/>
    <w:rsid w:val="00375E1C"/>
    <w:rsid w:val="00375E27"/>
    <w:rsid w:val="00375E5D"/>
    <w:rsid w:val="00375F35"/>
    <w:rsid w:val="00375F56"/>
    <w:rsid w:val="003761A9"/>
    <w:rsid w:val="00376279"/>
    <w:rsid w:val="003762C6"/>
    <w:rsid w:val="0037635B"/>
    <w:rsid w:val="003763AD"/>
    <w:rsid w:val="0037645F"/>
    <w:rsid w:val="003764DF"/>
    <w:rsid w:val="003764F8"/>
    <w:rsid w:val="00376507"/>
    <w:rsid w:val="00376530"/>
    <w:rsid w:val="0037653E"/>
    <w:rsid w:val="00376585"/>
    <w:rsid w:val="00376643"/>
    <w:rsid w:val="003766B3"/>
    <w:rsid w:val="00376712"/>
    <w:rsid w:val="0037677E"/>
    <w:rsid w:val="00376A0B"/>
    <w:rsid w:val="00376B72"/>
    <w:rsid w:val="00376CBB"/>
    <w:rsid w:val="00376FA9"/>
    <w:rsid w:val="00376FEE"/>
    <w:rsid w:val="00377083"/>
    <w:rsid w:val="003771D9"/>
    <w:rsid w:val="00377233"/>
    <w:rsid w:val="003772D4"/>
    <w:rsid w:val="003773E9"/>
    <w:rsid w:val="00377495"/>
    <w:rsid w:val="003774A1"/>
    <w:rsid w:val="00377552"/>
    <w:rsid w:val="00377578"/>
    <w:rsid w:val="00377854"/>
    <w:rsid w:val="00377876"/>
    <w:rsid w:val="00377936"/>
    <w:rsid w:val="00377949"/>
    <w:rsid w:val="00377A5D"/>
    <w:rsid w:val="00377AE1"/>
    <w:rsid w:val="00377BBD"/>
    <w:rsid w:val="00377CC6"/>
    <w:rsid w:val="00377CCA"/>
    <w:rsid w:val="00377D16"/>
    <w:rsid w:val="00377D4C"/>
    <w:rsid w:val="00377DF3"/>
    <w:rsid w:val="00377DF9"/>
    <w:rsid w:val="00377FDF"/>
    <w:rsid w:val="00380201"/>
    <w:rsid w:val="00380314"/>
    <w:rsid w:val="0038032A"/>
    <w:rsid w:val="003803F4"/>
    <w:rsid w:val="00380632"/>
    <w:rsid w:val="003806D4"/>
    <w:rsid w:val="00380778"/>
    <w:rsid w:val="003807A5"/>
    <w:rsid w:val="00380850"/>
    <w:rsid w:val="0038087E"/>
    <w:rsid w:val="00380AF7"/>
    <w:rsid w:val="00380B67"/>
    <w:rsid w:val="00380C1F"/>
    <w:rsid w:val="00380D16"/>
    <w:rsid w:val="00380D5C"/>
    <w:rsid w:val="00380D97"/>
    <w:rsid w:val="00380DDB"/>
    <w:rsid w:val="00380FD2"/>
    <w:rsid w:val="00380FD7"/>
    <w:rsid w:val="003813F7"/>
    <w:rsid w:val="0038144A"/>
    <w:rsid w:val="00381489"/>
    <w:rsid w:val="003814DA"/>
    <w:rsid w:val="00381569"/>
    <w:rsid w:val="003815C8"/>
    <w:rsid w:val="00381695"/>
    <w:rsid w:val="00381876"/>
    <w:rsid w:val="003818EB"/>
    <w:rsid w:val="00381931"/>
    <w:rsid w:val="00381962"/>
    <w:rsid w:val="00381A28"/>
    <w:rsid w:val="00381A52"/>
    <w:rsid w:val="00381AD0"/>
    <w:rsid w:val="00381AE4"/>
    <w:rsid w:val="00381BA3"/>
    <w:rsid w:val="00381CB0"/>
    <w:rsid w:val="00381D50"/>
    <w:rsid w:val="00381D84"/>
    <w:rsid w:val="00381DFA"/>
    <w:rsid w:val="00381F72"/>
    <w:rsid w:val="0038214E"/>
    <w:rsid w:val="00382198"/>
    <w:rsid w:val="003821E9"/>
    <w:rsid w:val="00382288"/>
    <w:rsid w:val="003824DE"/>
    <w:rsid w:val="0038260F"/>
    <w:rsid w:val="00382615"/>
    <w:rsid w:val="0038269D"/>
    <w:rsid w:val="003829BB"/>
    <w:rsid w:val="00382B16"/>
    <w:rsid w:val="00382B57"/>
    <w:rsid w:val="00382E00"/>
    <w:rsid w:val="00382F49"/>
    <w:rsid w:val="003830DE"/>
    <w:rsid w:val="003831E1"/>
    <w:rsid w:val="0038324C"/>
    <w:rsid w:val="0038328C"/>
    <w:rsid w:val="0038334A"/>
    <w:rsid w:val="00383381"/>
    <w:rsid w:val="003833A8"/>
    <w:rsid w:val="00383569"/>
    <w:rsid w:val="0038357F"/>
    <w:rsid w:val="003835E5"/>
    <w:rsid w:val="0038360D"/>
    <w:rsid w:val="003837CB"/>
    <w:rsid w:val="00383888"/>
    <w:rsid w:val="00383A45"/>
    <w:rsid w:val="00383CF7"/>
    <w:rsid w:val="00383CF8"/>
    <w:rsid w:val="003841BB"/>
    <w:rsid w:val="00384339"/>
    <w:rsid w:val="0038438F"/>
    <w:rsid w:val="00384408"/>
    <w:rsid w:val="003844AA"/>
    <w:rsid w:val="00384640"/>
    <w:rsid w:val="003846A8"/>
    <w:rsid w:val="003846FA"/>
    <w:rsid w:val="00384744"/>
    <w:rsid w:val="0038477F"/>
    <w:rsid w:val="0038494A"/>
    <w:rsid w:val="003849D2"/>
    <w:rsid w:val="00384AB9"/>
    <w:rsid w:val="00384BA9"/>
    <w:rsid w:val="00384BC0"/>
    <w:rsid w:val="00384CA3"/>
    <w:rsid w:val="00384D58"/>
    <w:rsid w:val="00384DCF"/>
    <w:rsid w:val="00384E1B"/>
    <w:rsid w:val="00384E3F"/>
    <w:rsid w:val="003850AD"/>
    <w:rsid w:val="00385141"/>
    <w:rsid w:val="00385251"/>
    <w:rsid w:val="003852D3"/>
    <w:rsid w:val="00385304"/>
    <w:rsid w:val="003853C4"/>
    <w:rsid w:val="00385833"/>
    <w:rsid w:val="00385B2E"/>
    <w:rsid w:val="00385C7B"/>
    <w:rsid w:val="00385CDA"/>
    <w:rsid w:val="00385CFA"/>
    <w:rsid w:val="00385D88"/>
    <w:rsid w:val="00385E14"/>
    <w:rsid w:val="00385E39"/>
    <w:rsid w:val="00385F12"/>
    <w:rsid w:val="00385FA5"/>
    <w:rsid w:val="00385FF6"/>
    <w:rsid w:val="003860E1"/>
    <w:rsid w:val="0038618D"/>
    <w:rsid w:val="0038618E"/>
    <w:rsid w:val="003861C6"/>
    <w:rsid w:val="00386210"/>
    <w:rsid w:val="00386269"/>
    <w:rsid w:val="003862EB"/>
    <w:rsid w:val="00386413"/>
    <w:rsid w:val="003864EA"/>
    <w:rsid w:val="003865DF"/>
    <w:rsid w:val="00386602"/>
    <w:rsid w:val="00386671"/>
    <w:rsid w:val="00386837"/>
    <w:rsid w:val="0038685B"/>
    <w:rsid w:val="003868E7"/>
    <w:rsid w:val="00386B0E"/>
    <w:rsid w:val="00386BFD"/>
    <w:rsid w:val="00386CA6"/>
    <w:rsid w:val="00386DD2"/>
    <w:rsid w:val="00386EDC"/>
    <w:rsid w:val="00387043"/>
    <w:rsid w:val="00387173"/>
    <w:rsid w:val="003871E9"/>
    <w:rsid w:val="00387239"/>
    <w:rsid w:val="0038726B"/>
    <w:rsid w:val="003872D5"/>
    <w:rsid w:val="00387354"/>
    <w:rsid w:val="003873D8"/>
    <w:rsid w:val="00387472"/>
    <w:rsid w:val="0038758D"/>
    <w:rsid w:val="003875A4"/>
    <w:rsid w:val="00387649"/>
    <w:rsid w:val="003876AD"/>
    <w:rsid w:val="003877D5"/>
    <w:rsid w:val="0038780C"/>
    <w:rsid w:val="00387821"/>
    <w:rsid w:val="00387953"/>
    <w:rsid w:val="00387977"/>
    <w:rsid w:val="003879C4"/>
    <w:rsid w:val="00387A57"/>
    <w:rsid w:val="00387A87"/>
    <w:rsid w:val="00387CE2"/>
    <w:rsid w:val="00387CE9"/>
    <w:rsid w:val="00387DD7"/>
    <w:rsid w:val="00390049"/>
    <w:rsid w:val="003900C6"/>
    <w:rsid w:val="0039051E"/>
    <w:rsid w:val="003905BB"/>
    <w:rsid w:val="0039068B"/>
    <w:rsid w:val="00390720"/>
    <w:rsid w:val="003907C7"/>
    <w:rsid w:val="003908D8"/>
    <w:rsid w:val="003908E2"/>
    <w:rsid w:val="003908EE"/>
    <w:rsid w:val="00390931"/>
    <w:rsid w:val="00390A21"/>
    <w:rsid w:val="00390A33"/>
    <w:rsid w:val="00390A71"/>
    <w:rsid w:val="00390A9F"/>
    <w:rsid w:val="00390AC1"/>
    <w:rsid w:val="00390ADB"/>
    <w:rsid w:val="00390B7A"/>
    <w:rsid w:val="00390C19"/>
    <w:rsid w:val="00390C2D"/>
    <w:rsid w:val="00390C3D"/>
    <w:rsid w:val="00390C91"/>
    <w:rsid w:val="00390D69"/>
    <w:rsid w:val="00390E5F"/>
    <w:rsid w:val="00390F14"/>
    <w:rsid w:val="00390F4D"/>
    <w:rsid w:val="00390FFA"/>
    <w:rsid w:val="003910BF"/>
    <w:rsid w:val="00391169"/>
    <w:rsid w:val="003911B6"/>
    <w:rsid w:val="0039124F"/>
    <w:rsid w:val="00391282"/>
    <w:rsid w:val="003912EA"/>
    <w:rsid w:val="0039131C"/>
    <w:rsid w:val="00391414"/>
    <w:rsid w:val="0039147C"/>
    <w:rsid w:val="00391563"/>
    <w:rsid w:val="0039161F"/>
    <w:rsid w:val="00391779"/>
    <w:rsid w:val="00391A03"/>
    <w:rsid w:val="00391CB6"/>
    <w:rsid w:val="00391D58"/>
    <w:rsid w:val="00391DBD"/>
    <w:rsid w:val="00391EBE"/>
    <w:rsid w:val="00392081"/>
    <w:rsid w:val="00392176"/>
    <w:rsid w:val="003922C4"/>
    <w:rsid w:val="0039237D"/>
    <w:rsid w:val="003923A1"/>
    <w:rsid w:val="003923CD"/>
    <w:rsid w:val="0039251F"/>
    <w:rsid w:val="00392543"/>
    <w:rsid w:val="00392613"/>
    <w:rsid w:val="003926BF"/>
    <w:rsid w:val="00392708"/>
    <w:rsid w:val="003927FF"/>
    <w:rsid w:val="003928D0"/>
    <w:rsid w:val="00392B15"/>
    <w:rsid w:val="00392C34"/>
    <w:rsid w:val="00392C57"/>
    <w:rsid w:val="00392CCD"/>
    <w:rsid w:val="00392E0D"/>
    <w:rsid w:val="00392E98"/>
    <w:rsid w:val="00392F19"/>
    <w:rsid w:val="00392F98"/>
    <w:rsid w:val="00393019"/>
    <w:rsid w:val="00393156"/>
    <w:rsid w:val="0039331B"/>
    <w:rsid w:val="00393471"/>
    <w:rsid w:val="0039351A"/>
    <w:rsid w:val="003935F0"/>
    <w:rsid w:val="00393723"/>
    <w:rsid w:val="0039381A"/>
    <w:rsid w:val="003938DF"/>
    <w:rsid w:val="00393948"/>
    <w:rsid w:val="00393A6E"/>
    <w:rsid w:val="00393AC3"/>
    <w:rsid w:val="00393AC6"/>
    <w:rsid w:val="00393B8D"/>
    <w:rsid w:val="00393C35"/>
    <w:rsid w:val="00393C5F"/>
    <w:rsid w:val="00393DA6"/>
    <w:rsid w:val="00393E38"/>
    <w:rsid w:val="00393F54"/>
    <w:rsid w:val="00393F93"/>
    <w:rsid w:val="00393FC6"/>
    <w:rsid w:val="00393FE8"/>
    <w:rsid w:val="0039402F"/>
    <w:rsid w:val="0039408C"/>
    <w:rsid w:val="00394132"/>
    <w:rsid w:val="00394190"/>
    <w:rsid w:val="003941D2"/>
    <w:rsid w:val="003942D0"/>
    <w:rsid w:val="0039439C"/>
    <w:rsid w:val="003944F6"/>
    <w:rsid w:val="003944FE"/>
    <w:rsid w:val="00394524"/>
    <w:rsid w:val="003945EF"/>
    <w:rsid w:val="0039464F"/>
    <w:rsid w:val="003949A3"/>
    <w:rsid w:val="003949D5"/>
    <w:rsid w:val="003949FE"/>
    <w:rsid w:val="00394AFC"/>
    <w:rsid w:val="00394B9C"/>
    <w:rsid w:val="00394CD6"/>
    <w:rsid w:val="003950CF"/>
    <w:rsid w:val="00395103"/>
    <w:rsid w:val="0039510E"/>
    <w:rsid w:val="00395200"/>
    <w:rsid w:val="0039536A"/>
    <w:rsid w:val="00395417"/>
    <w:rsid w:val="00395505"/>
    <w:rsid w:val="00395531"/>
    <w:rsid w:val="003955B1"/>
    <w:rsid w:val="00395818"/>
    <w:rsid w:val="0039593B"/>
    <w:rsid w:val="00395B9A"/>
    <w:rsid w:val="00395C33"/>
    <w:rsid w:val="00395C4C"/>
    <w:rsid w:val="00395DD9"/>
    <w:rsid w:val="00395F54"/>
    <w:rsid w:val="00395FC9"/>
    <w:rsid w:val="0039602A"/>
    <w:rsid w:val="00396099"/>
    <w:rsid w:val="003960D0"/>
    <w:rsid w:val="00396127"/>
    <w:rsid w:val="0039612D"/>
    <w:rsid w:val="00396154"/>
    <w:rsid w:val="003961AA"/>
    <w:rsid w:val="003961C6"/>
    <w:rsid w:val="0039629A"/>
    <w:rsid w:val="00396404"/>
    <w:rsid w:val="0039645E"/>
    <w:rsid w:val="00396489"/>
    <w:rsid w:val="00396675"/>
    <w:rsid w:val="00396725"/>
    <w:rsid w:val="00396731"/>
    <w:rsid w:val="00396781"/>
    <w:rsid w:val="003969B1"/>
    <w:rsid w:val="00396A4C"/>
    <w:rsid w:val="00396C15"/>
    <w:rsid w:val="00396C9F"/>
    <w:rsid w:val="00396D46"/>
    <w:rsid w:val="00396E11"/>
    <w:rsid w:val="00396E44"/>
    <w:rsid w:val="00396E6F"/>
    <w:rsid w:val="00396E74"/>
    <w:rsid w:val="00396F16"/>
    <w:rsid w:val="003970EA"/>
    <w:rsid w:val="00397142"/>
    <w:rsid w:val="00397143"/>
    <w:rsid w:val="003973F4"/>
    <w:rsid w:val="003974B8"/>
    <w:rsid w:val="00397742"/>
    <w:rsid w:val="003977A6"/>
    <w:rsid w:val="00397844"/>
    <w:rsid w:val="0039796A"/>
    <w:rsid w:val="0039799C"/>
    <w:rsid w:val="003979CC"/>
    <w:rsid w:val="003979D8"/>
    <w:rsid w:val="003979F7"/>
    <w:rsid w:val="00397A3D"/>
    <w:rsid w:val="00397A79"/>
    <w:rsid w:val="00397BA9"/>
    <w:rsid w:val="00397DBE"/>
    <w:rsid w:val="00397E08"/>
    <w:rsid w:val="00397EC3"/>
    <w:rsid w:val="00397F01"/>
    <w:rsid w:val="003A007D"/>
    <w:rsid w:val="003A0206"/>
    <w:rsid w:val="003A0340"/>
    <w:rsid w:val="003A04AD"/>
    <w:rsid w:val="003A04B6"/>
    <w:rsid w:val="003A04B9"/>
    <w:rsid w:val="003A0584"/>
    <w:rsid w:val="003A07AD"/>
    <w:rsid w:val="003A09D2"/>
    <w:rsid w:val="003A0AAA"/>
    <w:rsid w:val="003A0B12"/>
    <w:rsid w:val="003A0B68"/>
    <w:rsid w:val="003A0BF2"/>
    <w:rsid w:val="003A0C24"/>
    <w:rsid w:val="003A0C86"/>
    <w:rsid w:val="003A0CD1"/>
    <w:rsid w:val="003A0D54"/>
    <w:rsid w:val="003A0DF6"/>
    <w:rsid w:val="003A1039"/>
    <w:rsid w:val="003A107E"/>
    <w:rsid w:val="003A1085"/>
    <w:rsid w:val="003A1653"/>
    <w:rsid w:val="003A18E4"/>
    <w:rsid w:val="003A195D"/>
    <w:rsid w:val="003A1C8F"/>
    <w:rsid w:val="003A1E1F"/>
    <w:rsid w:val="003A1E48"/>
    <w:rsid w:val="003A1E5E"/>
    <w:rsid w:val="003A1F27"/>
    <w:rsid w:val="003A201E"/>
    <w:rsid w:val="003A24A9"/>
    <w:rsid w:val="003A2590"/>
    <w:rsid w:val="003A260C"/>
    <w:rsid w:val="003A26A8"/>
    <w:rsid w:val="003A26D5"/>
    <w:rsid w:val="003A271A"/>
    <w:rsid w:val="003A2792"/>
    <w:rsid w:val="003A2AEB"/>
    <w:rsid w:val="003A2C00"/>
    <w:rsid w:val="003A2CBB"/>
    <w:rsid w:val="003A2CFF"/>
    <w:rsid w:val="003A2DCA"/>
    <w:rsid w:val="003A2DE7"/>
    <w:rsid w:val="003A2EB2"/>
    <w:rsid w:val="003A2F0D"/>
    <w:rsid w:val="003A30C1"/>
    <w:rsid w:val="003A30C4"/>
    <w:rsid w:val="003A318D"/>
    <w:rsid w:val="003A3431"/>
    <w:rsid w:val="003A34DD"/>
    <w:rsid w:val="003A34E4"/>
    <w:rsid w:val="003A3555"/>
    <w:rsid w:val="003A35CB"/>
    <w:rsid w:val="003A35E7"/>
    <w:rsid w:val="003A35EE"/>
    <w:rsid w:val="003A3830"/>
    <w:rsid w:val="003A3AA5"/>
    <w:rsid w:val="003A3B30"/>
    <w:rsid w:val="003A3BCC"/>
    <w:rsid w:val="003A3C01"/>
    <w:rsid w:val="003A3C4B"/>
    <w:rsid w:val="003A3D3B"/>
    <w:rsid w:val="003A3EE4"/>
    <w:rsid w:val="003A3F4F"/>
    <w:rsid w:val="003A405F"/>
    <w:rsid w:val="003A4138"/>
    <w:rsid w:val="003A41DB"/>
    <w:rsid w:val="003A42C4"/>
    <w:rsid w:val="003A4385"/>
    <w:rsid w:val="003A449D"/>
    <w:rsid w:val="003A452E"/>
    <w:rsid w:val="003A4626"/>
    <w:rsid w:val="003A464E"/>
    <w:rsid w:val="003A4651"/>
    <w:rsid w:val="003A48AC"/>
    <w:rsid w:val="003A48CC"/>
    <w:rsid w:val="003A4A42"/>
    <w:rsid w:val="003A4AA2"/>
    <w:rsid w:val="003A4AB4"/>
    <w:rsid w:val="003A4BE6"/>
    <w:rsid w:val="003A4E48"/>
    <w:rsid w:val="003A4E81"/>
    <w:rsid w:val="003A4F31"/>
    <w:rsid w:val="003A4F7C"/>
    <w:rsid w:val="003A4FC8"/>
    <w:rsid w:val="003A50C8"/>
    <w:rsid w:val="003A5223"/>
    <w:rsid w:val="003A5306"/>
    <w:rsid w:val="003A535C"/>
    <w:rsid w:val="003A535E"/>
    <w:rsid w:val="003A53E8"/>
    <w:rsid w:val="003A5417"/>
    <w:rsid w:val="003A54B5"/>
    <w:rsid w:val="003A57AC"/>
    <w:rsid w:val="003A57D8"/>
    <w:rsid w:val="003A5819"/>
    <w:rsid w:val="003A5821"/>
    <w:rsid w:val="003A58B4"/>
    <w:rsid w:val="003A5933"/>
    <w:rsid w:val="003A59B7"/>
    <w:rsid w:val="003A59F6"/>
    <w:rsid w:val="003A5B8D"/>
    <w:rsid w:val="003A5D82"/>
    <w:rsid w:val="003A60DF"/>
    <w:rsid w:val="003A62B1"/>
    <w:rsid w:val="003A6346"/>
    <w:rsid w:val="003A6383"/>
    <w:rsid w:val="003A63A7"/>
    <w:rsid w:val="003A656E"/>
    <w:rsid w:val="003A6576"/>
    <w:rsid w:val="003A65B3"/>
    <w:rsid w:val="003A65F2"/>
    <w:rsid w:val="003A6647"/>
    <w:rsid w:val="003A67E0"/>
    <w:rsid w:val="003A6872"/>
    <w:rsid w:val="003A699E"/>
    <w:rsid w:val="003A6D7F"/>
    <w:rsid w:val="003A6D8B"/>
    <w:rsid w:val="003A6DAC"/>
    <w:rsid w:val="003A6DD0"/>
    <w:rsid w:val="003A6DEC"/>
    <w:rsid w:val="003A6F12"/>
    <w:rsid w:val="003A6F22"/>
    <w:rsid w:val="003A6F69"/>
    <w:rsid w:val="003A6FF5"/>
    <w:rsid w:val="003A7088"/>
    <w:rsid w:val="003A70EB"/>
    <w:rsid w:val="003A71DC"/>
    <w:rsid w:val="003A72D3"/>
    <w:rsid w:val="003A72FB"/>
    <w:rsid w:val="003A735F"/>
    <w:rsid w:val="003A737E"/>
    <w:rsid w:val="003A73A4"/>
    <w:rsid w:val="003A748C"/>
    <w:rsid w:val="003A76B8"/>
    <w:rsid w:val="003A76F6"/>
    <w:rsid w:val="003A776A"/>
    <w:rsid w:val="003A77C3"/>
    <w:rsid w:val="003A77D5"/>
    <w:rsid w:val="003A7893"/>
    <w:rsid w:val="003A78BD"/>
    <w:rsid w:val="003A7A44"/>
    <w:rsid w:val="003A7AA0"/>
    <w:rsid w:val="003A7AB2"/>
    <w:rsid w:val="003A7AD4"/>
    <w:rsid w:val="003A7AF4"/>
    <w:rsid w:val="003A7DA3"/>
    <w:rsid w:val="003A7F3C"/>
    <w:rsid w:val="003A7F74"/>
    <w:rsid w:val="003B0022"/>
    <w:rsid w:val="003B004E"/>
    <w:rsid w:val="003B00D8"/>
    <w:rsid w:val="003B01D4"/>
    <w:rsid w:val="003B028C"/>
    <w:rsid w:val="003B02C4"/>
    <w:rsid w:val="003B03ED"/>
    <w:rsid w:val="003B055A"/>
    <w:rsid w:val="003B0570"/>
    <w:rsid w:val="003B0682"/>
    <w:rsid w:val="003B06F2"/>
    <w:rsid w:val="003B08C8"/>
    <w:rsid w:val="003B094D"/>
    <w:rsid w:val="003B09DB"/>
    <w:rsid w:val="003B09E4"/>
    <w:rsid w:val="003B0A43"/>
    <w:rsid w:val="003B0A68"/>
    <w:rsid w:val="003B0BEA"/>
    <w:rsid w:val="003B0EDF"/>
    <w:rsid w:val="003B0FEA"/>
    <w:rsid w:val="003B10BB"/>
    <w:rsid w:val="003B1116"/>
    <w:rsid w:val="003B1125"/>
    <w:rsid w:val="003B1240"/>
    <w:rsid w:val="003B13C9"/>
    <w:rsid w:val="003B1454"/>
    <w:rsid w:val="003B1565"/>
    <w:rsid w:val="003B1583"/>
    <w:rsid w:val="003B16AD"/>
    <w:rsid w:val="003B1718"/>
    <w:rsid w:val="003B1741"/>
    <w:rsid w:val="003B1816"/>
    <w:rsid w:val="003B191B"/>
    <w:rsid w:val="003B1A45"/>
    <w:rsid w:val="003B1BE8"/>
    <w:rsid w:val="003B1F1C"/>
    <w:rsid w:val="003B1FA5"/>
    <w:rsid w:val="003B2116"/>
    <w:rsid w:val="003B2189"/>
    <w:rsid w:val="003B220E"/>
    <w:rsid w:val="003B230C"/>
    <w:rsid w:val="003B23C1"/>
    <w:rsid w:val="003B2435"/>
    <w:rsid w:val="003B2540"/>
    <w:rsid w:val="003B2607"/>
    <w:rsid w:val="003B2652"/>
    <w:rsid w:val="003B2680"/>
    <w:rsid w:val="003B27B2"/>
    <w:rsid w:val="003B27D5"/>
    <w:rsid w:val="003B282F"/>
    <w:rsid w:val="003B286D"/>
    <w:rsid w:val="003B28A1"/>
    <w:rsid w:val="003B29CA"/>
    <w:rsid w:val="003B2A04"/>
    <w:rsid w:val="003B2AB0"/>
    <w:rsid w:val="003B2AC8"/>
    <w:rsid w:val="003B2B24"/>
    <w:rsid w:val="003B2C24"/>
    <w:rsid w:val="003B2C7A"/>
    <w:rsid w:val="003B2C8E"/>
    <w:rsid w:val="003B2D46"/>
    <w:rsid w:val="003B2E6D"/>
    <w:rsid w:val="003B2E83"/>
    <w:rsid w:val="003B3054"/>
    <w:rsid w:val="003B30D2"/>
    <w:rsid w:val="003B30D7"/>
    <w:rsid w:val="003B30E5"/>
    <w:rsid w:val="003B312A"/>
    <w:rsid w:val="003B31AF"/>
    <w:rsid w:val="003B31D4"/>
    <w:rsid w:val="003B3221"/>
    <w:rsid w:val="003B3254"/>
    <w:rsid w:val="003B3277"/>
    <w:rsid w:val="003B32B1"/>
    <w:rsid w:val="003B32E7"/>
    <w:rsid w:val="003B333B"/>
    <w:rsid w:val="003B337A"/>
    <w:rsid w:val="003B3431"/>
    <w:rsid w:val="003B3485"/>
    <w:rsid w:val="003B34B6"/>
    <w:rsid w:val="003B35C1"/>
    <w:rsid w:val="003B3654"/>
    <w:rsid w:val="003B3689"/>
    <w:rsid w:val="003B36E1"/>
    <w:rsid w:val="003B36FF"/>
    <w:rsid w:val="003B3746"/>
    <w:rsid w:val="003B3816"/>
    <w:rsid w:val="003B3C22"/>
    <w:rsid w:val="003B3D0A"/>
    <w:rsid w:val="003B3F79"/>
    <w:rsid w:val="003B4055"/>
    <w:rsid w:val="003B4077"/>
    <w:rsid w:val="003B40E1"/>
    <w:rsid w:val="003B411B"/>
    <w:rsid w:val="003B44DA"/>
    <w:rsid w:val="003B45C0"/>
    <w:rsid w:val="003B45F8"/>
    <w:rsid w:val="003B460F"/>
    <w:rsid w:val="003B4623"/>
    <w:rsid w:val="003B4648"/>
    <w:rsid w:val="003B467B"/>
    <w:rsid w:val="003B48B6"/>
    <w:rsid w:val="003B4A88"/>
    <w:rsid w:val="003B4B65"/>
    <w:rsid w:val="003B4C0C"/>
    <w:rsid w:val="003B4D2B"/>
    <w:rsid w:val="003B4D7D"/>
    <w:rsid w:val="003B4DAE"/>
    <w:rsid w:val="003B4E59"/>
    <w:rsid w:val="003B4F49"/>
    <w:rsid w:val="003B4F85"/>
    <w:rsid w:val="003B4FF6"/>
    <w:rsid w:val="003B51C8"/>
    <w:rsid w:val="003B530E"/>
    <w:rsid w:val="003B53C0"/>
    <w:rsid w:val="003B5452"/>
    <w:rsid w:val="003B548D"/>
    <w:rsid w:val="003B56B6"/>
    <w:rsid w:val="003B5702"/>
    <w:rsid w:val="003B5789"/>
    <w:rsid w:val="003B5835"/>
    <w:rsid w:val="003B58C2"/>
    <w:rsid w:val="003B5B33"/>
    <w:rsid w:val="003B5CF4"/>
    <w:rsid w:val="003B60F7"/>
    <w:rsid w:val="003B659E"/>
    <w:rsid w:val="003B68E4"/>
    <w:rsid w:val="003B68FA"/>
    <w:rsid w:val="003B6BB4"/>
    <w:rsid w:val="003B6BD7"/>
    <w:rsid w:val="003B6C34"/>
    <w:rsid w:val="003B6CF7"/>
    <w:rsid w:val="003B6D22"/>
    <w:rsid w:val="003B6D79"/>
    <w:rsid w:val="003B6E3F"/>
    <w:rsid w:val="003B6EC9"/>
    <w:rsid w:val="003B6EF4"/>
    <w:rsid w:val="003B6FAD"/>
    <w:rsid w:val="003B72B2"/>
    <w:rsid w:val="003B72E9"/>
    <w:rsid w:val="003B758F"/>
    <w:rsid w:val="003B75DA"/>
    <w:rsid w:val="003B770C"/>
    <w:rsid w:val="003B7829"/>
    <w:rsid w:val="003B7848"/>
    <w:rsid w:val="003B792D"/>
    <w:rsid w:val="003B795A"/>
    <w:rsid w:val="003B7AEF"/>
    <w:rsid w:val="003B7C4F"/>
    <w:rsid w:val="003B7C6A"/>
    <w:rsid w:val="003B7CC1"/>
    <w:rsid w:val="003B7E6D"/>
    <w:rsid w:val="003B7F73"/>
    <w:rsid w:val="003B7FB3"/>
    <w:rsid w:val="003B7FBA"/>
    <w:rsid w:val="003C0004"/>
    <w:rsid w:val="003C001D"/>
    <w:rsid w:val="003C00E4"/>
    <w:rsid w:val="003C0406"/>
    <w:rsid w:val="003C0499"/>
    <w:rsid w:val="003C052A"/>
    <w:rsid w:val="003C0653"/>
    <w:rsid w:val="003C0689"/>
    <w:rsid w:val="003C079E"/>
    <w:rsid w:val="003C07CF"/>
    <w:rsid w:val="003C0A14"/>
    <w:rsid w:val="003C0A1E"/>
    <w:rsid w:val="003C0A30"/>
    <w:rsid w:val="003C0B11"/>
    <w:rsid w:val="003C0B18"/>
    <w:rsid w:val="003C0B1F"/>
    <w:rsid w:val="003C0B3C"/>
    <w:rsid w:val="003C0B44"/>
    <w:rsid w:val="003C0B75"/>
    <w:rsid w:val="003C0F33"/>
    <w:rsid w:val="003C0F94"/>
    <w:rsid w:val="003C106B"/>
    <w:rsid w:val="003C116F"/>
    <w:rsid w:val="003C127E"/>
    <w:rsid w:val="003C12B6"/>
    <w:rsid w:val="003C1370"/>
    <w:rsid w:val="003C142C"/>
    <w:rsid w:val="003C1460"/>
    <w:rsid w:val="003C14BE"/>
    <w:rsid w:val="003C15B0"/>
    <w:rsid w:val="003C16E8"/>
    <w:rsid w:val="003C1748"/>
    <w:rsid w:val="003C17C3"/>
    <w:rsid w:val="003C17CC"/>
    <w:rsid w:val="003C1929"/>
    <w:rsid w:val="003C19BB"/>
    <w:rsid w:val="003C1A1B"/>
    <w:rsid w:val="003C1B05"/>
    <w:rsid w:val="003C1C71"/>
    <w:rsid w:val="003C1CCB"/>
    <w:rsid w:val="003C1D14"/>
    <w:rsid w:val="003C1D1C"/>
    <w:rsid w:val="003C1DB0"/>
    <w:rsid w:val="003C1E1D"/>
    <w:rsid w:val="003C1F9E"/>
    <w:rsid w:val="003C1FC3"/>
    <w:rsid w:val="003C20BB"/>
    <w:rsid w:val="003C20F2"/>
    <w:rsid w:val="003C2172"/>
    <w:rsid w:val="003C21ED"/>
    <w:rsid w:val="003C22DB"/>
    <w:rsid w:val="003C22EB"/>
    <w:rsid w:val="003C2384"/>
    <w:rsid w:val="003C24A7"/>
    <w:rsid w:val="003C257A"/>
    <w:rsid w:val="003C25BC"/>
    <w:rsid w:val="003C25C2"/>
    <w:rsid w:val="003C25D3"/>
    <w:rsid w:val="003C269B"/>
    <w:rsid w:val="003C270D"/>
    <w:rsid w:val="003C2776"/>
    <w:rsid w:val="003C27ED"/>
    <w:rsid w:val="003C2850"/>
    <w:rsid w:val="003C2B44"/>
    <w:rsid w:val="003C2B48"/>
    <w:rsid w:val="003C2CC2"/>
    <w:rsid w:val="003C2DB9"/>
    <w:rsid w:val="003C2DF1"/>
    <w:rsid w:val="003C2EB0"/>
    <w:rsid w:val="003C2EB4"/>
    <w:rsid w:val="003C3021"/>
    <w:rsid w:val="003C3182"/>
    <w:rsid w:val="003C31CC"/>
    <w:rsid w:val="003C3357"/>
    <w:rsid w:val="003C3393"/>
    <w:rsid w:val="003C3433"/>
    <w:rsid w:val="003C34F2"/>
    <w:rsid w:val="003C35CB"/>
    <w:rsid w:val="003C35DD"/>
    <w:rsid w:val="003C35E9"/>
    <w:rsid w:val="003C37DC"/>
    <w:rsid w:val="003C3914"/>
    <w:rsid w:val="003C396A"/>
    <w:rsid w:val="003C3973"/>
    <w:rsid w:val="003C39DE"/>
    <w:rsid w:val="003C3A20"/>
    <w:rsid w:val="003C3B48"/>
    <w:rsid w:val="003C3B88"/>
    <w:rsid w:val="003C3BA7"/>
    <w:rsid w:val="003C3C6E"/>
    <w:rsid w:val="003C3C7A"/>
    <w:rsid w:val="003C3D6A"/>
    <w:rsid w:val="003C3DAD"/>
    <w:rsid w:val="003C3DCD"/>
    <w:rsid w:val="003C3EDB"/>
    <w:rsid w:val="003C3FAC"/>
    <w:rsid w:val="003C4009"/>
    <w:rsid w:val="003C4096"/>
    <w:rsid w:val="003C4233"/>
    <w:rsid w:val="003C42E3"/>
    <w:rsid w:val="003C4343"/>
    <w:rsid w:val="003C4380"/>
    <w:rsid w:val="003C439A"/>
    <w:rsid w:val="003C44EC"/>
    <w:rsid w:val="003C46DF"/>
    <w:rsid w:val="003C4735"/>
    <w:rsid w:val="003C47D7"/>
    <w:rsid w:val="003C49C5"/>
    <w:rsid w:val="003C4BD7"/>
    <w:rsid w:val="003C4C85"/>
    <w:rsid w:val="003C4C88"/>
    <w:rsid w:val="003C4DC0"/>
    <w:rsid w:val="003C4E2E"/>
    <w:rsid w:val="003C4F16"/>
    <w:rsid w:val="003C4F72"/>
    <w:rsid w:val="003C5306"/>
    <w:rsid w:val="003C5345"/>
    <w:rsid w:val="003C53E1"/>
    <w:rsid w:val="003C55AE"/>
    <w:rsid w:val="003C586B"/>
    <w:rsid w:val="003C5984"/>
    <w:rsid w:val="003C5A09"/>
    <w:rsid w:val="003C5A71"/>
    <w:rsid w:val="003C5AC4"/>
    <w:rsid w:val="003C5AFD"/>
    <w:rsid w:val="003C5B6A"/>
    <w:rsid w:val="003C5E63"/>
    <w:rsid w:val="003C5F30"/>
    <w:rsid w:val="003C5F99"/>
    <w:rsid w:val="003C5FB8"/>
    <w:rsid w:val="003C5FFA"/>
    <w:rsid w:val="003C6025"/>
    <w:rsid w:val="003C60FF"/>
    <w:rsid w:val="003C613A"/>
    <w:rsid w:val="003C6305"/>
    <w:rsid w:val="003C63DF"/>
    <w:rsid w:val="003C6411"/>
    <w:rsid w:val="003C65BF"/>
    <w:rsid w:val="003C6888"/>
    <w:rsid w:val="003C6928"/>
    <w:rsid w:val="003C6A8D"/>
    <w:rsid w:val="003C6AA4"/>
    <w:rsid w:val="003C6ADE"/>
    <w:rsid w:val="003C6B12"/>
    <w:rsid w:val="003C6C40"/>
    <w:rsid w:val="003C6C97"/>
    <w:rsid w:val="003C6CDC"/>
    <w:rsid w:val="003C6DAA"/>
    <w:rsid w:val="003C6DB0"/>
    <w:rsid w:val="003C6E50"/>
    <w:rsid w:val="003C6EC1"/>
    <w:rsid w:val="003C6F06"/>
    <w:rsid w:val="003C6F0B"/>
    <w:rsid w:val="003C7116"/>
    <w:rsid w:val="003C727F"/>
    <w:rsid w:val="003C7382"/>
    <w:rsid w:val="003C7477"/>
    <w:rsid w:val="003C74B1"/>
    <w:rsid w:val="003C754D"/>
    <w:rsid w:val="003C76CF"/>
    <w:rsid w:val="003C77FE"/>
    <w:rsid w:val="003C7849"/>
    <w:rsid w:val="003C79A7"/>
    <w:rsid w:val="003C79F8"/>
    <w:rsid w:val="003C7B0E"/>
    <w:rsid w:val="003C7B12"/>
    <w:rsid w:val="003C7C2E"/>
    <w:rsid w:val="003C7CF1"/>
    <w:rsid w:val="003C7D43"/>
    <w:rsid w:val="003C7EED"/>
    <w:rsid w:val="003D0052"/>
    <w:rsid w:val="003D0087"/>
    <w:rsid w:val="003D0141"/>
    <w:rsid w:val="003D0154"/>
    <w:rsid w:val="003D01B6"/>
    <w:rsid w:val="003D0207"/>
    <w:rsid w:val="003D0233"/>
    <w:rsid w:val="003D02C4"/>
    <w:rsid w:val="003D0327"/>
    <w:rsid w:val="003D046B"/>
    <w:rsid w:val="003D0547"/>
    <w:rsid w:val="003D063C"/>
    <w:rsid w:val="003D0711"/>
    <w:rsid w:val="003D07CF"/>
    <w:rsid w:val="003D07D6"/>
    <w:rsid w:val="003D07F7"/>
    <w:rsid w:val="003D07FC"/>
    <w:rsid w:val="003D080F"/>
    <w:rsid w:val="003D0836"/>
    <w:rsid w:val="003D0856"/>
    <w:rsid w:val="003D08C3"/>
    <w:rsid w:val="003D09F0"/>
    <w:rsid w:val="003D0B7A"/>
    <w:rsid w:val="003D0BB5"/>
    <w:rsid w:val="003D0BBE"/>
    <w:rsid w:val="003D0BF1"/>
    <w:rsid w:val="003D0CD7"/>
    <w:rsid w:val="003D0DB9"/>
    <w:rsid w:val="003D0F7D"/>
    <w:rsid w:val="003D1007"/>
    <w:rsid w:val="003D10FA"/>
    <w:rsid w:val="003D1216"/>
    <w:rsid w:val="003D13AC"/>
    <w:rsid w:val="003D154C"/>
    <w:rsid w:val="003D155B"/>
    <w:rsid w:val="003D1579"/>
    <w:rsid w:val="003D16C5"/>
    <w:rsid w:val="003D172A"/>
    <w:rsid w:val="003D1789"/>
    <w:rsid w:val="003D1800"/>
    <w:rsid w:val="003D1865"/>
    <w:rsid w:val="003D1888"/>
    <w:rsid w:val="003D18DB"/>
    <w:rsid w:val="003D192A"/>
    <w:rsid w:val="003D19D2"/>
    <w:rsid w:val="003D1A70"/>
    <w:rsid w:val="003D1ACA"/>
    <w:rsid w:val="003D1E0B"/>
    <w:rsid w:val="003D1E53"/>
    <w:rsid w:val="003D1F73"/>
    <w:rsid w:val="003D2119"/>
    <w:rsid w:val="003D21B0"/>
    <w:rsid w:val="003D231F"/>
    <w:rsid w:val="003D2447"/>
    <w:rsid w:val="003D2467"/>
    <w:rsid w:val="003D248F"/>
    <w:rsid w:val="003D24C6"/>
    <w:rsid w:val="003D252D"/>
    <w:rsid w:val="003D2557"/>
    <w:rsid w:val="003D281C"/>
    <w:rsid w:val="003D28A3"/>
    <w:rsid w:val="003D29EF"/>
    <w:rsid w:val="003D2A24"/>
    <w:rsid w:val="003D2AC1"/>
    <w:rsid w:val="003D2D61"/>
    <w:rsid w:val="003D2D99"/>
    <w:rsid w:val="003D2FEC"/>
    <w:rsid w:val="003D2FF1"/>
    <w:rsid w:val="003D3074"/>
    <w:rsid w:val="003D318A"/>
    <w:rsid w:val="003D3250"/>
    <w:rsid w:val="003D32B3"/>
    <w:rsid w:val="003D32E5"/>
    <w:rsid w:val="003D331C"/>
    <w:rsid w:val="003D3335"/>
    <w:rsid w:val="003D3382"/>
    <w:rsid w:val="003D344D"/>
    <w:rsid w:val="003D34BB"/>
    <w:rsid w:val="003D3649"/>
    <w:rsid w:val="003D36FB"/>
    <w:rsid w:val="003D370B"/>
    <w:rsid w:val="003D37DE"/>
    <w:rsid w:val="003D38D3"/>
    <w:rsid w:val="003D3905"/>
    <w:rsid w:val="003D3BA4"/>
    <w:rsid w:val="003D3C74"/>
    <w:rsid w:val="003D3D14"/>
    <w:rsid w:val="003D3D77"/>
    <w:rsid w:val="003D3E68"/>
    <w:rsid w:val="003D3FD6"/>
    <w:rsid w:val="003D3FE0"/>
    <w:rsid w:val="003D402D"/>
    <w:rsid w:val="003D4057"/>
    <w:rsid w:val="003D41A7"/>
    <w:rsid w:val="003D42DE"/>
    <w:rsid w:val="003D42EB"/>
    <w:rsid w:val="003D452D"/>
    <w:rsid w:val="003D4705"/>
    <w:rsid w:val="003D47BA"/>
    <w:rsid w:val="003D47DE"/>
    <w:rsid w:val="003D4876"/>
    <w:rsid w:val="003D493A"/>
    <w:rsid w:val="003D4C96"/>
    <w:rsid w:val="003D4D2F"/>
    <w:rsid w:val="003D4E07"/>
    <w:rsid w:val="003D4EA9"/>
    <w:rsid w:val="003D4FB3"/>
    <w:rsid w:val="003D5060"/>
    <w:rsid w:val="003D507A"/>
    <w:rsid w:val="003D5095"/>
    <w:rsid w:val="003D5132"/>
    <w:rsid w:val="003D5158"/>
    <w:rsid w:val="003D5221"/>
    <w:rsid w:val="003D5331"/>
    <w:rsid w:val="003D5666"/>
    <w:rsid w:val="003D5680"/>
    <w:rsid w:val="003D5774"/>
    <w:rsid w:val="003D578E"/>
    <w:rsid w:val="003D5868"/>
    <w:rsid w:val="003D5943"/>
    <w:rsid w:val="003D59B9"/>
    <w:rsid w:val="003D59E7"/>
    <w:rsid w:val="003D5A82"/>
    <w:rsid w:val="003D5C95"/>
    <w:rsid w:val="003D5CAE"/>
    <w:rsid w:val="003D5DA3"/>
    <w:rsid w:val="003D619D"/>
    <w:rsid w:val="003D61C4"/>
    <w:rsid w:val="003D61DD"/>
    <w:rsid w:val="003D62D2"/>
    <w:rsid w:val="003D6367"/>
    <w:rsid w:val="003D636B"/>
    <w:rsid w:val="003D6455"/>
    <w:rsid w:val="003D64FD"/>
    <w:rsid w:val="003D6579"/>
    <w:rsid w:val="003D65C7"/>
    <w:rsid w:val="003D66C9"/>
    <w:rsid w:val="003D685B"/>
    <w:rsid w:val="003D6877"/>
    <w:rsid w:val="003D6892"/>
    <w:rsid w:val="003D68C8"/>
    <w:rsid w:val="003D6939"/>
    <w:rsid w:val="003D693B"/>
    <w:rsid w:val="003D6940"/>
    <w:rsid w:val="003D6A0D"/>
    <w:rsid w:val="003D6A50"/>
    <w:rsid w:val="003D6A5D"/>
    <w:rsid w:val="003D6AC7"/>
    <w:rsid w:val="003D6AF2"/>
    <w:rsid w:val="003D6CEB"/>
    <w:rsid w:val="003D6D80"/>
    <w:rsid w:val="003D6D96"/>
    <w:rsid w:val="003D6DFD"/>
    <w:rsid w:val="003D6E8F"/>
    <w:rsid w:val="003D6F38"/>
    <w:rsid w:val="003D6FB3"/>
    <w:rsid w:val="003D700A"/>
    <w:rsid w:val="003D7177"/>
    <w:rsid w:val="003D72A0"/>
    <w:rsid w:val="003D7336"/>
    <w:rsid w:val="003D73B1"/>
    <w:rsid w:val="003D73C1"/>
    <w:rsid w:val="003D74CC"/>
    <w:rsid w:val="003D75FA"/>
    <w:rsid w:val="003D7699"/>
    <w:rsid w:val="003D76B1"/>
    <w:rsid w:val="003D76BE"/>
    <w:rsid w:val="003D7759"/>
    <w:rsid w:val="003D7781"/>
    <w:rsid w:val="003D7919"/>
    <w:rsid w:val="003D7B3B"/>
    <w:rsid w:val="003D7C29"/>
    <w:rsid w:val="003D7D3A"/>
    <w:rsid w:val="003D7D81"/>
    <w:rsid w:val="003D7D8A"/>
    <w:rsid w:val="003E0018"/>
    <w:rsid w:val="003E015F"/>
    <w:rsid w:val="003E049F"/>
    <w:rsid w:val="003E04A6"/>
    <w:rsid w:val="003E04B8"/>
    <w:rsid w:val="003E0527"/>
    <w:rsid w:val="003E05D6"/>
    <w:rsid w:val="003E05F9"/>
    <w:rsid w:val="003E07B3"/>
    <w:rsid w:val="003E089D"/>
    <w:rsid w:val="003E08C7"/>
    <w:rsid w:val="003E09EA"/>
    <w:rsid w:val="003E0B27"/>
    <w:rsid w:val="003E0B39"/>
    <w:rsid w:val="003E0B4D"/>
    <w:rsid w:val="003E0C38"/>
    <w:rsid w:val="003E0F72"/>
    <w:rsid w:val="003E1020"/>
    <w:rsid w:val="003E1050"/>
    <w:rsid w:val="003E10EA"/>
    <w:rsid w:val="003E1144"/>
    <w:rsid w:val="003E13B9"/>
    <w:rsid w:val="003E1429"/>
    <w:rsid w:val="003E14EE"/>
    <w:rsid w:val="003E15C2"/>
    <w:rsid w:val="003E15DA"/>
    <w:rsid w:val="003E15E6"/>
    <w:rsid w:val="003E1825"/>
    <w:rsid w:val="003E18B7"/>
    <w:rsid w:val="003E18E9"/>
    <w:rsid w:val="003E1994"/>
    <w:rsid w:val="003E1A81"/>
    <w:rsid w:val="003E1B04"/>
    <w:rsid w:val="003E1DA4"/>
    <w:rsid w:val="003E1E5A"/>
    <w:rsid w:val="003E1EA2"/>
    <w:rsid w:val="003E200D"/>
    <w:rsid w:val="003E201C"/>
    <w:rsid w:val="003E204B"/>
    <w:rsid w:val="003E209F"/>
    <w:rsid w:val="003E20A4"/>
    <w:rsid w:val="003E20C6"/>
    <w:rsid w:val="003E2437"/>
    <w:rsid w:val="003E2453"/>
    <w:rsid w:val="003E2598"/>
    <w:rsid w:val="003E25B4"/>
    <w:rsid w:val="003E2619"/>
    <w:rsid w:val="003E2656"/>
    <w:rsid w:val="003E26B4"/>
    <w:rsid w:val="003E26CE"/>
    <w:rsid w:val="003E2756"/>
    <w:rsid w:val="003E276E"/>
    <w:rsid w:val="003E2863"/>
    <w:rsid w:val="003E28EC"/>
    <w:rsid w:val="003E2AD8"/>
    <w:rsid w:val="003E2BD3"/>
    <w:rsid w:val="003E2BF0"/>
    <w:rsid w:val="003E2D06"/>
    <w:rsid w:val="003E2E04"/>
    <w:rsid w:val="003E2E82"/>
    <w:rsid w:val="003E2EEA"/>
    <w:rsid w:val="003E2F81"/>
    <w:rsid w:val="003E31D7"/>
    <w:rsid w:val="003E32FC"/>
    <w:rsid w:val="003E33DD"/>
    <w:rsid w:val="003E3405"/>
    <w:rsid w:val="003E341C"/>
    <w:rsid w:val="003E342F"/>
    <w:rsid w:val="003E349A"/>
    <w:rsid w:val="003E34C6"/>
    <w:rsid w:val="003E34C9"/>
    <w:rsid w:val="003E3546"/>
    <w:rsid w:val="003E3773"/>
    <w:rsid w:val="003E3987"/>
    <w:rsid w:val="003E3B0B"/>
    <w:rsid w:val="003E3B98"/>
    <w:rsid w:val="003E3BA0"/>
    <w:rsid w:val="003E3CD9"/>
    <w:rsid w:val="003E3CF7"/>
    <w:rsid w:val="003E3DDC"/>
    <w:rsid w:val="003E3E1F"/>
    <w:rsid w:val="003E3F32"/>
    <w:rsid w:val="003E4193"/>
    <w:rsid w:val="003E4217"/>
    <w:rsid w:val="003E4228"/>
    <w:rsid w:val="003E4229"/>
    <w:rsid w:val="003E431A"/>
    <w:rsid w:val="003E45C6"/>
    <w:rsid w:val="003E46BC"/>
    <w:rsid w:val="003E4791"/>
    <w:rsid w:val="003E4B25"/>
    <w:rsid w:val="003E4BAF"/>
    <w:rsid w:val="003E4BB4"/>
    <w:rsid w:val="003E4BCA"/>
    <w:rsid w:val="003E4C41"/>
    <w:rsid w:val="003E4CB4"/>
    <w:rsid w:val="003E4E47"/>
    <w:rsid w:val="003E4E55"/>
    <w:rsid w:val="003E4F4C"/>
    <w:rsid w:val="003E506E"/>
    <w:rsid w:val="003E50B1"/>
    <w:rsid w:val="003E5402"/>
    <w:rsid w:val="003E5647"/>
    <w:rsid w:val="003E565F"/>
    <w:rsid w:val="003E56AC"/>
    <w:rsid w:val="003E5885"/>
    <w:rsid w:val="003E5A8E"/>
    <w:rsid w:val="003E5D56"/>
    <w:rsid w:val="003E5D63"/>
    <w:rsid w:val="003E5DB7"/>
    <w:rsid w:val="003E5E52"/>
    <w:rsid w:val="003E5E76"/>
    <w:rsid w:val="003E5FC7"/>
    <w:rsid w:val="003E6197"/>
    <w:rsid w:val="003E634B"/>
    <w:rsid w:val="003E6404"/>
    <w:rsid w:val="003E6582"/>
    <w:rsid w:val="003E65DF"/>
    <w:rsid w:val="003E668A"/>
    <w:rsid w:val="003E6743"/>
    <w:rsid w:val="003E6877"/>
    <w:rsid w:val="003E6904"/>
    <w:rsid w:val="003E6945"/>
    <w:rsid w:val="003E6A39"/>
    <w:rsid w:val="003E6A63"/>
    <w:rsid w:val="003E6A99"/>
    <w:rsid w:val="003E6CEA"/>
    <w:rsid w:val="003E6D59"/>
    <w:rsid w:val="003E6D72"/>
    <w:rsid w:val="003E6DBC"/>
    <w:rsid w:val="003E6DC4"/>
    <w:rsid w:val="003E6E16"/>
    <w:rsid w:val="003E6F70"/>
    <w:rsid w:val="003E7096"/>
    <w:rsid w:val="003E70C9"/>
    <w:rsid w:val="003E70CE"/>
    <w:rsid w:val="003E7158"/>
    <w:rsid w:val="003E71A9"/>
    <w:rsid w:val="003E71B8"/>
    <w:rsid w:val="003E71DA"/>
    <w:rsid w:val="003E759B"/>
    <w:rsid w:val="003E7690"/>
    <w:rsid w:val="003E76FE"/>
    <w:rsid w:val="003E7765"/>
    <w:rsid w:val="003E777C"/>
    <w:rsid w:val="003E783E"/>
    <w:rsid w:val="003E7941"/>
    <w:rsid w:val="003E7B95"/>
    <w:rsid w:val="003E7C4F"/>
    <w:rsid w:val="003E7E80"/>
    <w:rsid w:val="003F00C0"/>
    <w:rsid w:val="003F013A"/>
    <w:rsid w:val="003F029A"/>
    <w:rsid w:val="003F02FB"/>
    <w:rsid w:val="003F046C"/>
    <w:rsid w:val="003F0537"/>
    <w:rsid w:val="003F062E"/>
    <w:rsid w:val="003F09A5"/>
    <w:rsid w:val="003F0B1B"/>
    <w:rsid w:val="003F0B6A"/>
    <w:rsid w:val="003F0BD0"/>
    <w:rsid w:val="003F0BEA"/>
    <w:rsid w:val="003F0CFD"/>
    <w:rsid w:val="003F0DFF"/>
    <w:rsid w:val="003F0EED"/>
    <w:rsid w:val="003F0F97"/>
    <w:rsid w:val="003F0FE3"/>
    <w:rsid w:val="003F129B"/>
    <w:rsid w:val="003F12B9"/>
    <w:rsid w:val="003F17C2"/>
    <w:rsid w:val="003F1809"/>
    <w:rsid w:val="003F18EE"/>
    <w:rsid w:val="003F1B83"/>
    <w:rsid w:val="003F1BCB"/>
    <w:rsid w:val="003F1C55"/>
    <w:rsid w:val="003F1D1E"/>
    <w:rsid w:val="003F1E7C"/>
    <w:rsid w:val="003F1F3D"/>
    <w:rsid w:val="003F1FEA"/>
    <w:rsid w:val="003F2176"/>
    <w:rsid w:val="003F22F0"/>
    <w:rsid w:val="003F2366"/>
    <w:rsid w:val="003F2370"/>
    <w:rsid w:val="003F2404"/>
    <w:rsid w:val="003F246F"/>
    <w:rsid w:val="003F2507"/>
    <w:rsid w:val="003F266A"/>
    <w:rsid w:val="003F2745"/>
    <w:rsid w:val="003F2840"/>
    <w:rsid w:val="003F28BB"/>
    <w:rsid w:val="003F2901"/>
    <w:rsid w:val="003F2980"/>
    <w:rsid w:val="003F2B02"/>
    <w:rsid w:val="003F2B6B"/>
    <w:rsid w:val="003F2BA4"/>
    <w:rsid w:val="003F2BE8"/>
    <w:rsid w:val="003F2CD8"/>
    <w:rsid w:val="003F2E01"/>
    <w:rsid w:val="003F3207"/>
    <w:rsid w:val="003F3237"/>
    <w:rsid w:val="003F3295"/>
    <w:rsid w:val="003F3372"/>
    <w:rsid w:val="003F33AE"/>
    <w:rsid w:val="003F33CE"/>
    <w:rsid w:val="003F3426"/>
    <w:rsid w:val="003F34AD"/>
    <w:rsid w:val="003F34BA"/>
    <w:rsid w:val="003F3673"/>
    <w:rsid w:val="003F37EB"/>
    <w:rsid w:val="003F38C8"/>
    <w:rsid w:val="003F399D"/>
    <w:rsid w:val="003F3ACC"/>
    <w:rsid w:val="003F3AFB"/>
    <w:rsid w:val="003F3EBE"/>
    <w:rsid w:val="003F4072"/>
    <w:rsid w:val="003F40F3"/>
    <w:rsid w:val="003F4235"/>
    <w:rsid w:val="003F442E"/>
    <w:rsid w:val="003F443D"/>
    <w:rsid w:val="003F44C4"/>
    <w:rsid w:val="003F44C5"/>
    <w:rsid w:val="003F457A"/>
    <w:rsid w:val="003F45A4"/>
    <w:rsid w:val="003F45A6"/>
    <w:rsid w:val="003F45A9"/>
    <w:rsid w:val="003F470C"/>
    <w:rsid w:val="003F47A4"/>
    <w:rsid w:val="003F47B0"/>
    <w:rsid w:val="003F4844"/>
    <w:rsid w:val="003F4866"/>
    <w:rsid w:val="003F486B"/>
    <w:rsid w:val="003F48A7"/>
    <w:rsid w:val="003F4A28"/>
    <w:rsid w:val="003F4A90"/>
    <w:rsid w:val="003F4B0B"/>
    <w:rsid w:val="003F4B26"/>
    <w:rsid w:val="003F4C16"/>
    <w:rsid w:val="003F4C4F"/>
    <w:rsid w:val="003F4D38"/>
    <w:rsid w:val="003F4D58"/>
    <w:rsid w:val="003F4DA5"/>
    <w:rsid w:val="003F4DBB"/>
    <w:rsid w:val="003F4DE5"/>
    <w:rsid w:val="003F4FDF"/>
    <w:rsid w:val="003F51E6"/>
    <w:rsid w:val="003F5205"/>
    <w:rsid w:val="003F521C"/>
    <w:rsid w:val="003F5381"/>
    <w:rsid w:val="003F5391"/>
    <w:rsid w:val="003F545C"/>
    <w:rsid w:val="003F55DB"/>
    <w:rsid w:val="003F5636"/>
    <w:rsid w:val="003F5716"/>
    <w:rsid w:val="003F5C9D"/>
    <w:rsid w:val="003F5CBD"/>
    <w:rsid w:val="003F5D8D"/>
    <w:rsid w:val="003F5E89"/>
    <w:rsid w:val="003F5EE5"/>
    <w:rsid w:val="003F602C"/>
    <w:rsid w:val="003F6038"/>
    <w:rsid w:val="003F605A"/>
    <w:rsid w:val="003F611F"/>
    <w:rsid w:val="003F61EA"/>
    <w:rsid w:val="003F6205"/>
    <w:rsid w:val="003F622C"/>
    <w:rsid w:val="003F626E"/>
    <w:rsid w:val="003F62A6"/>
    <w:rsid w:val="003F62BD"/>
    <w:rsid w:val="003F62F3"/>
    <w:rsid w:val="003F6324"/>
    <w:rsid w:val="003F646D"/>
    <w:rsid w:val="003F649E"/>
    <w:rsid w:val="003F64B8"/>
    <w:rsid w:val="003F64C0"/>
    <w:rsid w:val="003F6598"/>
    <w:rsid w:val="003F685B"/>
    <w:rsid w:val="003F689F"/>
    <w:rsid w:val="003F697B"/>
    <w:rsid w:val="003F6A89"/>
    <w:rsid w:val="003F6AA1"/>
    <w:rsid w:val="003F6C91"/>
    <w:rsid w:val="003F6D7D"/>
    <w:rsid w:val="003F6E56"/>
    <w:rsid w:val="003F6F22"/>
    <w:rsid w:val="003F6F72"/>
    <w:rsid w:val="003F6FDD"/>
    <w:rsid w:val="003F6FEC"/>
    <w:rsid w:val="003F70AE"/>
    <w:rsid w:val="003F7154"/>
    <w:rsid w:val="003F73AB"/>
    <w:rsid w:val="003F742E"/>
    <w:rsid w:val="003F74C6"/>
    <w:rsid w:val="003F759D"/>
    <w:rsid w:val="003F762A"/>
    <w:rsid w:val="003F76C0"/>
    <w:rsid w:val="003F76FD"/>
    <w:rsid w:val="003F776D"/>
    <w:rsid w:val="003F778E"/>
    <w:rsid w:val="003F7798"/>
    <w:rsid w:val="003F7839"/>
    <w:rsid w:val="003F7A4C"/>
    <w:rsid w:val="003F7BDF"/>
    <w:rsid w:val="003F7C2E"/>
    <w:rsid w:val="003F7C34"/>
    <w:rsid w:val="003F7D16"/>
    <w:rsid w:val="003F7FC2"/>
    <w:rsid w:val="004000E5"/>
    <w:rsid w:val="00400259"/>
    <w:rsid w:val="004002DB"/>
    <w:rsid w:val="0040044A"/>
    <w:rsid w:val="004004B2"/>
    <w:rsid w:val="004004DC"/>
    <w:rsid w:val="004005DD"/>
    <w:rsid w:val="0040066D"/>
    <w:rsid w:val="00400769"/>
    <w:rsid w:val="0040082A"/>
    <w:rsid w:val="004008C8"/>
    <w:rsid w:val="00400900"/>
    <w:rsid w:val="00400903"/>
    <w:rsid w:val="0040092F"/>
    <w:rsid w:val="00400AC4"/>
    <w:rsid w:val="00400ADB"/>
    <w:rsid w:val="00400B4A"/>
    <w:rsid w:val="00400B5B"/>
    <w:rsid w:val="00400BA2"/>
    <w:rsid w:val="00400C2B"/>
    <w:rsid w:val="00400CC3"/>
    <w:rsid w:val="00400CC6"/>
    <w:rsid w:val="00400F66"/>
    <w:rsid w:val="00400F95"/>
    <w:rsid w:val="004011D0"/>
    <w:rsid w:val="00401280"/>
    <w:rsid w:val="0040152F"/>
    <w:rsid w:val="0040157E"/>
    <w:rsid w:val="0040158F"/>
    <w:rsid w:val="00401638"/>
    <w:rsid w:val="004016C5"/>
    <w:rsid w:val="0040179C"/>
    <w:rsid w:val="00401979"/>
    <w:rsid w:val="004019CC"/>
    <w:rsid w:val="00401B41"/>
    <w:rsid w:val="00401B47"/>
    <w:rsid w:val="00401F61"/>
    <w:rsid w:val="00401FFD"/>
    <w:rsid w:val="0040221B"/>
    <w:rsid w:val="00402233"/>
    <w:rsid w:val="004026F7"/>
    <w:rsid w:val="0040284A"/>
    <w:rsid w:val="00402850"/>
    <w:rsid w:val="0040289D"/>
    <w:rsid w:val="00402918"/>
    <w:rsid w:val="00402940"/>
    <w:rsid w:val="004029B4"/>
    <w:rsid w:val="00402A39"/>
    <w:rsid w:val="00402A4B"/>
    <w:rsid w:val="00402B49"/>
    <w:rsid w:val="00402B76"/>
    <w:rsid w:val="00402D3C"/>
    <w:rsid w:val="00402E03"/>
    <w:rsid w:val="00402F7A"/>
    <w:rsid w:val="00402FB0"/>
    <w:rsid w:val="00403155"/>
    <w:rsid w:val="0040320C"/>
    <w:rsid w:val="00403263"/>
    <w:rsid w:val="004033F6"/>
    <w:rsid w:val="004034F8"/>
    <w:rsid w:val="004036C8"/>
    <w:rsid w:val="00403850"/>
    <w:rsid w:val="0040387E"/>
    <w:rsid w:val="00403920"/>
    <w:rsid w:val="00403A59"/>
    <w:rsid w:val="00403C72"/>
    <w:rsid w:val="00403CCC"/>
    <w:rsid w:val="00403DB4"/>
    <w:rsid w:val="00403EDE"/>
    <w:rsid w:val="00403F96"/>
    <w:rsid w:val="00403FAB"/>
    <w:rsid w:val="00404184"/>
    <w:rsid w:val="00404185"/>
    <w:rsid w:val="004041F9"/>
    <w:rsid w:val="00404223"/>
    <w:rsid w:val="004042C0"/>
    <w:rsid w:val="0040435B"/>
    <w:rsid w:val="00404618"/>
    <w:rsid w:val="00404649"/>
    <w:rsid w:val="004047BA"/>
    <w:rsid w:val="0040489A"/>
    <w:rsid w:val="00404BCD"/>
    <w:rsid w:val="00404C12"/>
    <w:rsid w:val="00404C19"/>
    <w:rsid w:val="00404C94"/>
    <w:rsid w:val="00404D06"/>
    <w:rsid w:val="00404D3C"/>
    <w:rsid w:val="00404DDC"/>
    <w:rsid w:val="00404E44"/>
    <w:rsid w:val="00404F12"/>
    <w:rsid w:val="00404F42"/>
    <w:rsid w:val="00404F90"/>
    <w:rsid w:val="0040506A"/>
    <w:rsid w:val="004050E3"/>
    <w:rsid w:val="0040516D"/>
    <w:rsid w:val="0040518F"/>
    <w:rsid w:val="004051E5"/>
    <w:rsid w:val="0040532F"/>
    <w:rsid w:val="0040548D"/>
    <w:rsid w:val="004054BE"/>
    <w:rsid w:val="004056A4"/>
    <w:rsid w:val="004056BB"/>
    <w:rsid w:val="00405957"/>
    <w:rsid w:val="004059F2"/>
    <w:rsid w:val="00405B24"/>
    <w:rsid w:val="00405CCB"/>
    <w:rsid w:val="00405D69"/>
    <w:rsid w:val="00405DE9"/>
    <w:rsid w:val="00405F36"/>
    <w:rsid w:val="00405FA4"/>
    <w:rsid w:val="00406158"/>
    <w:rsid w:val="00406267"/>
    <w:rsid w:val="0040635A"/>
    <w:rsid w:val="004064BA"/>
    <w:rsid w:val="004064CF"/>
    <w:rsid w:val="0040658C"/>
    <w:rsid w:val="004065D3"/>
    <w:rsid w:val="00406628"/>
    <w:rsid w:val="0040679D"/>
    <w:rsid w:val="004067C9"/>
    <w:rsid w:val="00406867"/>
    <w:rsid w:val="004068B7"/>
    <w:rsid w:val="004068C3"/>
    <w:rsid w:val="004068E8"/>
    <w:rsid w:val="00406C47"/>
    <w:rsid w:val="00406CC8"/>
    <w:rsid w:val="00406DCD"/>
    <w:rsid w:val="00406E61"/>
    <w:rsid w:val="00406F0E"/>
    <w:rsid w:val="0040708E"/>
    <w:rsid w:val="004070B4"/>
    <w:rsid w:val="00407110"/>
    <w:rsid w:val="0040720E"/>
    <w:rsid w:val="004072B9"/>
    <w:rsid w:val="004072BD"/>
    <w:rsid w:val="004073DA"/>
    <w:rsid w:val="00407413"/>
    <w:rsid w:val="0040741F"/>
    <w:rsid w:val="00407498"/>
    <w:rsid w:val="004074AE"/>
    <w:rsid w:val="004077FE"/>
    <w:rsid w:val="00407A4D"/>
    <w:rsid w:val="00407ABC"/>
    <w:rsid w:val="00407ADD"/>
    <w:rsid w:val="00407C90"/>
    <w:rsid w:val="00407E2A"/>
    <w:rsid w:val="00407E55"/>
    <w:rsid w:val="00407EEA"/>
    <w:rsid w:val="00407F48"/>
    <w:rsid w:val="00407F6F"/>
    <w:rsid w:val="00410058"/>
    <w:rsid w:val="0041008E"/>
    <w:rsid w:val="004100C9"/>
    <w:rsid w:val="004101F0"/>
    <w:rsid w:val="00410399"/>
    <w:rsid w:val="00410456"/>
    <w:rsid w:val="00410565"/>
    <w:rsid w:val="0041081F"/>
    <w:rsid w:val="00410858"/>
    <w:rsid w:val="004109D3"/>
    <w:rsid w:val="00410A9B"/>
    <w:rsid w:val="00410AD2"/>
    <w:rsid w:val="00410C12"/>
    <w:rsid w:val="00410CB6"/>
    <w:rsid w:val="00410D5D"/>
    <w:rsid w:val="00410E5F"/>
    <w:rsid w:val="00410E82"/>
    <w:rsid w:val="00411258"/>
    <w:rsid w:val="004112C8"/>
    <w:rsid w:val="004115BC"/>
    <w:rsid w:val="004115CA"/>
    <w:rsid w:val="00411630"/>
    <w:rsid w:val="0041165E"/>
    <w:rsid w:val="004118F2"/>
    <w:rsid w:val="0041193A"/>
    <w:rsid w:val="00411945"/>
    <w:rsid w:val="00411CF8"/>
    <w:rsid w:val="00411EAF"/>
    <w:rsid w:val="00411F35"/>
    <w:rsid w:val="0041204F"/>
    <w:rsid w:val="00412136"/>
    <w:rsid w:val="004121C3"/>
    <w:rsid w:val="004122A5"/>
    <w:rsid w:val="00412491"/>
    <w:rsid w:val="004124E9"/>
    <w:rsid w:val="0041252C"/>
    <w:rsid w:val="0041256C"/>
    <w:rsid w:val="0041268E"/>
    <w:rsid w:val="00412930"/>
    <w:rsid w:val="00412A58"/>
    <w:rsid w:val="00412A8D"/>
    <w:rsid w:val="00412D03"/>
    <w:rsid w:val="00412D7D"/>
    <w:rsid w:val="00412D87"/>
    <w:rsid w:val="00412D89"/>
    <w:rsid w:val="00412E49"/>
    <w:rsid w:val="00413101"/>
    <w:rsid w:val="004132B4"/>
    <w:rsid w:val="00413427"/>
    <w:rsid w:val="0041343E"/>
    <w:rsid w:val="00413467"/>
    <w:rsid w:val="0041347F"/>
    <w:rsid w:val="004134C4"/>
    <w:rsid w:val="004138B4"/>
    <w:rsid w:val="00413D55"/>
    <w:rsid w:val="00413E16"/>
    <w:rsid w:val="00413E37"/>
    <w:rsid w:val="00413F1A"/>
    <w:rsid w:val="00413F98"/>
    <w:rsid w:val="0041406E"/>
    <w:rsid w:val="004140C1"/>
    <w:rsid w:val="00414317"/>
    <w:rsid w:val="0041435F"/>
    <w:rsid w:val="004143D6"/>
    <w:rsid w:val="004144D5"/>
    <w:rsid w:val="004144E1"/>
    <w:rsid w:val="00414751"/>
    <w:rsid w:val="004148C0"/>
    <w:rsid w:val="00414A7B"/>
    <w:rsid w:val="00414A7E"/>
    <w:rsid w:val="00414A9B"/>
    <w:rsid w:val="00414B53"/>
    <w:rsid w:val="00414BCC"/>
    <w:rsid w:val="00414E46"/>
    <w:rsid w:val="00414E65"/>
    <w:rsid w:val="00414F8F"/>
    <w:rsid w:val="00415033"/>
    <w:rsid w:val="0041510B"/>
    <w:rsid w:val="00415156"/>
    <w:rsid w:val="004151DE"/>
    <w:rsid w:val="0041525E"/>
    <w:rsid w:val="00415268"/>
    <w:rsid w:val="004152E3"/>
    <w:rsid w:val="0041540D"/>
    <w:rsid w:val="00415414"/>
    <w:rsid w:val="00415492"/>
    <w:rsid w:val="004154F8"/>
    <w:rsid w:val="004155CA"/>
    <w:rsid w:val="004155F7"/>
    <w:rsid w:val="004156CB"/>
    <w:rsid w:val="004156E8"/>
    <w:rsid w:val="00415780"/>
    <w:rsid w:val="00415986"/>
    <w:rsid w:val="00415A83"/>
    <w:rsid w:val="00415B18"/>
    <w:rsid w:val="00415B74"/>
    <w:rsid w:val="00415C51"/>
    <w:rsid w:val="00415C56"/>
    <w:rsid w:val="00415C5F"/>
    <w:rsid w:val="00415D29"/>
    <w:rsid w:val="00415E03"/>
    <w:rsid w:val="00415F73"/>
    <w:rsid w:val="004160E4"/>
    <w:rsid w:val="004161D1"/>
    <w:rsid w:val="004161D2"/>
    <w:rsid w:val="00416343"/>
    <w:rsid w:val="00416397"/>
    <w:rsid w:val="00416432"/>
    <w:rsid w:val="00416450"/>
    <w:rsid w:val="004164B9"/>
    <w:rsid w:val="00416640"/>
    <w:rsid w:val="00416745"/>
    <w:rsid w:val="0041676A"/>
    <w:rsid w:val="0041680D"/>
    <w:rsid w:val="00416A5C"/>
    <w:rsid w:val="00416A5D"/>
    <w:rsid w:val="00416B23"/>
    <w:rsid w:val="00416C7F"/>
    <w:rsid w:val="00416D34"/>
    <w:rsid w:val="00416D4E"/>
    <w:rsid w:val="00416F19"/>
    <w:rsid w:val="00416F86"/>
    <w:rsid w:val="00416F87"/>
    <w:rsid w:val="00416FA0"/>
    <w:rsid w:val="00416FDD"/>
    <w:rsid w:val="004170F8"/>
    <w:rsid w:val="004172CB"/>
    <w:rsid w:val="004172F6"/>
    <w:rsid w:val="0041730D"/>
    <w:rsid w:val="004173A5"/>
    <w:rsid w:val="00417476"/>
    <w:rsid w:val="00417537"/>
    <w:rsid w:val="00417618"/>
    <w:rsid w:val="004177F8"/>
    <w:rsid w:val="00417900"/>
    <w:rsid w:val="0041792B"/>
    <w:rsid w:val="00417987"/>
    <w:rsid w:val="00417A76"/>
    <w:rsid w:val="00417B6E"/>
    <w:rsid w:val="00417BDC"/>
    <w:rsid w:val="00417BED"/>
    <w:rsid w:val="00417C16"/>
    <w:rsid w:val="00417C88"/>
    <w:rsid w:val="00417E05"/>
    <w:rsid w:val="00417E99"/>
    <w:rsid w:val="00417EA6"/>
    <w:rsid w:val="00417F1D"/>
    <w:rsid w:val="00417FAC"/>
    <w:rsid w:val="00420007"/>
    <w:rsid w:val="00420055"/>
    <w:rsid w:val="004200A6"/>
    <w:rsid w:val="0042010C"/>
    <w:rsid w:val="0042019D"/>
    <w:rsid w:val="0042028E"/>
    <w:rsid w:val="004202B6"/>
    <w:rsid w:val="004202D9"/>
    <w:rsid w:val="00420390"/>
    <w:rsid w:val="0042040D"/>
    <w:rsid w:val="0042042D"/>
    <w:rsid w:val="004205A7"/>
    <w:rsid w:val="004207D8"/>
    <w:rsid w:val="00420884"/>
    <w:rsid w:val="00420925"/>
    <w:rsid w:val="00420959"/>
    <w:rsid w:val="00420974"/>
    <w:rsid w:val="004209ED"/>
    <w:rsid w:val="00420AC2"/>
    <w:rsid w:val="00420B3A"/>
    <w:rsid w:val="00420DBA"/>
    <w:rsid w:val="00420E71"/>
    <w:rsid w:val="00421034"/>
    <w:rsid w:val="00421084"/>
    <w:rsid w:val="00421120"/>
    <w:rsid w:val="00421389"/>
    <w:rsid w:val="0042142F"/>
    <w:rsid w:val="00421484"/>
    <w:rsid w:val="004214F4"/>
    <w:rsid w:val="004215D4"/>
    <w:rsid w:val="0042174F"/>
    <w:rsid w:val="0042177F"/>
    <w:rsid w:val="0042186E"/>
    <w:rsid w:val="004218AA"/>
    <w:rsid w:val="004218BC"/>
    <w:rsid w:val="004219EB"/>
    <w:rsid w:val="00421A32"/>
    <w:rsid w:val="00421B01"/>
    <w:rsid w:val="00421EC5"/>
    <w:rsid w:val="00421EF3"/>
    <w:rsid w:val="004222E4"/>
    <w:rsid w:val="004222E7"/>
    <w:rsid w:val="00422619"/>
    <w:rsid w:val="00422687"/>
    <w:rsid w:val="00422757"/>
    <w:rsid w:val="0042282E"/>
    <w:rsid w:val="00422859"/>
    <w:rsid w:val="004228D9"/>
    <w:rsid w:val="0042299E"/>
    <w:rsid w:val="004229E1"/>
    <w:rsid w:val="00422A56"/>
    <w:rsid w:val="00422A5F"/>
    <w:rsid w:val="00422A89"/>
    <w:rsid w:val="00422B42"/>
    <w:rsid w:val="00422B99"/>
    <w:rsid w:val="00422C4F"/>
    <w:rsid w:val="00422D02"/>
    <w:rsid w:val="00422DDD"/>
    <w:rsid w:val="00422E06"/>
    <w:rsid w:val="00422EE0"/>
    <w:rsid w:val="00423099"/>
    <w:rsid w:val="0042330A"/>
    <w:rsid w:val="0042330C"/>
    <w:rsid w:val="004233F5"/>
    <w:rsid w:val="004235A5"/>
    <w:rsid w:val="004235CC"/>
    <w:rsid w:val="0042376B"/>
    <w:rsid w:val="004237C6"/>
    <w:rsid w:val="004238B5"/>
    <w:rsid w:val="00423B36"/>
    <w:rsid w:val="00423C21"/>
    <w:rsid w:val="00423C42"/>
    <w:rsid w:val="00423CAB"/>
    <w:rsid w:val="00423ECB"/>
    <w:rsid w:val="00423F7B"/>
    <w:rsid w:val="00423FCD"/>
    <w:rsid w:val="00424136"/>
    <w:rsid w:val="0042422C"/>
    <w:rsid w:val="004243E7"/>
    <w:rsid w:val="004244E0"/>
    <w:rsid w:val="0042452B"/>
    <w:rsid w:val="004245A4"/>
    <w:rsid w:val="00424750"/>
    <w:rsid w:val="0042481C"/>
    <w:rsid w:val="00424865"/>
    <w:rsid w:val="004248B0"/>
    <w:rsid w:val="0042493E"/>
    <w:rsid w:val="00424B37"/>
    <w:rsid w:val="00424BB1"/>
    <w:rsid w:val="00424EB4"/>
    <w:rsid w:val="00425057"/>
    <w:rsid w:val="00425074"/>
    <w:rsid w:val="004252C3"/>
    <w:rsid w:val="004252CA"/>
    <w:rsid w:val="004252D8"/>
    <w:rsid w:val="00425302"/>
    <w:rsid w:val="0042535D"/>
    <w:rsid w:val="004253A1"/>
    <w:rsid w:val="00425454"/>
    <w:rsid w:val="0042548B"/>
    <w:rsid w:val="004255B5"/>
    <w:rsid w:val="004255CE"/>
    <w:rsid w:val="00425653"/>
    <w:rsid w:val="0042575A"/>
    <w:rsid w:val="0042577E"/>
    <w:rsid w:val="00425784"/>
    <w:rsid w:val="00425785"/>
    <w:rsid w:val="004257A4"/>
    <w:rsid w:val="00425840"/>
    <w:rsid w:val="004258CB"/>
    <w:rsid w:val="0042593A"/>
    <w:rsid w:val="00425B86"/>
    <w:rsid w:val="00425C70"/>
    <w:rsid w:val="00425CD7"/>
    <w:rsid w:val="00425CF9"/>
    <w:rsid w:val="00425D01"/>
    <w:rsid w:val="00425DC2"/>
    <w:rsid w:val="00425E1A"/>
    <w:rsid w:val="00425E41"/>
    <w:rsid w:val="0042600A"/>
    <w:rsid w:val="004262CC"/>
    <w:rsid w:val="0042630B"/>
    <w:rsid w:val="00426332"/>
    <w:rsid w:val="004265E8"/>
    <w:rsid w:val="004265F9"/>
    <w:rsid w:val="004266A7"/>
    <w:rsid w:val="00426767"/>
    <w:rsid w:val="004267A6"/>
    <w:rsid w:val="0042686B"/>
    <w:rsid w:val="00426876"/>
    <w:rsid w:val="004268C4"/>
    <w:rsid w:val="00426915"/>
    <w:rsid w:val="00426A61"/>
    <w:rsid w:val="00426BFC"/>
    <w:rsid w:val="00426C68"/>
    <w:rsid w:val="00426CCF"/>
    <w:rsid w:val="00426CD6"/>
    <w:rsid w:val="00426D61"/>
    <w:rsid w:val="00426DCD"/>
    <w:rsid w:val="00426DDB"/>
    <w:rsid w:val="00427155"/>
    <w:rsid w:val="00427162"/>
    <w:rsid w:val="0042747B"/>
    <w:rsid w:val="004274BD"/>
    <w:rsid w:val="00427597"/>
    <w:rsid w:val="0042764C"/>
    <w:rsid w:val="004276B7"/>
    <w:rsid w:val="0042775A"/>
    <w:rsid w:val="004277C7"/>
    <w:rsid w:val="0042785F"/>
    <w:rsid w:val="0042798C"/>
    <w:rsid w:val="00427A13"/>
    <w:rsid w:val="00427B4E"/>
    <w:rsid w:val="00427C92"/>
    <w:rsid w:val="00427CC8"/>
    <w:rsid w:val="00427D86"/>
    <w:rsid w:val="00427D88"/>
    <w:rsid w:val="00427D9E"/>
    <w:rsid w:val="00427F54"/>
    <w:rsid w:val="00427F9B"/>
    <w:rsid w:val="00427FE2"/>
    <w:rsid w:val="004300A3"/>
    <w:rsid w:val="004300EE"/>
    <w:rsid w:val="004300F8"/>
    <w:rsid w:val="00430194"/>
    <w:rsid w:val="004301A2"/>
    <w:rsid w:val="004301F2"/>
    <w:rsid w:val="00430268"/>
    <w:rsid w:val="004302F2"/>
    <w:rsid w:val="00430316"/>
    <w:rsid w:val="00430389"/>
    <w:rsid w:val="004303C8"/>
    <w:rsid w:val="004303D9"/>
    <w:rsid w:val="0043052B"/>
    <w:rsid w:val="004305D4"/>
    <w:rsid w:val="00430619"/>
    <w:rsid w:val="0043084B"/>
    <w:rsid w:val="00430963"/>
    <w:rsid w:val="00430973"/>
    <w:rsid w:val="00430AA9"/>
    <w:rsid w:val="00430AFC"/>
    <w:rsid w:val="00430C67"/>
    <w:rsid w:val="00430CEB"/>
    <w:rsid w:val="00430D7F"/>
    <w:rsid w:val="00430F75"/>
    <w:rsid w:val="0043112B"/>
    <w:rsid w:val="0043113D"/>
    <w:rsid w:val="004312CC"/>
    <w:rsid w:val="004312D3"/>
    <w:rsid w:val="00431469"/>
    <w:rsid w:val="004315D2"/>
    <w:rsid w:val="0043175C"/>
    <w:rsid w:val="00431779"/>
    <w:rsid w:val="00431863"/>
    <w:rsid w:val="004318BB"/>
    <w:rsid w:val="00431B7D"/>
    <w:rsid w:val="00431CC6"/>
    <w:rsid w:val="00431E42"/>
    <w:rsid w:val="00431ED6"/>
    <w:rsid w:val="00431EE5"/>
    <w:rsid w:val="00432009"/>
    <w:rsid w:val="004320E1"/>
    <w:rsid w:val="00432117"/>
    <w:rsid w:val="0043214F"/>
    <w:rsid w:val="00432295"/>
    <w:rsid w:val="004322B9"/>
    <w:rsid w:val="004322BE"/>
    <w:rsid w:val="00432500"/>
    <w:rsid w:val="0043253A"/>
    <w:rsid w:val="0043256C"/>
    <w:rsid w:val="00432742"/>
    <w:rsid w:val="00432898"/>
    <w:rsid w:val="00432A3C"/>
    <w:rsid w:val="00432A82"/>
    <w:rsid w:val="00432B6E"/>
    <w:rsid w:val="00432BD6"/>
    <w:rsid w:val="00432C85"/>
    <w:rsid w:val="00432D3D"/>
    <w:rsid w:val="00432E3E"/>
    <w:rsid w:val="00432ED4"/>
    <w:rsid w:val="00432F12"/>
    <w:rsid w:val="00432F25"/>
    <w:rsid w:val="00432F9D"/>
    <w:rsid w:val="00433188"/>
    <w:rsid w:val="004331A3"/>
    <w:rsid w:val="004332DF"/>
    <w:rsid w:val="00433313"/>
    <w:rsid w:val="00433363"/>
    <w:rsid w:val="004333EC"/>
    <w:rsid w:val="00433407"/>
    <w:rsid w:val="004335B2"/>
    <w:rsid w:val="0043368C"/>
    <w:rsid w:val="00433727"/>
    <w:rsid w:val="00433826"/>
    <w:rsid w:val="004339B9"/>
    <w:rsid w:val="00433C45"/>
    <w:rsid w:val="00433C79"/>
    <w:rsid w:val="00433C92"/>
    <w:rsid w:val="00433D3B"/>
    <w:rsid w:val="00433DF5"/>
    <w:rsid w:val="00433E7B"/>
    <w:rsid w:val="00433EE1"/>
    <w:rsid w:val="00433F19"/>
    <w:rsid w:val="00433F3A"/>
    <w:rsid w:val="0043410D"/>
    <w:rsid w:val="004341AA"/>
    <w:rsid w:val="004343C7"/>
    <w:rsid w:val="00434526"/>
    <w:rsid w:val="004345B1"/>
    <w:rsid w:val="004348F5"/>
    <w:rsid w:val="004348FA"/>
    <w:rsid w:val="004349C3"/>
    <w:rsid w:val="00434A7E"/>
    <w:rsid w:val="00434AAC"/>
    <w:rsid w:val="00434B28"/>
    <w:rsid w:val="00434B5C"/>
    <w:rsid w:val="00434C3E"/>
    <w:rsid w:val="00434CFE"/>
    <w:rsid w:val="00434D88"/>
    <w:rsid w:val="00434F41"/>
    <w:rsid w:val="00435030"/>
    <w:rsid w:val="00435096"/>
    <w:rsid w:val="004350E7"/>
    <w:rsid w:val="00435127"/>
    <w:rsid w:val="0043518F"/>
    <w:rsid w:val="00435268"/>
    <w:rsid w:val="00435340"/>
    <w:rsid w:val="00435407"/>
    <w:rsid w:val="00435413"/>
    <w:rsid w:val="00435416"/>
    <w:rsid w:val="00435558"/>
    <w:rsid w:val="004355A5"/>
    <w:rsid w:val="004355C5"/>
    <w:rsid w:val="004356CA"/>
    <w:rsid w:val="004357DC"/>
    <w:rsid w:val="004358B6"/>
    <w:rsid w:val="004358D9"/>
    <w:rsid w:val="00435A62"/>
    <w:rsid w:val="00435AAF"/>
    <w:rsid w:val="00435BA9"/>
    <w:rsid w:val="00435CA7"/>
    <w:rsid w:val="00435D3F"/>
    <w:rsid w:val="0043602C"/>
    <w:rsid w:val="00436083"/>
    <w:rsid w:val="0043617A"/>
    <w:rsid w:val="00436249"/>
    <w:rsid w:val="0043629C"/>
    <w:rsid w:val="0043630F"/>
    <w:rsid w:val="0043633E"/>
    <w:rsid w:val="004365D5"/>
    <w:rsid w:val="00436657"/>
    <w:rsid w:val="0043665C"/>
    <w:rsid w:val="00436679"/>
    <w:rsid w:val="004366A1"/>
    <w:rsid w:val="00436735"/>
    <w:rsid w:val="004367C3"/>
    <w:rsid w:val="004367DF"/>
    <w:rsid w:val="0043688D"/>
    <w:rsid w:val="00436A8A"/>
    <w:rsid w:val="00436AB8"/>
    <w:rsid w:val="00436F9B"/>
    <w:rsid w:val="00437048"/>
    <w:rsid w:val="0043709F"/>
    <w:rsid w:val="004370F8"/>
    <w:rsid w:val="0043725B"/>
    <w:rsid w:val="004373E8"/>
    <w:rsid w:val="0043767F"/>
    <w:rsid w:val="0043769B"/>
    <w:rsid w:val="00437762"/>
    <w:rsid w:val="00437894"/>
    <w:rsid w:val="004378D2"/>
    <w:rsid w:val="004379C2"/>
    <w:rsid w:val="004379DC"/>
    <w:rsid w:val="004379E0"/>
    <w:rsid w:val="00437A67"/>
    <w:rsid w:val="00437D27"/>
    <w:rsid w:val="00437D43"/>
    <w:rsid w:val="00437DBB"/>
    <w:rsid w:val="00437DCC"/>
    <w:rsid w:val="00437E13"/>
    <w:rsid w:val="00437FF2"/>
    <w:rsid w:val="0044002D"/>
    <w:rsid w:val="00440040"/>
    <w:rsid w:val="004400E1"/>
    <w:rsid w:val="00440112"/>
    <w:rsid w:val="00440114"/>
    <w:rsid w:val="00440185"/>
    <w:rsid w:val="0044026A"/>
    <w:rsid w:val="00440293"/>
    <w:rsid w:val="004402ED"/>
    <w:rsid w:val="004404BE"/>
    <w:rsid w:val="0044052E"/>
    <w:rsid w:val="004405CE"/>
    <w:rsid w:val="00440868"/>
    <w:rsid w:val="004408A5"/>
    <w:rsid w:val="004408CB"/>
    <w:rsid w:val="004408DD"/>
    <w:rsid w:val="00440C67"/>
    <w:rsid w:val="00440CCD"/>
    <w:rsid w:val="00440E28"/>
    <w:rsid w:val="00440F41"/>
    <w:rsid w:val="00440F78"/>
    <w:rsid w:val="004410AF"/>
    <w:rsid w:val="00441366"/>
    <w:rsid w:val="00441388"/>
    <w:rsid w:val="00441414"/>
    <w:rsid w:val="0044142F"/>
    <w:rsid w:val="00441711"/>
    <w:rsid w:val="004418BC"/>
    <w:rsid w:val="00441901"/>
    <w:rsid w:val="00441998"/>
    <w:rsid w:val="00441A24"/>
    <w:rsid w:val="00441A9D"/>
    <w:rsid w:val="00441B69"/>
    <w:rsid w:val="00441BD4"/>
    <w:rsid w:val="00441DAE"/>
    <w:rsid w:val="00441EC9"/>
    <w:rsid w:val="00442084"/>
    <w:rsid w:val="00442178"/>
    <w:rsid w:val="0044222E"/>
    <w:rsid w:val="00442252"/>
    <w:rsid w:val="0044225B"/>
    <w:rsid w:val="00442293"/>
    <w:rsid w:val="004424AF"/>
    <w:rsid w:val="004424B3"/>
    <w:rsid w:val="004424B9"/>
    <w:rsid w:val="004425FE"/>
    <w:rsid w:val="004427B8"/>
    <w:rsid w:val="004427FF"/>
    <w:rsid w:val="00442A96"/>
    <w:rsid w:val="00442AE9"/>
    <w:rsid w:val="00442BFD"/>
    <w:rsid w:val="00442C29"/>
    <w:rsid w:val="00442CE7"/>
    <w:rsid w:val="00442DC0"/>
    <w:rsid w:val="00442F31"/>
    <w:rsid w:val="00442FD8"/>
    <w:rsid w:val="004430DC"/>
    <w:rsid w:val="00443205"/>
    <w:rsid w:val="004434CC"/>
    <w:rsid w:val="0044354A"/>
    <w:rsid w:val="004435B9"/>
    <w:rsid w:val="00443614"/>
    <w:rsid w:val="00443705"/>
    <w:rsid w:val="00443820"/>
    <w:rsid w:val="00443841"/>
    <w:rsid w:val="00443868"/>
    <w:rsid w:val="004438A7"/>
    <w:rsid w:val="004438D4"/>
    <w:rsid w:val="00443999"/>
    <w:rsid w:val="004439A1"/>
    <w:rsid w:val="00443A06"/>
    <w:rsid w:val="00443D90"/>
    <w:rsid w:val="00443E55"/>
    <w:rsid w:val="00443E89"/>
    <w:rsid w:val="00443FA4"/>
    <w:rsid w:val="00443FCD"/>
    <w:rsid w:val="0044402A"/>
    <w:rsid w:val="00444038"/>
    <w:rsid w:val="00444042"/>
    <w:rsid w:val="00444278"/>
    <w:rsid w:val="00444424"/>
    <w:rsid w:val="0044442F"/>
    <w:rsid w:val="004444BB"/>
    <w:rsid w:val="004445AA"/>
    <w:rsid w:val="00444745"/>
    <w:rsid w:val="0044478D"/>
    <w:rsid w:val="004447E2"/>
    <w:rsid w:val="00444A23"/>
    <w:rsid w:val="00444AAF"/>
    <w:rsid w:val="00444B19"/>
    <w:rsid w:val="00444BDA"/>
    <w:rsid w:val="00444DC7"/>
    <w:rsid w:val="00444F0D"/>
    <w:rsid w:val="00444FA2"/>
    <w:rsid w:val="004450A9"/>
    <w:rsid w:val="004450EF"/>
    <w:rsid w:val="0044520F"/>
    <w:rsid w:val="00445291"/>
    <w:rsid w:val="0044538D"/>
    <w:rsid w:val="00445427"/>
    <w:rsid w:val="00445464"/>
    <w:rsid w:val="004457F4"/>
    <w:rsid w:val="004459DA"/>
    <w:rsid w:val="00445ACF"/>
    <w:rsid w:val="00445B2D"/>
    <w:rsid w:val="00445C21"/>
    <w:rsid w:val="00445C94"/>
    <w:rsid w:val="00445D15"/>
    <w:rsid w:val="00445DD5"/>
    <w:rsid w:val="00445EF9"/>
    <w:rsid w:val="00445F35"/>
    <w:rsid w:val="004461ED"/>
    <w:rsid w:val="00446311"/>
    <w:rsid w:val="00446357"/>
    <w:rsid w:val="004463B4"/>
    <w:rsid w:val="004463E5"/>
    <w:rsid w:val="00446432"/>
    <w:rsid w:val="004464A6"/>
    <w:rsid w:val="00446515"/>
    <w:rsid w:val="00446549"/>
    <w:rsid w:val="00446743"/>
    <w:rsid w:val="004467C9"/>
    <w:rsid w:val="004469AA"/>
    <w:rsid w:val="004469F1"/>
    <w:rsid w:val="00446A46"/>
    <w:rsid w:val="00446ACA"/>
    <w:rsid w:val="00446B0E"/>
    <w:rsid w:val="00446BBA"/>
    <w:rsid w:val="00446C2C"/>
    <w:rsid w:val="00446CF7"/>
    <w:rsid w:val="00446D5A"/>
    <w:rsid w:val="00446EE4"/>
    <w:rsid w:val="00446EFF"/>
    <w:rsid w:val="00446F6F"/>
    <w:rsid w:val="004470F1"/>
    <w:rsid w:val="00447198"/>
    <w:rsid w:val="004471A1"/>
    <w:rsid w:val="00447221"/>
    <w:rsid w:val="0044735C"/>
    <w:rsid w:val="0044737F"/>
    <w:rsid w:val="0044741C"/>
    <w:rsid w:val="00447428"/>
    <w:rsid w:val="004474A5"/>
    <w:rsid w:val="004475D1"/>
    <w:rsid w:val="00447720"/>
    <w:rsid w:val="004477F0"/>
    <w:rsid w:val="0044788D"/>
    <w:rsid w:val="00447A7B"/>
    <w:rsid w:val="00447B0E"/>
    <w:rsid w:val="00447C57"/>
    <w:rsid w:val="00447CC8"/>
    <w:rsid w:val="00447D74"/>
    <w:rsid w:val="0044F36A"/>
    <w:rsid w:val="00450032"/>
    <w:rsid w:val="004501B9"/>
    <w:rsid w:val="0045028C"/>
    <w:rsid w:val="004502F6"/>
    <w:rsid w:val="0045044D"/>
    <w:rsid w:val="004504EE"/>
    <w:rsid w:val="004506BD"/>
    <w:rsid w:val="004506CC"/>
    <w:rsid w:val="004506EC"/>
    <w:rsid w:val="00450928"/>
    <w:rsid w:val="0045093F"/>
    <w:rsid w:val="00450A0F"/>
    <w:rsid w:val="00450A5E"/>
    <w:rsid w:val="00450AA4"/>
    <w:rsid w:val="00450AD0"/>
    <w:rsid w:val="00450AF5"/>
    <w:rsid w:val="00450B8C"/>
    <w:rsid w:val="00450CB2"/>
    <w:rsid w:val="00450D66"/>
    <w:rsid w:val="00450D9D"/>
    <w:rsid w:val="00450DF1"/>
    <w:rsid w:val="00450E29"/>
    <w:rsid w:val="00450EA8"/>
    <w:rsid w:val="00450FCE"/>
    <w:rsid w:val="00450FD1"/>
    <w:rsid w:val="004510DE"/>
    <w:rsid w:val="0045114A"/>
    <w:rsid w:val="00451174"/>
    <w:rsid w:val="004511FD"/>
    <w:rsid w:val="004512AE"/>
    <w:rsid w:val="0045146E"/>
    <w:rsid w:val="0045178F"/>
    <w:rsid w:val="0045179F"/>
    <w:rsid w:val="00451895"/>
    <w:rsid w:val="0045189F"/>
    <w:rsid w:val="00451948"/>
    <w:rsid w:val="004519BA"/>
    <w:rsid w:val="00451A1D"/>
    <w:rsid w:val="00451A96"/>
    <w:rsid w:val="00451B5B"/>
    <w:rsid w:val="00451BFE"/>
    <w:rsid w:val="00451D40"/>
    <w:rsid w:val="00451E41"/>
    <w:rsid w:val="00451F97"/>
    <w:rsid w:val="00451FCB"/>
    <w:rsid w:val="00452038"/>
    <w:rsid w:val="0045205C"/>
    <w:rsid w:val="00452117"/>
    <w:rsid w:val="0045219B"/>
    <w:rsid w:val="004521C5"/>
    <w:rsid w:val="0045225D"/>
    <w:rsid w:val="0045237E"/>
    <w:rsid w:val="00452405"/>
    <w:rsid w:val="0045247C"/>
    <w:rsid w:val="004524D2"/>
    <w:rsid w:val="00452519"/>
    <w:rsid w:val="004525F3"/>
    <w:rsid w:val="004525F9"/>
    <w:rsid w:val="0045266D"/>
    <w:rsid w:val="00452672"/>
    <w:rsid w:val="00452680"/>
    <w:rsid w:val="004527C5"/>
    <w:rsid w:val="00452892"/>
    <w:rsid w:val="0045289E"/>
    <w:rsid w:val="00452967"/>
    <w:rsid w:val="00452CCC"/>
    <w:rsid w:val="00452D1A"/>
    <w:rsid w:val="00453019"/>
    <w:rsid w:val="00453194"/>
    <w:rsid w:val="00453215"/>
    <w:rsid w:val="0045323D"/>
    <w:rsid w:val="00453350"/>
    <w:rsid w:val="0045345C"/>
    <w:rsid w:val="0045345F"/>
    <w:rsid w:val="00453627"/>
    <w:rsid w:val="0045362D"/>
    <w:rsid w:val="004536D7"/>
    <w:rsid w:val="00453756"/>
    <w:rsid w:val="0045375C"/>
    <w:rsid w:val="00453903"/>
    <w:rsid w:val="00453B57"/>
    <w:rsid w:val="00453B8E"/>
    <w:rsid w:val="00454138"/>
    <w:rsid w:val="0045419D"/>
    <w:rsid w:val="004541BF"/>
    <w:rsid w:val="004541E2"/>
    <w:rsid w:val="004541EC"/>
    <w:rsid w:val="00454285"/>
    <w:rsid w:val="004542C3"/>
    <w:rsid w:val="004544B2"/>
    <w:rsid w:val="00454638"/>
    <w:rsid w:val="00454714"/>
    <w:rsid w:val="00454991"/>
    <w:rsid w:val="00454CA0"/>
    <w:rsid w:val="00454E3B"/>
    <w:rsid w:val="00454F9F"/>
    <w:rsid w:val="0045501C"/>
    <w:rsid w:val="0045508B"/>
    <w:rsid w:val="00455159"/>
    <w:rsid w:val="0045532E"/>
    <w:rsid w:val="0045535A"/>
    <w:rsid w:val="004553EE"/>
    <w:rsid w:val="004555BD"/>
    <w:rsid w:val="004555FA"/>
    <w:rsid w:val="004556D2"/>
    <w:rsid w:val="0045572A"/>
    <w:rsid w:val="0045575E"/>
    <w:rsid w:val="0045592A"/>
    <w:rsid w:val="00455A24"/>
    <w:rsid w:val="00455A2E"/>
    <w:rsid w:val="00455A48"/>
    <w:rsid w:val="00455A73"/>
    <w:rsid w:val="00455AA4"/>
    <w:rsid w:val="00455D3B"/>
    <w:rsid w:val="00455D54"/>
    <w:rsid w:val="00455D59"/>
    <w:rsid w:val="00455FAB"/>
    <w:rsid w:val="0045608A"/>
    <w:rsid w:val="00456255"/>
    <w:rsid w:val="00456345"/>
    <w:rsid w:val="0045647F"/>
    <w:rsid w:val="004564C7"/>
    <w:rsid w:val="00456512"/>
    <w:rsid w:val="0045656C"/>
    <w:rsid w:val="0045661F"/>
    <w:rsid w:val="004566C5"/>
    <w:rsid w:val="004567B8"/>
    <w:rsid w:val="00456996"/>
    <w:rsid w:val="004569D5"/>
    <w:rsid w:val="00456B41"/>
    <w:rsid w:val="00456C83"/>
    <w:rsid w:val="00456D70"/>
    <w:rsid w:val="00456F26"/>
    <w:rsid w:val="00456FF4"/>
    <w:rsid w:val="0045701E"/>
    <w:rsid w:val="00457112"/>
    <w:rsid w:val="00457134"/>
    <w:rsid w:val="00457147"/>
    <w:rsid w:val="004574D9"/>
    <w:rsid w:val="004575A1"/>
    <w:rsid w:val="004575CC"/>
    <w:rsid w:val="004575D4"/>
    <w:rsid w:val="00457656"/>
    <w:rsid w:val="004576A8"/>
    <w:rsid w:val="00457807"/>
    <w:rsid w:val="0045780C"/>
    <w:rsid w:val="0045797D"/>
    <w:rsid w:val="004579C4"/>
    <w:rsid w:val="00457A0E"/>
    <w:rsid w:val="00457A60"/>
    <w:rsid w:val="00457A84"/>
    <w:rsid w:val="00457AB3"/>
    <w:rsid w:val="00457B06"/>
    <w:rsid w:val="00457C8B"/>
    <w:rsid w:val="00457D2B"/>
    <w:rsid w:val="00457EA3"/>
    <w:rsid w:val="00457EDC"/>
    <w:rsid w:val="00457EEC"/>
    <w:rsid w:val="00460136"/>
    <w:rsid w:val="00460140"/>
    <w:rsid w:val="00460198"/>
    <w:rsid w:val="0046020D"/>
    <w:rsid w:val="00460215"/>
    <w:rsid w:val="004603A8"/>
    <w:rsid w:val="0046050B"/>
    <w:rsid w:val="004606B3"/>
    <w:rsid w:val="004606F2"/>
    <w:rsid w:val="004607A6"/>
    <w:rsid w:val="00460801"/>
    <w:rsid w:val="00460979"/>
    <w:rsid w:val="00460ABA"/>
    <w:rsid w:val="00460B86"/>
    <w:rsid w:val="00460C45"/>
    <w:rsid w:val="00460CC8"/>
    <w:rsid w:val="00460D14"/>
    <w:rsid w:val="00460E40"/>
    <w:rsid w:val="00460EB8"/>
    <w:rsid w:val="00460F9B"/>
    <w:rsid w:val="00461032"/>
    <w:rsid w:val="00461107"/>
    <w:rsid w:val="00461196"/>
    <w:rsid w:val="004612ED"/>
    <w:rsid w:val="00461351"/>
    <w:rsid w:val="0046137E"/>
    <w:rsid w:val="004614C2"/>
    <w:rsid w:val="004614CF"/>
    <w:rsid w:val="0046165F"/>
    <w:rsid w:val="0046193C"/>
    <w:rsid w:val="004619E9"/>
    <w:rsid w:val="00461A03"/>
    <w:rsid w:val="00461A1F"/>
    <w:rsid w:val="00461B2C"/>
    <w:rsid w:val="00461B50"/>
    <w:rsid w:val="00461B60"/>
    <w:rsid w:val="00461BF7"/>
    <w:rsid w:val="00461CC5"/>
    <w:rsid w:val="00461D34"/>
    <w:rsid w:val="00461E72"/>
    <w:rsid w:val="00461E7F"/>
    <w:rsid w:val="00461FDA"/>
    <w:rsid w:val="00462070"/>
    <w:rsid w:val="00462098"/>
    <w:rsid w:val="00462149"/>
    <w:rsid w:val="0046218B"/>
    <w:rsid w:val="00462198"/>
    <w:rsid w:val="004622BD"/>
    <w:rsid w:val="004622E0"/>
    <w:rsid w:val="00462338"/>
    <w:rsid w:val="00462438"/>
    <w:rsid w:val="0046247F"/>
    <w:rsid w:val="004624BC"/>
    <w:rsid w:val="00462514"/>
    <w:rsid w:val="00462669"/>
    <w:rsid w:val="00462680"/>
    <w:rsid w:val="00462760"/>
    <w:rsid w:val="004628A8"/>
    <w:rsid w:val="004628E7"/>
    <w:rsid w:val="0046297C"/>
    <w:rsid w:val="004629AD"/>
    <w:rsid w:val="00462AFA"/>
    <w:rsid w:val="00462BF4"/>
    <w:rsid w:val="00462DBF"/>
    <w:rsid w:val="00462DD8"/>
    <w:rsid w:val="00462ECC"/>
    <w:rsid w:val="004631F2"/>
    <w:rsid w:val="00463390"/>
    <w:rsid w:val="004635EA"/>
    <w:rsid w:val="0046369B"/>
    <w:rsid w:val="004636A6"/>
    <w:rsid w:val="0046375B"/>
    <w:rsid w:val="004637A2"/>
    <w:rsid w:val="00463811"/>
    <w:rsid w:val="00463951"/>
    <w:rsid w:val="00463A24"/>
    <w:rsid w:val="00463A53"/>
    <w:rsid w:val="00463C1B"/>
    <w:rsid w:val="00463D3E"/>
    <w:rsid w:val="00463D4F"/>
    <w:rsid w:val="00463DA8"/>
    <w:rsid w:val="00463E1B"/>
    <w:rsid w:val="00463F1B"/>
    <w:rsid w:val="00463F48"/>
    <w:rsid w:val="00463F72"/>
    <w:rsid w:val="00463F9E"/>
    <w:rsid w:val="004643AA"/>
    <w:rsid w:val="004643CC"/>
    <w:rsid w:val="004644A4"/>
    <w:rsid w:val="004645CD"/>
    <w:rsid w:val="0046466D"/>
    <w:rsid w:val="004646FB"/>
    <w:rsid w:val="00464805"/>
    <w:rsid w:val="004648A5"/>
    <w:rsid w:val="004648C8"/>
    <w:rsid w:val="00464ACB"/>
    <w:rsid w:val="00464B3A"/>
    <w:rsid w:val="00464CCD"/>
    <w:rsid w:val="00464F08"/>
    <w:rsid w:val="00464F23"/>
    <w:rsid w:val="00464FFA"/>
    <w:rsid w:val="00465012"/>
    <w:rsid w:val="004652B3"/>
    <w:rsid w:val="004652BF"/>
    <w:rsid w:val="00465327"/>
    <w:rsid w:val="0046532B"/>
    <w:rsid w:val="00465335"/>
    <w:rsid w:val="004653BB"/>
    <w:rsid w:val="0046546F"/>
    <w:rsid w:val="00465559"/>
    <w:rsid w:val="004655E2"/>
    <w:rsid w:val="004655E5"/>
    <w:rsid w:val="00465756"/>
    <w:rsid w:val="004657AC"/>
    <w:rsid w:val="0046583D"/>
    <w:rsid w:val="0046584D"/>
    <w:rsid w:val="004659B1"/>
    <w:rsid w:val="00465A13"/>
    <w:rsid w:val="00465ABB"/>
    <w:rsid w:val="00465AD9"/>
    <w:rsid w:val="00465B04"/>
    <w:rsid w:val="00465B6D"/>
    <w:rsid w:val="00465C4D"/>
    <w:rsid w:val="00465CE2"/>
    <w:rsid w:val="00465CE9"/>
    <w:rsid w:val="00465D18"/>
    <w:rsid w:val="00465F21"/>
    <w:rsid w:val="00465FEC"/>
    <w:rsid w:val="00466051"/>
    <w:rsid w:val="00466155"/>
    <w:rsid w:val="004661DA"/>
    <w:rsid w:val="00466217"/>
    <w:rsid w:val="00466233"/>
    <w:rsid w:val="004662A3"/>
    <w:rsid w:val="004662FF"/>
    <w:rsid w:val="00466347"/>
    <w:rsid w:val="004663BE"/>
    <w:rsid w:val="00466443"/>
    <w:rsid w:val="0046650F"/>
    <w:rsid w:val="0046686F"/>
    <w:rsid w:val="0046689F"/>
    <w:rsid w:val="004668B9"/>
    <w:rsid w:val="004669E1"/>
    <w:rsid w:val="00466B62"/>
    <w:rsid w:val="00466C29"/>
    <w:rsid w:val="00466C7F"/>
    <w:rsid w:val="00466EAA"/>
    <w:rsid w:val="00466EC3"/>
    <w:rsid w:val="004670AE"/>
    <w:rsid w:val="0046711F"/>
    <w:rsid w:val="00467297"/>
    <w:rsid w:val="004672F2"/>
    <w:rsid w:val="00467536"/>
    <w:rsid w:val="004675A9"/>
    <w:rsid w:val="0046762D"/>
    <w:rsid w:val="00467709"/>
    <w:rsid w:val="00467779"/>
    <w:rsid w:val="0046780A"/>
    <w:rsid w:val="004678A0"/>
    <w:rsid w:val="00467AEB"/>
    <w:rsid w:val="00467D7C"/>
    <w:rsid w:val="00467DEC"/>
    <w:rsid w:val="00467F3B"/>
    <w:rsid w:val="004702C1"/>
    <w:rsid w:val="004703CE"/>
    <w:rsid w:val="0047067A"/>
    <w:rsid w:val="004706A7"/>
    <w:rsid w:val="0047071A"/>
    <w:rsid w:val="00470741"/>
    <w:rsid w:val="00470756"/>
    <w:rsid w:val="0047090C"/>
    <w:rsid w:val="00470A2E"/>
    <w:rsid w:val="00470A63"/>
    <w:rsid w:val="00470ABA"/>
    <w:rsid w:val="00470C1D"/>
    <w:rsid w:val="00470CB6"/>
    <w:rsid w:val="00470EB0"/>
    <w:rsid w:val="00470FAA"/>
    <w:rsid w:val="0047111D"/>
    <w:rsid w:val="00471178"/>
    <w:rsid w:val="0047139A"/>
    <w:rsid w:val="0047144C"/>
    <w:rsid w:val="00471520"/>
    <w:rsid w:val="00471690"/>
    <w:rsid w:val="00471695"/>
    <w:rsid w:val="0047169C"/>
    <w:rsid w:val="00471780"/>
    <w:rsid w:val="004717A0"/>
    <w:rsid w:val="004717FA"/>
    <w:rsid w:val="00471849"/>
    <w:rsid w:val="0047186D"/>
    <w:rsid w:val="004718CA"/>
    <w:rsid w:val="00471937"/>
    <w:rsid w:val="00471995"/>
    <w:rsid w:val="004719A8"/>
    <w:rsid w:val="004719AC"/>
    <w:rsid w:val="004719D6"/>
    <w:rsid w:val="004719FF"/>
    <w:rsid w:val="00471A0C"/>
    <w:rsid w:val="00471A5E"/>
    <w:rsid w:val="00471A7E"/>
    <w:rsid w:val="0047226E"/>
    <w:rsid w:val="00472462"/>
    <w:rsid w:val="00472771"/>
    <w:rsid w:val="004729C5"/>
    <w:rsid w:val="004729F5"/>
    <w:rsid w:val="00472D2A"/>
    <w:rsid w:val="00472F25"/>
    <w:rsid w:val="0047302B"/>
    <w:rsid w:val="00473076"/>
    <w:rsid w:val="00473128"/>
    <w:rsid w:val="00473131"/>
    <w:rsid w:val="004731A0"/>
    <w:rsid w:val="0047321A"/>
    <w:rsid w:val="00473250"/>
    <w:rsid w:val="004732D9"/>
    <w:rsid w:val="004732E0"/>
    <w:rsid w:val="0047333B"/>
    <w:rsid w:val="004733B2"/>
    <w:rsid w:val="004733C2"/>
    <w:rsid w:val="00473423"/>
    <w:rsid w:val="00473438"/>
    <w:rsid w:val="00473495"/>
    <w:rsid w:val="004734CA"/>
    <w:rsid w:val="004734E9"/>
    <w:rsid w:val="00473665"/>
    <w:rsid w:val="004736AE"/>
    <w:rsid w:val="004736CC"/>
    <w:rsid w:val="00473709"/>
    <w:rsid w:val="00473759"/>
    <w:rsid w:val="00473774"/>
    <w:rsid w:val="004739A4"/>
    <w:rsid w:val="00473A05"/>
    <w:rsid w:val="00473A08"/>
    <w:rsid w:val="00473A63"/>
    <w:rsid w:val="00473A7A"/>
    <w:rsid w:val="00473BBC"/>
    <w:rsid w:val="00473CE4"/>
    <w:rsid w:val="00473D17"/>
    <w:rsid w:val="00473DA3"/>
    <w:rsid w:val="00473E2F"/>
    <w:rsid w:val="00473F23"/>
    <w:rsid w:val="00473F94"/>
    <w:rsid w:val="0047408A"/>
    <w:rsid w:val="004740BD"/>
    <w:rsid w:val="00474157"/>
    <w:rsid w:val="004741D0"/>
    <w:rsid w:val="00474214"/>
    <w:rsid w:val="004742D5"/>
    <w:rsid w:val="00474402"/>
    <w:rsid w:val="0047448E"/>
    <w:rsid w:val="00474541"/>
    <w:rsid w:val="00474592"/>
    <w:rsid w:val="00474796"/>
    <w:rsid w:val="0047480C"/>
    <w:rsid w:val="00474904"/>
    <w:rsid w:val="00474A0F"/>
    <w:rsid w:val="00474A98"/>
    <w:rsid w:val="00474BD7"/>
    <w:rsid w:val="00474C41"/>
    <w:rsid w:val="00474D34"/>
    <w:rsid w:val="00474F40"/>
    <w:rsid w:val="0047516A"/>
    <w:rsid w:val="0047518E"/>
    <w:rsid w:val="0047519D"/>
    <w:rsid w:val="004751FA"/>
    <w:rsid w:val="00475235"/>
    <w:rsid w:val="004753C2"/>
    <w:rsid w:val="004753E3"/>
    <w:rsid w:val="00475402"/>
    <w:rsid w:val="0047566C"/>
    <w:rsid w:val="0047573F"/>
    <w:rsid w:val="00475789"/>
    <w:rsid w:val="00475872"/>
    <w:rsid w:val="00475957"/>
    <w:rsid w:val="004759A8"/>
    <w:rsid w:val="00475A24"/>
    <w:rsid w:val="00475D25"/>
    <w:rsid w:val="00475EF2"/>
    <w:rsid w:val="00475F40"/>
    <w:rsid w:val="00475FBF"/>
    <w:rsid w:val="00476366"/>
    <w:rsid w:val="00476461"/>
    <w:rsid w:val="004766B5"/>
    <w:rsid w:val="004766D7"/>
    <w:rsid w:val="0047670C"/>
    <w:rsid w:val="0047672D"/>
    <w:rsid w:val="00476739"/>
    <w:rsid w:val="00476825"/>
    <w:rsid w:val="0047684C"/>
    <w:rsid w:val="00476884"/>
    <w:rsid w:val="00476956"/>
    <w:rsid w:val="00476BC9"/>
    <w:rsid w:val="00476C1A"/>
    <w:rsid w:val="00476C79"/>
    <w:rsid w:val="00476D3C"/>
    <w:rsid w:val="00476D57"/>
    <w:rsid w:val="00476E7E"/>
    <w:rsid w:val="00476E97"/>
    <w:rsid w:val="00476EF6"/>
    <w:rsid w:val="00476F52"/>
    <w:rsid w:val="00476F7F"/>
    <w:rsid w:val="004772C6"/>
    <w:rsid w:val="004772CD"/>
    <w:rsid w:val="004773FB"/>
    <w:rsid w:val="00477464"/>
    <w:rsid w:val="004774F8"/>
    <w:rsid w:val="004775F8"/>
    <w:rsid w:val="0047778F"/>
    <w:rsid w:val="00477828"/>
    <w:rsid w:val="0047788C"/>
    <w:rsid w:val="004779B7"/>
    <w:rsid w:val="00477B0F"/>
    <w:rsid w:val="00477BBE"/>
    <w:rsid w:val="00477BF0"/>
    <w:rsid w:val="00477CE4"/>
    <w:rsid w:val="00477D81"/>
    <w:rsid w:val="00477D8C"/>
    <w:rsid w:val="00477DEB"/>
    <w:rsid w:val="00477ED7"/>
    <w:rsid w:val="00477F26"/>
    <w:rsid w:val="00477FBD"/>
    <w:rsid w:val="004800D8"/>
    <w:rsid w:val="00480156"/>
    <w:rsid w:val="0048033E"/>
    <w:rsid w:val="0048049B"/>
    <w:rsid w:val="0048071A"/>
    <w:rsid w:val="0048072A"/>
    <w:rsid w:val="004807E0"/>
    <w:rsid w:val="00480956"/>
    <w:rsid w:val="00480A85"/>
    <w:rsid w:val="00480B3E"/>
    <w:rsid w:val="00480B9E"/>
    <w:rsid w:val="00480BEB"/>
    <w:rsid w:val="00480E56"/>
    <w:rsid w:val="00480E64"/>
    <w:rsid w:val="00480E8A"/>
    <w:rsid w:val="00480FDC"/>
    <w:rsid w:val="00481035"/>
    <w:rsid w:val="00481099"/>
    <w:rsid w:val="00481196"/>
    <w:rsid w:val="00481230"/>
    <w:rsid w:val="0048124F"/>
    <w:rsid w:val="00481326"/>
    <w:rsid w:val="004814DB"/>
    <w:rsid w:val="00481533"/>
    <w:rsid w:val="00481AA0"/>
    <w:rsid w:val="00481C48"/>
    <w:rsid w:val="00481D32"/>
    <w:rsid w:val="00481D50"/>
    <w:rsid w:val="00481E32"/>
    <w:rsid w:val="00481E64"/>
    <w:rsid w:val="00481E8F"/>
    <w:rsid w:val="00481E9A"/>
    <w:rsid w:val="00481EB4"/>
    <w:rsid w:val="00481FF8"/>
    <w:rsid w:val="00482043"/>
    <w:rsid w:val="00482084"/>
    <w:rsid w:val="0048217A"/>
    <w:rsid w:val="004822E6"/>
    <w:rsid w:val="00482432"/>
    <w:rsid w:val="004825BE"/>
    <w:rsid w:val="004825E6"/>
    <w:rsid w:val="004826D0"/>
    <w:rsid w:val="00482826"/>
    <w:rsid w:val="00482870"/>
    <w:rsid w:val="00482877"/>
    <w:rsid w:val="004829FF"/>
    <w:rsid w:val="00482A37"/>
    <w:rsid w:val="00482A51"/>
    <w:rsid w:val="00482A60"/>
    <w:rsid w:val="00482D43"/>
    <w:rsid w:val="00482D51"/>
    <w:rsid w:val="00482EED"/>
    <w:rsid w:val="00483034"/>
    <w:rsid w:val="0048308B"/>
    <w:rsid w:val="004831E1"/>
    <w:rsid w:val="00483515"/>
    <w:rsid w:val="004835C7"/>
    <w:rsid w:val="00483633"/>
    <w:rsid w:val="00483638"/>
    <w:rsid w:val="00483717"/>
    <w:rsid w:val="00483739"/>
    <w:rsid w:val="0048384E"/>
    <w:rsid w:val="0048391B"/>
    <w:rsid w:val="004839B8"/>
    <w:rsid w:val="004839D1"/>
    <w:rsid w:val="00483AD2"/>
    <w:rsid w:val="00483B39"/>
    <w:rsid w:val="00483C30"/>
    <w:rsid w:val="00483CA9"/>
    <w:rsid w:val="00483F2C"/>
    <w:rsid w:val="00483FAD"/>
    <w:rsid w:val="00483FDE"/>
    <w:rsid w:val="00483FF2"/>
    <w:rsid w:val="00484092"/>
    <w:rsid w:val="00484191"/>
    <w:rsid w:val="00484241"/>
    <w:rsid w:val="00484258"/>
    <w:rsid w:val="004842C6"/>
    <w:rsid w:val="00484361"/>
    <w:rsid w:val="004844A4"/>
    <w:rsid w:val="004844B2"/>
    <w:rsid w:val="004844C1"/>
    <w:rsid w:val="004844FF"/>
    <w:rsid w:val="0048452C"/>
    <w:rsid w:val="004845EB"/>
    <w:rsid w:val="004847A1"/>
    <w:rsid w:val="004848A0"/>
    <w:rsid w:val="004848A2"/>
    <w:rsid w:val="004848F2"/>
    <w:rsid w:val="0048492A"/>
    <w:rsid w:val="00484939"/>
    <w:rsid w:val="00484985"/>
    <w:rsid w:val="00484A5A"/>
    <w:rsid w:val="00484BEB"/>
    <w:rsid w:val="00484C28"/>
    <w:rsid w:val="00484C81"/>
    <w:rsid w:val="00484E19"/>
    <w:rsid w:val="00484E72"/>
    <w:rsid w:val="00484E7E"/>
    <w:rsid w:val="00484E86"/>
    <w:rsid w:val="0048509D"/>
    <w:rsid w:val="0048520C"/>
    <w:rsid w:val="00485287"/>
    <w:rsid w:val="004853D8"/>
    <w:rsid w:val="00485721"/>
    <w:rsid w:val="00485816"/>
    <w:rsid w:val="00485940"/>
    <w:rsid w:val="004859AB"/>
    <w:rsid w:val="00485A5E"/>
    <w:rsid w:val="00485A9E"/>
    <w:rsid w:val="00485C06"/>
    <w:rsid w:val="00485C83"/>
    <w:rsid w:val="00485D68"/>
    <w:rsid w:val="00485E93"/>
    <w:rsid w:val="00486137"/>
    <w:rsid w:val="004861D6"/>
    <w:rsid w:val="00486227"/>
    <w:rsid w:val="004862A2"/>
    <w:rsid w:val="0048649C"/>
    <w:rsid w:val="00486723"/>
    <w:rsid w:val="00486824"/>
    <w:rsid w:val="004868AB"/>
    <w:rsid w:val="004868E1"/>
    <w:rsid w:val="00486907"/>
    <w:rsid w:val="00486956"/>
    <w:rsid w:val="0048696F"/>
    <w:rsid w:val="00486AAA"/>
    <w:rsid w:val="00486AB5"/>
    <w:rsid w:val="00486AFC"/>
    <w:rsid w:val="00486E36"/>
    <w:rsid w:val="00486E6E"/>
    <w:rsid w:val="004870ED"/>
    <w:rsid w:val="004870F4"/>
    <w:rsid w:val="0048720D"/>
    <w:rsid w:val="0048728C"/>
    <w:rsid w:val="0048737A"/>
    <w:rsid w:val="004873FF"/>
    <w:rsid w:val="0048746C"/>
    <w:rsid w:val="004874F1"/>
    <w:rsid w:val="00487544"/>
    <w:rsid w:val="004875CF"/>
    <w:rsid w:val="0048760C"/>
    <w:rsid w:val="00487633"/>
    <w:rsid w:val="00487703"/>
    <w:rsid w:val="0048774B"/>
    <w:rsid w:val="00487B18"/>
    <w:rsid w:val="00487B67"/>
    <w:rsid w:val="00487BB2"/>
    <w:rsid w:val="00487CBE"/>
    <w:rsid w:val="00487CE2"/>
    <w:rsid w:val="00487DAA"/>
    <w:rsid w:val="00487DC9"/>
    <w:rsid w:val="00487DF0"/>
    <w:rsid w:val="00487F4B"/>
    <w:rsid w:val="00487FA9"/>
    <w:rsid w:val="00487FE5"/>
    <w:rsid w:val="00490011"/>
    <w:rsid w:val="0049004B"/>
    <w:rsid w:val="004900A2"/>
    <w:rsid w:val="0049012C"/>
    <w:rsid w:val="004903BB"/>
    <w:rsid w:val="004903FD"/>
    <w:rsid w:val="0049046D"/>
    <w:rsid w:val="004904A7"/>
    <w:rsid w:val="00490646"/>
    <w:rsid w:val="0049066F"/>
    <w:rsid w:val="0049072C"/>
    <w:rsid w:val="00490809"/>
    <w:rsid w:val="0049081E"/>
    <w:rsid w:val="004908AC"/>
    <w:rsid w:val="0049099A"/>
    <w:rsid w:val="00490AD3"/>
    <w:rsid w:val="00490C03"/>
    <w:rsid w:val="00490C29"/>
    <w:rsid w:val="00490D66"/>
    <w:rsid w:val="00490E71"/>
    <w:rsid w:val="00490FC7"/>
    <w:rsid w:val="004910A5"/>
    <w:rsid w:val="00491140"/>
    <w:rsid w:val="00491231"/>
    <w:rsid w:val="004913D6"/>
    <w:rsid w:val="004913FB"/>
    <w:rsid w:val="004915F3"/>
    <w:rsid w:val="00491629"/>
    <w:rsid w:val="004917BE"/>
    <w:rsid w:val="004917DB"/>
    <w:rsid w:val="0049186C"/>
    <w:rsid w:val="00491A4F"/>
    <w:rsid w:val="00491AE9"/>
    <w:rsid w:val="00491C7C"/>
    <w:rsid w:val="00491D70"/>
    <w:rsid w:val="00491D92"/>
    <w:rsid w:val="00491DE6"/>
    <w:rsid w:val="00491E37"/>
    <w:rsid w:val="00491E91"/>
    <w:rsid w:val="00491ED8"/>
    <w:rsid w:val="00491EF1"/>
    <w:rsid w:val="00491FD3"/>
    <w:rsid w:val="00492455"/>
    <w:rsid w:val="004924BC"/>
    <w:rsid w:val="0049258D"/>
    <w:rsid w:val="00492650"/>
    <w:rsid w:val="00492653"/>
    <w:rsid w:val="004926C6"/>
    <w:rsid w:val="004927DE"/>
    <w:rsid w:val="00492887"/>
    <w:rsid w:val="004928D3"/>
    <w:rsid w:val="00492904"/>
    <w:rsid w:val="004929D6"/>
    <w:rsid w:val="00492AAF"/>
    <w:rsid w:val="00492B5E"/>
    <w:rsid w:val="00492BDE"/>
    <w:rsid w:val="00492ED1"/>
    <w:rsid w:val="00492F03"/>
    <w:rsid w:val="00492FE9"/>
    <w:rsid w:val="00492FFA"/>
    <w:rsid w:val="004930C5"/>
    <w:rsid w:val="004931A8"/>
    <w:rsid w:val="00493211"/>
    <w:rsid w:val="00493316"/>
    <w:rsid w:val="0049335E"/>
    <w:rsid w:val="0049338C"/>
    <w:rsid w:val="00493581"/>
    <w:rsid w:val="0049381C"/>
    <w:rsid w:val="00493822"/>
    <w:rsid w:val="004938FB"/>
    <w:rsid w:val="0049398F"/>
    <w:rsid w:val="0049399D"/>
    <w:rsid w:val="00493A76"/>
    <w:rsid w:val="00493B51"/>
    <w:rsid w:val="00493B71"/>
    <w:rsid w:val="00493BDE"/>
    <w:rsid w:val="00493C11"/>
    <w:rsid w:val="00493C82"/>
    <w:rsid w:val="00493C9B"/>
    <w:rsid w:val="00493C9F"/>
    <w:rsid w:val="00493D41"/>
    <w:rsid w:val="00493D8A"/>
    <w:rsid w:val="00493DF1"/>
    <w:rsid w:val="00493E5C"/>
    <w:rsid w:val="00493EBC"/>
    <w:rsid w:val="00493EC5"/>
    <w:rsid w:val="00493FB1"/>
    <w:rsid w:val="004940CB"/>
    <w:rsid w:val="00494175"/>
    <w:rsid w:val="0049422A"/>
    <w:rsid w:val="004942DC"/>
    <w:rsid w:val="00494317"/>
    <w:rsid w:val="00494387"/>
    <w:rsid w:val="00494430"/>
    <w:rsid w:val="0049443A"/>
    <w:rsid w:val="004944C5"/>
    <w:rsid w:val="004944C9"/>
    <w:rsid w:val="0049450D"/>
    <w:rsid w:val="00494596"/>
    <w:rsid w:val="00494677"/>
    <w:rsid w:val="00494763"/>
    <w:rsid w:val="00494955"/>
    <w:rsid w:val="004949E3"/>
    <w:rsid w:val="00494A56"/>
    <w:rsid w:val="00494A5E"/>
    <w:rsid w:val="00494A68"/>
    <w:rsid w:val="00494B7D"/>
    <w:rsid w:val="00494C6F"/>
    <w:rsid w:val="00494E13"/>
    <w:rsid w:val="00494E22"/>
    <w:rsid w:val="00494EA4"/>
    <w:rsid w:val="00494EB3"/>
    <w:rsid w:val="00494EB5"/>
    <w:rsid w:val="00494EE0"/>
    <w:rsid w:val="004950BD"/>
    <w:rsid w:val="004952CD"/>
    <w:rsid w:val="004954A5"/>
    <w:rsid w:val="00495613"/>
    <w:rsid w:val="004957CD"/>
    <w:rsid w:val="004957E9"/>
    <w:rsid w:val="004958DB"/>
    <w:rsid w:val="00495916"/>
    <w:rsid w:val="00495973"/>
    <w:rsid w:val="00495AC0"/>
    <w:rsid w:val="00495CE5"/>
    <w:rsid w:val="00495CF4"/>
    <w:rsid w:val="00495DF2"/>
    <w:rsid w:val="00495EE1"/>
    <w:rsid w:val="00495F25"/>
    <w:rsid w:val="00495F52"/>
    <w:rsid w:val="00495FFB"/>
    <w:rsid w:val="0049610B"/>
    <w:rsid w:val="00496151"/>
    <w:rsid w:val="004961AA"/>
    <w:rsid w:val="004962A2"/>
    <w:rsid w:val="00496413"/>
    <w:rsid w:val="00496472"/>
    <w:rsid w:val="00496793"/>
    <w:rsid w:val="004967DD"/>
    <w:rsid w:val="004967F0"/>
    <w:rsid w:val="0049685A"/>
    <w:rsid w:val="004968AC"/>
    <w:rsid w:val="00496925"/>
    <w:rsid w:val="00496A93"/>
    <w:rsid w:val="00496C1E"/>
    <w:rsid w:val="00496CC9"/>
    <w:rsid w:val="00496DBC"/>
    <w:rsid w:val="00496E5F"/>
    <w:rsid w:val="00496F0E"/>
    <w:rsid w:val="00496F33"/>
    <w:rsid w:val="00496FE7"/>
    <w:rsid w:val="0049700B"/>
    <w:rsid w:val="00497160"/>
    <w:rsid w:val="0049718B"/>
    <w:rsid w:val="00497318"/>
    <w:rsid w:val="00497323"/>
    <w:rsid w:val="004973B3"/>
    <w:rsid w:val="00497454"/>
    <w:rsid w:val="0049747D"/>
    <w:rsid w:val="00497717"/>
    <w:rsid w:val="00497868"/>
    <w:rsid w:val="00497913"/>
    <w:rsid w:val="00497D13"/>
    <w:rsid w:val="00497DA3"/>
    <w:rsid w:val="00497EC2"/>
    <w:rsid w:val="00497F2E"/>
    <w:rsid w:val="00497F7A"/>
    <w:rsid w:val="004A00FB"/>
    <w:rsid w:val="004A02D8"/>
    <w:rsid w:val="004A0387"/>
    <w:rsid w:val="004A045B"/>
    <w:rsid w:val="004A06D2"/>
    <w:rsid w:val="004A0707"/>
    <w:rsid w:val="004A0870"/>
    <w:rsid w:val="004A08DA"/>
    <w:rsid w:val="004A0938"/>
    <w:rsid w:val="004A0940"/>
    <w:rsid w:val="004A096F"/>
    <w:rsid w:val="004A0979"/>
    <w:rsid w:val="004A098D"/>
    <w:rsid w:val="004A0B0B"/>
    <w:rsid w:val="004A0B1F"/>
    <w:rsid w:val="004A0B8A"/>
    <w:rsid w:val="004A0C64"/>
    <w:rsid w:val="004A0DC9"/>
    <w:rsid w:val="004A0E45"/>
    <w:rsid w:val="004A0E76"/>
    <w:rsid w:val="004A107C"/>
    <w:rsid w:val="004A10B6"/>
    <w:rsid w:val="004A10CF"/>
    <w:rsid w:val="004A10EE"/>
    <w:rsid w:val="004A11F7"/>
    <w:rsid w:val="004A11FC"/>
    <w:rsid w:val="004A129C"/>
    <w:rsid w:val="004A12A6"/>
    <w:rsid w:val="004A1339"/>
    <w:rsid w:val="004A13B7"/>
    <w:rsid w:val="004A1430"/>
    <w:rsid w:val="004A14DE"/>
    <w:rsid w:val="004A14EC"/>
    <w:rsid w:val="004A15A9"/>
    <w:rsid w:val="004A169C"/>
    <w:rsid w:val="004A1722"/>
    <w:rsid w:val="004A1724"/>
    <w:rsid w:val="004A196E"/>
    <w:rsid w:val="004A1A65"/>
    <w:rsid w:val="004A1B59"/>
    <w:rsid w:val="004A1E7A"/>
    <w:rsid w:val="004A210D"/>
    <w:rsid w:val="004A213D"/>
    <w:rsid w:val="004A23B1"/>
    <w:rsid w:val="004A24BB"/>
    <w:rsid w:val="004A269F"/>
    <w:rsid w:val="004A2877"/>
    <w:rsid w:val="004A287B"/>
    <w:rsid w:val="004A2ADD"/>
    <w:rsid w:val="004A2C32"/>
    <w:rsid w:val="004A2E69"/>
    <w:rsid w:val="004A2FA7"/>
    <w:rsid w:val="004A2FD9"/>
    <w:rsid w:val="004A3047"/>
    <w:rsid w:val="004A316C"/>
    <w:rsid w:val="004A318A"/>
    <w:rsid w:val="004A31C9"/>
    <w:rsid w:val="004A33CC"/>
    <w:rsid w:val="004A33EC"/>
    <w:rsid w:val="004A3520"/>
    <w:rsid w:val="004A3773"/>
    <w:rsid w:val="004A37DF"/>
    <w:rsid w:val="004A3A83"/>
    <w:rsid w:val="004A3BA0"/>
    <w:rsid w:val="004A3D2C"/>
    <w:rsid w:val="004A3FCD"/>
    <w:rsid w:val="004A405B"/>
    <w:rsid w:val="004A4122"/>
    <w:rsid w:val="004A41CC"/>
    <w:rsid w:val="004A4226"/>
    <w:rsid w:val="004A425C"/>
    <w:rsid w:val="004A42FF"/>
    <w:rsid w:val="004A4471"/>
    <w:rsid w:val="004A4518"/>
    <w:rsid w:val="004A4575"/>
    <w:rsid w:val="004A47C6"/>
    <w:rsid w:val="004A47DF"/>
    <w:rsid w:val="004A491C"/>
    <w:rsid w:val="004A494B"/>
    <w:rsid w:val="004A497D"/>
    <w:rsid w:val="004A4B0E"/>
    <w:rsid w:val="004A4B6F"/>
    <w:rsid w:val="004A4C7E"/>
    <w:rsid w:val="004A4CC0"/>
    <w:rsid w:val="004A4E58"/>
    <w:rsid w:val="004A4E70"/>
    <w:rsid w:val="004A4EC6"/>
    <w:rsid w:val="004A4FD8"/>
    <w:rsid w:val="004A5278"/>
    <w:rsid w:val="004A527D"/>
    <w:rsid w:val="004A52A3"/>
    <w:rsid w:val="004A52BE"/>
    <w:rsid w:val="004A55ED"/>
    <w:rsid w:val="004A5753"/>
    <w:rsid w:val="004A578E"/>
    <w:rsid w:val="004A57BD"/>
    <w:rsid w:val="004A5A8B"/>
    <w:rsid w:val="004A5BF5"/>
    <w:rsid w:val="004A5CC9"/>
    <w:rsid w:val="004A5D89"/>
    <w:rsid w:val="004A5DB8"/>
    <w:rsid w:val="004A5EAA"/>
    <w:rsid w:val="004A5FA9"/>
    <w:rsid w:val="004A61C3"/>
    <w:rsid w:val="004A6302"/>
    <w:rsid w:val="004A63C6"/>
    <w:rsid w:val="004A656C"/>
    <w:rsid w:val="004A6615"/>
    <w:rsid w:val="004A6623"/>
    <w:rsid w:val="004A6626"/>
    <w:rsid w:val="004A668A"/>
    <w:rsid w:val="004A6701"/>
    <w:rsid w:val="004A697E"/>
    <w:rsid w:val="004A6984"/>
    <w:rsid w:val="004A6BA2"/>
    <w:rsid w:val="004A6CDD"/>
    <w:rsid w:val="004A6D31"/>
    <w:rsid w:val="004A6D48"/>
    <w:rsid w:val="004A6E49"/>
    <w:rsid w:val="004A6F29"/>
    <w:rsid w:val="004A7018"/>
    <w:rsid w:val="004A701E"/>
    <w:rsid w:val="004A7036"/>
    <w:rsid w:val="004A7054"/>
    <w:rsid w:val="004A7067"/>
    <w:rsid w:val="004A7372"/>
    <w:rsid w:val="004A73A3"/>
    <w:rsid w:val="004A7436"/>
    <w:rsid w:val="004A7499"/>
    <w:rsid w:val="004A768A"/>
    <w:rsid w:val="004A7832"/>
    <w:rsid w:val="004A78AC"/>
    <w:rsid w:val="004A7959"/>
    <w:rsid w:val="004A799D"/>
    <w:rsid w:val="004A7AD8"/>
    <w:rsid w:val="004A7B1E"/>
    <w:rsid w:val="004A7C56"/>
    <w:rsid w:val="004A7D51"/>
    <w:rsid w:val="004A7FC1"/>
    <w:rsid w:val="004B00AF"/>
    <w:rsid w:val="004B0182"/>
    <w:rsid w:val="004B0193"/>
    <w:rsid w:val="004B0266"/>
    <w:rsid w:val="004B031D"/>
    <w:rsid w:val="004B034E"/>
    <w:rsid w:val="004B0387"/>
    <w:rsid w:val="004B057F"/>
    <w:rsid w:val="004B05ED"/>
    <w:rsid w:val="004B064E"/>
    <w:rsid w:val="004B064F"/>
    <w:rsid w:val="004B067A"/>
    <w:rsid w:val="004B068E"/>
    <w:rsid w:val="004B0726"/>
    <w:rsid w:val="004B07AA"/>
    <w:rsid w:val="004B07F3"/>
    <w:rsid w:val="004B08AF"/>
    <w:rsid w:val="004B08F3"/>
    <w:rsid w:val="004B0AA9"/>
    <w:rsid w:val="004B0B6C"/>
    <w:rsid w:val="004B0D8C"/>
    <w:rsid w:val="004B0EE1"/>
    <w:rsid w:val="004B0F32"/>
    <w:rsid w:val="004B0F54"/>
    <w:rsid w:val="004B0FC9"/>
    <w:rsid w:val="004B0FEA"/>
    <w:rsid w:val="004B12CD"/>
    <w:rsid w:val="004B1382"/>
    <w:rsid w:val="004B13D2"/>
    <w:rsid w:val="004B143F"/>
    <w:rsid w:val="004B1450"/>
    <w:rsid w:val="004B1520"/>
    <w:rsid w:val="004B1618"/>
    <w:rsid w:val="004B17A0"/>
    <w:rsid w:val="004B1844"/>
    <w:rsid w:val="004B1891"/>
    <w:rsid w:val="004B1AF3"/>
    <w:rsid w:val="004B1B26"/>
    <w:rsid w:val="004B1B8C"/>
    <w:rsid w:val="004B1BCA"/>
    <w:rsid w:val="004B1D15"/>
    <w:rsid w:val="004B1D55"/>
    <w:rsid w:val="004B1F23"/>
    <w:rsid w:val="004B20C4"/>
    <w:rsid w:val="004B2181"/>
    <w:rsid w:val="004B21AD"/>
    <w:rsid w:val="004B2412"/>
    <w:rsid w:val="004B2436"/>
    <w:rsid w:val="004B24D4"/>
    <w:rsid w:val="004B2618"/>
    <w:rsid w:val="004B26E9"/>
    <w:rsid w:val="004B2727"/>
    <w:rsid w:val="004B27C7"/>
    <w:rsid w:val="004B2892"/>
    <w:rsid w:val="004B2991"/>
    <w:rsid w:val="004B2A93"/>
    <w:rsid w:val="004B2B6D"/>
    <w:rsid w:val="004B2B78"/>
    <w:rsid w:val="004B2E40"/>
    <w:rsid w:val="004B2F2C"/>
    <w:rsid w:val="004B3047"/>
    <w:rsid w:val="004B30D8"/>
    <w:rsid w:val="004B310F"/>
    <w:rsid w:val="004B313C"/>
    <w:rsid w:val="004B3179"/>
    <w:rsid w:val="004B3262"/>
    <w:rsid w:val="004B32AB"/>
    <w:rsid w:val="004B340B"/>
    <w:rsid w:val="004B35FE"/>
    <w:rsid w:val="004B378E"/>
    <w:rsid w:val="004B37C5"/>
    <w:rsid w:val="004B3903"/>
    <w:rsid w:val="004B3AF6"/>
    <w:rsid w:val="004B3B83"/>
    <w:rsid w:val="004B3B9B"/>
    <w:rsid w:val="004B3C02"/>
    <w:rsid w:val="004B3C67"/>
    <w:rsid w:val="004B4001"/>
    <w:rsid w:val="004B4104"/>
    <w:rsid w:val="004B412A"/>
    <w:rsid w:val="004B41CD"/>
    <w:rsid w:val="004B41E8"/>
    <w:rsid w:val="004B4281"/>
    <w:rsid w:val="004B42EA"/>
    <w:rsid w:val="004B42FF"/>
    <w:rsid w:val="004B43B0"/>
    <w:rsid w:val="004B443C"/>
    <w:rsid w:val="004B44A8"/>
    <w:rsid w:val="004B44B8"/>
    <w:rsid w:val="004B4735"/>
    <w:rsid w:val="004B477B"/>
    <w:rsid w:val="004B47BF"/>
    <w:rsid w:val="004B4820"/>
    <w:rsid w:val="004B4896"/>
    <w:rsid w:val="004B4A08"/>
    <w:rsid w:val="004B4B47"/>
    <w:rsid w:val="004B4D64"/>
    <w:rsid w:val="004B4EA1"/>
    <w:rsid w:val="004B4EFC"/>
    <w:rsid w:val="004B4F8B"/>
    <w:rsid w:val="004B5424"/>
    <w:rsid w:val="004B559B"/>
    <w:rsid w:val="004B55B1"/>
    <w:rsid w:val="004B561B"/>
    <w:rsid w:val="004B56E8"/>
    <w:rsid w:val="004B5861"/>
    <w:rsid w:val="004B5889"/>
    <w:rsid w:val="004B589B"/>
    <w:rsid w:val="004B5A55"/>
    <w:rsid w:val="004B5B2F"/>
    <w:rsid w:val="004B5BF1"/>
    <w:rsid w:val="004B5D09"/>
    <w:rsid w:val="004B5E8A"/>
    <w:rsid w:val="004B5FFB"/>
    <w:rsid w:val="004B6045"/>
    <w:rsid w:val="004B6066"/>
    <w:rsid w:val="004B60F2"/>
    <w:rsid w:val="004B622F"/>
    <w:rsid w:val="004B623E"/>
    <w:rsid w:val="004B6294"/>
    <w:rsid w:val="004B62AE"/>
    <w:rsid w:val="004B635F"/>
    <w:rsid w:val="004B63B5"/>
    <w:rsid w:val="004B65BB"/>
    <w:rsid w:val="004B65E2"/>
    <w:rsid w:val="004B66E6"/>
    <w:rsid w:val="004B6716"/>
    <w:rsid w:val="004B67B7"/>
    <w:rsid w:val="004B6913"/>
    <w:rsid w:val="004B6915"/>
    <w:rsid w:val="004B696A"/>
    <w:rsid w:val="004B6A54"/>
    <w:rsid w:val="004B6BD2"/>
    <w:rsid w:val="004B6C6A"/>
    <w:rsid w:val="004B6CBB"/>
    <w:rsid w:val="004B6D73"/>
    <w:rsid w:val="004B6E94"/>
    <w:rsid w:val="004B7049"/>
    <w:rsid w:val="004B723B"/>
    <w:rsid w:val="004B727B"/>
    <w:rsid w:val="004B7448"/>
    <w:rsid w:val="004B74B7"/>
    <w:rsid w:val="004B7560"/>
    <w:rsid w:val="004B764D"/>
    <w:rsid w:val="004B77AB"/>
    <w:rsid w:val="004B7801"/>
    <w:rsid w:val="004B78C7"/>
    <w:rsid w:val="004B7912"/>
    <w:rsid w:val="004B7AEA"/>
    <w:rsid w:val="004B7B25"/>
    <w:rsid w:val="004B7B56"/>
    <w:rsid w:val="004B7C4C"/>
    <w:rsid w:val="004B7CCB"/>
    <w:rsid w:val="004B7CFA"/>
    <w:rsid w:val="004B7E54"/>
    <w:rsid w:val="004B7EA0"/>
    <w:rsid w:val="004C0025"/>
    <w:rsid w:val="004C0125"/>
    <w:rsid w:val="004C0188"/>
    <w:rsid w:val="004C03BC"/>
    <w:rsid w:val="004C0435"/>
    <w:rsid w:val="004C0481"/>
    <w:rsid w:val="004C04E4"/>
    <w:rsid w:val="004C04F8"/>
    <w:rsid w:val="004C0649"/>
    <w:rsid w:val="004C071A"/>
    <w:rsid w:val="004C074A"/>
    <w:rsid w:val="004C0846"/>
    <w:rsid w:val="004C0909"/>
    <w:rsid w:val="004C094D"/>
    <w:rsid w:val="004C095C"/>
    <w:rsid w:val="004C0A6B"/>
    <w:rsid w:val="004C0A97"/>
    <w:rsid w:val="004C0AB6"/>
    <w:rsid w:val="004C0B9A"/>
    <w:rsid w:val="004C0F2F"/>
    <w:rsid w:val="004C102A"/>
    <w:rsid w:val="004C103D"/>
    <w:rsid w:val="004C112F"/>
    <w:rsid w:val="004C120A"/>
    <w:rsid w:val="004C1217"/>
    <w:rsid w:val="004C1316"/>
    <w:rsid w:val="004C14CA"/>
    <w:rsid w:val="004C1535"/>
    <w:rsid w:val="004C1668"/>
    <w:rsid w:val="004C16DA"/>
    <w:rsid w:val="004C170A"/>
    <w:rsid w:val="004C1785"/>
    <w:rsid w:val="004C17B1"/>
    <w:rsid w:val="004C17CC"/>
    <w:rsid w:val="004C181B"/>
    <w:rsid w:val="004C1892"/>
    <w:rsid w:val="004C1955"/>
    <w:rsid w:val="004C1995"/>
    <w:rsid w:val="004C1CA1"/>
    <w:rsid w:val="004C1D47"/>
    <w:rsid w:val="004C1D56"/>
    <w:rsid w:val="004C1DF6"/>
    <w:rsid w:val="004C1EC0"/>
    <w:rsid w:val="004C1EF4"/>
    <w:rsid w:val="004C1F26"/>
    <w:rsid w:val="004C1F44"/>
    <w:rsid w:val="004C202D"/>
    <w:rsid w:val="004C20A5"/>
    <w:rsid w:val="004C20F0"/>
    <w:rsid w:val="004C24A9"/>
    <w:rsid w:val="004C24F4"/>
    <w:rsid w:val="004C256E"/>
    <w:rsid w:val="004C2580"/>
    <w:rsid w:val="004C25AB"/>
    <w:rsid w:val="004C2644"/>
    <w:rsid w:val="004C2930"/>
    <w:rsid w:val="004C29C6"/>
    <w:rsid w:val="004C2CA8"/>
    <w:rsid w:val="004C2CC2"/>
    <w:rsid w:val="004C2D5C"/>
    <w:rsid w:val="004C2D60"/>
    <w:rsid w:val="004C2DEB"/>
    <w:rsid w:val="004C2E31"/>
    <w:rsid w:val="004C2E6A"/>
    <w:rsid w:val="004C2EDE"/>
    <w:rsid w:val="004C2F8A"/>
    <w:rsid w:val="004C30E0"/>
    <w:rsid w:val="004C3116"/>
    <w:rsid w:val="004C3289"/>
    <w:rsid w:val="004C33E4"/>
    <w:rsid w:val="004C33FF"/>
    <w:rsid w:val="004C3404"/>
    <w:rsid w:val="004C340E"/>
    <w:rsid w:val="004C3425"/>
    <w:rsid w:val="004C3485"/>
    <w:rsid w:val="004C3577"/>
    <w:rsid w:val="004C35F3"/>
    <w:rsid w:val="004C36B8"/>
    <w:rsid w:val="004C379A"/>
    <w:rsid w:val="004C39CD"/>
    <w:rsid w:val="004C3ACB"/>
    <w:rsid w:val="004C3B75"/>
    <w:rsid w:val="004C3CB1"/>
    <w:rsid w:val="004C3CEF"/>
    <w:rsid w:val="004C3D28"/>
    <w:rsid w:val="004C3D61"/>
    <w:rsid w:val="004C3E9C"/>
    <w:rsid w:val="004C40FA"/>
    <w:rsid w:val="004C41BA"/>
    <w:rsid w:val="004C41D4"/>
    <w:rsid w:val="004C42D5"/>
    <w:rsid w:val="004C42F1"/>
    <w:rsid w:val="004C4428"/>
    <w:rsid w:val="004C4625"/>
    <w:rsid w:val="004C462D"/>
    <w:rsid w:val="004C4699"/>
    <w:rsid w:val="004C46C2"/>
    <w:rsid w:val="004C4860"/>
    <w:rsid w:val="004C48C6"/>
    <w:rsid w:val="004C48C7"/>
    <w:rsid w:val="004C4A70"/>
    <w:rsid w:val="004C4BA5"/>
    <w:rsid w:val="004C4C78"/>
    <w:rsid w:val="004C4D43"/>
    <w:rsid w:val="004C4ED5"/>
    <w:rsid w:val="004C4EFE"/>
    <w:rsid w:val="004C4FA6"/>
    <w:rsid w:val="004C5151"/>
    <w:rsid w:val="004C5205"/>
    <w:rsid w:val="004C521E"/>
    <w:rsid w:val="004C52E9"/>
    <w:rsid w:val="004C5302"/>
    <w:rsid w:val="004C536F"/>
    <w:rsid w:val="004C538C"/>
    <w:rsid w:val="004C53E4"/>
    <w:rsid w:val="004C53F2"/>
    <w:rsid w:val="004C543B"/>
    <w:rsid w:val="004C5478"/>
    <w:rsid w:val="004C54BE"/>
    <w:rsid w:val="004C55D0"/>
    <w:rsid w:val="004C562F"/>
    <w:rsid w:val="004C5650"/>
    <w:rsid w:val="004C567A"/>
    <w:rsid w:val="004C56D6"/>
    <w:rsid w:val="004C57B8"/>
    <w:rsid w:val="004C57C9"/>
    <w:rsid w:val="004C5829"/>
    <w:rsid w:val="004C5A8D"/>
    <w:rsid w:val="004C5AEA"/>
    <w:rsid w:val="004C5BEA"/>
    <w:rsid w:val="004C5CE5"/>
    <w:rsid w:val="004C5F39"/>
    <w:rsid w:val="004C6362"/>
    <w:rsid w:val="004C637C"/>
    <w:rsid w:val="004C63A2"/>
    <w:rsid w:val="004C65B2"/>
    <w:rsid w:val="004C66BB"/>
    <w:rsid w:val="004C6719"/>
    <w:rsid w:val="004C6720"/>
    <w:rsid w:val="004C6A4C"/>
    <w:rsid w:val="004C6DA4"/>
    <w:rsid w:val="004C6E1E"/>
    <w:rsid w:val="004C6E6E"/>
    <w:rsid w:val="004C6F95"/>
    <w:rsid w:val="004C6FA4"/>
    <w:rsid w:val="004C6FA7"/>
    <w:rsid w:val="004C7153"/>
    <w:rsid w:val="004C71E5"/>
    <w:rsid w:val="004C720C"/>
    <w:rsid w:val="004C7227"/>
    <w:rsid w:val="004C7228"/>
    <w:rsid w:val="004C725E"/>
    <w:rsid w:val="004C72C4"/>
    <w:rsid w:val="004C7442"/>
    <w:rsid w:val="004C7486"/>
    <w:rsid w:val="004C7645"/>
    <w:rsid w:val="004C769F"/>
    <w:rsid w:val="004C781A"/>
    <w:rsid w:val="004C783F"/>
    <w:rsid w:val="004C78C1"/>
    <w:rsid w:val="004C7996"/>
    <w:rsid w:val="004C7C2C"/>
    <w:rsid w:val="004C7CB6"/>
    <w:rsid w:val="004C7CE6"/>
    <w:rsid w:val="004C7F24"/>
    <w:rsid w:val="004D0013"/>
    <w:rsid w:val="004D0175"/>
    <w:rsid w:val="004D01A8"/>
    <w:rsid w:val="004D0213"/>
    <w:rsid w:val="004D04B8"/>
    <w:rsid w:val="004D05AF"/>
    <w:rsid w:val="004D05C4"/>
    <w:rsid w:val="004D0806"/>
    <w:rsid w:val="004D090F"/>
    <w:rsid w:val="004D0952"/>
    <w:rsid w:val="004D09EF"/>
    <w:rsid w:val="004D0B65"/>
    <w:rsid w:val="004D0C2A"/>
    <w:rsid w:val="004D0D45"/>
    <w:rsid w:val="004D0D6B"/>
    <w:rsid w:val="004D0D88"/>
    <w:rsid w:val="004D0E17"/>
    <w:rsid w:val="004D0EC6"/>
    <w:rsid w:val="004D0EEC"/>
    <w:rsid w:val="004D0F08"/>
    <w:rsid w:val="004D0F5D"/>
    <w:rsid w:val="004D100D"/>
    <w:rsid w:val="004D1017"/>
    <w:rsid w:val="004D1198"/>
    <w:rsid w:val="004D12C3"/>
    <w:rsid w:val="004D1355"/>
    <w:rsid w:val="004D146E"/>
    <w:rsid w:val="004D15B0"/>
    <w:rsid w:val="004D17DE"/>
    <w:rsid w:val="004D17DF"/>
    <w:rsid w:val="004D1D68"/>
    <w:rsid w:val="004D1D9D"/>
    <w:rsid w:val="004D1E99"/>
    <w:rsid w:val="004D1EB5"/>
    <w:rsid w:val="004D2000"/>
    <w:rsid w:val="004D20B2"/>
    <w:rsid w:val="004D21A3"/>
    <w:rsid w:val="004D2212"/>
    <w:rsid w:val="004D2316"/>
    <w:rsid w:val="004D235B"/>
    <w:rsid w:val="004D236F"/>
    <w:rsid w:val="004D25E2"/>
    <w:rsid w:val="004D263E"/>
    <w:rsid w:val="004D264C"/>
    <w:rsid w:val="004D264E"/>
    <w:rsid w:val="004D281F"/>
    <w:rsid w:val="004D2837"/>
    <w:rsid w:val="004D2863"/>
    <w:rsid w:val="004D28AE"/>
    <w:rsid w:val="004D290B"/>
    <w:rsid w:val="004D2919"/>
    <w:rsid w:val="004D2A01"/>
    <w:rsid w:val="004D2ABA"/>
    <w:rsid w:val="004D2B3B"/>
    <w:rsid w:val="004D2C4B"/>
    <w:rsid w:val="004D2C81"/>
    <w:rsid w:val="004D2EAE"/>
    <w:rsid w:val="004D2F87"/>
    <w:rsid w:val="004D2FAF"/>
    <w:rsid w:val="004D3037"/>
    <w:rsid w:val="004D30D2"/>
    <w:rsid w:val="004D3180"/>
    <w:rsid w:val="004D328F"/>
    <w:rsid w:val="004D339B"/>
    <w:rsid w:val="004D3404"/>
    <w:rsid w:val="004D34D2"/>
    <w:rsid w:val="004D351B"/>
    <w:rsid w:val="004D35B3"/>
    <w:rsid w:val="004D3B72"/>
    <w:rsid w:val="004D3C70"/>
    <w:rsid w:val="004D3C96"/>
    <w:rsid w:val="004D3DCF"/>
    <w:rsid w:val="004D3ECA"/>
    <w:rsid w:val="004D3FD6"/>
    <w:rsid w:val="004D40F8"/>
    <w:rsid w:val="004D4157"/>
    <w:rsid w:val="004D41C6"/>
    <w:rsid w:val="004D41D4"/>
    <w:rsid w:val="004D42A6"/>
    <w:rsid w:val="004D447B"/>
    <w:rsid w:val="004D4647"/>
    <w:rsid w:val="004D4762"/>
    <w:rsid w:val="004D47B4"/>
    <w:rsid w:val="004D48FD"/>
    <w:rsid w:val="004D4AE7"/>
    <w:rsid w:val="004D4B65"/>
    <w:rsid w:val="004D4D3A"/>
    <w:rsid w:val="004D4D3D"/>
    <w:rsid w:val="004D4D59"/>
    <w:rsid w:val="004D4D81"/>
    <w:rsid w:val="004D4E3E"/>
    <w:rsid w:val="004D4E6B"/>
    <w:rsid w:val="004D4E70"/>
    <w:rsid w:val="004D4E90"/>
    <w:rsid w:val="004D4EC6"/>
    <w:rsid w:val="004D4F2A"/>
    <w:rsid w:val="004D5009"/>
    <w:rsid w:val="004D508A"/>
    <w:rsid w:val="004D50CB"/>
    <w:rsid w:val="004D51BA"/>
    <w:rsid w:val="004D51CF"/>
    <w:rsid w:val="004D5376"/>
    <w:rsid w:val="004D53E2"/>
    <w:rsid w:val="004D547F"/>
    <w:rsid w:val="004D54FE"/>
    <w:rsid w:val="004D5687"/>
    <w:rsid w:val="004D57A8"/>
    <w:rsid w:val="004D57D5"/>
    <w:rsid w:val="004D580C"/>
    <w:rsid w:val="004D5825"/>
    <w:rsid w:val="004D5835"/>
    <w:rsid w:val="004D58BA"/>
    <w:rsid w:val="004D58F1"/>
    <w:rsid w:val="004D596C"/>
    <w:rsid w:val="004D5983"/>
    <w:rsid w:val="004D5A6A"/>
    <w:rsid w:val="004D5D20"/>
    <w:rsid w:val="004D5F1D"/>
    <w:rsid w:val="004D5F62"/>
    <w:rsid w:val="004D5F74"/>
    <w:rsid w:val="004D5FA1"/>
    <w:rsid w:val="004D5FCF"/>
    <w:rsid w:val="004D6178"/>
    <w:rsid w:val="004D6331"/>
    <w:rsid w:val="004D63AD"/>
    <w:rsid w:val="004D6550"/>
    <w:rsid w:val="004D662D"/>
    <w:rsid w:val="004D677B"/>
    <w:rsid w:val="004D6A4C"/>
    <w:rsid w:val="004D6AA0"/>
    <w:rsid w:val="004D6AD8"/>
    <w:rsid w:val="004D6B81"/>
    <w:rsid w:val="004D6D7B"/>
    <w:rsid w:val="004D6D83"/>
    <w:rsid w:val="004D7122"/>
    <w:rsid w:val="004D72DA"/>
    <w:rsid w:val="004D7319"/>
    <w:rsid w:val="004D7371"/>
    <w:rsid w:val="004D73A4"/>
    <w:rsid w:val="004D74C2"/>
    <w:rsid w:val="004D74EA"/>
    <w:rsid w:val="004D77CD"/>
    <w:rsid w:val="004D7805"/>
    <w:rsid w:val="004D7A86"/>
    <w:rsid w:val="004D7A8B"/>
    <w:rsid w:val="004D7AC8"/>
    <w:rsid w:val="004D7B01"/>
    <w:rsid w:val="004D7BD8"/>
    <w:rsid w:val="004D7C7E"/>
    <w:rsid w:val="004D7CED"/>
    <w:rsid w:val="004D7D03"/>
    <w:rsid w:val="004D7D27"/>
    <w:rsid w:val="004D7D55"/>
    <w:rsid w:val="004D7D9F"/>
    <w:rsid w:val="004D7E25"/>
    <w:rsid w:val="004E00DF"/>
    <w:rsid w:val="004E0349"/>
    <w:rsid w:val="004E03C3"/>
    <w:rsid w:val="004E03EF"/>
    <w:rsid w:val="004E03FD"/>
    <w:rsid w:val="004E0443"/>
    <w:rsid w:val="004E05E6"/>
    <w:rsid w:val="004E061E"/>
    <w:rsid w:val="004E0783"/>
    <w:rsid w:val="004E081A"/>
    <w:rsid w:val="004E0869"/>
    <w:rsid w:val="004E08A1"/>
    <w:rsid w:val="004E08BF"/>
    <w:rsid w:val="004E08CC"/>
    <w:rsid w:val="004E0932"/>
    <w:rsid w:val="004E098D"/>
    <w:rsid w:val="004E0A43"/>
    <w:rsid w:val="004E0B46"/>
    <w:rsid w:val="004E0B59"/>
    <w:rsid w:val="004E0BF3"/>
    <w:rsid w:val="004E0BF4"/>
    <w:rsid w:val="004E0E7D"/>
    <w:rsid w:val="004E0E84"/>
    <w:rsid w:val="004E0F10"/>
    <w:rsid w:val="004E104D"/>
    <w:rsid w:val="004E10D2"/>
    <w:rsid w:val="004E118A"/>
    <w:rsid w:val="004E1252"/>
    <w:rsid w:val="004E12E7"/>
    <w:rsid w:val="004E138F"/>
    <w:rsid w:val="004E1430"/>
    <w:rsid w:val="004E149F"/>
    <w:rsid w:val="004E1540"/>
    <w:rsid w:val="004E16B8"/>
    <w:rsid w:val="004E17A8"/>
    <w:rsid w:val="004E18D7"/>
    <w:rsid w:val="004E1B1C"/>
    <w:rsid w:val="004E1D65"/>
    <w:rsid w:val="004E1DCF"/>
    <w:rsid w:val="004E1FD8"/>
    <w:rsid w:val="004E2020"/>
    <w:rsid w:val="004E2056"/>
    <w:rsid w:val="004E20CA"/>
    <w:rsid w:val="004E23F7"/>
    <w:rsid w:val="004E2425"/>
    <w:rsid w:val="004E242F"/>
    <w:rsid w:val="004E24BB"/>
    <w:rsid w:val="004E263D"/>
    <w:rsid w:val="004E273B"/>
    <w:rsid w:val="004E2753"/>
    <w:rsid w:val="004E2A70"/>
    <w:rsid w:val="004E2A84"/>
    <w:rsid w:val="004E2AEC"/>
    <w:rsid w:val="004E2C21"/>
    <w:rsid w:val="004E2C7B"/>
    <w:rsid w:val="004E2C9F"/>
    <w:rsid w:val="004E3083"/>
    <w:rsid w:val="004E31D6"/>
    <w:rsid w:val="004E33B6"/>
    <w:rsid w:val="004E33C6"/>
    <w:rsid w:val="004E346C"/>
    <w:rsid w:val="004E34A8"/>
    <w:rsid w:val="004E35E4"/>
    <w:rsid w:val="004E384C"/>
    <w:rsid w:val="004E3C64"/>
    <w:rsid w:val="004E3E9D"/>
    <w:rsid w:val="004E3E9F"/>
    <w:rsid w:val="004E3FC2"/>
    <w:rsid w:val="004E414B"/>
    <w:rsid w:val="004E4328"/>
    <w:rsid w:val="004E44F5"/>
    <w:rsid w:val="004E4587"/>
    <w:rsid w:val="004E460B"/>
    <w:rsid w:val="004E49A8"/>
    <w:rsid w:val="004E4B18"/>
    <w:rsid w:val="004E4B48"/>
    <w:rsid w:val="004E4B6B"/>
    <w:rsid w:val="004E4D0E"/>
    <w:rsid w:val="004E4D84"/>
    <w:rsid w:val="004E529A"/>
    <w:rsid w:val="004E532C"/>
    <w:rsid w:val="004E53A8"/>
    <w:rsid w:val="004E53EC"/>
    <w:rsid w:val="004E5526"/>
    <w:rsid w:val="004E5540"/>
    <w:rsid w:val="004E56DE"/>
    <w:rsid w:val="004E5747"/>
    <w:rsid w:val="004E5873"/>
    <w:rsid w:val="004E58E8"/>
    <w:rsid w:val="004E5959"/>
    <w:rsid w:val="004E5A73"/>
    <w:rsid w:val="004E5B1D"/>
    <w:rsid w:val="004E5DE8"/>
    <w:rsid w:val="004E5F15"/>
    <w:rsid w:val="004E5F24"/>
    <w:rsid w:val="004E5F59"/>
    <w:rsid w:val="004E5FB6"/>
    <w:rsid w:val="004E6063"/>
    <w:rsid w:val="004E60C2"/>
    <w:rsid w:val="004E60CA"/>
    <w:rsid w:val="004E621E"/>
    <w:rsid w:val="004E62B3"/>
    <w:rsid w:val="004E631A"/>
    <w:rsid w:val="004E64EE"/>
    <w:rsid w:val="004E65EB"/>
    <w:rsid w:val="004E670B"/>
    <w:rsid w:val="004E672E"/>
    <w:rsid w:val="004E6730"/>
    <w:rsid w:val="004E673E"/>
    <w:rsid w:val="004E67FB"/>
    <w:rsid w:val="004E6895"/>
    <w:rsid w:val="004E6919"/>
    <w:rsid w:val="004E692B"/>
    <w:rsid w:val="004E695E"/>
    <w:rsid w:val="004E6BEC"/>
    <w:rsid w:val="004E6C23"/>
    <w:rsid w:val="004E6C7B"/>
    <w:rsid w:val="004E6CC3"/>
    <w:rsid w:val="004E6D2D"/>
    <w:rsid w:val="004E6DC8"/>
    <w:rsid w:val="004E6E54"/>
    <w:rsid w:val="004E6ED1"/>
    <w:rsid w:val="004E6FD1"/>
    <w:rsid w:val="004E71C3"/>
    <w:rsid w:val="004E71C7"/>
    <w:rsid w:val="004E7685"/>
    <w:rsid w:val="004E771B"/>
    <w:rsid w:val="004E7AA1"/>
    <w:rsid w:val="004E7B40"/>
    <w:rsid w:val="004E7E4B"/>
    <w:rsid w:val="004E7F2C"/>
    <w:rsid w:val="004F0098"/>
    <w:rsid w:val="004F0258"/>
    <w:rsid w:val="004F02CE"/>
    <w:rsid w:val="004F0352"/>
    <w:rsid w:val="004F03FF"/>
    <w:rsid w:val="004F04A2"/>
    <w:rsid w:val="004F050E"/>
    <w:rsid w:val="004F06CE"/>
    <w:rsid w:val="004F071F"/>
    <w:rsid w:val="004F0720"/>
    <w:rsid w:val="004F07AA"/>
    <w:rsid w:val="004F0868"/>
    <w:rsid w:val="004F0A65"/>
    <w:rsid w:val="004F0B6F"/>
    <w:rsid w:val="004F0BCD"/>
    <w:rsid w:val="004F0D5C"/>
    <w:rsid w:val="004F0DD2"/>
    <w:rsid w:val="004F0E00"/>
    <w:rsid w:val="004F0E30"/>
    <w:rsid w:val="004F0F7C"/>
    <w:rsid w:val="004F1153"/>
    <w:rsid w:val="004F12B3"/>
    <w:rsid w:val="004F1317"/>
    <w:rsid w:val="004F14A2"/>
    <w:rsid w:val="004F14CD"/>
    <w:rsid w:val="004F1528"/>
    <w:rsid w:val="004F1593"/>
    <w:rsid w:val="004F1659"/>
    <w:rsid w:val="004F190E"/>
    <w:rsid w:val="004F195D"/>
    <w:rsid w:val="004F1A27"/>
    <w:rsid w:val="004F1B12"/>
    <w:rsid w:val="004F1B96"/>
    <w:rsid w:val="004F1C1D"/>
    <w:rsid w:val="004F1CB3"/>
    <w:rsid w:val="004F1F11"/>
    <w:rsid w:val="004F201A"/>
    <w:rsid w:val="004F20F7"/>
    <w:rsid w:val="004F2147"/>
    <w:rsid w:val="004F22B9"/>
    <w:rsid w:val="004F2327"/>
    <w:rsid w:val="004F25E2"/>
    <w:rsid w:val="004F260D"/>
    <w:rsid w:val="004F28A2"/>
    <w:rsid w:val="004F296A"/>
    <w:rsid w:val="004F299C"/>
    <w:rsid w:val="004F2AF1"/>
    <w:rsid w:val="004F2B05"/>
    <w:rsid w:val="004F2C1F"/>
    <w:rsid w:val="004F2C36"/>
    <w:rsid w:val="004F2C79"/>
    <w:rsid w:val="004F2D0A"/>
    <w:rsid w:val="004F2D11"/>
    <w:rsid w:val="004F2F68"/>
    <w:rsid w:val="004F2F7E"/>
    <w:rsid w:val="004F2F8F"/>
    <w:rsid w:val="004F3188"/>
    <w:rsid w:val="004F31E8"/>
    <w:rsid w:val="004F3316"/>
    <w:rsid w:val="004F332F"/>
    <w:rsid w:val="004F3360"/>
    <w:rsid w:val="004F3375"/>
    <w:rsid w:val="004F339E"/>
    <w:rsid w:val="004F3511"/>
    <w:rsid w:val="004F35A5"/>
    <w:rsid w:val="004F35B3"/>
    <w:rsid w:val="004F35C9"/>
    <w:rsid w:val="004F365C"/>
    <w:rsid w:val="004F36F2"/>
    <w:rsid w:val="004F382A"/>
    <w:rsid w:val="004F3895"/>
    <w:rsid w:val="004F3982"/>
    <w:rsid w:val="004F3984"/>
    <w:rsid w:val="004F398F"/>
    <w:rsid w:val="004F39EF"/>
    <w:rsid w:val="004F3DC6"/>
    <w:rsid w:val="004F3EEA"/>
    <w:rsid w:val="004F3F2C"/>
    <w:rsid w:val="004F408F"/>
    <w:rsid w:val="004F40E4"/>
    <w:rsid w:val="004F410B"/>
    <w:rsid w:val="004F41A3"/>
    <w:rsid w:val="004F41B7"/>
    <w:rsid w:val="004F4338"/>
    <w:rsid w:val="004F4368"/>
    <w:rsid w:val="004F440B"/>
    <w:rsid w:val="004F4557"/>
    <w:rsid w:val="004F45D8"/>
    <w:rsid w:val="004F45DA"/>
    <w:rsid w:val="004F45E4"/>
    <w:rsid w:val="004F48A3"/>
    <w:rsid w:val="004F48A4"/>
    <w:rsid w:val="004F48E1"/>
    <w:rsid w:val="004F4968"/>
    <w:rsid w:val="004F4B1B"/>
    <w:rsid w:val="004F4B8D"/>
    <w:rsid w:val="004F4BA5"/>
    <w:rsid w:val="004F4D24"/>
    <w:rsid w:val="004F4FE4"/>
    <w:rsid w:val="004F51C9"/>
    <w:rsid w:val="004F5251"/>
    <w:rsid w:val="004F5373"/>
    <w:rsid w:val="004F5379"/>
    <w:rsid w:val="004F5384"/>
    <w:rsid w:val="004F551E"/>
    <w:rsid w:val="004F5551"/>
    <w:rsid w:val="004F5557"/>
    <w:rsid w:val="004F58FC"/>
    <w:rsid w:val="004F5B85"/>
    <w:rsid w:val="004F5B88"/>
    <w:rsid w:val="004F5B8D"/>
    <w:rsid w:val="004F5B9B"/>
    <w:rsid w:val="004F5C0D"/>
    <w:rsid w:val="004F5E44"/>
    <w:rsid w:val="004F5EF7"/>
    <w:rsid w:val="004F5FAD"/>
    <w:rsid w:val="004F6094"/>
    <w:rsid w:val="004F6096"/>
    <w:rsid w:val="004F60AE"/>
    <w:rsid w:val="004F629C"/>
    <w:rsid w:val="004F6300"/>
    <w:rsid w:val="004F6419"/>
    <w:rsid w:val="004F6492"/>
    <w:rsid w:val="004F6668"/>
    <w:rsid w:val="004F6974"/>
    <w:rsid w:val="004F6B1E"/>
    <w:rsid w:val="004F6C18"/>
    <w:rsid w:val="004F6C5A"/>
    <w:rsid w:val="004F6DB6"/>
    <w:rsid w:val="004F6E48"/>
    <w:rsid w:val="004F6EA1"/>
    <w:rsid w:val="004F6F8D"/>
    <w:rsid w:val="004F6FAE"/>
    <w:rsid w:val="004F6FC8"/>
    <w:rsid w:val="004F717D"/>
    <w:rsid w:val="004F725D"/>
    <w:rsid w:val="004F72D9"/>
    <w:rsid w:val="004F7344"/>
    <w:rsid w:val="004F742F"/>
    <w:rsid w:val="004F7518"/>
    <w:rsid w:val="004F75D6"/>
    <w:rsid w:val="004F78BF"/>
    <w:rsid w:val="004F79A8"/>
    <w:rsid w:val="004F7AA2"/>
    <w:rsid w:val="004F7B25"/>
    <w:rsid w:val="004F7B74"/>
    <w:rsid w:val="004F7B98"/>
    <w:rsid w:val="004F7C24"/>
    <w:rsid w:val="004F7CA5"/>
    <w:rsid w:val="004F7CED"/>
    <w:rsid w:val="004F7DD8"/>
    <w:rsid w:val="004F7E6C"/>
    <w:rsid w:val="005000B7"/>
    <w:rsid w:val="00500405"/>
    <w:rsid w:val="00500649"/>
    <w:rsid w:val="0050069F"/>
    <w:rsid w:val="005006A3"/>
    <w:rsid w:val="00500847"/>
    <w:rsid w:val="005008B0"/>
    <w:rsid w:val="00500A05"/>
    <w:rsid w:val="00500A56"/>
    <w:rsid w:val="00500B27"/>
    <w:rsid w:val="00500C76"/>
    <w:rsid w:val="00500F18"/>
    <w:rsid w:val="00500F83"/>
    <w:rsid w:val="00501030"/>
    <w:rsid w:val="00501037"/>
    <w:rsid w:val="00501048"/>
    <w:rsid w:val="005011A3"/>
    <w:rsid w:val="00501210"/>
    <w:rsid w:val="00501492"/>
    <w:rsid w:val="005016BE"/>
    <w:rsid w:val="0050176B"/>
    <w:rsid w:val="0050184F"/>
    <w:rsid w:val="005018FE"/>
    <w:rsid w:val="00501BF9"/>
    <w:rsid w:val="00501C21"/>
    <w:rsid w:val="00501C39"/>
    <w:rsid w:val="00501C72"/>
    <w:rsid w:val="00501CD5"/>
    <w:rsid w:val="00501DA3"/>
    <w:rsid w:val="00501DCE"/>
    <w:rsid w:val="00501E7D"/>
    <w:rsid w:val="00501EB6"/>
    <w:rsid w:val="00501F60"/>
    <w:rsid w:val="005020DA"/>
    <w:rsid w:val="00502200"/>
    <w:rsid w:val="005022D6"/>
    <w:rsid w:val="00502302"/>
    <w:rsid w:val="005023A0"/>
    <w:rsid w:val="0050247E"/>
    <w:rsid w:val="0050250E"/>
    <w:rsid w:val="00502525"/>
    <w:rsid w:val="00502547"/>
    <w:rsid w:val="00502635"/>
    <w:rsid w:val="00502727"/>
    <w:rsid w:val="0050275A"/>
    <w:rsid w:val="00502822"/>
    <w:rsid w:val="00502829"/>
    <w:rsid w:val="0050286B"/>
    <w:rsid w:val="00502BE3"/>
    <w:rsid w:val="00502C33"/>
    <w:rsid w:val="00502C8E"/>
    <w:rsid w:val="00502D47"/>
    <w:rsid w:val="00502D90"/>
    <w:rsid w:val="00502DB2"/>
    <w:rsid w:val="005030B0"/>
    <w:rsid w:val="005030F0"/>
    <w:rsid w:val="00503172"/>
    <w:rsid w:val="005031FC"/>
    <w:rsid w:val="0050324F"/>
    <w:rsid w:val="005032A4"/>
    <w:rsid w:val="00503386"/>
    <w:rsid w:val="005033B6"/>
    <w:rsid w:val="005033F8"/>
    <w:rsid w:val="005035B5"/>
    <w:rsid w:val="005037BF"/>
    <w:rsid w:val="0050384D"/>
    <w:rsid w:val="005038B7"/>
    <w:rsid w:val="0050390A"/>
    <w:rsid w:val="00503AAF"/>
    <w:rsid w:val="00503B24"/>
    <w:rsid w:val="00503B73"/>
    <w:rsid w:val="00503CF4"/>
    <w:rsid w:val="00503E22"/>
    <w:rsid w:val="00503EAE"/>
    <w:rsid w:val="00503ED0"/>
    <w:rsid w:val="0050404E"/>
    <w:rsid w:val="00504085"/>
    <w:rsid w:val="00504184"/>
    <w:rsid w:val="005041A1"/>
    <w:rsid w:val="00504294"/>
    <w:rsid w:val="005042D7"/>
    <w:rsid w:val="005043F4"/>
    <w:rsid w:val="0050441E"/>
    <w:rsid w:val="0050465C"/>
    <w:rsid w:val="005047D9"/>
    <w:rsid w:val="0050481B"/>
    <w:rsid w:val="00504835"/>
    <w:rsid w:val="00504892"/>
    <w:rsid w:val="005048ED"/>
    <w:rsid w:val="00504923"/>
    <w:rsid w:val="00504A29"/>
    <w:rsid w:val="00504B0D"/>
    <w:rsid w:val="00504BC4"/>
    <w:rsid w:val="00504BD1"/>
    <w:rsid w:val="00504BD2"/>
    <w:rsid w:val="00504C1C"/>
    <w:rsid w:val="00504DC8"/>
    <w:rsid w:val="00504E67"/>
    <w:rsid w:val="00504FDE"/>
    <w:rsid w:val="00504FE0"/>
    <w:rsid w:val="00505013"/>
    <w:rsid w:val="00505163"/>
    <w:rsid w:val="005051D3"/>
    <w:rsid w:val="00505209"/>
    <w:rsid w:val="005052AE"/>
    <w:rsid w:val="005053FC"/>
    <w:rsid w:val="005054A4"/>
    <w:rsid w:val="0050552B"/>
    <w:rsid w:val="00505649"/>
    <w:rsid w:val="00505691"/>
    <w:rsid w:val="005056DC"/>
    <w:rsid w:val="005056E0"/>
    <w:rsid w:val="005057D2"/>
    <w:rsid w:val="005058C8"/>
    <w:rsid w:val="0050592C"/>
    <w:rsid w:val="00505A31"/>
    <w:rsid w:val="00505B3D"/>
    <w:rsid w:val="00505BCD"/>
    <w:rsid w:val="00505D9C"/>
    <w:rsid w:val="00505DAB"/>
    <w:rsid w:val="00505DF4"/>
    <w:rsid w:val="00505E0C"/>
    <w:rsid w:val="00505EEE"/>
    <w:rsid w:val="00505F52"/>
    <w:rsid w:val="00505F67"/>
    <w:rsid w:val="005060C6"/>
    <w:rsid w:val="005060FF"/>
    <w:rsid w:val="00506142"/>
    <w:rsid w:val="00506216"/>
    <w:rsid w:val="00506246"/>
    <w:rsid w:val="00506280"/>
    <w:rsid w:val="00506398"/>
    <w:rsid w:val="0050648B"/>
    <w:rsid w:val="005064B0"/>
    <w:rsid w:val="00506588"/>
    <w:rsid w:val="0050658A"/>
    <w:rsid w:val="00506599"/>
    <w:rsid w:val="005065D4"/>
    <w:rsid w:val="005067BD"/>
    <w:rsid w:val="0050681F"/>
    <w:rsid w:val="00506869"/>
    <w:rsid w:val="00506A67"/>
    <w:rsid w:val="00506C5C"/>
    <w:rsid w:val="00506C5E"/>
    <w:rsid w:val="00506DBC"/>
    <w:rsid w:val="00506EF8"/>
    <w:rsid w:val="00506F0A"/>
    <w:rsid w:val="005070CC"/>
    <w:rsid w:val="00507336"/>
    <w:rsid w:val="005074F1"/>
    <w:rsid w:val="00507926"/>
    <w:rsid w:val="005079B4"/>
    <w:rsid w:val="005079D5"/>
    <w:rsid w:val="00507A36"/>
    <w:rsid w:val="00507A46"/>
    <w:rsid w:val="00507C76"/>
    <w:rsid w:val="00507E3C"/>
    <w:rsid w:val="00507EA1"/>
    <w:rsid w:val="00507F49"/>
    <w:rsid w:val="0051004D"/>
    <w:rsid w:val="00510258"/>
    <w:rsid w:val="005103AE"/>
    <w:rsid w:val="00510474"/>
    <w:rsid w:val="00510539"/>
    <w:rsid w:val="005105EF"/>
    <w:rsid w:val="005106E9"/>
    <w:rsid w:val="00510709"/>
    <w:rsid w:val="00510761"/>
    <w:rsid w:val="00510940"/>
    <w:rsid w:val="005109A8"/>
    <w:rsid w:val="00510A0D"/>
    <w:rsid w:val="00510B09"/>
    <w:rsid w:val="00510C14"/>
    <w:rsid w:val="00510CC9"/>
    <w:rsid w:val="00510D8E"/>
    <w:rsid w:val="00510FCD"/>
    <w:rsid w:val="00511122"/>
    <w:rsid w:val="00511145"/>
    <w:rsid w:val="0051117A"/>
    <w:rsid w:val="0051126D"/>
    <w:rsid w:val="005112AB"/>
    <w:rsid w:val="005112FA"/>
    <w:rsid w:val="00511311"/>
    <w:rsid w:val="0051131D"/>
    <w:rsid w:val="005113E3"/>
    <w:rsid w:val="005115C4"/>
    <w:rsid w:val="005116C8"/>
    <w:rsid w:val="005119C8"/>
    <w:rsid w:val="00511A2F"/>
    <w:rsid w:val="00511AD1"/>
    <w:rsid w:val="00511B61"/>
    <w:rsid w:val="00511CF3"/>
    <w:rsid w:val="00511D96"/>
    <w:rsid w:val="00511DC0"/>
    <w:rsid w:val="00511DEC"/>
    <w:rsid w:val="00511E76"/>
    <w:rsid w:val="00511EE6"/>
    <w:rsid w:val="00511F89"/>
    <w:rsid w:val="00512002"/>
    <w:rsid w:val="0051203A"/>
    <w:rsid w:val="005120E7"/>
    <w:rsid w:val="00512262"/>
    <w:rsid w:val="00512299"/>
    <w:rsid w:val="0051237C"/>
    <w:rsid w:val="005125E5"/>
    <w:rsid w:val="005127AA"/>
    <w:rsid w:val="0051281D"/>
    <w:rsid w:val="0051282C"/>
    <w:rsid w:val="005128FE"/>
    <w:rsid w:val="0051291B"/>
    <w:rsid w:val="00512971"/>
    <w:rsid w:val="00512995"/>
    <w:rsid w:val="0051299A"/>
    <w:rsid w:val="00512A26"/>
    <w:rsid w:val="00512A3A"/>
    <w:rsid w:val="00512C04"/>
    <w:rsid w:val="00512E49"/>
    <w:rsid w:val="005130CA"/>
    <w:rsid w:val="00513196"/>
    <w:rsid w:val="005132C1"/>
    <w:rsid w:val="00513347"/>
    <w:rsid w:val="005133A9"/>
    <w:rsid w:val="0051349B"/>
    <w:rsid w:val="005134F5"/>
    <w:rsid w:val="005134FC"/>
    <w:rsid w:val="005135E6"/>
    <w:rsid w:val="0051365C"/>
    <w:rsid w:val="0051369C"/>
    <w:rsid w:val="005136D3"/>
    <w:rsid w:val="0051372B"/>
    <w:rsid w:val="005138CE"/>
    <w:rsid w:val="00513967"/>
    <w:rsid w:val="00513A45"/>
    <w:rsid w:val="00513AA8"/>
    <w:rsid w:val="00513AE7"/>
    <w:rsid w:val="00513B03"/>
    <w:rsid w:val="00513B8B"/>
    <w:rsid w:val="00513C0D"/>
    <w:rsid w:val="00513CC9"/>
    <w:rsid w:val="00513D6D"/>
    <w:rsid w:val="00513DAA"/>
    <w:rsid w:val="00513E13"/>
    <w:rsid w:val="00513E9D"/>
    <w:rsid w:val="00513F80"/>
    <w:rsid w:val="00514142"/>
    <w:rsid w:val="0051418E"/>
    <w:rsid w:val="005142B6"/>
    <w:rsid w:val="0051432B"/>
    <w:rsid w:val="005143DE"/>
    <w:rsid w:val="0051445D"/>
    <w:rsid w:val="005144E1"/>
    <w:rsid w:val="0051451D"/>
    <w:rsid w:val="0051458F"/>
    <w:rsid w:val="0051459D"/>
    <w:rsid w:val="0051465D"/>
    <w:rsid w:val="0051474A"/>
    <w:rsid w:val="005147DD"/>
    <w:rsid w:val="00514A3D"/>
    <w:rsid w:val="00514C19"/>
    <w:rsid w:val="00514C7C"/>
    <w:rsid w:val="00514DCD"/>
    <w:rsid w:val="00514E44"/>
    <w:rsid w:val="00514F43"/>
    <w:rsid w:val="00514FEF"/>
    <w:rsid w:val="005153BB"/>
    <w:rsid w:val="00515421"/>
    <w:rsid w:val="005154A4"/>
    <w:rsid w:val="005155F1"/>
    <w:rsid w:val="0051565F"/>
    <w:rsid w:val="00515778"/>
    <w:rsid w:val="005157A9"/>
    <w:rsid w:val="00515883"/>
    <w:rsid w:val="00515884"/>
    <w:rsid w:val="005158EA"/>
    <w:rsid w:val="0051598F"/>
    <w:rsid w:val="00515AA9"/>
    <w:rsid w:val="00515C29"/>
    <w:rsid w:val="00515D7C"/>
    <w:rsid w:val="00515E55"/>
    <w:rsid w:val="00515E79"/>
    <w:rsid w:val="00515EE1"/>
    <w:rsid w:val="00516063"/>
    <w:rsid w:val="005161EF"/>
    <w:rsid w:val="00516322"/>
    <w:rsid w:val="005163B8"/>
    <w:rsid w:val="0051642C"/>
    <w:rsid w:val="0051653E"/>
    <w:rsid w:val="0051672B"/>
    <w:rsid w:val="005167AD"/>
    <w:rsid w:val="005168A7"/>
    <w:rsid w:val="005168E8"/>
    <w:rsid w:val="00516922"/>
    <w:rsid w:val="00516982"/>
    <w:rsid w:val="00516A05"/>
    <w:rsid w:val="00516DBF"/>
    <w:rsid w:val="005172F5"/>
    <w:rsid w:val="00517311"/>
    <w:rsid w:val="00517327"/>
    <w:rsid w:val="00517425"/>
    <w:rsid w:val="00517439"/>
    <w:rsid w:val="00517490"/>
    <w:rsid w:val="005174C7"/>
    <w:rsid w:val="005175E1"/>
    <w:rsid w:val="00517660"/>
    <w:rsid w:val="00517672"/>
    <w:rsid w:val="005176F1"/>
    <w:rsid w:val="0051787A"/>
    <w:rsid w:val="00517B75"/>
    <w:rsid w:val="00517C65"/>
    <w:rsid w:val="00517CAE"/>
    <w:rsid w:val="00517D22"/>
    <w:rsid w:val="00517DAE"/>
    <w:rsid w:val="00517DF8"/>
    <w:rsid w:val="00517FF0"/>
    <w:rsid w:val="00520190"/>
    <w:rsid w:val="005202E8"/>
    <w:rsid w:val="005204D2"/>
    <w:rsid w:val="00520532"/>
    <w:rsid w:val="00520695"/>
    <w:rsid w:val="005207C1"/>
    <w:rsid w:val="0052084F"/>
    <w:rsid w:val="005209F3"/>
    <w:rsid w:val="00520A4D"/>
    <w:rsid w:val="00520A52"/>
    <w:rsid w:val="00520B26"/>
    <w:rsid w:val="00520B6C"/>
    <w:rsid w:val="00520B73"/>
    <w:rsid w:val="00520BF5"/>
    <w:rsid w:val="00520CB0"/>
    <w:rsid w:val="00520D04"/>
    <w:rsid w:val="00520D6C"/>
    <w:rsid w:val="00520E37"/>
    <w:rsid w:val="00520F93"/>
    <w:rsid w:val="0052104A"/>
    <w:rsid w:val="005210B7"/>
    <w:rsid w:val="005210E6"/>
    <w:rsid w:val="005212A9"/>
    <w:rsid w:val="00521419"/>
    <w:rsid w:val="00521452"/>
    <w:rsid w:val="005214E8"/>
    <w:rsid w:val="005214F9"/>
    <w:rsid w:val="00521585"/>
    <w:rsid w:val="005215A3"/>
    <w:rsid w:val="005216AB"/>
    <w:rsid w:val="0052172A"/>
    <w:rsid w:val="00521930"/>
    <w:rsid w:val="0052197D"/>
    <w:rsid w:val="005219F4"/>
    <w:rsid w:val="00521AD2"/>
    <w:rsid w:val="00521C20"/>
    <w:rsid w:val="00521C45"/>
    <w:rsid w:val="00521CA6"/>
    <w:rsid w:val="00521CF3"/>
    <w:rsid w:val="00521FBC"/>
    <w:rsid w:val="00521FF6"/>
    <w:rsid w:val="00522198"/>
    <w:rsid w:val="005221B4"/>
    <w:rsid w:val="005221B5"/>
    <w:rsid w:val="00522503"/>
    <w:rsid w:val="005225FC"/>
    <w:rsid w:val="00522631"/>
    <w:rsid w:val="005226A6"/>
    <w:rsid w:val="005227C6"/>
    <w:rsid w:val="005228DD"/>
    <w:rsid w:val="00522910"/>
    <w:rsid w:val="00522957"/>
    <w:rsid w:val="00522A69"/>
    <w:rsid w:val="00522B21"/>
    <w:rsid w:val="00522C34"/>
    <w:rsid w:val="00522E24"/>
    <w:rsid w:val="00523059"/>
    <w:rsid w:val="0052307A"/>
    <w:rsid w:val="0052314C"/>
    <w:rsid w:val="00523884"/>
    <w:rsid w:val="005238DA"/>
    <w:rsid w:val="00523AA0"/>
    <w:rsid w:val="00523C79"/>
    <w:rsid w:val="00523D19"/>
    <w:rsid w:val="00523D4D"/>
    <w:rsid w:val="00523DDA"/>
    <w:rsid w:val="00523EA2"/>
    <w:rsid w:val="00523EA6"/>
    <w:rsid w:val="00523FA6"/>
    <w:rsid w:val="00524232"/>
    <w:rsid w:val="005244B2"/>
    <w:rsid w:val="005245B0"/>
    <w:rsid w:val="005245C0"/>
    <w:rsid w:val="005247B0"/>
    <w:rsid w:val="0052488E"/>
    <w:rsid w:val="00524981"/>
    <w:rsid w:val="00524A7C"/>
    <w:rsid w:val="00524BD4"/>
    <w:rsid w:val="00524C00"/>
    <w:rsid w:val="00524C7A"/>
    <w:rsid w:val="00524D74"/>
    <w:rsid w:val="00524D82"/>
    <w:rsid w:val="00524E6B"/>
    <w:rsid w:val="00525024"/>
    <w:rsid w:val="0052511D"/>
    <w:rsid w:val="0052514B"/>
    <w:rsid w:val="00525275"/>
    <w:rsid w:val="005252F1"/>
    <w:rsid w:val="00525417"/>
    <w:rsid w:val="005254AC"/>
    <w:rsid w:val="005254C3"/>
    <w:rsid w:val="00525500"/>
    <w:rsid w:val="005255BF"/>
    <w:rsid w:val="00525684"/>
    <w:rsid w:val="0052575C"/>
    <w:rsid w:val="005257B9"/>
    <w:rsid w:val="005258B0"/>
    <w:rsid w:val="005258FA"/>
    <w:rsid w:val="00525948"/>
    <w:rsid w:val="00525A41"/>
    <w:rsid w:val="00525B34"/>
    <w:rsid w:val="00525B62"/>
    <w:rsid w:val="00525B88"/>
    <w:rsid w:val="00525BEF"/>
    <w:rsid w:val="00525C49"/>
    <w:rsid w:val="00525C8E"/>
    <w:rsid w:val="00525DDA"/>
    <w:rsid w:val="00526012"/>
    <w:rsid w:val="00526145"/>
    <w:rsid w:val="0052629D"/>
    <w:rsid w:val="005262CB"/>
    <w:rsid w:val="00526451"/>
    <w:rsid w:val="0052659A"/>
    <w:rsid w:val="00526637"/>
    <w:rsid w:val="00526650"/>
    <w:rsid w:val="00526688"/>
    <w:rsid w:val="00526A65"/>
    <w:rsid w:val="00526AB0"/>
    <w:rsid w:val="00526AC7"/>
    <w:rsid w:val="00526BBA"/>
    <w:rsid w:val="00526BFA"/>
    <w:rsid w:val="00526DA3"/>
    <w:rsid w:val="00526E24"/>
    <w:rsid w:val="00526E53"/>
    <w:rsid w:val="00526EB4"/>
    <w:rsid w:val="00526F91"/>
    <w:rsid w:val="00527002"/>
    <w:rsid w:val="0052709C"/>
    <w:rsid w:val="00527137"/>
    <w:rsid w:val="005271B8"/>
    <w:rsid w:val="00527215"/>
    <w:rsid w:val="005272E7"/>
    <w:rsid w:val="005273A8"/>
    <w:rsid w:val="00527491"/>
    <w:rsid w:val="00527530"/>
    <w:rsid w:val="005275BA"/>
    <w:rsid w:val="00527738"/>
    <w:rsid w:val="0052798C"/>
    <w:rsid w:val="00527D19"/>
    <w:rsid w:val="00527DBC"/>
    <w:rsid w:val="00527EC9"/>
    <w:rsid w:val="00527FD4"/>
    <w:rsid w:val="005300B8"/>
    <w:rsid w:val="00530287"/>
    <w:rsid w:val="00530350"/>
    <w:rsid w:val="00530353"/>
    <w:rsid w:val="00530367"/>
    <w:rsid w:val="0053039A"/>
    <w:rsid w:val="005303F8"/>
    <w:rsid w:val="0053046D"/>
    <w:rsid w:val="00530490"/>
    <w:rsid w:val="0053058B"/>
    <w:rsid w:val="00530758"/>
    <w:rsid w:val="005307F0"/>
    <w:rsid w:val="00530810"/>
    <w:rsid w:val="00530842"/>
    <w:rsid w:val="00530A15"/>
    <w:rsid w:val="00530A24"/>
    <w:rsid w:val="00530A3B"/>
    <w:rsid w:val="00530AA6"/>
    <w:rsid w:val="00530BE7"/>
    <w:rsid w:val="00530BEB"/>
    <w:rsid w:val="00530C54"/>
    <w:rsid w:val="00530CBB"/>
    <w:rsid w:val="00530D8C"/>
    <w:rsid w:val="00530E33"/>
    <w:rsid w:val="00530E65"/>
    <w:rsid w:val="00530E7D"/>
    <w:rsid w:val="00530EA8"/>
    <w:rsid w:val="00530ED6"/>
    <w:rsid w:val="00530F4F"/>
    <w:rsid w:val="00530F89"/>
    <w:rsid w:val="0053104D"/>
    <w:rsid w:val="0053116F"/>
    <w:rsid w:val="00531257"/>
    <w:rsid w:val="005314BA"/>
    <w:rsid w:val="005314E9"/>
    <w:rsid w:val="005315FE"/>
    <w:rsid w:val="0053163A"/>
    <w:rsid w:val="00531678"/>
    <w:rsid w:val="00531875"/>
    <w:rsid w:val="005318CB"/>
    <w:rsid w:val="00531959"/>
    <w:rsid w:val="00531A85"/>
    <w:rsid w:val="00531ADF"/>
    <w:rsid w:val="00531C3C"/>
    <w:rsid w:val="00531E97"/>
    <w:rsid w:val="00531FA7"/>
    <w:rsid w:val="00531FBC"/>
    <w:rsid w:val="0053203D"/>
    <w:rsid w:val="0053214F"/>
    <w:rsid w:val="00532163"/>
    <w:rsid w:val="00532220"/>
    <w:rsid w:val="00532359"/>
    <w:rsid w:val="005323A1"/>
    <w:rsid w:val="0053243B"/>
    <w:rsid w:val="00532715"/>
    <w:rsid w:val="00532894"/>
    <w:rsid w:val="005328A8"/>
    <w:rsid w:val="005328BD"/>
    <w:rsid w:val="0053295D"/>
    <w:rsid w:val="00532BB6"/>
    <w:rsid w:val="00532C14"/>
    <w:rsid w:val="00532CF1"/>
    <w:rsid w:val="00532F8F"/>
    <w:rsid w:val="00532FB4"/>
    <w:rsid w:val="00533021"/>
    <w:rsid w:val="0053315C"/>
    <w:rsid w:val="005332DE"/>
    <w:rsid w:val="00533349"/>
    <w:rsid w:val="00533464"/>
    <w:rsid w:val="005334BF"/>
    <w:rsid w:val="005334DA"/>
    <w:rsid w:val="00533525"/>
    <w:rsid w:val="0053355C"/>
    <w:rsid w:val="005335CD"/>
    <w:rsid w:val="00533851"/>
    <w:rsid w:val="005338A0"/>
    <w:rsid w:val="0053394F"/>
    <w:rsid w:val="00533979"/>
    <w:rsid w:val="00533C4F"/>
    <w:rsid w:val="00533C58"/>
    <w:rsid w:val="00533D94"/>
    <w:rsid w:val="00534200"/>
    <w:rsid w:val="005342F1"/>
    <w:rsid w:val="0053437F"/>
    <w:rsid w:val="00534609"/>
    <w:rsid w:val="00534640"/>
    <w:rsid w:val="00534699"/>
    <w:rsid w:val="0053470B"/>
    <w:rsid w:val="00534915"/>
    <w:rsid w:val="0053492B"/>
    <w:rsid w:val="00534A97"/>
    <w:rsid w:val="00534AD9"/>
    <w:rsid w:val="00534AE9"/>
    <w:rsid w:val="00534BB3"/>
    <w:rsid w:val="00534CB3"/>
    <w:rsid w:val="00534CE3"/>
    <w:rsid w:val="00534D01"/>
    <w:rsid w:val="00534E21"/>
    <w:rsid w:val="00534E36"/>
    <w:rsid w:val="00534F8D"/>
    <w:rsid w:val="00534FDD"/>
    <w:rsid w:val="00534FE4"/>
    <w:rsid w:val="00535046"/>
    <w:rsid w:val="00535055"/>
    <w:rsid w:val="00535082"/>
    <w:rsid w:val="00535168"/>
    <w:rsid w:val="005351EE"/>
    <w:rsid w:val="00535219"/>
    <w:rsid w:val="0053526B"/>
    <w:rsid w:val="00535322"/>
    <w:rsid w:val="0053539E"/>
    <w:rsid w:val="005353D8"/>
    <w:rsid w:val="005354EF"/>
    <w:rsid w:val="005355F0"/>
    <w:rsid w:val="00535628"/>
    <w:rsid w:val="0053563C"/>
    <w:rsid w:val="0053575D"/>
    <w:rsid w:val="0053580B"/>
    <w:rsid w:val="005358A9"/>
    <w:rsid w:val="00535969"/>
    <w:rsid w:val="00535972"/>
    <w:rsid w:val="00535A02"/>
    <w:rsid w:val="00535A51"/>
    <w:rsid w:val="00535A53"/>
    <w:rsid w:val="00535B8B"/>
    <w:rsid w:val="00535B98"/>
    <w:rsid w:val="00535BA6"/>
    <w:rsid w:val="00535C39"/>
    <w:rsid w:val="00535CA0"/>
    <w:rsid w:val="00535CF8"/>
    <w:rsid w:val="00535D07"/>
    <w:rsid w:val="00535D25"/>
    <w:rsid w:val="00535D6B"/>
    <w:rsid w:val="00535DDE"/>
    <w:rsid w:val="00535E6D"/>
    <w:rsid w:val="00535F99"/>
    <w:rsid w:val="00536058"/>
    <w:rsid w:val="00536116"/>
    <w:rsid w:val="00536151"/>
    <w:rsid w:val="005361DD"/>
    <w:rsid w:val="005362FF"/>
    <w:rsid w:val="00536538"/>
    <w:rsid w:val="005366F7"/>
    <w:rsid w:val="00536714"/>
    <w:rsid w:val="00536797"/>
    <w:rsid w:val="0053681B"/>
    <w:rsid w:val="00536A08"/>
    <w:rsid w:val="00536A25"/>
    <w:rsid w:val="00536B35"/>
    <w:rsid w:val="00536C40"/>
    <w:rsid w:val="00536DD9"/>
    <w:rsid w:val="00536FE3"/>
    <w:rsid w:val="0053701A"/>
    <w:rsid w:val="005371D8"/>
    <w:rsid w:val="005372CD"/>
    <w:rsid w:val="005372EE"/>
    <w:rsid w:val="00537310"/>
    <w:rsid w:val="0053731D"/>
    <w:rsid w:val="005373F1"/>
    <w:rsid w:val="005373F8"/>
    <w:rsid w:val="0053756D"/>
    <w:rsid w:val="005375B6"/>
    <w:rsid w:val="0053762F"/>
    <w:rsid w:val="00537640"/>
    <w:rsid w:val="005376AF"/>
    <w:rsid w:val="005377D0"/>
    <w:rsid w:val="005378CF"/>
    <w:rsid w:val="005378EE"/>
    <w:rsid w:val="00537AA7"/>
    <w:rsid w:val="00537D2B"/>
    <w:rsid w:val="00537D5C"/>
    <w:rsid w:val="00537EE5"/>
    <w:rsid w:val="00537EFC"/>
    <w:rsid w:val="00537F4D"/>
    <w:rsid w:val="0054002F"/>
    <w:rsid w:val="005400C9"/>
    <w:rsid w:val="0054016E"/>
    <w:rsid w:val="00540202"/>
    <w:rsid w:val="0054028E"/>
    <w:rsid w:val="005404EC"/>
    <w:rsid w:val="00540530"/>
    <w:rsid w:val="00540772"/>
    <w:rsid w:val="00540776"/>
    <w:rsid w:val="00540807"/>
    <w:rsid w:val="00540982"/>
    <w:rsid w:val="00540A58"/>
    <w:rsid w:val="00540A5A"/>
    <w:rsid w:val="00540ABC"/>
    <w:rsid w:val="00540AC5"/>
    <w:rsid w:val="00540D4E"/>
    <w:rsid w:val="00540D72"/>
    <w:rsid w:val="00541051"/>
    <w:rsid w:val="005410C4"/>
    <w:rsid w:val="00541123"/>
    <w:rsid w:val="005411B7"/>
    <w:rsid w:val="005411F3"/>
    <w:rsid w:val="005412BB"/>
    <w:rsid w:val="005413F1"/>
    <w:rsid w:val="0054144C"/>
    <w:rsid w:val="00541465"/>
    <w:rsid w:val="00541573"/>
    <w:rsid w:val="00541587"/>
    <w:rsid w:val="005417E3"/>
    <w:rsid w:val="00541A72"/>
    <w:rsid w:val="00541F34"/>
    <w:rsid w:val="00541F88"/>
    <w:rsid w:val="00542012"/>
    <w:rsid w:val="00542098"/>
    <w:rsid w:val="005420D9"/>
    <w:rsid w:val="005420F3"/>
    <w:rsid w:val="00542121"/>
    <w:rsid w:val="00542336"/>
    <w:rsid w:val="005423A6"/>
    <w:rsid w:val="0054256A"/>
    <w:rsid w:val="005426B7"/>
    <w:rsid w:val="00542715"/>
    <w:rsid w:val="005427CC"/>
    <w:rsid w:val="005427CD"/>
    <w:rsid w:val="005428EC"/>
    <w:rsid w:val="0054297C"/>
    <w:rsid w:val="00542A49"/>
    <w:rsid w:val="00542ACE"/>
    <w:rsid w:val="00542B11"/>
    <w:rsid w:val="00542B21"/>
    <w:rsid w:val="00542B46"/>
    <w:rsid w:val="00542BC1"/>
    <w:rsid w:val="00542C73"/>
    <w:rsid w:val="00542C9C"/>
    <w:rsid w:val="00542CA4"/>
    <w:rsid w:val="00542F18"/>
    <w:rsid w:val="00542F44"/>
    <w:rsid w:val="00542F74"/>
    <w:rsid w:val="0054333D"/>
    <w:rsid w:val="00543340"/>
    <w:rsid w:val="0054353A"/>
    <w:rsid w:val="0054367F"/>
    <w:rsid w:val="00543718"/>
    <w:rsid w:val="00543801"/>
    <w:rsid w:val="005438CC"/>
    <w:rsid w:val="005438D7"/>
    <w:rsid w:val="00543984"/>
    <w:rsid w:val="005439E9"/>
    <w:rsid w:val="00543A43"/>
    <w:rsid w:val="00543B0B"/>
    <w:rsid w:val="00543B11"/>
    <w:rsid w:val="00543B37"/>
    <w:rsid w:val="00543B58"/>
    <w:rsid w:val="00543B73"/>
    <w:rsid w:val="00543BBA"/>
    <w:rsid w:val="00543CD4"/>
    <w:rsid w:val="00543DC1"/>
    <w:rsid w:val="00543E67"/>
    <w:rsid w:val="00543F73"/>
    <w:rsid w:val="005440C7"/>
    <w:rsid w:val="00544103"/>
    <w:rsid w:val="0054420D"/>
    <w:rsid w:val="00544235"/>
    <w:rsid w:val="0054437F"/>
    <w:rsid w:val="0054458D"/>
    <w:rsid w:val="0054461C"/>
    <w:rsid w:val="00544761"/>
    <w:rsid w:val="0054496A"/>
    <w:rsid w:val="00544B5E"/>
    <w:rsid w:val="00544B83"/>
    <w:rsid w:val="00544B86"/>
    <w:rsid w:val="00544E14"/>
    <w:rsid w:val="00544E4E"/>
    <w:rsid w:val="00544E53"/>
    <w:rsid w:val="00544EAA"/>
    <w:rsid w:val="00544F20"/>
    <w:rsid w:val="00544F3C"/>
    <w:rsid w:val="0054500A"/>
    <w:rsid w:val="00545100"/>
    <w:rsid w:val="00545167"/>
    <w:rsid w:val="005452F7"/>
    <w:rsid w:val="005452FE"/>
    <w:rsid w:val="005453B0"/>
    <w:rsid w:val="005453F1"/>
    <w:rsid w:val="00545477"/>
    <w:rsid w:val="005456B8"/>
    <w:rsid w:val="005457FE"/>
    <w:rsid w:val="0054586D"/>
    <w:rsid w:val="0054599E"/>
    <w:rsid w:val="00545A1E"/>
    <w:rsid w:val="00545BAF"/>
    <w:rsid w:val="00545C8E"/>
    <w:rsid w:val="00545CD7"/>
    <w:rsid w:val="00545CE5"/>
    <w:rsid w:val="00545CE7"/>
    <w:rsid w:val="00545E4B"/>
    <w:rsid w:val="00545F80"/>
    <w:rsid w:val="00545FB2"/>
    <w:rsid w:val="0054600A"/>
    <w:rsid w:val="00546216"/>
    <w:rsid w:val="005463C2"/>
    <w:rsid w:val="00546445"/>
    <w:rsid w:val="005465DB"/>
    <w:rsid w:val="0054665D"/>
    <w:rsid w:val="005466C6"/>
    <w:rsid w:val="0054670D"/>
    <w:rsid w:val="005467B3"/>
    <w:rsid w:val="00546820"/>
    <w:rsid w:val="00546856"/>
    <w:rsid w:val="005469C4"/>
    <w:rsid w:val="00546B40"/>
    <w:rsid w:val="00546B74"/>
    <w:rsid w:val="00546C77"/>
    <w:rsid w:val="00546D42"/>
    <w:rsid w:val="00546D62"/>
    <w:rsid w:val="00546DA6"/>
    <w:rsid w:val="00546DBA"/>
    <w:rsid w:val="0054701E"/>
    <w:rsid w:val="005470A0"/>
    <w:rsid w:val="0054714D"/>
    <w:rsid w:val="00547193"/>
    <w:rsid w:val="00547196"/>
    <w:rsid w:val="00547198"/>
    <w:rsid w:val="005471B4"/>
    <w:rsid w:val="00547263"/>
    <w:rsid w:val="005472ED"/>
    <w:rsid w:val="0054742E"/>
    <w:rsid w:val="005474C2"/>
    <w:rsid w:val="00547539"/>
    <w:rsid w:val="005475C6"/>
    <w:rsid w:val="00547609"/>
    <w:rsid w:val="00547622"/>
    <w:rsid w:val="0054764F"/>
    <w:rsid w:val="00547713"/>
    <w:rsid w:val="00547718"/>
    <w:rsid w:val="00547734"/>
    <w:rsid w:val="0054775C"/>
    <w:rsid w:val="005477D6"/>
    <w:rsid w:val="005478B9"/>
    <w:rsid w:val="00547AD0"/>
    <w:rsid w:val="00547C93"/>
    <w:rsid w:val="00547DCE"/>
    <w:rsid w:val="00547DFA"/>
    <w:rsid w:val="00547EA9"/>
    <w:rsid w:val="00547F09"/>
    <w:rsid w:val="00547F9B"/>
    <w:rsid w:val="005502B3"/>
    <w:rsid w:val="005502EF"/>
    <w:rsid w:val="005503C7"/>
    <w:rsid w:val="0055055A"/>
    <w:rsid w:val="005505DB"/>
    <w:rsid w:val="00550615"/>
    <w:rsid w:val="00550640"/>
    <w:rsid w:val="00550B19"/>
    <w:rsid w:val="00550B49"/>
    <w:rsid w:val="00550BC3"/>
    <w:rsid w:val="00550BCF"/>
    <w:rsid w:val="00550BFD"/>
    <w:rsid w:val="00550CFC"/>
    <w:rsid w:val="00550D16"/>
    <w:rsid w:val="00550F8E"/>
    <w:rsid w:val="00550F9A"/>
    <w:rsid w:val="005511D5"/>
    <w:rsid w:val="00551231"/>
    <w:rsid w:val="00551260"/>
    <w:rsid w:val="005513DC"/>
    <w:rsid w:val="00551417"/>
    <w:rsid w:val="005514EF"/>
    <w:rsid w:val="005515DB"/>
    <w:rsid w:val="0055164E"/>
    <w:rsid w:val="00551AFD"/>
    <w:rsid w:val="00551CE3"/>
    <w:rsid w:val="00551D65"/>
    <w:rsid w:val="005521C0"/>
    <w:rsid w:val="00552224"/>
    <w:rsid w:val="00552228"/>
    <w:rsid w:val="0055226C"/>
    <w:rsid w:val="005522DE"/>
    <w:rsid w:val="00552580"/>
    <w:rsid w:val="005525A2"/>
    <w:rsid w:val="00552675"/>
    <w:rsid w:val="00552785"/>
    <w:rsid w:val="005527CB"/>
    <w:rsid w:val="00552967"/>
    <w:rsid w:val="0055297C"/>
    <w:rsid w:val="00552A30"/>
    <w:rsid w:val="00552A7B"/>
    <w:rsid w:val="00552B20"/>
    <w:rsid w:val="00552BBC"/>
    <w:rsid w:val="00552BF5"/>
    <w:rsid w:val="00552C29"/>
    <w:rsid w:val="00552D4F"/>
    <w:rsid w:val="00552E86"/>
    <w:rsid w:val="00552FDD"/>
    <w:rsid w:val="00552FF0"/>
    <w:rsid w:val="00553262"/>
    <w:rsid w:val="0055345B"/>
    <w:rsid w:val="00553506"/>
    <w:rsid w:val="00553550"/>
    <w:rsid w:val="00553554"/>
    <w:rsid w:val="005535AC"/>
    <w:rsid w:val="00553766"/>
    <w:rsid w:val="005537A6"/>
    <w:rsid w:val="00553800"/>
    <w:rsid w:val="00553877"/>
    <w:rsid w:val="00553B92"/>
    <w:rsid w:val="00553BC4"/>
    <w:rsid w:val="00553C1B"/>
    <w:rsid w:val="00553C4D"/>
    <w:rsid w:val="00553C57"/>
    <w:rsid w:val="00553CFA"/>
    <w:rsid w:val="00553D54"/>
    <w:rsid w:val="00553D68"/>
    <w:rsid w:val="00553D87"/>
    <w:rsid w:val="00553DBE"/>
    <w:rsid w:val="00553DEB"/>
    <w:rsid w:val="00553E85"/>
    <w:rsid w:val="00553F17"/>
    <w:rsid w:val="00554034"/>
    <w:rsid w:val="0055415F"/>
    <w:rsid w:val="005541B4"/>
    <w:rsid w:val="005541B9"/>
    <w:rsid w:val="00554258"/>
    <w:rsid w:val="00554308"/>
    <w:rsid w:val="0055431A"/>
    <w:rsid w:val="00554486"/>
    <w:rsid w:val="005546D3"/>
    <w:rsid w:val="0055470D"/>
    <w:rsid w:val="0055473D"/>
    <w:rsid w:val="00554885"/>
    <w:rsid w:val="00554A89"/>
    <w:rsid w:val="00554BA9"/>
    <w:rsid w:val="00554CAB"/>
    <w:rsid w:val="00554E42"/>
    <w:rsid w:val="00554E5E"/>
    <w:rsid w:val="00554EE0"/>
    <w:rsid w:val="00554EF5"/>
    <w:rsid w:val="00555062"/>
    <w:rsid w:val="005550B9"/>
    <w:rsid w:val="005550D6"/>
    <w:rsid w:val="005550F6"/>
    <w:rsid w:val="00555360"/>
    <w:rsid w:val="0055537D"/>
    <w:rsid w:val="005553A5"/>
    <w:rsid w:val="00555557"/>
    <w:rsid w:val="00555665"/>
    <w:rsid w:val="0055571E"/>
    <w:rsid w:val="005558CE"/>
    <w:rsid w:val="00555979"/>
    <w:rsid w:val="005559CF"/>
    <w:rsid w:val="00555C5B"/>
    <w:rsid w:val="00555CF9"/>
    <w:rsid w:val="00555E4C"/>
    <w:rsid w:val="00555FA9"/>
    <w:rsid w:val="0055600E"/>
    <w:rsid w:val="0055604A"/>
    <w:rsid w:val="0055604B"/>
    <w:rsid w:val="00556065"/>
    <w:rsid w:val="00556115"/>
    <w:rsid w:val="0055611B"/>
    <w:rsid w:val="0055628B"/>
    <w:rsid w:val="005562C7"/>
    <w:rsid w:val="00556423"/>
    <w:rsid w:val="0055643D"/>
    <w:rsid w:val="0055646D"/>
    <w:rsid w:val="005564FB"/>
    <w:rsid w:val="0055658E"/>
    <w:rsid w:val="005565B0"/>
    <w:rsid w:val="005565DF"/>
    <w:rsid w:val="00556609"/>
    <w:rsid w:val="0055666F"/>
    <w:rsid w:val="00556705"/>
    <w:rsid w:val="005567D4"/>
    <w:rsid w:val="005569BA"/>
    <w:rsid w:val="005569DC"/>
    <w:rsid w:val="00556AC3"/>
    <w:rsid w:val="00556BDC"/>
    <w:rsid w:val="00556DD2"/>
    <w:rsid w:val="00556DEC"/>
    <w:rsid w:val="00556DF5"/>
    <w:rsid w:val="00556F73"/>
    <w:rsid w:val="0055702B"/>
    <w:rsid w:val="0055705F"/>
    <w:rsid w:val="005570E9"/>
    <w:rsid w:val="0055713F"/>
    <w:rsid w:val="00557287"/>
    <w:rsid w:val="005573A7"/>
    <w:rsid w:val="0055758D"/>
    <w:rsid w:val="00557663"/>
    <w:rsid w:val="0055780E"/>
    <w:rsid w:val="00557923"/>
    <w:rsid w:val="0055795E"/>
    <w:rsid w:val="00557A03"/>
    <w:rsid w:val="00557B32"/>
    <w:rsid w:val="00557D03"/>
    <w:rsid w:val="00557D4D"/>
    <w:rsid w:val="00557DE7"/>
    <w:rsid w:val="00557E7C"/>
    <w:rsid w:val="00560004"/>
    <w:rsid w:val="005600C4"/>
    <w:rsid w:val="005600CF"/>
    <w:rsid w:val="005600F8"/>
    <w:rsid w:val="005600FE"/>
    <w:rsid w:val="00560184"/>
    <w:rsid w:val="0056020A"/>
    <w:rsid w:val="005602FA"/>
    <w:rsid w:val="00560429"/>
    <w:rsid w:val="005604F6"/>
    <w:rsid w:val="005605A8"/>
    <w:rsid w:val="005606B6"/>
    <w:rsid w:val="00560744"/>
    <w:rsid w:val="0056097B"/>
    <w:rsid w:val="005609C1"/>
    <w:rsid w:val="005609D5"/>
    <w:rsid w:val="00560AC0"/>
    <w:rsid w:val="00560BD3"/>
    <w:rsid w:val="00560C5E"/>
    <w:rsid w:val="00560C7C"/>
    <w:rsid w:val="00560D2C"/>
    <w:rsid w:val="00560EF1"/>
    <w:rsid w:val="00560F1A"/>
    <w:rsid w:val="00561034"/>
    <w:rsid w:val="0056117F"/>
    <w:rsid w:val="00561201"/>
    <w:rsid w:val="00561393"/>
    <w:rsid w:val="0056186F"/>
    <w:rsid w:val="00561B17"/>
    <w:rsid w:val="00561B52"/>
    <w:rsid w:val="00561B8A"/>
    <w:rsid w:val="00561C4D"/>
    <w:rsid w:val="00561D89"/>
    <w:rsid w:val="00561F7D"/>
    <w:rsid w:val="00562040"/>
    <w:rsid w:val="0056209A"/>
    <w:rsid w:val="005621A5"/>
    <w:rsid w:val="005621B1"/>
    <w:rsid w:val="00562268"/>
    <w:rsid w:val="005623C8"/>
    <w:rsid w:val="005623EA"/>
    <w:rsid w:val="0056254E"/>
    <w:rsid w:val="00562581"/>
    <w:rsid w:val="005625C6"/>
    <w:rsid w:val="0056278C"/>
    <w:rsid w:val="005627AD"/>
    <w:rsid w:val="005628B9"/>
    <w:rsid w:val="005629A1"/>
    <w:rsid w:val="00562ABD"/>
    <w:rsid w:val="00562B0A"/>
    <w:rsid w:val="00562CBC"/>
    <w:rsid w:val="00562E0E"/>
    <w:rsid w:val="0056339E"/>
    <w:rsid w:val="005634C4"/>
    <w:rsid w:val="005635E7"/>
    <w:rsid w:val="0056361D"/>
    <w:rsid w:val="0056366F"/>
    <w:rsid w:val="005637CE"/>
    <w:rsid w:val="00563814"/>
    <w:rsid w:val="005638A3"/>
    <w:rsid w:val="005638CE"/>
    <w:rsid w:val="00563936"/>
    <w:rsid w:val="005639E6"/>
    <w:rsid w:val="00563AC6"/>
    <w:rsid w:val="00563ACA"/>
    <w:rsid w:val="00563B82"/>
    <w:rsid w:val="00563C55"/>
    <w:rsid w:val="00563ECA"/>
    <w:rsid w:val="00563FCB"/>
    <w:rsid w:val="00564025"/>
    <w:rsid w:val="0056406E"/>
    <w:rsid w:val="00564106"/>
    <w:rsid w:val="0056410A"/>
    <w:rsid w:val="0056410F"/>
    <w:rsid w:val="00564125"/>
    <w:rsid w:val="0056442E"/>
    <w:rsid w:val="0056451F"/>
    <w:rsid w:val="0056457D"/>
    <w:rsid w:val="005645D2"/>
    <w:rsid w:val="005646A3"/>
    <w:rsid w:val="0056476B"/>
    <w:rsid w:val="0056485B"/>
    <w:rsid w:val="00564954"/>
    <w:rsid w:val="005649E9"/>
    <w:rsid w:val="00564C87"/>
    <w:rsid w:val="00564CAB"/>
    <w:rsid w:val="00564D0B"/>
    <w:rsid w:val="00564D4E"/>
    <w:rsid w:val="00564F33"/>
    <w:rsid w:val="0056513D"/>
    <w:rsid w:val="00565176"/>
    <w:rsid w:val="005652D1"/>
    <w:rsid w:val="005653D9"/>
    <w:rsid w:val="00565412"/>
    <w:rsid w:val="005655B7"/>
    <w:rsid w:val="005655DA"/>
    <w:rsid w:val="0056566E"/>
    <w:rsid w:val="00565700"/>
    <w:rsid w:val="00565790"/>
    <w:rsid w:val="005658E3"/>
    <w:rsid w:val="00565A20"/>
    <w:rsid w:val="00565BAA"/>
    <w:rsid w:val="00565BCA"/>
    <w:rsid w:val="00565C23"/>
    <w:rsid w:val="00565C68"/>
    <w:rsid w:val="00565CBC"/>
    <w:rsid w:val="00565D6F"/>
    <w:rsid w:val="00565DA5"/>
    <w:rsid w:val="00565E45"/>
    <w:rsid w:val="00565EA5"/>
    <w:rsid w:val="00565EDD"/>
    <w:rsid w:val="005661CD"/>
    <w:rsid w:val="005662B1"/>
    <w:rsid w:val="005662B4"/>
    <w:rsid w:val="00566421"/>
    <w:rsid w:val="00566612"/>
    <w:rsid w:val="00566798"/>
    <w:rsid w:val="00566909"/>
    <w:rsid w:val="005669E5"/>
    <w:rsid w:val="00566A02"/>
    <w:rsid w:val="00566B45"/>
    <w:rsid w:val="00566D83"/>
    <w:rsid w:val="00566DD4"/>
    <w:rsid w:val="00566DFF"/>
    <w:rsid w:val="00567075"/>
    <w:rsid w:val="0056707C"/>
    <w:rsid w:val="00567152"/>
    <w:rsid w:val="00567229"/>
    <w:rsid w:val="0056737B"/>
    <w:rsid w:val="005673ED"/>
    <w:rsid w:val="005673F9"/>
    <w:rsid w:val="00567535"/>
    <w:rsid w:val="00567576"/>
    <w:rsid w:val="005675F7"/>
    <w:rsid w:val="005677EF"/>
    <w:rsid w:val="0056798B"/>
    <w:rsid w:val="005679CD"/>
    <w:rsid w:val="005679D5"/>
    <w:rsid w:val="00567A21"/>
    <w:rsid w:val="00567ABB"/>
    <w:rsid w:val="00567BE8"/>
    <w:rsid w:val="00567C1B"/>
    <w:rsid w:val="00567D44"/>
    <w:rsid w:val="00567E13"/>
    <w:rsid w:val="00567E7D"/>
    <w:rsid w:val="00567FE4"/>
    <w:rsid w:val="00570215"/>
    <w:rsid w:val="00570238"/>
    <w:rsid w:val="0057026A"/>
    <w:rsid w:val="005704D0"/>
    <w:rsid w:val="005704F3"/>
    <w:rsid w:val="00570612"/>
    <w:rsid w:val="00570648"/>
    <w:rsid w:val="005707D4"/>
    <w:rsid w:val="00570899"/>
    <w:rsid w:val="00570AB3"/>
    <w:rsid w:val="00570AE8"/>
    <w:rsid w:val="00570BA2"/>
    <w:rsid w:val="00570BB7"/>
    <w:rsid w:val="00570CBA"/>
    <w:rsid w:val="00570DBF"/>
    <w:rsid w:val="00570F27"/>
    <w:rsid w:val="00570F90"/>
    <w:rsid w:val="00570FE5"/>
    <w:rsid w:val="00571030"/>
    <w:rsid w:val="00571080"/>
    <w:rsid w:val="005711AE"/>
    <w:rsid w:val="00571232"/>
    <w:rsid w:val="00571289"/>
    <w:rsid w:val="005712EB"/>
    <w:rsid w:val="005713D4"/>
    <w:rsid w:val="005714F2"/>
    <w:rsid w:val="005715BA"/>
    <w:rsid w:val="0057164D"/>
    <w:rsid w:val="0057175E"/>
    <w:rsid w:val="00571806"/>
    <w:rsid w:val="00571968"/>
    <w:rsid w:val="00571B9B"/>
    <w:rsid w:val="00571C91"/>
    <w:rsid w:val="00571D10"/>
    <w:rsid w:val="00572039"/>
    <w:rsid w:val="00572060"/>
    <w:rsid w:val="005721DA"/>
    <w:rsid w:val="005721FC"/>
    <w:rsid w:val="00572218"/>
    <w:rsid w:val="00572352"/>
    <w:rsid w:val="005723A0"/>
    <w:rsid w:val="005723F8"/>
    <w:rsid w:val="0057247A"/>
    <w:rsid w:val="0057248D"/>
    <w:rsid w:val="0057259B"/>
    <w:rsid w:val="00572671"/>
    <w:rsid w:val="00572702"/>
    <w:rsid w:val="00572946"/>
    <w:rsid w:val="0057296F"/>
    <w:rsid w:val="00572978"/>
    <w:rsid w:val="005729A7"/>
    <w:rsid w:val="00572B50"/>
    <w:rsid w:val="00572E41"/>
    <w:rsid w:val="00572E4B"/>
    <w:rsid w:val="00572EB5"/>
    <w:rsid w:val="00572FA6"/>
    <w:rsid w:val="0057312D"/>
    <w:rsid w:val="00573278"/>
    <w:rsid w:val="005733AA"/>
    <w:rsid w:val="005733F1"/>
    <w:rsid w:val="005734C7"/>
    <w:rsid w:val="005734D0"/>
    <w:rsid w:val="005736A1"/>
    <w:rsid w:val="00573734"/>
    <w:rsid w:val="0057388F"/>
    <w:rsid w:val="005739BC"/>
    <w:rsid w:val="00573AE2"/>
    <w:rsid w:val="00573C48"/>
    <w:rsid w:val="00573CE4"/>
    <w:rsid w:val="00573D6F"/>
    <w:rsid w:val="00573D9E"/>
    <w:rsid w:val="00573DCB"/>
    <w:rsid w:val="005741F9"/>
    <w:rsid w:val="00574263"/>
    <w:rsid w:val="00574287"/>
    <w:rsid w:val="00574390"/>
    <w:rsid w:val="0057445C"/>
    <w:rsid w:val="0057451C"/>
    <w:rsid w:val="00574545"/>
    <w:rsid w:val="00574596"/>
    <w:rsid w:val="005745CB"/>
    <w:rsid w:val="00574656"/>
    <w:rsid w:val="00574725"/>
    <w:rsid w:val="0057472C"/>
    <w:rsid w:val="00574812"/>
    <w:rsid w:val="005748BF"/>
    <w:rsid w:val="005748D7"/>
    <w:rsid w:val="00574AFC"/>
    <w:rsid w:val="00574D89"/>
    <w:rsid w:val="00574F68"/>
    <w:rsid w:val="00574FA1"/>
    <w:rsid w:val="00574FB7"/>
    <w:rsid w:val="005750DA"/>
    <w:rsid w:val="0057516F"/>
    <w:rsid w:val="00575203"/>
    <w:rsid w:val="005752A0"/>
    <w:rsid w:val="005754BF"/>
    <w:rsid w:val="00575631"/>
    <w:rsid w:val="005757A1"/>
    <w:rsid w:val="005758EE"/>
    <w:rsid w:val="00575966"/>
    <w:rsid w:val="005759E5"/>
    <w:rsid w:val="00575A68"/>
    <w:rsid w:val="00575AB8"/>
    <w:rsid w:val="00575DAB"/>
    <w:rsid w:val="00575EBB"/>
    <w:rsid w:val="00575ECB"/>
    <w:rsid w:val="00575F0A"/>
    <w:rsid w:val="00575F5F"/>
    <w:rsid w:val="00575F8A"/>
    <w:rsid w:val="0057608B"/>
    <w:rsid w:val="0057621F"/>
    <w:rsid w:val="00576324"/>
    <w:rsid w:val="00576461"/>
    <w:rsid w:val="0057649C"/>
    <w:rsid w:val="005764AB"/>
    <w:rsid w:val="0057674B"/>
    <w:rsid w:val="00576785"/>
    <w:rsid w:val="005767D7"/>
    <w:rsid w:val="00576891"/>
    <w:rsid w:val="005768C3"/>
    <w:rsid w:val="00576922"/>
    <w:rsid w:val="00576929"/>
    <w:rsid w:val="00576A60"/>
    <w:rsid w:val="00576B09"/>
    <w:rsid w:val="00576CA8"/>
    <w:rsid w:val="00576CE5"/>
    <w:rsid w:val="00576D9C"/>
    <w:rsid w:val="00576DCD"/>
    <w:rsid w:val="00576ED0"/>
    <w:rsid w:val="00576F1B"/>
    <w:rsid w:val="00576F31"/>
    <w:rsid w:val="00576F5C"/>
    <w:rsid w:val="005770B9"/>
    <w:rsid w:val="005770DC"/>
    <w:rsid w:val="00577196"/>
    <w:rsid w:val="005771E2"/>
    <w:rsid w:val="00577205"/>
    <w:rsid w:val="0057723D"/>
    <w:rsid w:val="0057745E"/>
    <w:rsid w:val="005774F6"/>
    <w:rsid w:val="0057755B"/>
    <w:rsid w:val="005775C3"/>
    <w:rsid w:val="0057766C"/>
    <w:rsid w:val="005778C6"/>
    <w:rsid w:val="00577980"/>
    <w:rsid w:val="005779A5"/>
    <w:rsid w:val="005779EC"/>
    <w:rsid w:val="00577A87"/>
    <w:rsid w:val="00577AAD"/>
    <w:rsid w:val="00577AB1"/>
    <w:rsid w:val="00577BCA"/>
    <w:rsid w:val="00577CA1"/>
    <w:rsid w:val="00577DD1"/>
    <w:rsid w:val="00577E16"/>
    <w:rsid w:val="00577E1E"/>
    <w:rsid w:val="00577E69"/>
    <w:rsid w:val="00577F9A"/>
    <w:rsid w:val="0058009C"/>
    <w:rsid w:val="00580169"/>
    <w:rsid w:val="005801D8"/>
    <w:rsid w:val="0058037E"/>
    <w:rsid w:val="005803E1"/>
    <w:rsid w:val="00580417"/>
    <w:rsid w:val="0058056B"/>
    <w:rsid w:val="00580819"/>
    <w:rsid w:val="00580A39"/>
    <w:rsid w:val="00580A9C"/>
    <w:rsid w:val="00580B16"/>
    <w:rsid w:val="00580BF1"/>
    <w:rsid w:val="00580C20"/>
    <w:rsid w:val="00580C60"/>
    <w:rsid w:val="00580C6E"/>
    <w:rsid w:val="00580C77"/>
    <w:rsid w:val="00580C7C"/>
    <w:rsid w:val="00580C7D"/>
    <w:rsid w:val="00580CC5"/>
    <w:rsid w:val="00580CEB"/>
    <w:rsid w:val="00580D0B"/>
    <w:rsid w:val="00580DDF"/>
    <w:rsid w:val="00580F52"/>
    <w:rsid w:val="0058101E"/>
    <w:rsid w:val="0058121F"/>
    <w:rsid w:val="0058125B"/>
    <w:rsid w:val="00581393"/>
    <w:rsid w:val="005813B0"/>
    <w:rsid w:val="005813B6"/>
    <w:rsid w:val="0058154D"/>
    <w:rsid w:val="005815BC"/>
    <w:rsid w:val="0058164D"/>
    <w:rsid w:val="00581659"/>
    <w:rsid w:val="00581780"/>
    <w:rsid w:val="00581819"/>
    <w:rsid w:val="00581933"/>
    <w:rsid w:val="0058197E"/>
    <w:rsid w:val="005819AF"/>
    <w:rsid w:val="00581ADC"/>
    <w:rsid w:val="00581B0C"/>
    <w:rsid w:val="00581B56"/>
    <w:rsid w:val="00581B7E"/>
    <w:rsid w:val="00581C47"/>
    <w:rsid w:val="00581C67"/>
    <w:rsid w:val="00581D2E"/>
    <w:rsid w:val="00581DD9"/>
    <w:rsid w:val="00581E2F"/>
    <w:rsid w:val="00581E30"/>
    <w:rsid w:val="00581E7B"/>
    <w:rsid w:val="00581E94"/>
    <w:rsid w:val="00581FFD"/>
    <w:rsid w:val="00582109"/>
    <w:rsid w:val="00582113"/>
    <w:rsid w:val="00582121"/>
    <w:rsid w:val="0058212D"/>
    <w:rsid w:val="0058219C"/>
    <w:rsid w:val="00582338"/>
    <w:rsid w:val="005823AC"/>
    <w:rsid w:val="005823D7"/>
    <w:rsid w:val="0058241C"/>
    <w:rsid w:val="005824B3"/>
    <w:rsid w:val="005824EC"/>
    <w:rsid w:val="0058272E"/>
    <w:rsid w:val="005827FE"/>
    <w:rsid w:val="00582834"/>
    <w:rsid w:val="00582A64"/>
    <w:rsid w:val="00582ADA"/>
    <w:rsid w:val="00582B9B"/>
    <w:rsid w:val="00582BB9"/>
    <w:rsid w:val="00582CA0"/>
    <w:rsid w:val="00582CCD"/>
    <w:rsid w:val="00582D5A"/>
    <w:rsid w:val="00582D9A"/>
    <w:rsid w:val="00582DF7"/>
    <w:rsid w:val="00582E86"/>
    <w:rsid w:val="00582EC7"/>
    <w:rsid w:val="00582F23"/>
    <w:rsid w:val="005835F6"/>
    <w:rsid w:val="0058379B"/>
    <w:rsid w:val="005837D5"/>
    <w:rsid w:val="005837EB"/>
    <w:rsid w:val="005838DC"/>
    <w:rsid w:val="00583AEC"/>
    <w:rsid w:val="00583B66"/>
    <w:rsid w:val="00583E78"/>
    <w:rsid w:val="00583E83"/>
    <w:rsid w:val="00583EE0"/>
    <w:rsid w:val="00584050"/>
    <w:rsid w:val="0058407C"/>
    <w:rsid w:val="005840DF"/>
    <w:rsid w:val="00584126"/>
    <w:rsid w:val="0058412C"/>
    <w:rsid w:val="00584234"/>
    <w:rsid w:val="00584300"/>
    <w:rsid w:val="0058446B"/>
    <w:rsid w:val="00584516"/>
    <w:rsid w:val="005845D4"/>
    <w:rsid w:val="0058466E"/>
    <w:rsid w:val="005848D4"/>
    <w:rsid w:val="00584C97"/>
    <w:rsid w:val="00584DBD"/>
    <w:rsid w:val="00584E05"/>
    <w:rsid w:val="00584EA7"/>
    <w:rsid w:val="00584EB7"/>
    <w:rsid w:val="00584EE9"/>
    <w:rsid w:val="00584F21"/>
    <w:rsid w:val="00584F4F"/>
    <w:rsid w:val="00584F73"/>
    <w:rsid w:val="00584F98"/>
    <w:rsid w:val="00584FBE"/>
    <w:rsid w:val="00585025"/>
    <w:rsid w:val="00585072"/>
    <w:rsid w:val="0058513D"/>
    <w:rsid w:val="00585247"/>
    <w:rsid w:val="00585554"/>
    <w:rsid w:val="00585637"/>
    <w:rsid w:val="00585662"/>
    <w:rsid w:val="005856A5"/>
    <w:rsid w:val="005857A0"/>
    <w:rsid w:val="005858D5"/>
    <w:rsid w:val="00585BB9"/>
    <w:rsid w:val="00585D77"/>
    <w:rsid w:val="00585F23"/>
    <w:rsid w:val="00586127"/>
    <w:rsid w:val="00586169"/>
    <w:rsid w:val="005861F9"/>
    <w:rsid w:val="0058625B"/>
    <w:rsid w:val="005862E0"/>
    <w:rsid w:val="005863D5"/>
    <w:rsid w:val="005863FD"/>
    <w:rsid w:val="00586530"/>
    <w:rsid w:val="005865AF"/>
    <w:rsid w:val="00586627"/>
    <w:rsid w:val="0058664A"/>
    <w:rsid w:val="0058678E"/>
    <w:rsid w:val="00586909"/>
    <w:rsid w:val="00586912"/>
    <w:rsid w:val="0058694E"/>
    <w:rsid w:val="00586A5B"/>
    <w:rsid w:val="00586A79"/>
    <w:rsid w:val="00586ABB"/>
    <w:rsid w:val="00586BD9"/>
    <w:rsid w:val="00586E5C"/>
    <w:rsid w:val="00586E8B"/>
    <w:rsid w:val="00586FE4"/>
    <w:rsid w:val="0058708C"/>
    <w:rsid w:val="005870A2"/>
    <w:rsid w:val="00587336"/>
    <w:rsid w:val="00587630"/>
    <w:rsid w:val="00587743"/>
    <w:rsid w:val="0058785A"/>
    <w:rsid w:val="00587891"/>
    <w:rsid w:val="005878DE"/>
    <w:rsid w:val="005878EA"/>
    <w:rsid w:val="005879DC"/>
    <w:rsid w:val="00587AC6"/>
    <w:rsid w:val="00587B4B"/>
    <w:rsid w:val="00587B83"/>
    <w:rsid w:val="00587C77"/>
    <w:rsid w:val="00587C7B"/>
    <w:rsid w:val="00587D0B"/>
    <w:rsid w:val="00587DB9"/>
    <w:rsid w:val="00587DD1"/>
    <w:rsid w:val="00587E04"/>
    <w:rsid w:val="00587E9F"/>
    <w:rsid w:val="00587EA6"/>
    <w:rsid w:val="00587F8A"/>
    <w:rsid w:val="00590216"/>
    <w:rsid w:val="00590298"/>
    <w:rsid w:val="005902E9"/>
    <w:rsid w:val="0059031D"/>
    <w:rsid w:val="00590374"/>
    <w:rsid w:val="005903AA"/>
    <w:rsid w:val="00590749"/>
    <w:rsid w:val="0059077C"/>
    <w:rsid w:val="005907A9"/>
    <w:rsid w:val="0059089D"/>
    <w:rsid w:val="0059097E"/>
    <w:rsid w:val="005909E0"/>
    <w:rsid w:val="00590A55"/>
    <w:rsid w:val="00590C9C"/>
    <w:rsid w:val="00590CA8"/>
    <w:rsid w:val="00590DD5"/>
    <w:rsid w:val="00590E18"/>
    <w:rsid w:val="00590FCF"/>
    <w:rsid w:val="00591055"/>
    <w:rsid w:val="005910F6"/>
    <w:rsid w:val="005910FF"/>
    <w:rsid w:val="005911C2"/>
    <w:rsid w:val="005913BD"/>
    <w:rsid w:val="005913D2"/>
    <w:rsid w:val="00591603"/>
    <w:rsid w:val="00591876"/>
    <w:rsid w:val="005918D2"/>
    <w:rsid w:val="005918DC"/>
    <w:rsid w:val="00591935"/>
    <w:rsid w:val="0059197C"/>
    <w:rsid w:val="00591A23"/>
    <w:rsid w:val="00591AB5"/>
    <w:rsid w:val="00591BDF"/>
    <w:rsid w:val="00591CD0"/>
    <w:rsid w:val="00591E09"/>
    <w:rsid w:val="0059202E"/>
    <w:rsid w:val="0059207A"/>
    <w:rsid w:val="00592188"/>
    <w:rsid w:val="0059226A"/>
    <w:rsid w:val="00592285"/>
    <w:rsid w:val="005922F7"/>
    <w:rsid w:val="005923EF"/>
    <w:rsid w:val="005924BE"/>
    <w:rsid w:val="005925C3"/>
    <w:rsid w:val="00592716"/>
    <w:rsid w:val="005927FF"/>
    <w:rsid w:val="00592807"/>
    <w:rsid w:val="0059283D"/>
    <w:rsid w:val="00592950"/>
    <w:rsid w:val="00592974"/>
    <w:rsid w:val="00592B41"/>
    <w:rsid w:val="00592BA9"/>
    <w:rsid w:val="00592C4D"/>
    <w:rsid w:val="00592D62"/>
    <w:rsid w:val="00592F06"/>
    <w:rsid w:val="005931F6"/>
    <w:rsid w:val="00593259"/>
    <w:rsid w:val="005935BB"/>
    <w:rsid w:val="005936A7"/>
    <w:rsid w:val="00593777"/>
    <w:rsid w:val="0059382A"/>
    <w:rsid w:val="00593861"/>
    <w:rsid w:val="00593A0A"/>
    <w:rsid w:val="00593A55"/>
    <w:rsid w:val="00593B99"/>
    <w:rsid w:val="00593C57"/>
    <w:rsid w:val="00593C71"/>
    <w:rsid w:val="00593D35"/>
    <w:rsid w:val="00593E0D"/>
    <w:rsid w:val="00593F79"/>
    <w:rsid w:val="00593FC8"/>
    <w:rsid w:val="005940A1"/>
    <w:rsid w:val="005941F8"/>
    <w:rsid w:val="005943EE"/>
    <w:rsid w:val="005943F9"/>
    <w:rsid w:val="0059452E"/>
    <w:rsid w:val="0059459F"/>
    <w:rsid w:val="005946AB"/>
    <w:rsid w:val="0059475B"/>
    <w:rsid w:val="0059477A"/>
    <w:rsid w:val="005947DD"/>
    <w:rsid w:val="00594813"/>
    <w:rsid w:val="00594894"/>
    <w:rsid w:val="00594913"/>
    <w:rsid w:val="0059496B"/>
    <w:rsid w:val="00594B78"/>
    <w:rsid w:val="00594BDE"/>
    <w:rsid w:val="00594D0A"/>
    <w:rsid w:val="00594D4A"/>
    <w:rsid w:val="00594D57"/>
    <w:rsid w:val="00594DB2"/>
    <w:rsid w:val="005950BB"/>
    <w:rsid w:val="0059519E"/>
    <w:rsid w:val="005951AF"/>
    <w:rsid w:val="00595339"/>
    <w:rsid w:val="00595351"/>
    <w:rsid w:val="00595436"/>
    <w:rsid w:val="0059548F"/>
    <w:rsid w:val="0059569B"/>
    <w:rsid w:val="0059574D"/>
    <w:rsid w:val="00595793"/>
    <w:rsid w:val="00595858"/>
    <w:rsid w:val="0059587F"/>
    <w:rsid w:val="0059599F"/>
    <w:rsid w:val="00595A35"/>
    <w:rsid w:val="00595B07"/>
    <w:rsid w:val="00595B13"/>
    <w:rsid w:val="00595C45"/>
    <w:rsid w:val="00595D58"/>
    <w:rsid w:val="00595E48"/>
    <w:rsid w:val="00595EF8"/>
    <w:rsid w:val="00595F36"/>
    <w:rsid w:val="00595F53"/>
    <w:rsid w:val="00596020"/>
    <w:rsid w:val="005960D6"/>
    <w:rsid w:val="00596100"/>
    <w:rsid w:val="0059610B"/>
    <w:rsid w:val="0059619E"/>
    <w:rsid w:val="005961E7"/>
    <w:rsid w:val="00596383"/>
    <w:rsid w:val="0059638F"/>
    <w:rsid w:val="0059649B"/>
    <w:rsid w:val="005965DC"/>
    <w:rsid w:val="005966A7"/>
    <w:rsid w:val="00596742"/>
    <w:rsid w:val="00596848"/>
    <w:rsid w:val="00596978"/>
    <w:rsid w:val="005969DF"/>
    <w:rsid w:val="00596B02"/>
    <w:rsid w:val="00596B6D"/>
    <w:rsid w:val="00596CCA"/>
    <w:rsid w:val="00596CDE"/>
    <w:rsid w:val="00596F62"/>
    <w:rsid w:val="00596FB0"/>
    <w:rsid w:val="00596FFD"/>
    <w:rsid w:val="00597108"/>
    <w:rsid w:val="0059714D"/>
    <w:rsid w:val="005971EB"/>
    <w:rsid w:val="00597207"/>
    <w:rsid w:val="00597275"/>
    <w:rsid w:val="005973C7"/>
    <w:rsid w:val="005975A7"/>
    <w:rsid w:val="005975A9"/>
    <w:rsid w:val="005975C4"/>
    <w:rsid w:val="00597619"/>
    <w:rsid w:val="00597737"/>
    <w:rsid w:val="0059776E"/>
    <w:rsid w:val="005977ED"/>
    <w:rsid w:val="0059782B"/>
    <w:rsid w:val="0059786C"/>
    <w:rsid w:val="00597897"/>
    <w:rsid w:val="00597921"/>
    <w:rsid w:val="00597923"/>
    <w:rsid w:val="00597A58"/>
    <w:rsid w:val="00597C36"/>
    <w:rsid w:val="00597CB2"/>
    <w:rsid w:val="00597E2E"/>
    <w:rsid w:val="00597E47"/>
    <w:rsid w:val="00597F58"/>
    <w:rsid w:val="00597F7B"/>
    <w:rsid w:val="005A004B"/>
    <w:rsid w:val="005A0069"/>
    <w:rsid w:val="005A007D"/>
    <w:rsid w:val="005A0115"/>
    <w:rsid w:val="005A0127"/>
    <w:rsid w:val="005A0321"/>
    <w:rsid w:val="005A037E"/>
    <w:rsid w:val="005A03F5"/>
    <w:rsid w:val="005A04CA"/>
    <w:rsid w:val="005A055E"/>
    <w:rsid w:val="005A05C9"/>
    <w:rsid w:val="005A0631"/>
    <w:rsid w:val="005A0675"/>
    <w:rsid w:val="005A077E"/>
    <w:rsid w:val="005A07A7"/>
    <w:rsid w:val="005A07E1"/>
    <w:rsid w:val="005A0808"/>
    <w:rsid w:val="005A081B"/>
    <w:rsid w:val="005A0838"/>
    <w:rsid w:val="005A08C3"/>
    <w:rsid w:val="005A092A"/>
    <w:rsid w:val="005A0AAE"/>
    <w:rsid w:val="005A0AEB"/>
    <w:rsid w:val="005A0BD0"/>
    <w:rsid w:val="005A0C86"/>
    <w:rsid w:val="005A0D49"/>
    <w:rsid w:val="005A0D98"/>
    <w:rsid w:val="005A0E2A"/>
    <w:rsid w:val="005A0E96"/>
    <w:rsid w:val="005A0F1B"/>
    <w:rsid w:val="005A0FA9"/>
    <w:rsid w:val="005A0FB3"/>
    <w:rsid w:val="005A10B8"/>
    <w:rsid w:val="005A110A"/>
    <w:rsid w:val="005A1118"/>
    <w:rsid w:val="005A11E0"/>
    <w:rsid w:val="005A1293"/>
    <w:rsid w:val="005A14A3"/>
    <w:rsid w:val="005A1559"/>
    <w:rsid w:val="005A1575"/>
    <w:rsid w:val="005A1583"/>
    <w:rsid w:val="005A169C"/>
    <w:rsid w:val="005A1742"/>
    <w:rsid w:val="005A1794"/>
    <w:rsid w:val="005A17B8"/>
    <w:rsid w:val="005A17C3"/>
    <w:rsid w:val="005A17DC"/>
    <w:rsid w:val="005A192C"/>
    <w:rsid w:val="005A1A8F"/>
    <w:rsid w:val="005A1AE5"/>
    <w:rsid w:val="005A1B78"/>
    <w:rsid w:val="005A1C12"/>
    <w:rsid w:val="005A1C71"/>
    <w:rsid w:val="005A1C93"/>
    <w:rsid w:val="005A1C97"/>
    <w:rsid w:val="005A1EDD"/>
    <w:rsid w:val="005A1F76"/>
    <w:rsid w:val="005A2058"/>
    <w:rsid w:val="005A235F"/>
    <w:rsid w:val="005A2488"/>
    <w:rsid w:val="005A24AF"/>
    <w:rsid w:val="005A2502"/>
    <w:rsid w:val="005A251E"/>
    <w:rsid w:val="005A27B6"/>
    <w:rsid w:val="005A27F2"/>
    <w:rsid w:val="005A2901"/>
    <w:rsid w:val="005A2911"/>
    <w:rsid w:val="005A2A19"/>
    <w:rsid w:val="005A2ABC"/>
    <w:rsid w:val="005A2AFD"/>
    <w:rsid w:val="005A2B68"/>
    <w:rsid w:val="005A2BC9"/>
    <w:rsid w:val="005A2EFB"/>
    <w:rsid w:val="005A2FCC"/>
    <w:rsid w:val="005A3121"/>
    <w:rsid w:val="005A3189"/>
    <w:rsid w:val="005A338A"/>
    <w:rsid w:val="005A3411"/>
    <w:rsid w:val="005A3478"/>
    <w:rsid w:val="005A34A0"/>
    <w:rsid w:val="005A3528"/>
    <w:rsid w:val="005A3549"/>
    <w:rsid w:val="005A35B8"/>
    <w:rsid w:val="005A38B3"/>
    <w:rsid w:val="005A394C"/>
    <w:rsid w:val="005A3962"/>
    <w:rsid w:val="005A3AF8"/>
    <w:rsid w:val="005A3B11"/>
    <w:rsid w:val="005A3B65"/>
    <w:rsid w:val="005A3B89"/>
    <w:rsid w:val="005A3BB4"/>
    <w:rsid w:val="005A3BC1"/>
    <w:rsid w:val="005A3BF5"/>
    <w:rsid w:val="005A3C8D"/>
    <w:rsid w:val="005A3CEF"/>
    <w:rsid w:val="005A3D77"/>
    <w:rsid w:val="005A3DC2"/>
    <w:rsid w:val="005A3EF3"/>
    <w:rsid w:val="005A3F5D"/>
    <w:rsid w:val="005A4114"/>
    <w:rsid w:val="005A4130"/>
    <w:rsid w:val="005A413C"/>
    <w:rsid w:val="005A4290"/>
    <w:rsid w:val="005A4414"/>
    <w:rsid w:val="005A4474"/>
    <w:rsid w:val="005A454A"/>
    <w:rsid w:val="005A4550"/>
    <w:rsid w:val="005A45CF"/>
    <w:rsid w:val="005A46BA"/>
    <w:rsid w:val="005A47BC"/>
    <w:rsid w:val="005A47FB"/>
    <w:rsid w:val="005A4AC9"/>
    <w:rsid w:val="005A4B66"/>
    <w:rsid w:val="005A4C1E"/>
    <w:rsid w:val="005A4C59"/>
    <w:rsid w:val="005A4CAF"/>
    <w:rsid w:val="005A4D31"/>
    <w:rsid w:val="005A4D48"/>
    <w:rsid w:val="005A5061"/>
    <w:rsid w:val="005A515A"/>
    <w:rsid w:val="005A5381"/>
    <w:rsid w:val="005A53DB"/>
    <w:rsid w:val="005A53F4"/>
    <w:rsid w:val="005A5453"/>
    <w:rsid w:val="005A5478"/>
    <w:rsid w:val="005A5517"/>
    <w:rsid w:val="005A56A3"/>
    <w:rsid w:val="005A56D7"/>
    <w:rsid w:val="005A57EB"/>
    <w:rsid w:val="005A588D"/>
    <w:rsid w:val="005A59C6"/>
    <w:rsid w:val="005A5AE5"/>
    <w:rsid w:val="005A5B13"/>
    <w:rsid w:val="005A5B67"/>
    <w:rsid w:val="005A5C4A"/>
    <w:rsid w:val="005A5C7B"/>
    <w:rsid w:val="005A5D13"/>
    <w:rsid w:val="005A5F25"/>
    <w:rsid w:val="005A6084"/>
    <w:rsid w:val="005A6085"/>
    <w:rsid w:val="005A60A5"/>
    <w:rsid w:val="005A6160"/>
    <w:rsid w:val="005A6271"/>
    <w:rsid w:val="005A62F6"/>
    <w:rsid w:val="005A632A"/>
    <w:rsid w:val="005A63F0"/>
    <w:rsid w:val="005A63FA"/>
    <w:rsid w:val="005A6480"/>
    <w:rsid w:val="005A6486"/>
    <w:rsid w:val="005A64F9"/>
    <w:rsid w:val="005A66C3"/>
    <w:rsid w:val="005A67EC"/>
    <w:rsid w:val="005A684D"/>
    <w:rsid w:val="005A691A"/>
    <w:rsid w:val="005A6C17"/>
    <w:rsid w:val="005A6CE2"/>
    <w:rsid w:val="005A6D70"/>
    <w:rsid w:val="005A6D7E"/>
    <w:rsid w:val="005A6D97"/>
    <w:rsid w:val="005A6E22"/>
    <w:rsid w:val="005A7002"/>
    <w:rsid w:val="005A7017"/>
    <w:rsid w:val="005A72D9"/>
    <w:rsid w:val="005A72E9"/>
    <w:rsid w:val="005A72F4"/>
    <w:rsid w:val="005A7571"/>
    <w:rsid w:val="005A7624"/>
    <w:rsid w:val="005A76C9"/>
    <w:rsid w:val="005A7757"/>
    <w:rsid w:val="005A77F6"/>
    <w:rsid w:val="005A7836"/>
    <w:rsid w:val="005A78CE"/>
    <w:rsid w:val="005A78F2"/>
    <w:rsid w:val="005A7B7F"/>
    <w:rsid w:val="005A7B9A"/>
    <w:rsid w:val="005A7BAC"/>
    <w:rsid w:val="005A7C73"/>
    <w:rsid w:val="005A7C76"/>
    <w:rsid w:val="005A7E46"/>
    <w:rsid w:val="005A7EE8"/>
    <w:rsid w:val="005B0002"/>
    <w:rsid w:val="005B0020"/>
    <w:rsid w:val="005B01CD"/>
    <w:rsid w:val="005B021A"/>
    <w:rsid w:val="005B025F"/>
    <w:rsid w:val="005B03B0"/>
    <w:rsid w:val="005B06D7"/>
    <w:rsid w:val="005B0729"/>
    <w:rsid w:val="005B086C"/>
    <w:rsid w:val="005B0969"/>
    <w:rsid w:val="005B0990"/>
    <w:rsid w:val="005B0B8F"/>
    <w:rsid w:val="005B0BA1"/>
    <w:rsid w:val="005B0CA8"/>
    <w:rsid w:val="005B0E97"/>
    <w:rsid w:val="005B0EE3"/>
    <w:rsid w:val="005B0F51"/>
    <w:rsid w:val="005B0FB1"/>
    <w:rsid w:val="005B0FB8"/>
    <w:rsid w:val="005B1009"/>
    <w:rsid w:val="005B113C"/>
    <w:rsid w:val="005B1160"/>
    <w:rsid w:val="005B116A"/>
    <w:rsid w:val="005B116C"/>
    <w:rsid w:val="005B11CC"/>
    <w:rsid w:val="005B1226"/>
    <w:rsid w:val="005B129B"/>
    <w:rsid w:val="005B12BC"/>
    <w:rsid w:val="005B1398"/>
    <w:rsid w:val="005B14DF"/>
    <w:rsid w:val="005B1509"/>
    <w:rsid w:val="005B156B"/>
    <w:rsid w:val="005B15AA"/>
    <w:rsid w:val="005B15C4"/>
    <w:rsid w:val="005B16DD"/>
    <w:rsid w:val="005B1748"/>
    <w:rsid w:val="005B1912"/>
    <w:rsid w:val="005B1967"/>
    <w:rsid w:val="005B19CA"/>
    <w:rsid w:val="005B19D2"/>
    <w:rsid w:val="005B19DB"/>
    <w:rsid w:val="005B1B1D"/>
    <w:rsid w:val="005B1B91"/>
    <w:rsid w:val="005B1C22"/>
    <w:rsid w:val="005B1C5A"/>
    <w:rsid w:val="005B1C6A"/>
    <w:rsid w:val="005B1D67"/>
    <w:rsid w:val="005B1ED3"/>
    <w:rsid w:val="005B1FBB"/>
    <w:rsid w:val="005B20EC"/>
    <w:rsid w:val="005B2164"/>
    <w:rsid w:val="005B23FF"/>
    <w:rsid w:val="005B2496"/>
    <w:rsid w:val="005B27C4"/>
    <w:rsid w:val="005B281F"/>
    <w:rsid w:val="005B2846"/>
    <w:rsid w:val="005B28B2"/>
    <w:rsid w:val="005B29C1"/>
    <w:rsid w:val="005B2A38"/>
    <w:rsid w:val="005B2B60"/>
    <w:rsid w:val="005B2CBC"/>
    <w:rsid w:val="005B2D5B"/>
    <w:rsid w:val="005B2DD8"/>
    <w:rsid w:val="005B2F77"/>
    <w:rsid w:val="005B307B"/>
    <w:rsid w:val="005B3091"/>
    <w:rsid w:val="005B3107"/>
    <w:rsid w:val="005B3121"/>
    <w:rsid w:val="005B320E"/>
    <w:rsid w:val="005B3295"/>
    <w:rsid w:val="005B33CD"/>
    <w:rsid w:val="005B3463"/>
    <w:rsid w:val="005B3648"/>
    <w:rsid w:val="005B364B"/>
    <w:rsid w:val="005B37B8"/>
    <w:rsid w:val="005B3899"/>
    <w:rsid w:val="005B38AB"/>
    <w:rsid w:val="005B3952"/>
    <w:rsid w:val="005B39A8"/>
    <w:rsid w:val="005B3A43"/>
    <w:rsid w:val="005B3AEB"/>
    <w:rsid w:val="005B3D63"/>
    <w:rsid w:val="005B3D6C"/>
    <w:rsid w:val="005B3DA8"/>
    <w:rsid w:val="005B3DCD"/>
    <w:rsid w:val="005B3F26"/>
    <w:rsid w:val="005B4163"/>
    <w:rsid w:val="005B41B4"/>
    <w:rsid w:val="005B41DA"/>
    <w:rsid w:val="005B42AE"/>
    <w:rsid w:val="005B430F"/>
    <w:rsid w:val="005B4390"/>
    <w:rsid w:val="005B44B0"/>
    <w:rsid w:val="005B44E6"/>
    <w:rsid w:val="005B453B"/>
    <w:rsid w:val="005B4588"/>
    <w:rsid w:val="005B462C"/>
    <w:rsid w:val="005B4637"/>
    <w:rsid w:val="005B46D8"/>
    <w:rsid w:val="005B473D"/>
    <w:rsid w:val="005B486C"/>
    <w:rsid w:val="005B49E7"/>
    <w:rsid w:val="005B4BCE"/>
    <w:rsid w:val="005B4C50"/>
    <w:rsid w:val="005B4DF2"/>
    <w:rsid w:val="005B4EB6"/>
    <w:rsid w:val="005B4EC3"/>
    <w:rsid w:val="005B4ED1"/>
    <w:rsid w:val="005B4FFF"/>
    <w:rsid w:val="005B518D"/>
    <w:rsid w:val="005B51FC"/>
    <w:rsid w:val="005B524C"/>
    <w:rsid w:val="005B538C"/>
    <w:rsid w:val="005B53A2"/>
    <w:rsid w:val="005B54AD"/>
    <w:rsid w:val="005B5750"/>
    <w:rsid w:val="005B5951"/>
    <w:rsid w:val="005B5A46"/>
    <w:rsid w:val="005B5A7D"/>
    <w:rsid w:val="005B5B8A"/>
    <w:rsid w:val="005B5BC7"/>
    <w:rsid w:val="005B5C33"/>
    <w:rsid w:val="005B5C68"/>
    <w:rsid w:val="005B5CB1"/>
    <w:rsid w:val="005B5DFC"/>
    <w:rsid w:val="005B5F4B"/>
    <w:rsid w:val="005B5F6B"/>
    <w:rsid w:val="005B6380"/>
    <w:rsid w:val="005B63A2"/>
    <w:rsid w:val="005B63D6"/>
    <w:rsid w:val="005B6731"/>
    <w:rsid w:val="005B67C8"/>
    <w:rsid w:val="005B6952"/>
    <w:rsid w:val="005B6955"/>
    <w:rsid w:val="005B6A81"/>
    <w:rsid w:val="005B6B67"/>
    <w:rsid w:val="005B6E19"/>
    <w:rsid w:val="005B6E70"/>
    <w:rsid w:val="005B6F2A"/>
    <w:rsid w:val="005B6F59"/>
    <w:rsid w:val="005B7280"/>
    <w:rsid w:val="005B7432"/>
    <w:rsid w:val="005B748E"/>
    <w:rsid w:val="005B74A0"/>
    <w:rsid w:val="005B7505"/>
    <w:rsid w:val="005B7510"/>
    <w:rsid w:val="005B7626"/>
    <w:rsid w:val="005B7675"/>
    <w:rsid w:val="005B76B9"/>
    <w:rsid w:val="005B77BC"/>
    <w:rsid w:val="005B782F"/>
    <w:rsid w:val="005B7A0D"/>
    <w:rsid w:val="005B7A2C"/>
    <w:rsid w:val="005B7A7F"/>
    <w:rsid w:val="005B7A86"/>
    <w:rsid w:val="005B7C14"/>
    <w:rsid w:val="005B7C7D"/>
    <w:rsid w:val="005B7CE3"/>
    <w:rsid w:val="005B7F08"/>
    <w:rsid w:val="005B7F3A"/>
    <w:rsid w:val="005C0025"/>
    <w:rsid w:val="005C0069"/>
    <w:rsid w:val="005C00D1"/>
    <w:rsid w:val="005C00DF"/>
    <w:rsid w:val="005C01B5"/>
    <w:rsid w:val="005C0397"/>
    <w:rsid w:val="005C069C"/>
    <w:rsid w:val="005C07A5"/>
    <w:rsid w:val="005C09FD"/>
    <w:rsid w:val="005C0A45"/>
    <w:rsid w:val="005C0A6C"/>
    <w:rsid w:val="005C0AAA"/>
    <w:rsid w:val="005C0BA4"/>
    <w:rsid w:val="005C0BC8"/>
    <w:rsid w:val="005C0C38"/>
    <w:rsid w:val="005C0E0A"/>
    <w:rsid w:val="005C0EC5"/>
    <w:rsid w:val="005C112F"/>
    <w:rsid w:val="005C115B"/>
    <w:rsid w:val="005C11C6"/>
    <w:rsid w:val="005C11F3"/>
    <w:rsid w:val="005C12BB"/>
    <w:rsid w:val="005C146C"/>
    <w:rsid w:val="005C1562"/>
    <w:rsid w:val="005C1612"/>
    <w:rsid w:val="005C1687"/>
    <w:rsid w:val="005C1706"/>
    <w:rsid w:val="005C17B8"/>
    <w:rsid w:val="005C1919"/>
    <w:rsid w:val="005C1A65"/>
    <w:rsid w:val="005C1A6C"/>
    <w:rsid w:val="005C1AEE"/>
    <w:rsid w:val="005C1C22"/>
    <w:rsid w:val="005C1C5B"/>
    <w:rsid w:val="005C1D12"/>
    <w:rsid w:val="005C1D8F"/>
    <w:rsid w:val="005C1E9A"/>
    <w:rsid w:val="005C1EA1"/>
    <w:rsid w:val="005C1EB3"/>
    <w:rsid w:val="005C204B"/>
    <w:rsid w:val="005C20DD"/>
    <w:rsid w:val="005C2146"/>
    <w:rsid w:val="005C2186"/>
    <w:rsid w:val="005C235C"/>
    <w:rsid w:val="005C23DD"/>
    <w:rsid w:val="005C2464"/>
    <w:rsid w:val="005C2514"/>
    <w:rsid w:val="005C2537"/>
    <w:rsid w:val="005C2540"/>
    <w:rsid w:val="005C25E7"/>
    <w:rsid w:val="005C25E9"/>
    <w:rsid w:val="005C2671"/>
    <w:rsid w:val="005C26EC"/>
    <w:rsid w:val="005C2C4B"/>
    <w:rsid w:val="005C2D41"/>
    <w:rsid w:val="005C2DAC"/>
    <w:rsid w:val="005C2E2C"/>
    <w:rsid w:val="005C2FD8"/>
    <w:rsid w:val="005C3156"/>
    <w:rsid w:val="005C315F"/>
    <w:rsid w:val="005C3387"/>
    <w:rsid w:val="005C3427"/>
    <w:rsid w:val="005C35CE"/>
    <w:rsid w:val="005C3656"/>
    <w:rsid w:val="005C370B"/>
    <w:rsid w:val="005C371D"/>
    <w:rsid w:val="005C3811"/>
    <w:rsid w:val="005C38FD"/>
    <w:rsid w:val="005C390C"/>
    <w:rsid w:val="005C3B1A"/>
    <w:rsid w:val="005C3B60"/>
    <w:rsid w:val="005C3D9D"/>
    <w:rsid w:val="005C3DCD"/>
    <w:rsid w:val="005C3DE5"/>
    <w:rsid w:val="005C421B"/>
    <w:rsid w:val="005C4375"/>
    <w:rsid w:val="005C43BA"/>
    <w:rsid w:val="005C449D"/>
    <w:rsid w:val="005C44AD"/>
    <w:rsid w:val="005C46F6"/>
    <w:rsid w:val="005C4866"/>
    <w:rsid w:val="005C48C6"/>
    <w:rsid w:val="005C48E1"/>
    <w:rsid w:val="005C495D"/>
    <w:rsid w:val="005C498D"/>
    <w:rsid w:val="005C4A16"/>
    <w:rsid w:val="005C4B59"/>
    <w:rsid w:val="005C4BAB"/>
    <w:rsid w:val="005C4CB4"/>
    <w:rsid w:val="005C4DBF"/>
    <w:rsid w:val="005C4FB5"/>
    <w:rsid w:val="005C5015"/>
    <w:rsid w:val="005C503B"/>
    <w:rsid w:val="005C5153"/>
    <w:rsid w:val="005C51D0"/>
    <w:rsid w:val="005C5419"/>
    <w:rsid w:val="005C5446"/>
    <w:rsid w:val="005C5567"/>
    <w:rsid w:val="005C57B4"/>
    <w:rsid w:val="005C57C6"/>
    <w:rsid w:val="005C591F"/>
    <w:rsid w:val="005C593C"/>
    <w:rsid w:val="005C5AE3"/>
    <w:rsid w:val="005C5B27"/>
    <w:rsid w:val="005C5B67"/>
    <w:rsid w:val="005C5BCC"/>
    <w:rsid w:val="005C5BDE"/>
    <w:rsid w:val="005C5C27"/>
    <w:rsid w:val="005C5C59"/>
    <w:rsid w:val="005C5EA3"/>
    <w:rsid w:val="005C5EC3"/>
    <w:rsid w:val="005C5EC4"/>
    <w:rsid w:val="005C5ED1"/>
    <w:rsid w:val="005C6020"/>
    <w:rsid w:val="005C6151"/>
    <w:rsid w:val="005C61B7"/>
    <w:rsid w:val="005C6235"/>
    <w:rsid w:val="005C6266"/>
    <w:rsid w:val="005C63DF"/>
    <w:rsid w:val="005C641A"/>
    <w:rsid w:val="005C644B"/>
    <w:rsid w:val="005C6517"/>
    <w:rsid w:val="005C65C7"/>
    <w:rsid w:val="005C6658"/>
    <w:rsid w:val="005C6882"/>
    <w:rsid w:val="005C68B1"/>
    <w:rsid w:val="005C693C"/>
    <w:rsid w:val="005C6967"/>
    <w:rsid w:val="005C69A8"/>
    <w:rsid w:val="005C69D9"/>
    <w:rsid w:val="005C6A8D"/>
    <w:rsid w:val="005C6B53"/>
    <w:rsid w:val="005C6C20"/>
    <w:rsid w:val="005C6DF6"/>
    <w:rsid w:val="005C6DF9"/>
    <w:rsid w:val="005C6E21"/>
    <w:rsid w:val="005C6E4C"/>
    <w:rsid w:val="005C6EB8"/>
    <w:rsid w:val="005C73C6"/>
    <w:rsid w:val="005C757E"/>
    <w:rsid w:val="005C7613"/>
    <w:rsid w:val="005C7615"/>
    <w:rsid w:val="005C7656"/>
    <w:rsid w:val="005C78E3"/>
    <w:rsid w:val="005C7926"/>
    <w:rsid w:val="005C7958"/>
    <w:rsid w:val="005C79B2"/>
    <w:rsid w:val="005C7ACB"/>
    <w:rsid w:val="005C7B4A"/>
    <w:rsid w:val="005C7B60"/>
    <w:rsid w:val="005C7EB4"/>
    <w:rsid w:val="005C7F3C"/>
    <w:rsid w:val="005C7F6E"/>
    <w:rsid w:val="005D0036"/>
    <w:rsid w:val="005D0083"/>
    <w:rsid w:val="005D012B"/>
    <w:rsid w:val="005D0184"/>
    <w:rsid w:val="005D01B1"/>
    <w:rsid w:val="005D01F4"/>
    <w:rsid w:val="005D02A5"/>
    <w:rsid w:val="005D038E"/>
    <w:rsid w:val="005D0417"/>
    <w:rsid w:val="005D049A"/>
    <w:rsid w:val="005D072F"/>
    <w:rsid w:val="005D0756"/>
    <w:rsid w:val="005D075C"/>
    <w:rsid w:val="005D07A8"/>
    <w:rsid w:val="005D08CE"/>
    <w:rsid w:val="005D0925"/>
    <w:rsid w:val="005D09C8"/>
    <w:rsid w:val="005D09F1"/>
    <w:rsid w:val="005D0A3E"/>
    <w:rsid w:val="005D0AD0"/>
    <w:rsid w:val="005D0AF3"/>
    <w:rsid w:val="005D0B02"/>
    <w:rsid w:val="005D0B65"/>
    <w:rsid w:val="005D0DD3"/>
    <w:rsid w:val="005D0DED"/>
    <w:rsid w:val="005D0E24"/>
    <w:rsid w:val="005D0FD8"/>
    <w:rsid w:val="005D1143"/>
    <w:rsid w:val="005D1195"/>
    <w:rsid w:val="005D1263"/>
    <w:rsid w:val="005D1432"/>
    <w:rsid w:val="005D15EA"/>
    <w:rsid w:val="005D1742"/>
    <w:rsid w:val="005D175E"/>
    <w:rsid w:val="005D19A1"/>
    <w:rsid w:val="005D1BB6"/>
    <w:rsid w:val="005D1D95"/>
    <w:rsid w:val="005D20BB"/>
    <w:rsid w:val="005D20C9"/>
    <w:rsid w:val="005D2207"/>
    <w:rsid w:val="005D2342"/>
    <w:rsid w:val="005D2381"/>
    <w:rsid w:val="005D242F"/>
    <w:rsid w:val="005D25B5"/>
    <w:rsid w:val="005D2620"/>
    <w:rsid w:val="005D2631"/>
    <w:rsid w:val="005D2711"/>
    <w:rsid w:val="005D2724"/>
    <w:rsid w:val="005D29B1"/>
    <w:rsid w:val="005D2A7F"/>
    <w:rsid w:val="005D2B33"/>
    <w:rsid w:val="005D2B5C"/>
    <w:rsid w:val="005D2C26"/>
    <w:rsid w:val="005D2CD0"/>
    <w:rsid w:val="005D2DBA"/>
    <w:rsid w:val="005D2F97"/>
    <w:rsid w:val="005D303F"/>
    <w:rsid w:val="005D34A7"/>
    <w:rsid w:val="005D35C6"/>
    <w:rsid w:val="005D3698"/>
    <w:rsid w:val="005D369D"/>
    <w:rsid w:val="005D3704"/>
    <w:rsid w:val="005D379D"/>
    <w:rsid w:val="005D37F5"/>
    <w:rsid w:val="005D3850"/>
    <w:rsid w:val="005D3863"/>
    <w:rsid w:val="005D39A2"/>
    <w:rsid w:val="005D3B38"/>
    <w:rsid w:val="005D3B59"/>
    <w:rsid w:val="005D3BCD"/>
    <w:rsid w:val="005D3BF9"/>
    <w:rsid w:val="005D3CC0"/>
    <w:rsid w:val="005D3CCA"/>
    <w:rsid w:val="005D3D91"/>
    <w:rsid w:val="005D3E0C"/>
    <w:rsid w:val="005D3EE7"/>
    <w:rsid w:val="005D3FA8"/>
    <w:rsid w:val="005D4247"/>
    <w:rsid w:val="005D43E0"/>
    <w:rsid w:val="005D44AC"/>
    <w:rsid w:val="005D4542"/>
    <w:rsid w:val="005D45C1"/>
    <w:rsid w:val="005D46E8"/>
    <w:rsid w:val="005D492A"/>
    <w:rsid w:val="005D493B"/>
    <w:rsid w:val="005D4A14"/>
    <w:rsid w:val="005D4B16"/>
    <w:rsid w:val="005D4B38"/>
    <w:rsid w:val="005D4BF4"/>
    <w:rsid w:val="005D4C53"/>
    <w:rsid w:val="005D4CD1"/>
    <w:rsid w:val="005D4E35"/>
    <w:rsid w:val="005D4EEA"/>
    <w:rsid w:val="005D4FB2"/>
    <w:rsid w:val="005D52B0"/>
    <w:rsid w:val="005D52D6"/>
    <w:rsid w:val="005D5348"/>
    <w:rsid w:val="005D539A"/>
    <w:rsid w:val="005D541A"/>
    <w:rsid w:val="005D543A"/>
    <w:rsid w:val="005D5447"/>
    <w:rsid w:val="005D54CF"/>
    <w:rsid w:val="005D556B"/>
    <w:rsid w:val="005D55FC"/>
    <w:rsid w:val="005D56D0"/>
    <w:rsid w:val="005D5888"/>
    <w:rsid w:val="005D5899"/>
    <w:rsid w:val="005D5AFD"/>
    <w:rsid w:val="005D5C2A"/>
    <w:rsid w:val="005D5C95"/>
    <w:rsid w:val="005D5EA5"/>
    <w:rsid w:val="005D5FC5"/>
    <w:rsid w:val="005D613F"/>
    <w:rsid w:val="005D6197"/>
    <w:rsid w:val="005D61CE"/>
    <w:rsid w:val="005D61D8"/>
    <w:rsid w:val="005D629E"/>
    <w:rsid w:val="005D62C8"/>
    <w:rsid w:val="005D6390"/>
    <w:rsid w:val="005D6433"/>
    <w:rsid w:val="005D64A0"/>
    <w:rsid w:val="005D64EA"/>
    <w:rsid w:val="005D64F4"/>
    <w:rsid w:val="005D65D5"/>
    <w:rsid w:val="005D664B"/>
    <w:rsid w:val="005D6838"/>
    <w:rsid w:val="005D68FF"/>
    <w:rsid w:val="005D6A40"/>
    <w:rsid w:val="005D6AB0"/>
    <w:rsid w:val="005D6B9D"/>
    <w:rsid w:val="005D6FB3"/>
    <w:rsid w:val="005D6FC0"/>
    <w:rsid w:val="005D7004"/>
    <w:rsid w:val="005D7060"/>
    <w:rsid w:val="005D711D"/>
    <w:rsid w:val="005D71AA"/>
    <w:rsid w:val="005D725F"/>
    <w:rsid w:val="005D7288"/>
    <w:rsid w:val="005D7446"/>
    <w:rsid w:val="005D74C8"/>
    <w:rsid w:val="005D753F"/>
    <w:rsid w:val="005D7642"/>
    <w:rsid w:val="005D776A"/>
    <w:rsid w:val="005D784F"/>
    <w:rsid w:val="005D78E9"/>
    <w:rsid w:val="005D7A72"/>
    <w:rsid w:val="005D7B84"/>
    <w:rsid w:val="005D7C0D"/>
    <w:rsid w:val="005D7C9A"/>
    <w:rsid w:val="005D7D83"/>
    <w:rsid w:val="005D7E0C"/>
    <w:rsid w:val="005D7E45"/>
    <w:rsid w:val="005D7EA8"/>
    <w:rsid w:val="005D7EC2"/>
    <w:rsid w:val="005D7F1B"/>
    <w:rsid w:val="005D7F40"/>
    <w:rsid w:val="005D7F96"/>
    <w:rsid w:val="005D7FDD"/>
    <w:rsid w:val="005E0008"/>
    <w:rsid w:val="005E01FE"/>
    <w:rsid w:val="005E02AC"/>
    <w:rsid w:val="005E0398"/>
    <w:rsid w:val="005E041A"/>
    <w:rsid w:val="005E0455"/>
    <w:rsid w:val="005E0528"/>
    <w:rsid w:val="005E08A9"/>
    <w:rsid w:val="005E0A0B"/>
    <w:rsid w:val="005E0A6F"/>
    <w:rsid w:val="005E0B14"/>
    <w:rsid w:val="005E0BBA"/>
    <w:rsid w:val="005E0CC6"/>
    <w:rsid w:val="005E0CED"/>
    <w:rsid w:val="005E0D80"/>
    <w:rsid w:val="005E0D84"/>
    <w:rsid w:val="005E0E26"/>
    <w:rsid w:val="005E0EC2"/>
    <w:rsid w:val="005E0F2A"/>
    <w:rsid w:val="005E0F93"/>
    <w:rsid w:val="005E1011"/>
    <w:rsid w:val="005E101E"/>
    <w:rsid w:val="005E1037"/>
    <w:rsid w:val="005E10DB"/>
    <w:rsid w:val="005E1164"/>
    <w:rsid w:val="005E1182"/>
    <w:rsid w:val="005E11BE"/>
    <w:rsid w:val="005E11FE"/>
    <w:rsid w:val="005E135D"/>
    <w:rsid w:val="005E136B"/>
    <w:rsid w:val="005E1403"/>
    <w:rsid w:val="005E1471"/>
    <w:rsid w:val="005E1483"/>
    <w:rsid w:val="005E1546"/>
    <w:rsid w:val="005E15A5"/>
    <w:rsid w:val="005E175C"/>
    <w:rsid w:val="005E18EC"/>
    <w:rsid w:val="005E19A1"/>
    <w:rsid w:val="005E1B22"/>
    <w:rsid w:val="005E1B3A"/>
    <w:rsid w:val="005E1CBF"/>
    <w:rsid w:val="005E1DA0"/>
    <w:rsid w:val="005E1E31"/>
    <w:rsid w:val="005E1E71"/>
    <w:rsid w:val="005E1E83"/>
    <w:rsid w:val="005E1F35"/>
    <w:rsid w:val="005E20E0"/>
    <w:rsid w:val="005E216A"/>
    <w:rsid w:val="005E2274"/>
    <w:rsid w:val="005E22DE"/>
    <w:rsid w:val="005E235D"/>
    <w:rsid w:val="005E2413"/>
    <w:rsid w:val="005E2429"/>
    <w:rsid w:val="005E243D"/>
    <w:rsid w:val="005E2472"/>
    <w:rsid w:val="005E2510"/>
    <w:rsid w:val="005E26BF"/>
    <w:rsid w:val="005E26F4"/>
    <w:rsid w:val="005E287B"/>
    <w:rsid w:val="005E28DD"/>
    <w:rsid w:val="005E28E0"/>
    <w:rsid w:val="005E2AB8"/>
    <w:rsid w:val="005E2B46"/>
    <w:rsid w:val="005E2B6B"/>
    <w:rsid w:val="005E2B9B"/>
    <w:rsid w:val="005E2C3C"/>
    <w:rsid w:val="005E2CB7"/>
    <w:rsid w:val="005E2D2C"/>
    <w:rsid w:val="005E2D9D"/>
    <w:rsid w:val="005E2DF7"/>
    <w:rsid w:val="005E2EB4"/>
    <w:rsid w:val="005E2EEE"/>
    <w:rsid w:val="005E2F28"/>
    <w:rsid w:val="005E2FB1"/>
    <w:rsid w:val="005E2FC7"/>
    <w:rsid w:val="005E3259"/>
    <w:rsid w:val="005E327A"/>
    <w:rsid w:val="005E338B"/>
    <w:rsid w:val="005E34F4"/>
    <w:rsid w:val="005E3539"/>
    <w:rsid w:val="005E3660"/>
    <w:rsid w:val="005E366D"/>
    <w:rsid w:val="005E3671"/>
    <w:rsid w:val="005E376A"/>
    <w:rsid w:val="005E3785"/>
    <w:rsid w:val="005E383D"/>
    <w:rsid w:val="005E3919"/>
    <w:rsid w:val="005E3A21"/>
    <w:rsid w:val="005E3C13"/>
    <w:rsid w:val="005E3C2B"/>
    <w:rsid w:val="005E3E21"/>
    <w:rsid w:val="005E3E54"/>
    <w:rsid w:val="005E3ED2"/>
    <w:rsid w:val="005E3F8F"/>
    <w:rsid w:val="005E3FE9"/>
    <w:rsid w:val="005E4045"/>
    <w:rsid w:val="005E4230"/>
    <w:rsid w:val="005E42F5"/>
    <w:rsid w:val="005E44BC"/>
    <w:rsid w:val="005E4517"/>
    <w:rsid w:val="005E4592"/>
    <w:rsid w:val="005E45D2"/>
    <w:rsid w:val="005E468C"/>
    <w:rsid w:val="005E46AE"/>
    <w:rsid w:val="005E47CA"/>
    <w:rsid w:val="005E4857"/>
    <w:rsid w:val="005E4928"/>
    <w:rsid w:val="005E49DA"/>
    <w:rsid w:val="005E4A7F"/>
    <w:rsid w:val="005E4BB0"/>
    <w:rsid w:val="005E4D61"/>
    <w:rsid w:val="005E4ED4"/>
    <w:rsid w:val="005E4F05"/>
    <w:rsid w:val="005E4F0B"/>
    <w:rsid w:val="005E4F71"/>
    <w:rsid w:val="005E5004"/>
    <w:rsid w:val="005E50FC"/>
    <w:rsid w:val="005E510A"/>
    <w:rsid w:val="005E517D"/>
    <w:rsid w:val="005E518F"/>
    <w:rsid w:val="005E5255"/>
    <w:rsid w:val="005E528D"/>
    <w:rsid w:val="005E52B5"/>
    <w:rsid w:val="005E5300"/>
    <w:rsid w:val="005E53D5"/>
    <w:rsid w:val="005E53EC"/>
    <w:rsid w:val="005E5457"/>
    <w:rsid w:val="005E59E9"/>
    <w:rsid w:val="005E5A18"/>
    <w:rsid w:val="005E5AFB"/>
    <w:rsid w:val="005E5B96"/>
    <w:rsid w:val="005E5C88"/>
    <w:rsid w:val="005E5D76"/>
    <w:rsid w:val="005E5EF7"/>
    <w:rsid w:val="005E5F68"/>
    <w:rsid w:val="005E6051"/>
    <w:rsid w:val="005E60EC"/>
    <w:rsid w:val="005E6147"/>
    <w:rsid w:val="005E61E2"/>
    <w:rsid w:val="005E6285"/>
    <w:rsid w:val="005E633E"/>
    <w:rsid w:val="005E6412"/>
    <w:rsid w:val="005E6486"/>
    <w:rsid w:val="005E66C8"/>
    <w:rsid w:val="005E673E"/>
    <w:rsid w:val="005E6876"/>
    <w:rsid w:val="005E69B8"/>
    <w:rsid w:val="005E6CC6"/>
    <w:rsid w:val="005E6D36"/>
    <w:rsid w:val="005E6E32"/>
    <w:rsid w:val="005E6E9C"/>
    <w:rsid w:val="005E6F20"/>
    <w:rsid w:val="005E6F23"/>
    <w:rsid w:val="005E6F53"/>
    <w:rsid w:val="005E705E"/>
    <w:rsid w:val="005E7065"/>
    <w:rsid w:val="005E7098"/>
    <w:rsid w:val="005E7110"/>
    <w:rsid w:val="005E721A"/>
    <w:rsid w:val="005E737F"/>
    <w:rsid w:val="005E73B0"/>
    <w:rsid w:val="005E7513"/>
    <w:rsid w:val="005E7552"/>
    <w:rsid w:val="005E760C"/>
    <w:rsid w:val="005E760D"/>
    <w:rsid w:val="005E770F"/>
    <w:rsid w:val="005E7764"/>
    <w:rsid w:val="005E78CC"/>
    <w:rsid w:val="005E78F2"/>
    <w:rsid w:val="005E7936"/>
    <w:rsid w:val="005E799C"/>
    <w:rsid w:val="005E799F"/>
    <w:rsid w:val="005E7A19"/>
    <w:rsid w:val="005E7B75"/>
    <w:rsid w:val="005E7B80"/>
    <w:rsid w:val="005E7C0A"/>
    <w:rsid w:val="005E7CBE"/>
    <w:rsid w:val="005E7E3D"/>
    <w:rsid w:val="005E7E9E"/>
    <w:rsid w:val="005E7EAB"/>
    <w:rsid w:val="005E7EDC"/>
    <w:rsid w:val="005E7F4C"/>
    <w:rsid w:val="005F056B"/>
    <w:rsid w:val="005F05F1"/>
    <w:rsid w:val="005F0647"/>
    <w:rsid w:val="005F0650"/>
    <w:rsid w:val="005F0679"/>
    <w:rsid w:val="005F0707"/>
    <w:rsid w:val="005F075C"/>
    <w:rsid w:val="005F0897"/>
    <w:rsid w:val="005F089C"/>
    <w:rsid w:val="005F0992"/>
    <w:rsid w:val="005F0D06"/>
    <w:rsid w:val="005F0D6B"/>
    <w:rsid w:val="005F0F20"/>
    <w:rsid w:val="005F0F4B"/>
    <w:rsid w:val="005F1053"/>
    <w:rsid w:val="005F107B"/>
    <w:rsid w:val="005F1140"/>
    <w:rsid w:val="005F11C8"/>
    <w:rsid w:val="005F1473"/>
    <w:rsid w:val="005F158A"/>
    <w:rsid w:val="005F159D"/>
    <w:rsid w:val="005F17A2"/>
    <w:rsid w:val="005F1A10"/>
    <w:rsid w:val="005F1A20"/>
    <w:rsid w:val="005F1E25"/>
    <w:rsid w:val="005F1E3E"/>
    <w:rsid w:val="005F1E62"/>
    <w:rsid w:val="005F1EC2"/>
    <w:rsid w:val="005F2144"/>
    <w:rsid w:val="005F2270"/>
    <w:rsid w:val="005F24F6"/>
    <w:rsid w:val="005F2780"/>
    <w:rsid w:val="005F27B6"/>
    <w:rsid w:val="005F2BB5"/>
    <w:rsid w:val="005F2CA7"/>
    <w:rsid w:val="005F2CCC"/>
    <w:rsid w:val="005F2D15"/>
    <w:rsid w:val="005F2DA9"/>
    <w:rsid w:val="005F2EC7"/>
    <w:rsid w:val="005F2EFB"/>
    <w:rsid w:val="005F2FB1"/>
    <w:rsid w:val="005F30A8"/>
    <w:rsid w:val="005F3130"/>
    <w:rsid w:val="005F31C1"/>
    <w:rsid w:val="005F322B"/>
    <w:rsid w:val="005F34DA"/>
    <w:rsid w:val="005F3530"/>
    <w:rsid w:val="005F369D"/>
    <w:rsid w:val="005F36E2"/>
    <w:rsid w:val="005F3702"/>
    <w:rsid w:val="005F373D"/>
    <w:rsid w:val="005F3855"/>
    <w:rsid w:val="005F3A3F"/>
    <w:rsid w:val="005F3A9A"/>
    <w:rsid w:val="005F3B80"/>
    <w:rsid w:val="005F3CBE"/>
    <w:rsid w:val="005F3F82"/>
    <w:rsid w:val="005F3FFA"/>
    <w:rsid w:val="005F404F"/>
    <w:rsid w:val="005F410A"/>
    <w:rsid w:val="005F42C4"/>
    <w:rsid w:val="005F4397"/>
    <w:rsid w:val="005F44A1"/>
    <w:rsid w:val="005F44B7"/>
    <w:rsid w:val="005F4516"/>
    <w:rsid w:val="005F4561"/>
    <w:rsid w:val="005F45DE"/>
    <w:rsid w:val="005F463C"/>
    <w:rsid w:val="005F4681"/>
    <w:rsid w:val="005F46A9"/>
    <w:rsid w:val="005F46F3"/>
    <w:rsid w:val="005F48CE"/>
    <w:rsid w:val="005F48DD"/>
    <w:rsid w:val="005F4C33"/>
    <w:rsid w:val="005F4DAA"/>
    <w:rsid w:val="005F4EAF"/>
    <w:rsid w:val="005F505B"/>
    <w:rsid w:val="005F5087"/>
    <w:rsid w:val="005F5266"/>
    <w:rsid w:val="005F52F5"/>
    <w:rsid w:val="005F533C"/>
    <w:rsid w:val="005F54AA"/>
    <w:rsid w:val="005F560E"/>
    <w:rsid w:val="005F56B4"/>
    <w:rsid w:val="005F56C6"/>
    <w:rsid w:val="005F57C4"/>
    <w:rsid w:val="005F586C"/>
    <w:rsid w:val="005F59C3"/>
    <w:rsid w:val="005F5B72"/>
    <w:rsid w:val="005F5B79"/>
    <w:rsid w:val="005F5BC3"/>
    <w:rsid w:val="005F5BCA"/>
    <w:rsid w:val="005F5BCC"/>
    <w:rsid w:val="005F5CE0"/>
    <w:rsid w:val="005F5DC8"/>
    <w:rsid w:val="005F5E46"/>
    <w:rsid w:val="005F5EE2"/>
    <w:rsid w:val="005F5FE9"/>
    <w:rsid w:val="005F5FEC"/>
    <w:rsid w:val="005F6033"/>
    <w:rsid w:val="005F604E"/>
    <w:rsid w:val="005F60B2"/>
    <w:rsid w:val="005F63D9"/>
    <w:rsid w:val="005F6490"/>
    <w:rsid w:val="005F6510"/>
    <w:rsid w:val="005F656B"/>
    <w:rsid w:val="005F677D"/>
    <w:rsid w:val="005F67F6"/>
    <w:rsid w:val="005F67FF"/>
    <w:rsid w:val="005F68C3"/>
    <w:rsid w:val="005F69B8"/>
    <w:rsid w:val="005F6B4D"/>
    <w:rsid w:val="005F6BEA"/>
    <w:rsid w:val="005F6BF1"/>
    <w:rsid w:val="005F6CAC"/>
    <w:rsid w:val="005F6F20"/>
    <w:rsid w:val="005F6F55"/>
    <w:rsid w:val="005F6F95"/>
    <w:rsid w:val="005F6FC7"/>
    <w:rsid w:val="005F70F0"/>
    <w:rsid w:val="005F717E"/>
    <w:rsid w:val="005F71FD"/>
    <w:rsid w:val="005F7231"/>
    <w:rsid w:val="005F7241"/>
    <w:rsid w:val="005F72DA"/>
    <w:rsid w:val="005F7478"/>
    <w:rsid w:val="005F74E3"/>
    <w:rsid w:val="005F7716"/>
    <w:rsid w:val="005F7775"/>
    <w:rsid w:val="005F7890"/>
    <w:rsid w:val="005F789F"/>
    <w:rsid w:val="005F78C4"/>
    <w:rsid w:val="005F78E8"/>
    <w:rsid w:val="005F794D"/>
    <w:rsid w:val="005F7ABB"/>
    <w:rsid w:val="005F7C2F"/>
    <w:rsid w:val="005F7C9E"/>
    <w:rsid w:val="005F7DF8"/>
    <w:rsid w:val="005F7E27"/>
    <w:rsid w:val="005F7E72"/>
    <w:rsid w:val="00600039"/>
    <w:rsid w:val="006002B1"/>
    <w:rsid w:val="00600427"/>
    <w:rsid w:val="00600457"/>
    <w:rsid w:val="00600468"/>
    <w:rsid w:val="006004C0"/>
    <w:rsid w:val="00600586"/>
    <w:rsid w:val="006005AF"/>
    <w:rsid w:val="00600606"/>
    <w:rsid w:val="00600812"/>
    <w:rsid w:val="00600A4F"/>
    <w:rsid w:val="00600A92"/>
    <w:rsid w:val="00600B5B"/>
    <w:rsid w:val="00600CA1"/>
    <w:rsid w:val="00600CA6"/>
    <w:rsid w:val="00600D43"/>
    <w:rsid w:val="00600DAB"/>
    <w:rsid w:val="00601166"/>
    <w:rsid w:val="006011DA"/>
    <w:rsid w:val="006012F5"/>
    <w:rsid w:val="0060137B"/>
    <w:rsid w:val="006013B7"/>
    <w:rsid w:val="006013C0"/>
    <w:rsid w:val="0060151A"/>
    <w:rsid w:val="0060158F"/>
    <w:rsid w:val="00601606"/>
    <w:rsid w:val="0060160D"/>
    <w:rsid w:val="00601709"/>
    <w:rsid w:val="0060188F"/>
    <w:rsid w:val="006018E7"/>
    <w:rsid w:val="006019BA"/>
    <w:rsid w:val="00601D99"/>
    <w:rsid w:val="00601FAF"/>
    <w:rsid w:val="00601FB3"/>
    <w:rsid w:val="00601FD8"/>
    <w:rsid w:val="0060206A"/>
    <w:rsid w:val="0060210E"/>
    <w:rsid w:val="00602185"/>
    <w:rsid w:val="0060220E"/>
    <w:rsid w:val="006022A1"/>
    <w:rsid w:val="00602317"/>
    <w:rsid w:val="00602384"/>
    <w:rsid w:val="006023AA"/>
    <w:rsid w:val="006023AE"/>
    <w:rsid w:val="00602585"/>
    <w:rsid w:val="006025E2"/>
    <w:rsid w:val="0060271C"/>
    <w:rsid w:val="006027F5"/>
    <w:rsid w:val="00602821"/>
    <w:rsid w:val="00602848"/>
    <w:rsid w:val="00602A24"/>
    <w:rsid w:val="00602B36"/>
    <w:rsid w:val="00602C7D"/>
    <w:rsid w:val="00602CB5"/>
    <w:rsid w:val="00602EE9"/>
    <w:rsid w:val="00602F35"/>
    <w:rsid w:val="00603062"/>
    <w:rsid w:val="006030D6"/>
    <w:rsid w:val="00603154"/>
    <w:rsid w:val="006033D4"/>
    <w:rsid w:val="0060341B"/>
    <w:rsid w:val="00603429"/>
    <w:rsid w:val="00603458"/>
    <w:rsid w:val="006034CB"/>
    <w:rsid w:val="0060358B"/>
    <w:rsid w:val="006036F0"/>
    <w:rsid w:val="00603719"/>
    <w:rsid w:val="00603726"/>
    <w:rsid w:val="0060379B"/>
    <w:rsid w:val="00603839"/>
    <w:rsid w:val="0060385D"/>
    <w:rsid w:val="0060388B"/>
    <w:rsid w:val="006039C0"/>
    <w:rsid w:val="00603A37"/>
    <w:rsid w:val="00603A6D"/>
    <w:rsid w:val="00603CA3"/>
    <w:rsid w:val="00603DDE"/>
    <w:rsid w:val="00603ECA"/>
    <w:rsid w:val="00603F19"/>
    <w:rsid w:val="00603FA9"/>
    <w:rsid w:val="00604162"/>
    <w:rsid w:val="006041AE"/>
    <w:rsid w:val="006042D8"/>
    <w:rsid w:val="006043E0"/>
    <w:rsid w:val="006043EC"/>
    <w:rsid w:val="00604596"/>
    <w:rsid w:val="006045D9"/>
    <w:rsid w:val="00604640"/>
    <w:rsid w:val="006047E2"/>
    <w:rsid w:val="006048AD"/>
    <w:rsid w:val="006048BD"/>
    <w:rsid w:val="00604902"/>
    <w:rsid w:val="00604A85"/>
    <w:rsid w:val="00604AD0"/>
    <w:rsid w:val="00604AD6"/>
    <w:rsid w:val="00604C21"/>
    <w:rsid w:val="00604CB6"/>
    <w:rsid w:val="00604D8B"/>
    <w:rsid w:val="00604DC2"/>
    <w:rsid w:val="00604F57"/>
    <w:rsid w:val="00604F5C"/>
    <w:rsid w:val="00604FAF"/>
    <w:rsid w:val="006051B8"/>
    <w:rsid w:val="00605261"/>
    <w:rsid w:val="00605395"/>
    <w:rsid w:val="006054C9"/>
    <w:rsid w:val="006054D7"/>
    <w:rsid w:val="006055A9"/>
    <w:rsid w:val="00605639"/>
    <w:rsid w:val="006057F2"/>
    <w:rsid w:val="00605953"/>
    <w:rsid w:val="00605A41"/>
    <w:rsid w:val="00605AE0"/>
    <w:rsid w:val="00605C37"/>
    <w:rsid w:val="00605E5C"/>
    <w:rsid w:val="00605ECA"/>
    <w:rsid w:val="0060606F"/>
    <w:rsid w:val="006061A0"/>
    <w:rsid w:val="006062CC"/>
    <w:rsid w:val="0060641E"/>
    <w:rsid w:val="006064A9"/>
    <w:rsid w:val="0060658A"/>
    <w:rsid w:val="006065C3"/>
    <w:rsid w:val="00606681"/>
    <w:rsid w:val="006067B9"/>
    <w:rsid w:val="006067F6"/>
    <w:rsid w:val="00606859"/>
    <w:rsid w:val="0060699D"/>
    <w:rsid w:val="006069B5"/>
    <w:rsid w:val="00606B8F"/>
    <w:rsid w:val="00606C08"/>
    <w:rsid w:val="00606C18"/>
    <w:rsid w:val="00606CC6"/>
    <w:rsid w:val="00606D68"/>
    <w:rsid w:val="00606E42"/>
    <w:rsid w:val="00606E53"/>
    <w:rsid w:val="00606EB6"/>
    <w:rsid w:val="00606ECD"/>
    <w:rsid w:val="00606EDA"/>
    <w:rsid w:val="00606EE6"/>
    <w:rsid w:val="00606EE7"/>
    <w:rsid w:val="00606F08"/>
    <w:rsid w:val="00607080"/>
    <w:rsid w:val="006072CB"/>
    <w:rsid w:val="006073B7"/>
    <w:rsid w:val="006074BD"/>
    <w:rsid w:val="00607520"/>
    <w:rsid w:val="0060761B"/>
    <w:rsid w:val="0060769A"/>
    <w:rsid w:val="006076B5"/>
    <w:rsid w:val="0060772D"/>
    <w:rsid w:val="006077B1"/>
    <w:rsid w:val="006078FF"/>
    <w:rsid w:val="00607B9F"/>
    <w:rsid w:val="00607CB2"/>
    <w:rsid w:val="00607D26"/>
    <w:rsid w:val="00607D66"/>
    <w:rsid w:val="00607D98"/>
    <w:rsid w:val="00607DA9"/>
    <w:rsid w:val="00607EFD"/>
    <w:rsid w:val="00607F33"/>
    <w:rsid w:val="00607F43"/>
    <w:rsid w:val="00607F6E"/>
    <w:rsid w:val="006100AC"/>
    <w:rsid w:val="0061020A"/>
    <w:rsid w:val="00610354"/>
    <w:rsid w:val="0061052B"/>
    <w:rsid w:val="006106B6"/>
    <w:rsid w:val="00610AB6"/>
    <w:rsid w:val="00610AF3"/>
    <w:rsid w:val="00610CD4"/>
    <w:rsid w:val="00610D98"/>
    <w:rsid w:val="00610F1E"/>
    <w:rsid w:val="00610F90"/>
    <w:rsid w:val="0061103E"/>
    <w:rsid w:val="0061109C"/>
    <w:rsid w:val="006111BD"/>
    <w:rsid w:val="0061154C"/>
    <w:rsid w:val="00611561"/>
    <w:rsid w:val="00611837"/>
    <w:rsid w:val="0061189A"/>
    <w:rsid w:val="006118E7"/>
    <w:rsid w:val="0061194C"/>
    <w:rsid w:val="00611B32"/>
    <w:rsid w:val="00611BA4"/>
    <w:rsid w:val="00611D9B"/>
    <w:rsid w:val="00611E6A"/>
    <w:rsid w:val="00611F20"/>
    <w:rsid w:val="00611F92"/>
    <w:rsid w:val="00612072"/>
    <w:rsid w:val="0061208E"/>
    <w:rsid w:val="00612090"/>
    <w:rsid w:val="0061215D"/>
    <w:rsid w:val="00612415"/>
    <w:rsid w:val="00612551"/>
    <w:rsid w:val="0061264E"/>
    <w:rsid w:val="00612687"/>
    <w:rsid w:val="006126FC"/>
    <w:rsid w:val="0061273E"/>
    <w:rsid w:val="00612811"/>
    <w:rsid w:val="006128AB"/>
    <w:rsid w:val="00612AA1"/>
    <w:rsid w:val="00612C95"/>
    <w:rsid w:val="00612D2E"/>
    <w:rsid w:val="00612DB0"/>
    <w:rsid w:val="00612F0A"/>
    <w:rsid w:val="006130AB"/>
    <w:rsid w:val="006130E5"/>
    <w:rsid w:val="006132B4"/>
    <w:rsid w:val="006132CD"/>
    <w:rsid w:val="006132D2"/>
    <w:rsid w:val="0061332B"/>
    <w:rsid w:val="006134D3"/>
    <w:rsid w:val="00613682"/>
    <w:rsid w:val="00613935"/>
    <w:rsid w:val="00613987"/>
    <w:rsid w:val="00613B1C"/>
    <w:rsid w:val="00613BDF"/>
    <w:rsid w:val="00613EA4"/>
    <w:rsid w:val="00613EE8"/>
    <w:rsid w:val="006140B6"/>
    <w:rsid w:val="006143EA"/>
    <w:rsid w:val="0061456E"/>
    <w:rsid w:val="006145DF"/>
    <w:rsid w:val="006146E7"/>
    <w:rsid w:val="006146F8"/>
    <w:rsid w:val="00614900"/>
    <w:rsid w:val="00614A23"/>
    <w:rsid w:val="00614A29"/>
    <w:rsid w:val="00614A33"/>
    <w:rsid w:val="00614A34"/>
    <w:rsid w:val="00614A8E"/>
    <w:rsid w:val="00614BF8"/>
    <w:rsid w:val="00614C54"/>
    <w:rsid w:val="00614D56"/>
    <w:rsid w:val="00614DBA"/>
    <w:rsid w:val="00614FF8"/>
    <w:rsid w:val="00615018"/>
    <w:rsid w:val="0061510B"/>
    <w:rsid w:val="006151C9"/>
    <w:rsid w:val="006151FA"/>
    <w:rsid w:val="0061525B"/>
    <w:rsid w:val="00615310"/>
    <w:rsid w:val="0061538C"/>
    <w:rsid w:val="00615405"/>
    <w:rsid w:val="00615496"/>
    <w:rsid w:val="0061585B"/>
    <w:rsid w:val="00615938"/>
    <w:rsid w:val="006159D5"/>
    <w:rsid w:val="00615A5D"/>
    <w:rsid w:val="00615ACC"/>
    <w:rsid w:val="00615B4D"/>
    <w:rsid w:val="00615D0E"/>
    <w:rsid w:val="00615E0A"/>
    <w:rsid w:val="00615E24"/>
    <w:rsid w:val="00615F10"/>
    <w:rsid w:val="00615F67"/>
    <w:rsid w:val="0061602C"/>
    <w:rsid w:val="00616106"/>
    <w:rsid w:val="006161CE"/>
    <w:rsid w:val="00616292"/>
    <w:rsid w:val="0061629A"/>
    <w:rsid w:val="006162F9"/>
    <w:rsid w:val="00616328"/>
    <w:rsid w:val="0061639B"/>
    <w:rsid w:val="00616467"/>
    <w:rsid w:val="00616803"/>
    <w:rsid w:val="0061695D"/>
    <w:rsid w:val="006169E8"/>
    <w:rsid w:val="00616AAD"/>
    <w:rsid w:val="00616B0C"/>
    <w:rsid w:val="00616D9C"/>
    <w:rsid w:val="00616E53"/>
    <w:rsid w:val="00616E90"/>
    <w:rsid w:val="00616F29"/>
    <w:rsid w:val="0061701A"/>
    <w:rsid w:val="0061718F"/>
    <w:rsid w:val="0061723A"/>
    <w:rsid w:val="00617293"/>
    <w:rsid w:val="00617357"/>
    <w:rsid w:val="006173BA"/>
    <w:rsid w:val="006174B3"/>
    <w:rsid w:val="0061758E"/>
    <w:rsid w:val="006175BC"/>
    <w:rsid w:val="00617610"/>
    <w:rsid w:val="0061763B"/>
    <w:rsid w:val="006177BF"/>
    <w:rsid w:val="00617842"/>
    <w:rsid w:val="0061793C"/>
    <w:rsid w:val="0061797F"/>
    <w:rsid w:val="006179AB"/>
    <w:rsid w:val="00617A96"/>
    <w:rsid w:val="00617A9C"/>
    <w:rsid w:val="00617B14"/>
    <w:rsid w:val="00617B76"/>
    <w:rsid w:val="00617C41"/>
    <w:rsid w:val="00617C95"/>
    <w:rsid w:val="00617E4B"/>
    <w:rsid w:val="00617E69"/>
    <w:rsid w:val="00617FA6"/>
    <w:rsid w:val="00617FDE"/>
    <w:rsid w:val="006200E9"/>
    <w:rsid w:val="0062026F"/>
    <w:rsid w:val="0062052E"/>
    <w:rsid w:val="00620599"/>
    <w:rsid w:val="006205D2"/>
    <w:rsid w:val="006206A4"/>
    <w:rsid w:val="00620735"/>
    <w:rsid w:val="00620954"/>
    <w:rsid w:val="00620A0F"/>
    <w:rsid w:val="00620C46"/>
    <w:rsid w:val="00620CFE"/>
    <w:rsid w:val="0062119A"/>
    <w:rsid w:val="00621264"/>
    <w:rsid w:val="00621286"/>
    <w:rsid w:val="006212E2"/>
    <w:rsid w:val="00621408"/>
    <w:rsid w:val="0062142F"/>
    <w:rsid w:val="0062146D"/>
    <w:rsid w:val="006215C4"/>
    <w:rsid w:val="0062163B"/>
    <w:rsid w:val="00621802"/>
    <w:rsid w:val="0062187C"/>
    <w:rsid w:val="00621888"/>
    <w:rsid w:val="00621A4D"/>
    <w:rsid w:val="00621BBA"/>
    <w:rsid w:val="00621F47"/>
    <w:rsid w:val="00621FBA"/>
    <w:rsid w:val="00622037"/>
    <w:rsid w:val="00622243"/>
    <w:rsid w:val="006222A3"/>
    <w:rsid w:val="006222EF"/>
    <w:rsid w:val="0062245A"/>
    <w:rsid w:val="006225ED"/>
    <w:rsid w:val="006225FB"/>
    <w:rsid w:val="0062275E"/>
    <w:rsid w:val="0062296D"/>
    <w:rsid w:val="0062296F"/>
    <w:rsid w:val="006229A9"/>
    <w:rsid w:val="006229CE"/>
    <w:rsid w:val="00622CEE"/>
    <w:rsid w:val="00622D1A"/>
    <w:rsid w:val="00622D60"/>
    <w:rsid w:val="00622D66"/>
    <w:rsid w:val="00622E96"/>
    <w:rsid w:val="00622EAB"/>
    <w:rsid w:val="00622FB6"/>
    <w:rsid w:val="00623104"/>
    <w:rsid w:val="00623284"/>
    <w:rsid w:val="00623370"/>
    <w:rsid w:val="0062338F"/>
    <w:rsid w:val="006233BE"/>
    <w:rsid w:val="0062342D"/>
    <w:rsid w:val="00623452"/>
    <w:rsid w:val="00623749"/>
    <w:rsid w:val="006237A5"/>
    <w:rsid w:val="006237F1"/>
    <w:rsid w:val="0062382A"/>
    <w:rsid w:val="00623984"/>
    <w:rsid w:val="006239F1"/>
    <w:rsid w:val="00623B5F"/>
    <w:rsid w:val="00623C9B"/>
    <w:rsid w:val="00623CFC"/>
    <w:rsid w:val="00623E0C"/>
    <w:rsid w:val="00623EB1"/>
    <w:rsid w:val="00623EFB"/>
    <w:rsid w:val="00623FAA"/>
    <w:rsid w:val="00624022"/>
    <w:rsid w:val="0062405D"/>
    <w:rsid w:val="0062411D"/>
    <w:rsid w:val="00624140"/>
    <w:rsid w:val="00624152"/>
    <w:rsid w:val="0062419B"/>
    <w:rsid w:val="00624352"/>
    <w:rsid w:val="00624410"/>
    <w:rsid w:val="006244A0"/>
    <w:rsid w:val="00624500"/>
    <w:rsid w:val="006245CB"/>
    <w:rsid w:val="006245CF"/>
    <w:rsid w:val="0062471F"/>
    <w:rsid w:val="00624758"/>
    <w:rsid w:val="00624817"/>
    <w:rsid w:val="00624B6B"/>
    <w:rsid w:val="00624BB9"/>
    <w:rsid w:val="00624BF4"/>
    <w:rsid w:val="00624C38"/>
    <w:rsid w:val="00624C80"/>
    <w:rsid w:val="00624D74"/>
    <w:rsid w:val="00624E2C"/>
    <w:rsid w:val="00624E4B"/>
    <w:rsid w:val="00625050"/>
    <w:rsid w:val="006250C4"/>
    <w:rsid w:val="006251B8"/>
    <w:rsid w:val="0062533E"/>
    <w:rsid w:val="00625389"/>
    <w:rsid w:val="006253D0"/>
    <w:rsid w:val="006254CA"/>
    <w:rsid w:val="00625568"/>
    <w:rsid w:val="006256FA"/>
    <w:rsid w:val="0062592D"/>
    <w:rsid w:val="00625993"/>
    <w:rsid w:val="006259D2"/>
    <w:rsid w:val="00625BD5"/>
    <w:rsid w:val="00625CDC"/>
    <w:rsid w:val="00625D1D"/>
    <w:rsid w:val="00625D2F"/>
    <w:rsid w:val="00625D5A"/>
    <w:rsid w:val="00625DFE"/>
    <w:rsid w:val="00625E36"/>
    <w:rsid w:val="00625E39"/>
    <w:rsid w:val="00625E76"/>
    <w:rsid w:val="00625E7A"/>
    <w:rsid w:val="00625E9F"/>
    <w:rsid w:val="00625EA7"/>
    <w:rsid w:val="00625EEE"/>
    <w:rsid w:val="00625FD5"/>
    <w:rsid w:val="006260B2"/>
    <w:rsid w:val="00626211"/>
    <w:rsid w:val="006265B6"/>
    <w:rsid w:val="0062672E"/>
    <w:rsid w:val="00626748"/>
    <w:rsid w:val="0062678C"/>
    <w:rsid w:val="006267D0"/>
    <w:rsid w:val="00626861"/>
    <w:rsid w:val="00626B91"/>
    <w:rsid w:val="00626BFD"/>
    <w:rsid w:val="00626C26"/>
    <w:rsid w:val="00626DEE"/>
    <w:rsid w:val="00626EF6"/>
    <w:rsid w:val="00626FD5"/>
    <w:rsid w:val="006270FF"/>
    <w:rsid w:val="00627142"/>
    <w:rsid w:val="00627157"/>
    <w:rsid w:val="006271A2"/>
    <w:rsid w:val="00627238"/>
    <w:rsid w:val="006274EB"/>
    <w:rsid w:val="0062756C"/>
    <w:rsid w:val="00627725"/>
    <w:rsid w:val="00627785"/>
    <w:rsid w:val="0062778A"/>
    <w:rsid w:val="006277AD"/>
    <w:rsid w:val="006278F0"/>
    <w:rsid w:val="006279AF"/>
    <w:rsid w:val="00627B08"/>
    <w:rsid w:val="00627B53"/>
    <w:rsid w:val="00627C19"/>
    <w:rsid w:val="00627C3C"/>
    <w:rsid w:val="00627C57"/>
    <w:rsid w:val="00627D1A"/>
    <w:rsid w:val="00627D3B"/>
    <w:rsid w:val="00627D84"/>
    <w:rsid w:val="00627DCD"/>
    <w:rsid w:val="00627E6B"/>
    <w:rsid w:val="00627EE8"/>
    <w:rsid w:val="00630093"/>
    <w:rsid w:val="0063020E"/>
    <w:rsid w:val="006302EB"/>
    <w:rsid w:val="00630351"/>
    <w:rsid w:val="006304DD"/>
    <w:rsid w:val="006304E3"/>
    <w:rsid w:val="00630521"/>
    <w:rsid w:val="0063058C"/>
    <w:rsid w:val="0063063C"/>
    <w:rsid w:val="00630656"/>
    <w:rsid w:val="00630670"/>
    <w:rsid w:val="006306A7"/>
    <w:rsid w:val="006306AF"/>
    <w:rsid w:val="006306C7"/>
    <w:rsid w:val="0063074E"/>
    <w:rsid w:val="006307F4"/>
    <w:rsid w:val="0063089D"/>
    <w:rsid w:val="006308C7"/>
    <w:rsid w:val="00630912"/>
    <w:rsid w:val="00630A0B"/>
    <w:rsid w:val="00630B98"/>
    <w:rsid w:val="00630BE6"/>
    <w:rsid w:val="00630C94"/>
    <w:rsid w:val="00630EA5"/>
    <w:rsid w:val="00630FCD"/>
    <w:rsid w:val="00631050"/>
    <w:rsid w:val="006311EF"/>
    <w:rsid w:val="00631238"/>
    <w:rsid w:val="00631257"/>
    <w:rsid w:val="0063139F"/>
    <w:rsid w:val="006314B1"/>
    <w:rsid w:val="0063157C"/>
    <w:rsid w:val="006316A9"/>
    <w:rsid w:val="006316F5"/>
    <w:rsid w:val="006318B7"/>
    <w:rsid w:val="006319B8"/>
    <w:rsid w:val="006319EF"/>
    <w:rsid w:val="00631ACE"/>
    <w:rsid w:val="00631B0F"/>
    <w:rsid w:val="00631BE0"/>
    <w:rsid w:val="00631C67"/>
    <w:rsid w:val="00631EA9"/>
    <w:rsid w:val="00631EEA"/>
    <w:rsid w:val="00631FD9"/>
    <w:rsid w:val="00632164"/>
    <w:rsid w:val="0063218A"/>
    <w:rsid w:val="006321AB"/>
    <w:rsid w:val="006321AD"/>
    <w:rsid w:val="0063247D"/>
    <w:rsid w:val="006324CE"/>
    <w:rsid w:val="00632501"/>
    <w:rsid w:val="0063255A"/>
    <w:rsid w:val="006325D7"/>
    <w:rsid w:val="006327A7"/>
    <w:rsid w:val="00632985"/>
    <w:rsid w:val="00632B4A"/>
    <w:rsid w:val="00632C32"/>
    <w:rsid w:val="00632D82"/>
    <w:rsid w:val="00632DE7"/>
    <w:rsid w:val="00632F18"/>
    <w:rsid w:val="00632FB3"/>
    <w:rsid w:val="00633048"/>
    <w:rsid w:val="00633100"/>
    <w:rsid w:val="0063317C"/>
    <w:rsid w:val="0063322C"/>
    <w:rsid w:val="006332BF"/>
    <w:rsid w:val="00633593"/>
    <w:rsid w:val="0063365C"/>
    <w:rsid w:val="006336B5"/>
    <w:rsid w:val="0063374C"/>
    <w:rsid w:val="006337A8"/>
    <w:rsid w:val="006338DD"/>
    <w:rsid w:val="00633900"/>
    <w:rsid w:val="006339A8"/>
    <w:rsid w:val="006339DE"/>
    <w:rsid w:val="00633AA2"/>
    <w:rsid w:val="00633AD0"/>
    <w:rsid w:val="00633C54"/>
    <w:rsid w:val="00633CD4"/>
    <w:rsid w:val="00633DF9"/>
    <w:rsid w:val="00633F41"/>
    <w:rsid w:val="00634181"/>
    <w:rsid w:val="006343F4"/>
    <w:rsid w:val="00634433"/>
    <w:rsid w:val="00634630"/>
    <w:rsid w:val="006346CA"/>
    <w:rsid w:val="0063470C"/>
    <w:rsid w:val="00634725"/>
    <w:rsid w:val="00634838"/>
    <w:rsid w:val="006349A1"/>
    <w:rsid w:val="00634A88"/>
    <w:rsid w:val="00634A9D"/>
    <w:rsid w:val="00634B4E"/>
    <w:rsid w:val="00634C70"/>
    <w:rsid w:val="00634CB4"/>
    <w:rsid w:val="00634CE2"/>
    <w:rsid w:val="00634CFF"/>
    <w:rsid w:val="00634DD9"/>
    <w:rsid w:val="00634E09"/>
    <w:rsid w:val="00634F57"/>
    <w:rsid w:val="00634F99"/>
    <w:rsid w:val="00634F9C"/>
    <w:rsid w:val="0063504D"/>
    <w:rsid w:val="006350A5"/>
    <w:rsid w:val="006351FA"/>
    <w:rsid w:val="0063523E"/>
    <w:rsid w:val="0063526D"/>
    <w:rsid w:val="0063556C"/>
    <w:rsid w:val="006355CB"/>
    <w:rsid w:val="00635778"/>
    <w:rsid w:val="006358F1"/>
    <w:rsid w:val="0063591C"/>
    <w:rsid w:val="00635928"/>
    <w:rsid w:val="00635991"/>
    <w:rsid w:val="00635A52"/>
    <w:rsid w:val="00635B0F"/>
    <w:rsid w:val="00635BFA"/>
    <w:rsid w:val="00635D08"/>
    <w:rsid w:val="00635E77"/>
    <w:rsid w:val="00635F24"/>
    <w:rsid w:val="00635FDB"/>
    <w:rsid w:val="006360E7"/>
    <w:rsid w:val="00636169"/>
    <w:rsid w:val="0063619C"/>
    <w:rsid w:val="006362DD"/>
    <w:rsid w:val="00636542"/>
    <w:rsid w:val="00636550"/>
    <w:rsid w:val="006366B8"/>
    <w:rsid w:val="00636771"/>
    <w:rsid w:val="00636821"/>
    <w:rsid w:val="00636845"/>
    <w:rsid w:val="006368C7"/>
    <w:rsid w:val="00636931"/>
    <w:rsid w:val="00636A0E"/>
    <w:rsid w:val="00636D72"/>
    <w:rsid w:val="00636E77"/>
    <w:rsid w:val="00637189"/>
    <w:rsid w:val="00637192"/>
    <w:rsid w:val="00637228"/>
    <w:rsid w:val="0063729F"/>
    <w:rsid w:val="006372AE"/>
    <w:rsid w:val="006372BB"/>
    <w:rsid w:val="006373EF"/>
    <w:rsid w:val="006373F3"/>
    <w:rsid w:val="00637433"/>
    <w:rsid w:val="006375D7"/>
    <w:rsid w:val="00637687"/>
    <w:rsid w:val="0063769D"/>
    <w:rsid w:val="0063769E"/>
    <w:rsid w:val="006376AD"/>
    <w:rsid w:val="006376C0"/>
    <w:rsid w:val="006376E8"/>
    <w:rsid w:val="00637714"/>
    <w:rsid w:val="00637834"/>
    <w:rsid w:val="0063783D"/>
    <w:rsid w:val="006378E8"/>
    <w:rsid w:val="0063792B"/>
    <w:rsid w:val="00637BA7"/>
    <w:rsid w:val="00637BE2"/>
    <w:rsid w:val="00637BF6"/>
    <w:rsid w:val="00637EF5"/>
    <w:rsid w:val="0064002B"/>
    <w:rsid w:val="0064005C"/>
    <w:rsid w:val="0064009B"/>
    <w:rsid w:val="006400D7"/>
    <w:rsid w:val="00640191"/>
    <w:rsid w:val="006401FD"/>
    <w:rsid w:val="00640216"/>
    <w:rsid w:val="006402BE"/>
    <w:rsid w:val="0064031B"/>
    <w:rsid w:val="00640382"/>
    <w:rsid w:val="006403FA"/>
    <w:rsid w:val="0064062E"/>
    <w:rsid w:val="00640682"/>
    <w:rsid w:val="006406D7"/>
    <w:rsid w:val="006407C4"/>
    <w:rsid w:val="006408E4"/>
    <w:rsid w:val="00640951"/>
    <w:rsid w:val="00640A4E"/>
    <w:rsid w:val="00640BFC"/>
    <w:rsid w:val="00640C63"/>
    <w:rsid w:val="00640D58"/>
    <w:rsid w:val="00640D61"/>
    <w:rsid w:val="00640DAC"/>
    <w:rsid w:val="00640E1A"/>
    <w:rsid w:val="00640EA0"/>
    <w:rsid w:val="00640F15"/>
    <w:rsid w:val="00640F22"/>
    <w:rsid w:val="00640F52"/>
    <w:rsid w:val="00640F6E"/>
    <w:rsid w:val="00640F78"/>
    <w:rsid w:val="006410A4"/>
    <w:rsid w:val="006410BB"/>
    <w:rsid w:val="006410D4"/>
    <w:rsid w:val="0064112E"/>
    <w:rsid w:val="00641308"/>
    <w:rsid w:val="00641372"/>
    <w:rsid w:val="006413AD"/>
    <w:rsid w:val="00641460"/>
    <w:rsid w:val="006414C5"/>
    <w:rsid w:val="006415D6"/>
    <w:rsid w:val="0064174A"/>
    <w:rsid w:val="006418D1"/>
    <w:rsid w:val="00641AA1"/>
    <w:rsid w:val="00641BB6"/>
    <w:rsid w:val="00641C69"/>
    <w:rsid w:val="00641CD9"/>
    <w:rsid w:val="00641CFD"/>
    <w:rsid w:val="00641D01"/>
    <w:rsid w:val="00641E01"/>
    <w:rsid w:val="00641E38"/>
    <w:rsid w:val="00641E5D"/>
    <w:rsid w:val="00641F4A"/>
    <w:rsid w:val="00641FF4"/>
    <w:rsid w:val="006420BF"/>
    <w:rsid w:val="006420D2"/>
    <w:rsid w:val="00642111"/>
    <w:rsid w:val="006421AA"/>
    <w:rsid w:val="00642283"/>
    <w:rsid w:val="006424C1"/>
    <w:rsid w:val="0064254E"/>
    <w:rsid w:val="00642584"/>
    <w:rsid w:val="006426AD"/>
    <w:rsid w:val="006426CC"/>
    <w:rsid w:val="006426F5"/>
    <w:rsid w:val="006429AC"/>
    <w:rsid w:val="00642A61"/>
    <w:rsid w:val="00642A69"/>
    <w:rsid w:val="00642C9E"/>
    <w:rsid w:val="00642D9D"/>
    <w:rsid w:val="00642DC9"/>
    <w:rsid w:val="00642ED5"/>
    <w:rsid w:val="00642F07"/>
    <w:rsid w:val="00642F16"/>
    <w:rsid w:val="00642FB8"/>
    <w:rsid w:val="00642FE8"/>
    <w:rsid w:val="00643067"/>
    <w:rsid w:val="00643096"/>
    <w:rsid w:val="006430A1"/>
    <w:rsid w:val="006430ED"/>
    <w:rsid w:val="006431C9"/>
    <w:rsid w:val="00643253"/>
    <w:rsid w:val="006432E0"/>
    <w:rsid w:val="00643424"/>
    <w:rsid w:val="00643429"/>
    <w:rsid w:val="00643639"/>
    <w:rsid w:val="0064365A"/>
    <w:rsid w:val="006438D1"/>
    <w:rsid w:val="00643B3C"/>
    <w:rsid w:val="00643BC2"/>
    <w:rsid w:val="00643D98"/>
    <w:rsid w:val="00643DAE"/>
    <w:rsid w:val="00643E2E"/>
    <w:rsid w:val="00643E77"/>
    <w:rsid w:val="006441EA"/>
    <w:rsid w:val="00644289"/>
    <w:rsid w:val="006442F7"/>
    <w:rsid w:val="00644342"/>
    <w:rsid w:val="006443BF"/>
    <w:rsid w:val="006447B7"/>
    <w:rsid w:val="00644A2D"/>
    <w:rsid w:val="00644AAD"/>
    <w:rsid w:val="00644B3B"/>
    <w:rsid w:val="00644B71"/>
    <w:rsid w:val="00644BA8"/>
    <w:rsid w:val="00644C6C"/>
    <w:rsid w:val="00644D3D"/>
    <w:rsid w:val="00644DCA"/>
    <w:rsid w:val="00644E00"/>
    <w:rsid w:val="00644EB3"/>
    <w:rsid w:val="00644EE4"/>
    <w:rsid w:val="00644F84"/>
    <w:rsid w:val="00645087"/>
    <w:rsid w:val="006450DB"/>
    <w:rsid w:val="00645269"/>
    <w:rsid w:val="00645321"/>
    <w:rsid w:val="006453C3"/>
    <w:rsid w:val="0064540D"/>
    <w:rsid w:val="00645499"/>
    <w:rsid w:val="006454CB"/>
    <w:rsid w:val="0064572E"/>
    <w:rsid w:val="0064576B"/>
    <w:rsid w:val="006458DF"/>
    <w:rsid w:val="00645C29"/>
    <w:rsid w:val="00645C77"/>
    <w:rsid w:val="00645CBE"/>
    <w:rsid w:val="00645D77"/>
    <w:rsid w:val="00645E1A"/>
    <w:rsid w:val="00645E53"/>
    <w:rsid w:val="00645FA2"/>
    <w:rsid w:val="0064603B"/>
    <w:rsid w:val="00646083"/>
    <w:rsid w:val="006460E5"/>
    <w:rsid w:val="0064614A"/>
    <w:rsid w:val="00646475"/>
    <w:rsid w:val="006464C7"/>
    <w:rsid w:val="00646500"/>
    <w:rsid w:val="006465D5"/>
    <w:rsid w:val="00646626"/>
    <w:rsid w:val="006466F2"/>
    <w:rsid w:val="00646868"/>
    <w:rsid w:val="00646AB1"/>
    <w:rsid w:val="00646AC6"/>
    <w:rsid w:val="00646C73"/>
    <w:rsid w:val="00646C90"/>
    <w:rsid w:val="00646C9A"/>
    <w:rsid w:val="00646D16"/>
    <w:rsid w:val="00646D9A"/>
    <w:rsid w:val="00646DC1"/>
    <w:rsid w:val="00646F68"/>
    <w:rsid w:val="00646FF2"/>
    <w:rsid w:val="006470B7"/>
    <w:rsid w:val="0064712C"/>
    <w:rsid w:val="00647155"/>
    <w:rsid w:val="00647159"/>
    <w:rsid w:val="0064735C"/>
    <w:rsid w:val="0064760A"/>
    <w:rsid w:val="00647758"/>
    <w:rsid w:val="006477E4"/>
    <w:rsid w:val="00647831"/>
    <w:rsid w:val="00647A2E"/>
    <w:rsid w:val="00647A6C"/>
    <w:rsid w:val="00647B18"/>
    <w:rsid w:val="00647C38"/>
    <w:rsid w:val="00647D34"/>
    <w:rsid w:val="00647D9B"/>
    <w:rsid w:val="00647E07"/>
    <w:rsid w:val="00647E31"/>
    <w:rsid w:val="00647F0D"/>
    <w:rsid w:val="00650188"/>
    <w:rsid w:val="0065024F"/>
    <w:rsid w:val="00650382"/>
    <w:rsid w:val="006503E9"/>
    <w:rsid w:val="00650582"/>
    <w:rsid w:val="00650585"/>
    <w:rsid w:val="00650640"/>
    <w:rsid w:val="0065087E"/>
    <w:rsid w:val="006508C1"/>
    <w:rsid w:val="00650956"/>
    <w:rsid w:val="00650B8E"/>
    <w:rsid w:val="00650BB5"/>
    <w:rsid w:val="00650BC5"/>
    <w:rsid w:val="00650D07"/>
    <w:rsid w:val="00650DDC"/>
    <w:rsid w:val="00650E33"/>
    <w:rsid w:val="00650E91"/>
    <w:rsid w:val="00651007"/>
    <w:rsid w:val="00651182"/>
    <w:rsid w:val="00651234"/>
    <w:rsid w:val="00651373"/>
    <w:rsid w:val="00651611"/>
    <w:rsid w:val="0065163A"/>
    <w:rsid w:val="006516CA"/>
    <w:rsid w:val="00651730"/>
    <w:rsid w:val="00651887"/>
    <w:rsid w:val="0065199E"/>
    <w:rsid w:val="00651A83"/>
    <w:rsid w:val="00651ABF"/>
    <w:rsid w:val="00651AD0"/>
    <w:rsid w:val="00651B9D"/>
    <w:rsid w:val="00651BA2"/>
    <w:rsid w:val="00651BD2"/>
    <w:rsid w:val="00651C0B"/>
    <w:rsid w:val="00651F88"/>
    <w:rsid w:val="00651FE3"/>
    <w:rsid w:val="00652010"/>
    <w:rsid w:val="006520DD"/>
    <w:rsid w:val="00652243"/>
    <w:rsid w:val="006522A3"/>
    <w:rsid w:val="0065232C"/>
    <w:rsid w:val="0065236A"/>
    <w:rsid w:val="006523D8"/>
    <w:rsid w:val="006523F8"/>
    <w:rsid w:val="0065247E"/>
    <w:rsid w:val="00652487"/>
    <w:rsid w:val="006524BE"/>
    <w:rsid w:val="00652637"/>
    <w:rsid w:val="00652664"/>
    <w:rsid w:val="0065274C"/>
    <w:rsid w:val="00652863"/>
    <w:rsid w:val="00652AC7"/>
    <w:rsid w:val="00652C55"/>
    <w:rsid w:val="00652C57"/>
    <w:rsid w:val="00652CB7"/>
    <w:rsid w:val="00652CC1"/>
    <w:rsid w:val="00652D60"/>
    <w:rsid w:val="00652E7B"/>
    <w:rsid w:val="00652F14"/>
    <w:rsid w:val="00652F6B"/>
    <w:rsid w:val="00652FC8"/>
    <w:rsid w:val="0065301E"/>
    <w:rsid w:val="0065303E"/>
    <w:rsid w:val="006530A0"/>
    <w:rsid w:val="00653149"/>
    <w:rsid w:val="006531B9"/>
    <w:rsid w:val="006531FF"/>
    <w:rsid w:val="00653245"/>
    <w:rsid w:val="0065324C"/>
    <w:rsid w:val="006532F3"/>
    <w:rsid w:val="00653326"/>
    <w:rsid w:val="0065335F"/>
    <w:rsid w:val="00653386"/>
    <w:rsid w:val="006534DE"/>
    <w:rsid w:val="00653554"/>
    <w:rsid w:val="0065357C"/>
    <w:rsid w:val="0065358F"/>
    <w:rsid w:val="006535B9"/>
    <w:rsid w:val="00653602"/>
    <w:rsid w:val="00653699"/>
    <w:rsid w:val="006537E4"/>
    <w:rsid w:val="00653827"/>
    <w:rsid w:val="006538A6"/>
    <w:rsid w:val="006538F6"/>
    <w:rsid w:val="00653925"/>
    <w:rsid w:val="00653A25"/>
    <w:rsid w:val="00653B75"/>
    <w:rsid w:val="00653BF6"/>
    <w:rsid w:val="00653C02"/>
    <w:rsid w:val="00653C13"/>
    <w:rsid w:val="00653D52"/>
    <w:rsid w:val="00653E18"/>
    <w:rsid w:val="00653F1D"/>
    <w:rsid w:val="006540D2"/>
    <w:rsid w:val="00654216"/>
    <w:rsid w:val="00654265"/>
    <w:rsid w:val="006542F8"/>
    <w:rsid w:val="006543CE"/>
    <w:rsid w:val="00654680"/>
    <w:rsid w:val="006546D1"/>
    <w:rsid w:val="006546E4"/>
    <w:rsid w:val="006546E8"/>
    <w:rsid w:val="00654708"/>
    <w:rsid w:val="00654775"/>
    <w:rsid w:val="00654845"/>
    <w:rsid w:val="00654947"/>
    <w:rsid w:val="00654A61"/>
    <w:rsid w:val="00654A6D"/>
    <w:rsid w:val="00654AD5"/>
    <w:rsid w:val="00654C06"/>
    <w:rsid w:val="00654C75"/>
    <w:rsid w:val="00654C7E"/>
    <w:rsid w:val="00654CF6"/>
    <w:rsid w:val="00654D5B"/>
    <w:rsid w:val="00654E68"/>
    <w:rsid w:val="00654EDD"/>
    <w:rsid w:val="00654F98"/>
    <w:rsid w:val="00654FCA"/>
    <w:rsid w:val="0065503A"/>
    <w:rsid w:val="0065505E"/>
    <w:rsid w:val="00655115"/>
    <w:rsid w:val="0065519A"/>
    <w:rsid w:val="006551B5"/>
    <w:rsid w:val="006552A6"/>
    <w:rsid w:val="006552B5"/>
    <w:rsid w:val="00655422"/>
    <w:rsid w:val="006554ED"/>
    <w:rsid w:val="00655628"/>
    <w:rsid w:val="0065562B"/>
    <w:rsid w:val="0065569D"/>
    <w:rsid w:val="00655851"/>
    <w:rsid w:val="00655958"/>
    <w:rsid w:val="006559F3"/>
    <w:rsid w:val="00655B2C"/>
    <w:rsid w:val="00655BD0"/>
    <w:rsid w:val="00655C2A"/>
    <w:rsid w:val="00655DDE"/>
    <w:rsid w:val="00655DE3"/>
    <w:rsid w:val="00655E16"/>
    <w:rsid w:val="00655F76"/>
    <w:rsid w:val="006560CC"/>
    <w:rsid w:val="006560E3"/>
    <w:rsid w:val="00656172"/>
    <w:rsid w:val="00656534"/>
    <w:rsid w:val="0065657C"/>
    <w:rsid w:val="0065677F"/>
    <w:rsid w:val="00656783"/>
    <w:rsid w:val="0065684C"/>
    <w:rsid w:val="00656977"/>
    <w:rsid w:val="006569AF"/>
    <w:rsid w:val="00656C0E"/>
    <w:rsid w:val="00656C48"/>
    <w:rsid w:val="00656C80"/>
    <w:rsid w:val="00656E7F"/>
    <w:rsid w:val="00656EA5"/>
    <w:rsid w:val="00657242"/>
    <w:rsid w:val="00657279"/>
    <w:rsid w:val="00657361"/>
    <w:rsid w:val="00657402"/>
    <w:rsid w:val="006574DC"/>
    <w:rsid w:val="006577A8"/>
    <w:rsid w:val="006577E5"/>
    <w:rsid w:val="00657834"/>
    <w:rsid w:val="00657952"/>
    <w:rsid w:val="00657B43"/>
    <w:rsid w:val="00657C11"/>
    <w:rsid w:val="00657C15"/>
    <w:rsid w:val="00657FE8"/>
    <w:rsid w:val="00660076"/>
    <w:rsid w:val="0066017F"/>
    <w:rsid w:val="00660219"/>
    <w:rsid w:val="006602C9"/>
    <w:rsid w:val="006603C4"/>
    <w:rsid w:val="006604A9"/>
    <w:rsid w:val="0066058E"/>
    <w:rsid w:val="00660609"/>
    <w:rsid w:val="00660624"/>
    <w:rsid w:val="0066087D"/>
    <w:rsid w:val="006609ED"/>
    <w:rsid w:val="00660A2A"/>
    <w:rsid w:val="00660BB2"/>
    <w:rsid w:val="00660BFC"/>
    <w:rsid w:val="00660C0B"/>
    <w:rsid w:val="00660C89"/>
    <w:rsid w:val="00660E3C"/>
    <w:rsid w:val="00660F67"/>
    <w:rsid w:val="00660F74"/>
    <w:rsid w:val="00661009"/>
    <w:rsid w:val="0066119F"/>
    <w:rsid w:val="00661256"/>
    <w:rsid w:val="006612BC"/>
    <w:rsid w:val="006612D7"/>
    <w:rsid w:val="006612D9"/>
    <w:rsid w:val="00661315"/>
    <w:rsid w:val="0066160B"/>
    <w:rsid w:val="00661891"/>
    <w:rsid w:val="006619D4"/>
    <w:rsid w:val="00661A4D"/>
    <w:rsid w:val="00661C29"/>
    <w:rsid w:val="00661D71"/>
    <w:rsid w:val="00661EBD"/>
    <w:rsid w:val="00661FE9"/>
    <w:rsid w:val="0066203B"/>
    <w:rsid w:val="00662072"/>
    <w:rsid w:val="00662092"/>
    <w:rsid w:val="006620FF"/>
    <w:rsid w:val="006622D1"/>
    <w:rsid w:val="00662470"/>
    <w:rsid w:val="00662493"/>
    <w:rsid w:val="006624D2"/>
    <w:rsid w:val="006624D5"/>
    <w:rsid w:val="00662726"/>
    <w:rsid w:val="006627E5"/>
    <w:rsid w:val="00662817"/>
    <w:rsid w:val="00662885"/>
    <w:rsid w:val="006628AF"/>
    <w:rsid w:val="006629B4"/>
    <w:rsid w:val="00662A17"/>
    <w:rsid w:val="00662BD0"/>
    <w:rsid w:val="00662BD1"/>
    <w:rsid w:val="00662BE6"/>
    <w:rsid w:val="00662CFA"/>
    <w:rsid w:val="00662D85"/>
    <w:rsid w:val="00662E08"/>
    <w:rsid w:val="00662E21"/>
    <w:rsid w:val="00662EE2"/>
    <w:rsid w:val="0066313C"/>
    <w:rsid w:val="006632F1"/>
    <w:rsid w:val="00663383"/>
    <w:rsid w:val="006633A3"/>
    <w:rsid w:val="006634BA"/>
    <w:rsid w:val="006634D2"/>
    <w:rsid w:val="00663575"/>
    <w:rsid w:val="0066359E"/>
    <w:rsid w:val="006635BF"/>
    <w:rsid w:val="006637C6"/>
    <w:rsid w:val="00663896"/>
    <w:rsid w:val="0066391B"/>
    <w:rsid w:val="006639E5"/>
    <w:rsid w:val="00663AC6"/>
    <w:rsid w:val="00663C38"/>
    <w:rsid w:val="00663C41"/>
    <w:rsid w:val="00663CED"/>
    <w:rsid w:val="00663D13"/>
    <w:rsid w:val="00663D14"/>
    <w:rsid w:val="00663EDC"/>
    <w:rsid w:val="00663F03"/>
    <w:rsid w:val="00663F28"/>
    <w:rsid w:val="00664044"/>
    <w:rsid w:val="006642D2"/>
    <w:rsid w:val="0066450F"/>
    <w:rsid w:val="0066451C"/>
    <w:rsid w:val="00664530"/>
    <w:rsid w:val="006645F0"/>
    <w:rsid w:val="00664643"/>
    <w:rsid w:val="006646A6"/>
    <w:rsid w:val="00664789"/>
    <w:rsid w:val="0066498B"/>
    <w:rsid w:val="00664A18"/>
    <w:rsid w:val="00664A23"/>
    <w:rsid w:val="00664BEE"/>
    <w:rsid w:val="00664C73"/>
    <w:rsid w:val="00664C85"/>
    <w:rsid w:val="00664C8E"/>
    <w:rsid w:val="00664DEB"/>
    <w:rsid w:val="00664E50"/>
    <w:rsid w:val="00664E8E"/>
    <w:rsid w:val="00665055"/>
    <w:rsid w:val="00665109"/>
    <w:rsid w:val="00665147"/>
    <w:rsid w:val="0066515F"/>
    <w:rsid w:val="00665278"/>
    <w:rsid w:val="00665529"/>
    <w:rsid w:val="0066552E"/>
    <w:rsid w:val="0066559F"/>
    <w:rsid w:val="0066565D"/>
    <w:rsid w:val="00665706"/>
    <w:rsid w:val="00665925"/>
    <w:rsid w:val="0066594B"/>
    <w:rsid w:val="006659BD"/>
    <w:rsid w:val="00665A8B"/>
    <w:rsid w:val="00665B21"/>
    <w:rsid w:val="00665B69"/>
    <w:rsid w:val="00665BC5"/>
    <w:rsid w:val="00665BF9"/>
    <w:rsid w:val="00665C51"/>
    <w:rsid w:val="00665CBE"/>
    <w:rsid w:val="00665CEE"/>
    <w:rsid w:val="00665E4E"/>
    <w:rsid w:val="00665F4C"/>
    <w:rsid w:val="00666154"/>
    <w:rsid w:val="006661E5"/>
    <w:rsid w:val="006662A5"/>
    <w:rsid w:val="0066636B"/>
    <w:rsid w:val="006664D5"/>
    <w:rsid w:val="006664FB"/>
    <w:rsid w:val="0066655E"/>
    <w:rsid w:val="0066656E"/>
    <w:rsid w:val="00666667"/>
    <w:rsid w:val="00666677"/>
    <w:rsid w:val="006667A1"/>
    <w:rsid w:val="0066692C"/>
    <w:rsid w:val="00666B92"/>
    <w:rsid w:val="00666D00"/>
    <w:rsid w:val="00666D9C"/>
    <w:rsid w:val="00666E84"/>
    <w:rsid w:val="00666EEE"/>
    <w:rsid w:val="00666F25"/>
    <w:rsid w:val="00666FEB"/>
    <w:rsid w:val="00666FEF"/>
    <w:rsid w:val="0066711A"/>
    <w:rsid w:val="00667361"/>
    <w:rsid w:val="00667373"/>
    <w:rsid w:val="00667389"/>
    <w:rsid w:val="006675A8"/>
    <w:rsid w:val="00667655"/>
    <w:rsid w:val="006676C7"/>
    <w:rsid w:val="00667731"/>
    <w:rsid w:val="006678E4"/>
    <w:rsid w:val="0066796B"/>
    <w:rsid w:val="00667A91"/>
    <w:rsid w:val="00667ACD"/>
    <w:rsid w:val="00667B71"/>
    <w:rsid w:val="00667B74"/>
    <w:rsid w:val="00667B87"/>
    <w:rsid w:val="00667BE2"/>
    <w:rsid w:val="00667D35"/>
    <w:rsid w:val="00667D88"/>
    <w:rsid w:val="00667DAC"/>
    <w:rsid w:val="00667E8F"/>
    <w:rsid w:val="00667EA3"/>
    <w:rsid w:val="00667EED"/>
    <w:rsid w:val="00667F5E"/>
    <w:rsid w:val="00667FF5"/>
    <w:rsid w:val="00667FFE"/>
    <w:rsid w:val="00670078"/>
    <w:rsid w:val="0067019D"/>
    <w:rsid w:val="00670255"/>
    <w:rsid w:val="0067047B"/>
    <w:rsid w:val="0067054C"/>
    <w:rsid w:val="00670AE0"/>
    <w:rsid w:val="00670B82"/>
    <w:rsid w:val="00670BD6"/>
    <w:rsid w:val="00670C49"/>
    <w:rsid w:val="00670D5E"/>
    <w:rsid w:val="00670D8C"/>
    <w:rsid w:val="00670E78"/>
    <w:rsid w:val="00670E7D"/>
    <w:rsid w:val="00670FDA"/>
    <w:rsid w:val="00671022"/>
    <w:rsid w:val="0067102A"/>
    <w:rsid w:val="0067107A"/>
    <w:rsid w:val="00671091"/>
    <w:rsid w:val="006710D3"/>
    <w:rsid w:val="006710E4"/>
    <w:rsid w:val="00671142"/>
    <w:rsid w:val="00671370"/>
    <w:rsid w:val="006713E4"/>
    <w:rsid w:val="00671462"/>
    <w:rsid w:val="006715CB"/>
    <w:rsid w:val="0067192C"/>
    <w:rsid w:val="0067199D"/>
    <w:rsid w:val="00671AAC"/>
    <w:rsid w:val="00671ACC"/>
    <w:rsid w:val="00671AD8"/>
    <w:rsid w:val="00671B03"/>
    <w:rsid w:val="00671B65"/>
    <w:rsid w:val="00671B69"/>
    <w:rsid w:val="00671B77"/>
    <w:rsid w:val="00671C10"/>
    <w:rsid w:val="00671C8E"/>
    <w:rsid w:val="00671D72"/>
    <w:rsid w:val="00671D87"/>
    <w:rsid w:val="00671E8D"/>
    <w:rsid w:val="00671E9F"/>
    <w:rsid w:val="00671ED3"/>
    <w:rsid w:val="00671F04"/>
    <w:rsid w:val="006720F3"/>
    <w:rsid w:val="0067210F"/>
    <w:rsid w:val="0067215D"/>
    <w:rsid w:val="0067217C"/>
    <w:rsid w:val="006721BD"/>
    <w:rsid w:val="006721CF"/>
    <w:rsid w:val="00672395"/>
    <w:rsid w:val="006723DB"/>
    <w:rsid w:val="00672440"/>
    <w:rsid w:val="00672441"/>
    <w:rsid w:val="0067245A"/>
    <w:rsid w:val="006724B7"/>
    <w:rsid w:val="00672559"/>
    <w:rsid w:val="00672565"/>
    <w:rsid w:val="00672597"/>
    <w:rsid w:val="00672682"/>
    <w:rsid w:val="00672725"/>
    <w:rsid w:val="00672884"/>
    <w:rsid w:val="00672901"/>
    <w:rsid w:val="00672972"/>
    <w:rsid w:val="00672A28"/>
    <w:rsid w:val="00672BC6"/>
    <w:rsid w:val="00672CE3"/>
    <w:rsid w:val="00672D4C"/>
    <w:rsid w:val="00672EE4"/>
    <w:rsid w:val="00672FA8"/>
    <w:rsid w:val="006731C2"/>
    <w:rsid w:val="00673253"/>
    <w:rsid w:val="0067336B"/>
    <w:rsid w:val="006733F5"/>
    <w:rsid w:val="0067376D"/>
    <w:rsid w:val="00673881"/>
    <w:rsid w:val="00673922"/>
    <w:rsid w:val="006739D1"/>
    <w:rsid w:val="00673A19"/>
    <w:rsid w:val="00673C25"/>
    <w:rsid w:val="00673CA8"/>
    <w:rsid w:val="00673CD6"/>
    <w:rsid w:val="00673D3E"/>
    <w:rsid w:val="00673E57"/>
    <w:rsid w:val="00673EA2"/>
    <w:rsid w:val="00673EAD"/>
    <w:rsid w:val="00673ED4"/>
    <w:rsid w:val="00673F2C"/>
    <w:rsid w:val="00673F31"/>
    <w:rsid w:val="00673FB7"/>
    <w:rsid w:val="00674036"/>
    <w:rsid w:val="0067406A"/>
    <w:rsid w:val="00674149"/>
    <w:rsid w:val="00674231"/>
    <w:rsid w:val="00674434"/>
    <w:rsid w:val="006744C1"/>
    <w:rsid w:val="00674501"/>
    <w:rsid w:val="0067453E"/>
    <w:rsid w:val="0067454D"/>
    <w:rsid w:val="0067462B"/>
    <w:rsid w:val="0067466C"/>
    <w:rsid w:val="006746E3"/>
    <w:rsid w:val="006747AE"/>
    <w:rsid w:val="0067480D"/>
    <w:rsid w:val="00674A37"/>
    <w:rsid w:val="00674AE0"/>
    <w:rsid w:val="00674B50"/>
    <w:rsid w:val="00674CBE"/>
    <w:rsid w:val="00674CE8"/>
    <w:rsid w:val="00674DFF"/>
    <w:rsid w:val="00674F79"/>
    <w:rsid w:val="006750DD"/>
    <w:rsid w:val="006751B8"/>
    <w:rsid w:val="00675272"/>
    <w:rsid w:val="006752F2"/>
    <w:rsid w:val="0067535D"/>
    <w:rsid w:val="00675442"/>
    <w:rsid w:val="00675610"/>
    <w:rsid w:val="0067562F"/>
    <w:rsid w:val="006757EE"/>
    <w:rsid w:val="00675A17"/>
    <w:rsid w:val="00675A6D"/>
    <w:rsid w:val="00675B3B"/>
    <w:rsid w:val="00675BBB"/>
    <w:rsid w:val="00675C0E"/>
    <w:rsid w:val="00675C4F"/>
    <w:rsid w:val="00675C6D"/>
    <w:rsid w:val="00675CD9"/>
    <w:rsid w:val="00675D2E"/>
    <w:rsid w:val="00675F5A"/>
    <w:rsid w:val="00676018"/>
    <w:rsid w:val="00676049"/>
    <w:rsid w:val="0067607A"/>
    <w:rsid w:val="00676163"/>
    <w:rsid w:val="0067616F"/>
    <w:rsid w:val="00676199"/>
    <w:rsid w:val="006761ED"/>
    <w:rsid w:val="006762E9"/>
    <w:rsid w:val="0067633C"/>
    <w:rsid w:val="00676394"/>
    <w:rsid w:val="00676517"/>
    <w:rsid w:val="00676577"/>
    <w:rsid w:val="00676764"/>
    <w:rsid w:val="006768AE"/>
    <w:rsid w:val="006768F0"/>
    <w:rsid w:val="00676A88"/>
    <w:rsid w:val="00676AE7"/>
    <w:rsid w:val="00676B88"/>
    <w:rsid w:val="00676CA3"/>
    <w:rsid w:val="00676CF6"/>
    <w:rsid w:val="00676D98"/>
    <w:rsid w:val="00676EBA"/>
    <w:rsid w:val="00676EC0"/>
    <w:rsid w:val="00676ECF"/>
    <w:rsid w:val="00676F1E"/>
    <w:rsid w:val="00676F2C"/>
    <w:rsid w:val="00676F8C"/>
    <w:rsid w:val="00676FBC"/>
    <w:rsid w:val="00677063"/>
    <w:rsid w:val="0067707F"/>
    <w:rsid w:val="006770A9"/>
    <w:rsid w:val="00677232"/>
    <w:rsid w:val="0067727E"/>
    <w:rsid w:val="006772BD"/>
    <w:rsid w:val="00677378"/>
    <w:rsid w:val="006773D8"/>
    <w:rsid w:val="00677574"/>
    <w:rsid w:val="00677830"/>
    <w:rsid w:val="00677860"/>
    <w:rsid w:val="0067786A"/>
    <w:rsid w:val="00677955"/>
    <w:rsid w:val="00677A29"/>
    <w:rsid w:val="00677AA3"/>
    <w:rsid w:val="00677B5A"/>
    <w:rsid w:val="00677BB4"/>
    <w:rsid w:val="00677C49"/>
    <w:rsid w:val="0068004B"/>
    <w:rsid w:val="00680082"/>
    <w:rsid w:val="00680097"/>
    <w:rsid w:val="0068013A"/>
    <w:rsid w:val="0068014B"/>
    <w:rsid w:val="0068021D"/>
    <w:rsid w:val="006802C9"/>
    <w:rsid w:val="006803FA"/>
    <w:rsid w:val="006804F3"/>
    <w:rsid w:val="0068054D"/>
    <w:rsid w:val="00680562"/>
    <w:rsid w:val="006807B7"/>
    <w:rsid w:val="0068096E"/>
    <w:rsid w:val="00680AF4"/>
    <w:rsid w:val="00680BDC"/>
    <w:rsid w:val="00680D5B"/>
    <w:rsid w:val="00680F27"/>
    <w:rsid w:val="00681119"/>
    <w:rsid w:val="006812BE"/>
    <w:rsid w:val="00681462"/>
    <w:rsid w:val="0068148A"/>
    <w:rsid w:val="00681516"/>
    <w:rsid w:val="0068152F"/>
    <w:rsid w:val="006815CD"/>
    <w:rsid w:val="006815D3"/>
    <w:rsid w:val="00681762"/>
    <w:rsid w:val="006817D8"/>
    <w:rsid w:val="0068195A"/>
    <w:rsid w:val="006819E6"/>
    <w:rsid w:val="00681B3A"/>
    <w:rsid w:val="00681C22"/>
    <w:rsid w:val="00681E01"/>
    <w:rsid w:val="00681ED2"/>
    <w:rsid w:val="00681F73"/>
    <w:rsid w:val="0068201A"/>
    <w:rsid w:val="00682113"/>
    <w:rsid w:val="0068247C"/>
    <w:rsid w:val="00682561"/>
    <w:rsid w:val="00682744"/>
    <w:rsid w:val="00682773"/>
    <w:rsid w:val="0068278C"/>
    <w:rsid w:val="006827D5"/>
    <w:rsid w:val="006828F3"/>
    <w:rsid w:val="00682AA9"/>
    <w:rsid w:val="00682B70"/>
    <w:rsid w:val="00682BA8"/>
    <w:rsid w:val="00682C16"/>
    <w:rsid w:val="00682CEA"/>
    <w:rsid w:val="00682E12"/>
    <w:rsid w:val="00682E70"/>
    <w:rsid w:val="00682E7B"/>
    <w:rsid w:val="00682EC0"/>
    <w:rsid w:val="0068300D"/>
    <w:rsid w:val="00683015"/>
    <w:rsid w:val="006830EA"/>
    <w:rsid w:val="006830EB"/>
    <w:rsid w:val="006831A5"/>
    <w:rsid w:val="006831D2"/>
    <w:rsid w:val="00683214"/>
    <w:rsid w:val="00683257"/>
    <w:rsid w:val="0068355D"/>
    <w:rsid w:val="006836D1"/>
    <w:rsid w:val="00683717"/>
    <w:rsid w:val="00683822"/>
    <w:rsid w:val="00683890"/>
    <w:rsid w:val="00683945"/>
    <w:rsid w:val="00683A2F"/>
    <w:rsid w:val="00683A61"/>
    <w:rsid w:val="00683AFF"/>
    <w:rsid w:val="00683B43"/>
    <w:rsid w:val="00683C73"/>
    <w:rsid w:val="00683CA3"/>
    <w:rsid w:val="00683EA3"/>
    <w:rsid w:val="00683F6F"/>
    <w:rsid w:val="00684061"/>
    <w:rsid w:val="00684220"/>
    <w:rsid w:val="006843A4"/>
    <w:rsid w:val="006843DB"/>
    <w:rsid w:val="00684499"/>
    <w:rsid w:val="006844F9"/>
    <w:rsid w:val="0068463A"/>
    <w:rsid w:val="00684743"/>
    <w:rsid w:val="006847E8"/>
    <w:rsid w:val="006848B0"/>
    <w:rsid w:val="00684A27"/>
    <w:rsid w:val="00684AFA"/>
    <w:rsid w:val="00684BBC"/>
    <w:rsid w:val="00684C38"/>
    <w:rsid w:val="00684CDB"/>
    <w:rsid w:val="00684D2C"/>
    <w:rsid w:val="00684D76"/>
    <w:rsid w:val="00684DC1"/>
    <w:rsid w:val="00684E05"/>
    <w:rsid w:val="00684E47"/>
    <w:rsid w:val="00684FD4"/>
    <w:rsid w:val="00684FE8"/>
    <w:rsid w:val="0068503B"/>
    <w:rsid w:val="006850B9"/>
    <w:rsid w:val="00685212"/>
    <w:rsid w:val="006852CD"/>
    <w:rsid w:val="006853D3"/>
    <w:rsid w:val="00685412"/>
    <w:rsid w:val="00685456"/>
    <w:rsid w:val="0068557F"/>
    <w:rsid w:val="00685597"/>
    <w:rsid w:val="00685644"/>
    <w:rsid w:val="00685788"/>
    <w:rsid w:val="0068586D"/>
    <w:rsid w:val="006858A3"/>
    <w:rsid w:val="006858BC"/>
    <w:rsid w:val="00685961"/>
    <w:rsid w:val="00685AAE"/>
    <w:rsid w:val="00685D73"/>
    <w:rsid w:val="00685D81"/>
    <w:rsid w:val="00685D84"/>
    <w:rsid w:val="00685ED0"/>
    <w:rsid w:val="00686094"/>
    <w:rsid w:val="0068631B"/>
    <w:rsid w:val="0068632B"/>
    <w:rsid w:val="00686356"/>
    <w:rsid w:val="00686400"/>
    <w:rsid w:val="00686709"/>
    <w:rsid w:val="0068679D"/>
    <w:rsid w:val="00686883"/>
    <w:rsid w:val="00686A0F"/>
    <w:rsid w:val="00686B38"/>
    <w:rsid w:val="00686C1F"/>
    <w:rsid w:val="00686C48"/>
    <w:rsid w:val="00686D1C"/>
    <w:rsid w:val="00686DC2"/>
    <w:rsid w:val="00686E83"/>
    <w:rsid w:val="00686EA2"/>
    <w:rsid w:val="00686EA3"/>
    <w:rsid w:val="00686FC2"/>
    <w:rsid w:val="00687045"/>
    <w:rsid w:val="006870B6"/>
    <w:rsid w:val="006870D6"/>
    <w:rsid w:val="00687176"/>
    <w:rsid w:val="00687191"/>
    <w:rsid w:val="00687272"/>
    <w:rsid w:val="00687311"/>
    <w:rsid w:val="0068736F"/>
    <w:rsid w:val="006873E5"/>
    <w:rsid w:val="0068750D"/>
    <w:rsid w:val="0068758F"/>
    <w:rsid w:val="006875B5"/>
    <w:rsid w:val="006875EC"/>
    <w:rsid w:val="0068762F"/>
    <w:rsid w:val="006877D5"/>
    <w:rsid w:val="0068799F"/>
    <w:rsid w:val="006879FA"/>
    <w:rsid w:val="00687A0E"/>
    <w:rsid w:val="00687A8C"/>
    <w:rsid w:val="00687DBB"/>
    <w:rsid w:val="00687E14"/>
    <w:rsid w:val="00687EF3"/>
    <w:rsid w:val="00687F35"/>
    <w:rsid w:val="00687FAA"/>
    <w:rsid w:val="006900F7"/>
    <w:rsid w:val="00690105"/>
    <w:rsid w:val="0069020F"/>
    <w:rsid w:val="00690356"/>
    <w:rsid w:val="00690646"/>
    <w:rsid w:val="00690835"/>
    <w:rsid w:val="00690A14"/>
    <w:rsid w:val="00690B24"/>
    <w:rsid w:val="00690B43"/>
    <w:rsid w:val="00690D11"/>
    <w:rsid w:val="00690D5A"/>
    <w:rsid w:val="00690DC7"/>
    <w:rsid w:val="00690EEC"/>
    <w:rsid w:val="00690F67"/>
    <w:rsid w:val="00691021"/>
    <w:rsid w:val="0069102C"/>
    <w:rsid w:val="00691129"/>
    <w:rsid w:val="00691153"/>
    <w:rsid w:val="00691178"/>
    <w:rsid w:val="0069122A"/>
    <w:rsid w:val="00691387"/>
    <w:rsid w:val="006914BD"/>
    <w:rsid w:val="006914E6"/>
    <w:rsid w:val="0069165A"/>
    <w:rsid w:val="006916E1"/>
    <w:rsid w:val="00691745"/>
    <w:rsid w:val="00691842"/>
    <w:rsid w:val="00691930"/>
    <w:rsid w:val="00691971"/>
    <w:rsid w:val="006919F7"/>
    <w:rsid w:val="00691A1F"/>
    <w:rsid w:val="00691A8C"/>
    <w:rsid w:val="00691B55"/>
    <w:rsid w:val="00691B9F"/>
    <w:rsid w:val="00691BFE"/>
    <w:rsid w:val="00691C6F"/>
    <w:rsid w:val="00691C8B"/>
    <w:rsid w:val="00691D47"/>
    <w:rsid w:val="00691D5E"/>
    <w:rsid w:val="00691D64"/>
    <w:rsid w:val="00691F61"/>
    <w:rsid w:val="00691F70"/>
    <w:rsid w:val="00691F8E"/>
    <w:rsid w:val="00691FDA"/>
    <w:rsid w:val="00691FFC"/>
    <w:rsid w:val="0069208E"/>
    <w:rsid w:val="006920D7"/>
    <w:rsid w:val="00692121"/>
    <w:rsid w:val="006921CD"/>
    <w:rsid w:val="00692243"/>
    <w:rsid w:val="00692287"/>
    <w:rsid w:val="0069228A"/>
    <w:rsid w:val="0069228D"/>
    <w:rsid w:val="006922C5"/>
    <w:rsid w:val="0069230C"/>
    <w:rsid w:val="00692375"/>
    <w:rsid w:val="006923AE"/>
    <w:rsid w:val="006927A0"/>
    <w:rsid w:val="00692922"/>
    <w:rsid w:val="00692A0B"/>
    <w:rsid w:val="00692B40"/>
    <w:rsid w:val="00692C18"/>
    <w:rsid w:val="00692C40"/>
    <w:rsid w:val="00692C68"/>
    <w:rsid w:val="00692F30"/>
    <w:rsid w:val="00692F48"/>
    <w:rsid w:val="00692FBB"/>
    <w:rsid w:val="00692FBD"/>
    <w:rsid w:val="00693022"/>
    <w:rsid w:val="006931D7"/>
    <w:rsid w:val="0069337A"/>
    <w:rsid w:val="00693486"/>
    <w:rsid w:val="00693503"/>
    <w:rsid w:val="00693587"/>
    <w:rsid w:val="006936A8"/>
    <w:rsid w:val="00693751"/>
    <w:rsid w:val="006937A2"/>
    <w:rsid w:val="00693C78"/>
    <w:rsid w:val="00693D8B"/>
    <w:rsid w:val="00693DEF"/>
    <w:rsid w:val="00693E4D"/>
    <w:rsid w:val="00694029"/>
    <w:rsid w:val="0069409A"/>
    <w:rsid w:val="006940E8"/>
    <w:rsid w:val="006942D5"/>
    <w:rsid w:val="00694430"/>
    <w:rsid w:val="006944C7"/>
    <w:rsid w:val="00694555"/>
    <w:rsid w:val="00694571"/>
    <w:rsid w:val="006946BA"/>
    <w:rsid w:val="0069476C"/>
    <w:rsid w:val="006948CB"/>
    <w:rsid w:val="00694A2B"/>
    <w:rsid w:val="00694BB8"/>
    <w:rsid w:val="00694C23"/>
    <w:rsid w:val="00694CBD"/>
    <w:rsid w:val="00694CC7"/>
    <w:rsid w:val="00694D2F"/>
    <w:rsid w:val="00694D64"/>
    <w:rsid w:val="00694F3C"/>
    <w:rsid w:val="00694FC7"/>
    <w:rsid w:val="00695134"/>
    <w:rsid w:val="00695151"/>
    <w:rsid w:val="006953F4"/>
    <w:rsid w:val="00695449"/>
    <w:rsid w:val="00695451"/>
    <w:rsid w:val="0069546D"/>
    <w:rsid w:val="00695521"/>
    <w:rsid w:val="00695638"/>
    <w:rsid w:val="006956DE"/>
    <w:rsid w:val="006956F0"/>
    <w:rsid w:val="00695722"/>
    <w:rsid w:val="00695810"/>
    <w:rsid w:val="00695940"/>
    <w:rsid w:val="00695A7D"/>
    <w:rsid w:val="00695AB6"/>
    <w:rsid w:val="00695AB9"/>
    <w:rsid w:val="00695AD2"/>
    <w:rsid w:val="00695B00"/>
    <w:rsid w:val="00695B9A"/>
    <w:rsid w:val="00695BD6"/>
    <w:rsid w:val="00695BFD"/>
    <w:rsid w:val="00695CC0"/>
    <w:rsid w:val="00695CD5"/>
    <w:rsid w:val="00695E17"/>
    <w:rsid w:val="00695EAE"/>
    <w:rsid w:val="00695F3A"/>
    <w:rsid w:val="00696144"/>
    <w:rsid w:val="00696267"/>
    <w:rsid w:val="006962F4"/>
    <w:rsid w:val="0069635C"/>
    <w:rsid w:val="00696484"/>
    <w:rsid w:val="0069650F"/>
    <w:rsid w:val="0069661E"/>
    <w:rsid w:val="0069676D"/>
    <w:rsid w:val="006967AE"/>
    <w:rsid w:val="006967D8"/>
    <w:rsid w:val="00696841"/>
    <w:rsid w:val="00696A2E"/>
    <w:rsid w:val="00696B17"/>
    <w:rsid w:val="00696BC5"/>
    <w:rsid w:val="00696CDE"/>
    <w:rsid w:val="00696DD1"/>
    <w:rsid w:val="00696EE0"/>
    <w:rsid w:val="00696F3B"/>
    <w:rsid w:val="00696F72"/>
    <w:rsid w:val="00697058"/>
    <w:rsid w:val="0069719B"/>
    <w:rsid w:val="0069726B"/>
    <w:rsid w:val="006972A3"/>
    <w:rsid w:val="006972C7"/>
    <w:rsid w:val="006974A3"/>
    <w:rsid w:val="00697534"/>
    <w:rsid w:val="0069753E"/>
    <w:rsid w:val="00697555"/>
    <w:rsid w:val="00697628"/>
    <w:rsid w:val="00697705"/>
    <w:rsid w:val="0069797B"/>
    <w:rsid w:val="00697A1F"/>
    <w:rsid w:val="00697A57"/>
    <w:rsid w:val="00697B13"/>
    <w:rsid w:val="00697B8F"/>
    <w:rsid w:val="00697C2E"/>
    <w:rsid w:val="00697C97"/>
    <w:rsid w:val="00697CFB"/>
    <w:rsid w:val="00697D34"/>
    <w:rsid w:val="00697DA6"/>
    <w:rsid w:val="00697DAE"/>
    <w:rsid w:val="006A00BE"/>
    <w:rsid w:val="006A030D"/>
    <w:rsid w:val="006A04A3"/>
    <w:rsid w:val="006A0583"/>
    <w:rsid w:val="006A05E7"/>
    <w:rsid w:val="006A06AA"/>
    <w:rsid w:val="006A06B9"/>
    <w:rsid w:val="006A06E7"/>
    <w:rsid w:val="006A0735"/>
    <w:rsid w:val="006A08F5"/>
    <w:rsid w:val="006A09F8"/>
    <w:rsid w:val="006A0AAE"/>
    <w:rsid w:val="006A0BB3"/>
    <w:rsid w:val="006A0D2E"/>
    <w:rsid w:val="006A0DB7"/>
    <w:rsid w:val="006A0E02"/>
    <w:rsid w:val="006A0E93"/>
    <w:rsid w:val="006A0F68"/>
    <w:rsid w:val="006A0F69"/>
    <w:rsid w:val="006A1021"/>
    <w:rsid w:val="006A12C2"/>
    <w:rsid w:val="006A1404"/>
    <w:rsid w:val="006A14F9"/>
    <w:rsid w:val="006A1518"/>
    <w:rsid w:val="006A1524"/>
    <w:rsid w:val="006A1549"/>
    <w:rsid w:val="006A1552"/>
    <w:rsid w:val="006A1603"/>
    <w:rsid w:val="006A1720"/>
    <w:rsid w:val="006A1851"/>
    <w:rsid w:val="006A1867"/>
    <w:rsid w:val="006A19A2"/>
    <w:rsid w:val="006A1A31"/>
    <w:rsid w:val="006A1A40"/>
    <w:rsid w:val="006A1BBC"/>
    <w:rsid w:val="006A1BCA"/>
    <w:rsid w:val="006A1D25"/>
    <w:rsid w:val="006A1E89"/>
    <w:rsid w:val="006A1F5D"/>
    <w:rsid w:val="006A1FC7"/>
    <w:rsid w:val="006A2204"/>
    <w:rsid w:val="006A221D"/>
    <w:rsid w:val="006A225E"/>
    <w:rsid w:val="006A2633"/>
    <w:rsid w:val="006A26F7"/>
    <w:rsid w:val="006A27AB"/>
    <w:rsid w:val="006A27D6"/>
    <w:rsid w:val="006A28AB"/>
    <w:rsid w:val="006A28D0"/>
    <w:rsid w:val="006A28D6"/>
    <w:rsid w:val="006A290A"/>
    <w:rsid w:val="006A2A97"/>
    <w:rsid w:val="006A2C39"/>
    <w:rsid w:val="006A2C3C"/>
    <w:rsid w:val="006A2C62"/>
    <w:rsid w:val="006A2C63"/>
    <w:rsid w:val="006A2EDA"/>
    <w:rsid w:val="006A2F0B"/>
    <w:rsid w:val="006A2F67"/>
    <w:rsid w:val="006A3114"/>
    <w:rsid w:val="006A3264"/>
    <w:rsid w:val="006A3278"/>
    <w:rsid w:val="006A34FB"/>
    <w:rsid w:val="006A35B8"/>
    <w:rsid w:val="006A3616"/>
    <w:rsid w:val="006A370A"/>
    <w:rsid w:val="006A3740"/>
    <w:rsid w:val="006A37DE"/>
    <w:rsid w:val="006A382E"/>
    <w:rsid w:val="006A392A"/>
    <w:rsid w:val="006A3942"/>
    <w:rsid w:val="006A3B65"/>
    <w:rsid w:val="006A3B66"/>
    <w:rsid w:val="006A3C38"/>
    <w:rsid w:val="006A3DE6"/>
    <w:rsid w:val="006A3E13"/>
    <w:rsid w:val="006A3E64"/>
    <w:rsid w:val="006A3EA0"/>
    <w:rsid w:val="006A3F9F"/>
    <w:rsid w:val="006A3FAB"/>
    <w:rsid w:val="006A3FD8"/>
    <w:rsid w:val="006A40E5"/>
    <w:rsid w:val="006A4119"/>
    <w:rsid w:val="006A41A3"/>
    <w:rsid w:val="006A41C2"/>
    <w:rsid w:val="006A42F2"/>
    <w:rsid w:val="006A437F"/>
    <w:rsid w:val="006A43AF"/>
    <w:rsid w:val="006A44CD"/>
    <w:rsid w:val="006A46B6"/>
    <w:rsid w:val="006A4774"/>
    <w:rsid w:val="006A4815"/>
    <w:rsid w:val="006A4876"/>
    <w:rsid w:val="006A495C"/>
    <w:rsid w:val="006A4991"/>
    <w:rsid w:val="006A4B02"/>
    <w:rsid w:val="006A4B31"/>
    <w:rsid w:val="006A4DFB"/>
    <w:rsid w:val="006A4F29"/>
    <w:rsid w:val="006A4F5D"/>
    <w:rsid w:val="006A5279"/>
    <w:rsid w:val="006A5374"/>
    <w:rsid w:val="006A53C1"/>
    <w:rsid w:val="006A54C3"/>
    <w:rsid w:val="006A5536"/>
    <w:rsid w:val="006A576B"/>
    <w:rsid w:val="006A5841"/>
    <w:rsid w:val="006A5960"/>
    <w:rsid w:val="006A5964"/>
    <w:rsid w:val="006A59F6"/>
    <w:rsid w:val="006A5A66"/>
    <w:rsid w:val="006A5AA9"/>
    <w:rsid w:val="006A5B09"/>
    <w:rsid w:val="006A5C9E"/>
    <w:rsid w:val="006A5CC2"/>
    <w:rsid w:val="006A5D0F"/>
    <w:rsid w:val="006A5D61"/>
    <w:rsid w:val="006A61D4"/>
    <w:rsid w:val="006A6265"/>
    <w:rsid w:val="006A6369"/>
    <w:rsid w:val="006A6458"/>
    <w:rsid w:val="006A6464"/>
    <w:rsid w:val="006A64F8"/>
    <w:rsid w:val="006A6529"/>
    <w:rsid w:val="006A654F"/>
    <w:rsid w:val="006A6624"/>
    <w:rsid w:val="006A67D7"/>
    <w:rsid w:val="006A687B"/>
    <w:rsid w:val="006A6904"/>
    <w:rsid w:val="006A6928"/>
    <w:rsid w:val="006A6A33"/>
    <w:rsid w:val="006A6A4D"/>
    <w:rsid w:val="006A6AF0"/>
    <w:rsid w:val="006A6C15"/>
    <w:rsid w:val="006A6C92"/>
    <w:rsid w:val="006A7346"/>
    <w:rsid w:val="006A739F"/>
    <w:rsid w:val="006A7579"/>
    <w:rsid w:val="006A76F8"/>
    <w:rsid w:val="006A7775"/>
    <w:rsid w:val="006A77F0"/>
    <w:rsid w:val="006A77F7"/>
    <w:rsid w:val="006A7890"/>
    <w:rsid w:val="006A7953"/>
    <w:rsid w:val="006A7A8F"/>
    <w:rsid w:val="006A7AB1"/>
    <w:rsid w:val="006A7B91"/>
    <w:rsid w:val="006A7C04"/>
    <w:rsid w:val="006A7C13"/>
    <w:rsid w:val="006A7CBC"/>
    <w:rsid w:val="006A7D19"/>
    <w:rsid w:val="006A7E8D"/>
    <w:rsid w:val="006A7E95"/>
    <w:rsid w:val="006A7F12"/>
    <w:rsid w:val="006A7F71"/>
    <w:rsid w:val="006A7FE8"/>
    <w:rsid w:val="006B003F"/>
    <w:rsid w:val="006B00C9"/>
    <w:rsid w:val="006B0222"/>
    <w:rsid w:val="006B03B7"/>
    <w:rsid w:val="006B04CB"/>
    <w:rsid w:val="006B0677"/>
    <w:rsid w:val="006B06CB"/>
    <w:rsid w:val="006B0724"/>
    <w:rsid w:val="006B09FF"/>
    <w:rsid w:val="006B0AA3"/>
    <w:rsid w:val="006B0D03"/>
    <w:rsid w:val="006B0F7E"/>
    <w:rsid w:val="006B101D"/>
    <w:rsid w:val="006B11B7"/>
    <w:rsid w:val="006B11BF"/>
    <w:rsid w:val="006B12C6"/>
    <w:rsid w:val="006B12ED"/>
    <w:rsid w:val="006B130F"/>
    <w:rsid w:val="006B13CC"/>
    <w:rsid w:val="006B1404"/>
    <w:rsid w:val="006B177D"/>
    <w:rsid w:val="006B1790"/>
    <w:rsid w:val="006B17D8"/>
    <w:rsid w:val="006B18AC"/>
    <w:rsid w:val="006B1A37"/>
    <w:rsid w:val="006B1B4A"/>
    <w:rsid w:val="006B1C38"/>
    <w:rsid w:val="006B1C99"/>
    <w:rsid w:val="006B1EC9"/>
    <w:rsid w:val="006B1F4A"/>
    <w:rsid w:val="006B1F7C"/>
    <w:rsid w:val="006B1FF9"/>
    <w:rsid w:val="006B2043"/>
    <w:rsid w:val="006B20E8"/>
    <w:rsid w:val="006B21B3"/>
    <w:rsid w:val="006B23FA"/>
    <w:rsid w:val="006B24D4"/>
    <w:rsid w:val="006B2558"/>
    <w:rsid w:val="006B25B1"/>
    <w:rsid w:val="006B260E"/>
    <w:rsid w:val="006B2681"/>
    <w:rsid w:val="006B27C6"/>
    <w:rsid w:val="006B27EA"/>
    <w:rsid w:val="006B2902"/>
    <w:rsid w:val="006B2921"/>
    <w:rsid w:val="006B2ABB"/>
    <w:rsid w:val="006B2C9E"/>
    <w:rsid w:val="006B2DDF"/>
    <w:rsid w:val="006B2E85"/>
    <w:rsid w:val="006B2FF3"/>
    <w:rsid w:val="006B2FFA"/>
    <w:rsid w:val="006B310F"/>
    <w:rsid w:val="006B314C"/>
    <w:rsid w:val="006B3250"/>
    <w:rsid w:val="006B32EF"/>
    <w:rsid w:val="006B335A"/>
    <w:rsid w:val="006B339C"/>
    <w:rsid w:val="006B34A5"/>
    <w:rsid w:val="006B352F"/>
    <w:rsid w:val="006B357E"/>
    <w:rsid w:val="006B3595"/>
    <w:rsid w:val="006B36DF"/>
    <w:rsid w:val="006B372D"/>
    <w:rsid w:val="006B3736"/>
    <w:rsid w:val="006B39D7"/>
    <w:rsid w:val="006B3B4C"/>
    <w:rsid w:val="006B3CCF"/>
    <w:rsid w:val="006B3F4F"/>
    <w:rsid w:val="006B400B"/>
    <w:rsid w:val="006B4037"/>
    <w:rsid w:val="006B4152"/>
    <w:rsid w:val="006B4191"/>
    <w:rsid w:val="006B426E"/>
    <w:rsid w:val="006B4300"/>
    <w:rsid w:val="006B4385"/>
    <w:rsid w:val="006B4414"/>
    <w:rsid w:val="006B4443"/>
    <w:rsid w:val="006B4634"/>
    <w:rsid w:val="006B4781"/>
    <w:rsid w:val="006B47F8"/>
    <w:rsid w:val="006B4877"/>
    <w:rsid w:val="006B4886"/>
    <w:rsid w:val="006B48D3"/>
    <w:rsid w:val="006B4903"/>
    <w:rsid w:val="006B4AD6"/>
    <w:rsid w:val="006B4AFB"/>
    <w:rsid w:val="006B4CC2"/>
    <w:rsid w:val="006B4D25"/>
    <w:rsid w:val="006B4DF2"/>
    <w:rsid w:val="006B4E1A"/>
    <w:rsid w:val="006B4EB6"/>
    <w:rsid w:val="006B4EF6"/>
    <w:rsid w:val="006B50C3"/>
    <w:rsid w:val="006B511B"/>
    <w:rsid w:val="006B5209"/>
    <w:rsid w:val="006B52A3"/>
    <w:rsid w:val="006B52E5"/>
    <w:rsid w:val="006B5341"/>
    <w:rsid w:val="006B53F2"/>
    <w:rsid w:val="006B5469"/>
    <w:rsid w:val="006B54F9"/>
    <w:rsid w:val="006B55C3"/>
    <w:rsid w:val="006B56FA"/>
    <w:rsid w:val="006B5A1B"/>
    <w:rsid w:val="006B5AC7"/>
    <w:rsid w:val="006B5ACB"/>
    <w:rsid w:val="006B5B77"/>
    <w:rsid w:val="006B5B89"/>
    <w:rsid w:val="006B5E70"/>
    <w:rsid w:val="006B60F6"/>
    <w:rsid w:val="006B634F"/>
    <w:rsid w:val="006B637E"/>
    <w:rsid w:val="006B6492"/>
    <w:rsid w:val="006B6761"/>
    <w:rsid w:val="006B67E6"/>
    <w:rsid w:val="006B69CA"/>
    <w:rsid w:val="006B6A9E"/>
    <w:rsid w:val="006B6C60"/>
    <w:rsid w:val="006B6CB1"/>
    <w:rsid w:val="006B6DB6"/>
    <w:rsid w:val="006B6E63"/>
    <w:rsid w:val="006B6F46"/>
    <w:rsid w:val="006B6F4B"/>
    <w:rsid w:val="006B7006"/>
    <w:rsid w:val="006B7086"/>
    <w:rsid w:val="006B72FB"/>
    <w:rsid w:val="006B73EC"/>
    <w:rsid w:val="006B744C"/>
    <w:rsid w:val="006B74DD"/>
    <w:rsid w:val="006B757F"/>
    <w:rsid w:val="006B76CA"/>
    <w:rsid w:val="006B76E0"/>
    <w:rsid w:val="006B7799"/>
    <w:rsid w:val="006B782B"/>
    <w:rsid w:val="006B798E"/>
    <w:rsid w:val="006B79F4"/>
    <w:rsid w:val="006B79F5"/>
    <w:rsid w:val="006B7B92"/>
    <w:rsid w:val="006B7D13"/>
    <w:rsid w:val="006B7F5F"/>
    <w:rsid w:val="006C005C"/>
    <w:rsid w:val="006C00B8"/>
    <w:rsid w:val="006C00B9"/>
    <w:rsid w:val="006C0173"/>
    <w:rsid w:val="006C024C"/>
    <w:rsid w:val="006C03BC"/>
    <w:rsid w:val="006C05F1"/>
    <w:rsid w:val="006C07C3"/>
    <w:rsid w:val="006C0870"/>
    <w:rsid w:val="006C08B3"/>
    <w:rsid w:val="006C0937"/>
    <w:rsid w:val="006C09B5"/>
    <w:rsid w:val="006C0A47"/>
    <w:rsid w:val="006C0AF5"/>
    <w:rsid w:val="006C0BDD"/>
    <w:rsid w:val="006C0D1C"/>
    <w:rsid w:val="006C0D4F"/>
    <w:rsid w:val="006C0E37"/>
    <w:rsid w:val="006C0FA0"/>
    <w:rsid w:val="006C1017"/>
    <w:rsid w:val="006C1215"/>
    <w:rsid w:val="006C12EE"/>
    <w:rsid w:val="006C12F3"/>
    <w:rsid w:val="006C1451"/>
    <w:rsid w:val="006C1527"/>
    <w:rsid w:val="006C1642"/>
    <w:rsid w:val="006C1739"/>
    <w:rsid w:val="006C1779"/>
    <w:rsid w:val="006C17CC"/>
    <w:rsid w:val="006C1B31"/>
    <w:rsid w:val="006C1B47"/>
    <w:rsid w:val="006C1B79"/>
    <w:rsid w:val="006C1DA5"/>
    <w:rsid w:val="006C1DC9"/>
    <w:rsid w:val="006C1DE6"/>
    <w:rsid w:val="006C20A8"/>
    <w:rsid w:val="006C20D3"/>
    <w:rsid w:val="006C2104"/>
    <w:rsid w:val="006C2114"/>
    <w:rsid w:val="006C211D"/>
    <w:rsid w:val="006C2131"/>
    <w:rsid w:val="006C2309"/>
    <w:rsid w:val="006C23BD"/>
    <w:rsid w:val="006C23DB"/>
    <w:rsid w:val="006C245E"/>
    <w:rsid w:val="006C2505"/>
    <w:rsid w:val="006C262E"/>
    <w:rsid w:val="006C27D5"/>
    <w:rsid w:val="006C27EA"/>
    <w:rsid w:val="006C28B1"/>
    <w:rsid w:val="006C28C9"/>
    <w:rsid w:val="006C28CD"/>
    <w:rsid w:val="006C28E7"/>
    <w:rsid w:val="006C2916"/>
    <w:rsid w:val="006C2933"/>
    <w:rsid w:val="006C2B5E"/>
    <w:rsid w:val="006C2C18"/>
    <w:rsid w:val="006C2CAA"/>
    <w:rsid w:val="006C2D07"/>
    <w:rsid w:val="006C2DDE"/>
    <w:rsid w:val="006C2E80"/>
    <w:rsid w:val="006C2F0C"/>
    <w:rsid w:val="006C305E"/>
    <w:rsid w:val="006C30BE"/>
    <w:rsid w:val="006C30DD"/>
    <w:rsid w:val="006C30FA"/>
    <w:rsid w:val="006C315F"/>
    <w:rsid w:val="006C319C"/>
    <w:rsid w:val="006C31F9"/>
    <w:rsid w:val="006C326E"/>
    <w:rsid w:val="006C344A"/>
    <w:rsid w:val="006C359A"/>
    <w:rsid w:val="006C3629"/>
    <w:rsid w:val="006C366D"/>
    <w:rsid w:val="006C36BC"/>
    <w:rsid w:val="006C3706"/>
    <w:rsid w:val="006C3782"/>
    <w:rsid w:val="006C3794"/>
    <w:rsid w:val="006C38D5"/>
    <w:rsid w:val="006C3986"/>
    <w:rsid w:val="006C39AF"/>
    <w:rsid w:val="006C3B0E"/>
    <w:rsid w:val="006C3C59"/>
    <w:rsid w:val="006C3E73"/>
    <w:rsid w:val="006C3FF1"/>
    <w:rsid w:val="006C4157"/>
    <w:rsid w:val="006C418C"/>
    <w:rsid w:val="006C42C4"/>
    <w:rsid w:val="006C42E6"/>
    <w:rsid w:val="006C447F"/>
    <w:rsid w:val="006C44B4"/>
    <w:rsid w:val="006C460A"/>
    <w:rsid w:val="006C4712"/>
    <w:rsid w:val="006C47AE"/>
    <w:rsid w:val="006C47DB"/>
    <w:rsid w:val="006C4832"/>
    <w:rsid w:val="006C4868"/>
    <w:rsid w:val="006C4A9B"/>
    <w:rsid w:val="006C4B04"/>
    <w:rsid w:val="006C4BB3"/>
    <w:rsid w:val="006C4C3C"/>
    <w:rsid w:val="006C4D1E"/>
    <w:rsid w:val="006C4EEF"/>
    <w:rsid w:val="006C4F9C"/>
    <w:rsid w:val="006C505C"/>
    <w:rsid w:val="006C50C6"/>
    <w:rsid w:val="006C50D1"/>
    <w:rsid w:val="006C50E3"/>
    <w:rsid w:val="006C5404"/>
    <w:rsid w:val="006C5469"/>
    <w:rsid w:val="006C5690"/>
    <w:rsid w:val="006C56BD"/>
    <w:rsid w:val="006C56F0"/>
    <w:rsid w:val="006C5808"/>
    <w:rsid w:val="006C5C86"/>
    <w:rsid w:val="006C5D0D"/>
    <w:rsid w:val="006C5D22"/>
    <w:rsid w:val="006C5D61"/>
    <w:rsid w:val="006C5F1F"/>
    <w:rsid w:val="006C6083"/>
    <w:rsid w:val="006C6115"/>
    <w:rsid w:val="006C6141"/>
    <w:rsid w:val="006C621D"/>
    <w:rsid w:val="006C6589"/>
    <w:rsid w:val="006C65CE"/>
    <w:rsid w:val="006C6656"/>
    <w:rsid w:val="006C66B6"/>
    <w:rsid w:val="006C66C3"/>
    <w:rsid w:val="006C6758"/>
    <w:rsid w:val="006C678C"/>
    <w:rsid w:val="006C6B79"/>
    <w:rsid w:val="006C6C02"/>
    <w:rsid w:val="006C6E1E"/>
    <w:rsid w:val="006C6F3E"/>
    <w:rsid w:val="006C701C"/>
    <w:rsid w:val="006C7027"/>
    <w:rsid w:val="006C7098"/>
    <w:rsid w:val="006C70EF"/>
    <w:rsid w:val="006C739E"/>
    <w:rsid w:val="006C74E3"/>
    <w:rsid w:val="006C778B"/>
    <w:rsid w:val="006C77A3"/>
    <w:rsid w:val="006C7853"/>
    <w:rsid w:val="006C787B"/>
    <w:rsid w:val="006C78B9"/>
    <w:rsid w:val="006C794A"/>
    <w:rsid w:val="006C7B44"/>
    <w:rsid w:val="006C7BB2"/>
    <w:rsid w:val="006C7BB9"/>
    <w:rsid w:val="006C7C1B"/>
    <w:rsid w:val="006C7D0A"/>
    <w:rsid w:val="006C7D0B"/>
    <w:rsid w:val="006C7D29"/>
    <w:rsid w:val="006C7D4F"/>
    <w:rsid w:val="006C7D70"/>
    <w:rsid w:val="006C7F1C"/>
    <w:rsid w:val="006C7F38"/>
    <w:rsid w:val="006D00C8"/>
    <w:rsid w:val="006D0236"/>
    <w:rsid w:val="006D025C"/>
    <w:rsid w:val="006D0364"/>
    <w:rsid w:val="006D0491"/>
    <w:rsid w:val="006D049F"/>
    <w:rsid w:val="006D0746"/>
    <w:rsid w:val="006D08C4"/>
    <w:rsid w:val="006D09B0"/>
    <w:rsid w:val="006D09FB"/>
    <w:rsid w:val="006D0A0C"/>
    <w:rsid w:val="006D0A7B"/>
    <w:rsid w:val="006D0BA0"/>
    <w:rsid w:val="006D0CEF"/>
    <w:rsid w:val="006D0D42"/>
    <w:rsid w:val="006D0D5B"/>
    <w:rsid w:val="006D0DFF"/>
    <w:rsid w:val="006D1253"/>
    <w:rsid w:val="006D148E"/>
    <w:rsid w:val="006D14A8"/>
    <w:rsid w:val="006D14FE"/>
    <w:rsid w:val="006D151F"/>
    <w:rsid w:val="006D154B"/>
    <w:rsid w:val="006D1596"/>
    <w:rsid w:val="006D16B8"/>
    <w:rsid w:val="006D18BE"/>
    <w:rsid w:val="006D1A92"/>
    <w:rsid w:val="006D1B33"/>
    <w:rsid w:val="006D1E91"/>
    <w:rsid w:val="006D1FF3"/>
    <w:rsid w:val="006D20FF"/>
    <w:rsid w:val="006D2167"/>
    <w:rsid w:val="006D222C"/>
    <w:rsid w:val="006D2248"/>
    <w:rsid w:val="006D23A6"/>
    <w:rsid w:val="006D24F8"/>
    <w:rsid w:val="006D2522"/>
    <w:rsid w:val="006D2596"/>
    <w:rsid w:val="006D25A2"/>
    <w:rsid w:val="006D25C0"/>
    <w:rsid w:val="006D2797"/>
    <w:rsid w:val="006D27AF"/>
    <w:rsid w:val="006D27FC"/>
    <w:rsid w:val="006D281C"/>
    <w:rsid w:val="006D282E"/>
    <w:rsid w:val="006D2958"/>
    <w:rsid w:val="006D29F8"/>
    <w:rsid w:val="006D2A06"/>
    <w:rsid w:val="006D2ACD"/>
    <w:rsid w:val="006D2BF6"/>
    <w:rsid w:val="006D2CB8"/>
    <w:rsid w:val="006D2CE7"/>
    <w:rsid w:val="006D2D23"/>
    <w:rsid w:val="006D2DA3"/>
    <w:rsid w:val="006D2EE2"/>
    <w:rsid w:val="006D2EFB"/>
    <w:rsid w:val="006D309E"/>
    <w:rsid w:val="006D30A9"/>
    <w:rsid w:val="006D310B"/>
    <w:rsid w:val="006D31E6"/>
    <w:rsid w:val="006D3267"/>
    <w:rsid w:val="006D33F7"/>
    <w:rsid w:val="006D36CF"/>
    <w:rsid w:val="006D37A7"/>
    <w:rsid w:val="006D3844"/>
    <w:rsid w:val="006D3A23"/>
    <w:rsid w:val="006D3A2A"/>
    <w:rsid w:val="006D3E67"/>
    <w:rsid w:val="006D3FD8"/>
    <w:rsid w:val="006D41C3"/>
    <w:rsid w:val="006D4258"/>
    <w:rsid w:val="006D4281"/>
    <w:rsid w:val="006D4295"/>
    <w:rsid w:val="006D42DA"/>
    <w:rsid w:val="006D4615"/>
    <w:rsid w:val="006D461B"/>
    <w:rsid w:val="006D46A6"/>
    <w:rsid w:val="006D4824"/>
    <w:rsid w:val="006D4842"/>
    <w:rsid w:val="006D48AB"/>
    <w:rsid w:val="006D48B6"/>
    <w:rsid w:val="006D48C1"/>
    <w:rsid w:val="006D4938"/>
    <w:rsid w:val="006D4A9F"/>
    <w:rsid w:val="006D4DA1"/>
    <w:rsid w:val="006D4F2E"/>
    <w:rsid w:val="006D5043"/>
    <w:rsid w:val="006D5152"/>
    <w:rsid w:val="006D5158"/>
    <w:rsid w:val="006D5190"/>
    <w:rsid w:val="006D5219"/>
    <w:rsid w:val="006D5287"/>
    <w:rsid w:val="006D5291"/>
    <w:rsid w:val="006D5479"/>
    <w:rsid w:val="006D5575"/>
    <w:rsid w:val="006D5674"/>
    <w:rsid w:val="006D5687"/>
    <w:rsid w:val="006D57B2"/>
    <w:rsid w:val="006D57CD"/>
    <w:rsid w:val="006D588E"/>
    <w:rsid w:val="006D5927"/>
    <w:rsid w:val="006D5980"/>
    <w:rsid w:val="006D5982"/>
    <w:rsid w:val="006D5A0E"/>
    <w:rsid w:val="006D5BC1"/>
    <w:rsid w:val="006D5DDA"/>
    <w:rsid w:val="006D5E0B"/>
    <w:rsid w:val="006D5E1F"/>
    <w:rsid w:val="006D5E20"/>
    <w:rsid w:val="006D5E49"/>
    <w:rsid w:val="006D5F72"/>
    <w:rsid w:val="006D5F73"/>
    <w:rsid w:val="006D5F9B"/>
    <w:rsid w:val="006D6009"/>
    <w:rsid w:val="006D6027"/>
    <w:rsid w:val="006D6091"/>
    <w:rsid w:val="006D620E"/>
    <w:rsid w:val="006D630B"/>
    <w:rsid w:val="006D639A"/>
    <w:rsid w:val="006D63B0"/>
    <w:rsid w:val="006D6578"/>
    <w:rsid w:val="006D65AE"/>
    <w:rsid w:val="006D65C7"/>
    <w:rsid w:val="006D68B7"/>
    <w:rsid w:val="006D68C6"/>
    <w:rsid w:val="006D6985"/>
    <w:rsid w:val="006D69BC"/>
    <w:rsid w:val="006D6AFD"/>
    <w:rsid w:val="006D6B9E"/>
    <w:rsid w:val="006D6C69"/>
    <w:rsid w:val="006D6C70"/>
    <w:rsid w:val="006D6CD0"/>
    <w:rsid w:val="006D6E02"/>
    <w:rsid w:val="006D6FF6"/>
    <w:rsid w:val="006D719B"/>
    <w:rsid w:val="006D71F7"/>
    <w:rsid w:val="006D7291"/>
    <w:rsid w:val="006D72CB"/>
    <w:rsid w:val="006D72E5"/>
    <w:rsid w:val="006D7329"/>
    <w:rsid w:val="006D734A"/>
    <w:rsid w:val="006D7397"/>
    <w:rsid w:val="006D73E6"/>
    <w:rsid w:val="006D7477"/>
    <w:rsid w:val="006D7487"/>
    <w:rsid w:val="006D74D4"/>
    <w:rsid w:val="006D7579"/>
    <w:rsid w:val="006D75D5"/>
    <w:rsid w:val="006D7662"/>
    <w:rsid w:val="006D77F6"/>
    <w:rsid w:val="006D7930"/>
    <w:rsid w:val="006D7A2D"/>
    <w:rsid w:val="006D7EB7"/>
    <w:rsid w:val="006D7EC3"/>
    <w:rsid w:val="006D7EF4"/>
    <w:rsid w:val="006D7F56"/>
    <w:rsid w:val="006E003E"/>
    <w:rsid w:val="006E0061"/>
    <w:rsid w:val="006E0276"/>
    <w:rsid w:val="006E027A"/>
    <w:rsid w:val="006E0285"/>
    <w:rsid w:val="006E02EF"/>
    <w:rsid w:val="006E0451"/>
    <w:rsid w:val="006E0772"/>
    <w:rsid w:val="006E0862"/>
    <w:rsid w:val="006E08FF"/>
    <w:rsid w:val="006E09F5"/>
    <w:rsid w:val="006E0A3F"/>
    <w:rsid w:val="006E0AE3"/>
    <w:rsid w:val="006E0B6F"/>
    <w:rsid w:val="006E0C82"/>
    <w:rsid w:val="006E0D03"/>
    <w:rsid w:val="006E0DA1"/>
    <w:rsid w:val="006E0E1B"/>
    <w:rsid w:val="006E0EB1"/>
    <w:rsid w:val="006E0F50"/>
    <w:rsid w:val="006E1166"/>
    <w:rsid w:val="006E12B2"/>
    <w:rsid w:val="006E13A5"/>
    <w:rsid w:val="006E13E3"/>
    <w:rsid w:val="006E14C1"/>
    <w:rsid w:val="006E1572"/>
    <w:rsid w:val="006E1664"/>
    <w:rsid w:val="006E1752"/>
    <w:rsid w:val="006E175B"/>
    <w:rsid w:val="006E17C9"/>
    <w:rsid w:val="006E181A"/>
    <w:rsid w:val="006E1A3B"/>
    <w:rsid w:val="006E1B29"/>
    <w:rsid w:val="006E1C7A"/>
    <w:rsid w:val="006E1D16"/>
    <w:rsid w:val="006E1D49"/>
    <w:rsid w:val="006E1D60"/>
    <w:rsid w:val="006E1D90"/>
    <w:rsid w:val="006E1DA4"/>
    <w:rsid w:val="006E1EA2"/>
    <w:rsid w:val="006E1ED6"/>
    <w:rsid w:val="006E2048"/>
    <w:rsid w:val="006E2099"/>
    <w:rsid w:val="006E20FA"/>
    <w:rsid w:val="006E2310"/>
    <w:rsid w:val="006E233E"/>
    <w:rsid w:val="006E23C0"/>
    <w:rsid w:val="006E252A"/>
    <w:rsid w:val="006E2705"/>
    <w:rsid w:val="006E276C"/>
    <w:rsid w:val="006E28C3"/>
    <w:rsid w:val="006E2A0D"/>
    <w:rsid w:val="006E2ABC"/>
    <w:rsid w:val="006E2BB9"/>
    <w:rsid w:val="006E2BC0"/>
    <w:rsid w:val="006E3007"/>
    <w:rsid w:val="006E309A"/>
    <w:rsid w:val="006E3208"/>
    <w:rsid w:val="006E324F"/>
    <w:rsid w:val="006E3284"/>
    <w:rsid w:val="006E32BF"/>
    <w:rsid w:val="006E333D"/>
    <w:rsid w:val="006E33A9"/>
    <w:rsid w:val="006E3627"/>
    <w:rsid w:val="006E3628"/>
    <w:rsid w:val="006E3675"/>
    <w:rsid w:val="006E3772"/>
    <w:rsid w:val="006E3A32"/>
    <w:rsid w:val="006E3B28"/>
    <w:rsid w:val="006E3B2F"/>
    <w:rsid w:val="006E3C7A"/>
    <w:rsid w:val="006E3D91"/>
    <w:rsid w:val="006E3DEA"/>
    <w:rsid w:val="006E3F19"/>
    <w:rsid w:val="006E3F9A"/>
    <w:rsid w:val="006E4003"/>
    <w:rsid w:val="006E415F"/>
    <w:rsid w:val="006E4224"/>
    <w:rsid w:val="006E428E"/>
    <w:rsid w:val="006E43F7"/>
    <w:rsid w:val="006E4413"/>
    <w:rsid w:val="006E442B"/>
    <w:rsid w:val="006E44DD"/>
    <w:rsid w:val="006E45BC"/>
    <w:rsid w:val="006E45BF"/>
    <w:rsid w:val="006E48AC"/>
    <w:rsid w:val="006E48DE"/>
    <w:rsid w:val="006E4972"/>
    <w:rsid w:val="006E4A1A"/>
    <w:rsid w:val="006E4B02"/>
    <w:rsid w:val="006E4B43"/>
    <w:rsid w:val="006E4C92"/>
    <w:rsid w:val="006E4D00"/>
    <w:rsid w:val="006E4D72"/>
    <w:rsid w:val="006E4D91"/>
    <w:rsid w:val="006E4DE4"/>
    <w:rsid w:val="006E4E93"/>
    <w:rsid w:val="006E4ED6"/>
    <w:rsid w:val="006E4F38"/>
    <w:rsid w:val="006E4FAF"/>
    <w:rsid w:val="006E4FB2"/>
    <w:rsid w:val="006E4FC4"/>
    <w:rsid w:val="006E505E"/>
    <w:rsid w:val="006E508F"/>
    <w:rsid w:val="006E5290"/>
    <w:rsid w:val="006E54BB"/>
    <w:rsid w:val="006E57D8"/>
    <w:rsid w:val="006E57E3"/>
    <w:rsid w:val="006E584C"/>
    <w:rsid w:val="006E5A67"/>
    <w:rsid w:val="006E5A83"/>
    <w:rsid w:val="006E5C0E"/>
    <w:rsid w:val="006E5CF9"/>
    <w:rsid w:val="006E5D2C"/>
    <w:rsid w:val="006E5D41"/>
    <w:rsid w:val="006E5E20"/>
    <w:rsid w:val="006E5F69"/>
    <w:rsid w:val="006E5F70"/>
    <w:rsid w:val="006E606C"/>
    <w:rsid w:val="006E632A"/>
    <w:rsid w:val="006E641A"/>
    <w:rsid w:val="006E65D9"/>
    <w:rsid w:val="006E670D"/>
    <w:rsid w:val="006E6882"/>
    <w:rsid w:val="006E697A"/>
    <w:rsid w:val="006E6B24"/>
    <w:rsid w:val="006E6D15"/>
    <w:rsid w:val="006E6E02"/>
    <w:rsid w:val="006E6F56"/>
    <w:rsid w:val="006E707A"/>
    <w:rsid w:val="006E710A"/>
    <w:rsid w:val="006E713C"/>
    <w:rsid w:val="006E716D"/>
    <w:rsid w:val="006E7238"/>
    <w:rsid w:val="006E72C4"/>
    <w:rsid w:val="006E7383"/>
    <w:rsid w:val="006E7418"/>
    <w:rsid w:val="006E7477"/>
    <w:rsid w:val="006E7528"/>
    <w:rsid w:val="006E7541"/>
    <w:rsid w:val="006E75B9"/>
    <w:rsid w:val="006E7665"/>
    <w:rsid w:val="006E769B"/>
    <w:rsid w:val="006E76F3"/>
    <w:rsid w:val="006E77A8"/>
    <w:rsid w:val="006E77AD"/>
    <w:rsid w:val="006E781A"/>
    <w:rsid w:val="006E782E"/>
    <w:rsid w:val="006E7C81"/>
    <w:rsid w:val="006E7CA7"/>
    <w:rsid w:val="006E7DEB"/>
    <w:rsid w:val="006E7E7B"/>
    <w:rsid w:val="006E7F07"/>
    <w:rsid w:val="006F00F1"/>
    <w:rsid w:val="006F028C"/>
    <w:rsid w:val="006F0325"/>
    <w:rsid w:val="006F05D1"/>
    <w:rsid w:val="006F074C"/>
    <w:rsid w:val="006F0794"/>
    <w:rsid w:val="006F0886"/>
    <w:rsid w:val="006F09D9"/>
    <w:rsid w:val="006F0C3E"/>
    <w:rsid w:val="006F0C42"/>
    <w:rsid w:val="006F0C7B"/>
    <w:rsid w:val="006F0D98"/>
    <w:rsid w:val="006F0FE5"/>
    <w:rsid w:val="006F11AA"/>
    <w:rsid w:val="006F11EC"/>
    <w:rsid w:val="006F1212"/>
    <w:rsid w:val="006F1231"/>
    <w:rsid w:val="006F125B"/>
    <w:rsid w:val="006F12ED"/>
    <w:rsid w:val="006F139C"/>
    <w:rsid w:val="006F13F7"/>
    <w:rsid w:val="006F1484"/>
    <w:rsid w:val="006F148A"/>
    <w:rsid w:val="006F1531"/>
    <w:rsid w:val="006F153B"/>
    <w:rsid w:val="006F15D9"/>
    <w:rsid w:val="006F1769"/>
    <w:rsid w:val="006F1774"/>
    <w:rsid w:val="006F17BB"/>
    <w:rsid w:val="006F17C5"/>
    <w:rsid w:val="006F1883"/>
    <w:rsid w:val="006F188F"/>
    <w:rsid w:val="006F18D6"/>
    <w:rsid w:val="006F19F2"/>
    <w:rsid w:val="006F1A2C"/>
    <w:rsid w:val="006F1A63"/>
    <w:rsid w:val="006F1A98"/>
    <w:rsid w:val="006F1B63"/>
    <w:rsid w:val="006F1BDE"/>
    <w:rsid w:val="006F1BEC"/>
    <w:rsid w:val="006F1ECC"/>
    <w:rsid w:val="006F1F07"/>
    <w:rsid w:val="006F2165"/>
    <w:rsid w:val="006F227F"/>
    <w:rsid w:val="006F2346"/>
    <w:rsid w:val="006F24AA"/>
    <w:rsid w:val="006F2588"/>
    <w:rsid w:val="006F26C0"/>
    <w:rsid w:val="006F275D"/>
    <w:rsid w:val="006F2770"/>
    <w:rsid w:val="006F2896"/>
    <w:rsid w:val="006F2903"/>
    <w:rsid w:val="006F2A68"/>
    <w:rsid w:val="006F2DA5"/>
    <w:rsid w:val="006F2DBB"/>
    <w:rsid w:val="006F2F7A"/>
    <w:rsid w:val="006F2FCE"/>
    <w:rsid w:val="006F2FD8"/>
    <w:rsid w:val="006F302A"/>
    <w:rsid w:val="006F30D5"/>
    <w:rsid w:val="006F31AC"/>
    <w:rsid w:val="006F3230"/>
    <w:rsid w:val="006F32E2"/>
    <w:rsid w:val="006F3383"/>
    <w:rsid w:val="006F33AC"/>
    <w:rsid w:val="006F34FD"/>
    <w:rsid w:val="006F35FC"/>
    <w:rsid w:val="006F3644"/>
    <w:rsid w:val="006F36E6"/>
    <w:rsid w:val="006F385F"/>
    <w:rsid w:val="006F38C5"/>
    <w:rsid w:val="006F3A0F"/>
    <w:rsid w:val="006F3AA0"/>
    <w:rsid w:val="006F3ABE"/>
    <w:rsid w:val="006F3C75"/>
    <w:rsid w:val="006F3E22"/>
    <w:rsid w:val="006F3F9F"/>
    <w:rsid w:val="006F3FA1"/>
    <w:rsid w:val="006F3FA3"/>
    <w:rsid w:val="006F4039"/>
    <w:rsid w:val="006F41E6"/>
    <w:rsid w:val="006F42BE"/>
    <w:rsid w:val="006F4352"/>
    <w:rsid w:val="006F4417"/>
    <w:rsid w:val="006F442A"/>
    <w:rsid w:val="006F446F"/>
    <w:rsid w:val="006F458C"/>
    <w:rsid w:val="006F45F8"/>
    <w:rsid w:val="006F461E"/>
    <w:rsid w:val="006F468D"/>
    <w:rsid w:val="006F4706"/>
    <w:rsid w:val="006F4762"/>
    <w:rsid w:val="006F47A7"/>
    <w:rsid w:val="006F47FC"/>
    <w:rsid w:val="006F4906"/>
    <w:rsid w:val="006F4C88"/>
    <w:rsid w:val="006F4D27"/>
    <w:rsid w:val="006F4D2E"/>
    <w:rsid w:val="006F4E18"/>
    <w:rsid w:val="006F4FA8"/>
    <w:rsid w:val="006F50C1"/>
    <w:rsid w:val="006F5135"/>
    <w:rsid w:val="006F5148"/>
    <w:rsid w:val="006F51AE"/>
    <w:rsid w:val="006F51B2"/>
    <w:rsid w:val="006F534D"/>
    <w:rsid w:val="006F541E"/>
    <w:rsid w:val="006F5440"/>
    <w:rsid w:val="006F5773"/>
    <w:rsid w:val="006F577D"/>
    <w:rsid w:val="006F5790"/>
    <w:rsid w:val="006F58AD"/>
    <w:rsid w:val="006F59FF"/>
    <w:rsid w:val="006F5AD0"/>
    <w:rsid w:val="006F5B02"/>
    <w:rsid w:val="006F5BC3"/>
    <w:rsid w:val="006F5BC4"/>
    <w:rsid w:val="006F5D54"/>
    <w:rsid w:val="006F5DAB"/>
    <w:rsid w:val="006F5E45"/>
    <w:rsid w:val="006F5E5C"/>
    <w:rsid w:val="006F5EB6"/>
    <w:rsid w:val="006F5ECB"/>
    <w:rsid w:val="006F60E4"/>
    <w:rsid w:val="006F6101"/>
    <w:rsid w:val="006F6188"/>
    <w:rsid w:val="006F6411"/>
    <w:rsid w:val="006F66FA"/>
    <w:rsid w:val="006F6734"/>
    <w:rsid w:val="006F6763"/>
    <w:rsid w:val="006F67FF"/>
    <w:rsid w:val="006F68BB"/>
    <w:rsid w:val="006F6945"/>
    <w:rsid w:val="006F69CF"/>
    <w:rsid w:val="006F6A4F"/>
    <w:rsid w:val="006F6A76"/>
    <w:rsid w:val="006F6BBD"/>
    <w:rsid w:val="006F6BE9"/>
    <w:rsid w:val="006F6D65"/>
    <w:rsid w:val="006F6E6E"/>
    <w:rsid w:val="006F7016"/>
    <w:rsid w:val="006F7055"/>
    <w:rsid w:val="006F715D"/>
    <w:rsid w:val="006F7160"/>
    <w:rsid w:val="006F73DD"/>
    <w:rsid w:val="006F7406"/>
    <w:rsid w:val="006F749C"/>
    <w:rsid w:val="006F751D"/>
    <w:rsid w:val="006F7626"/>
    <w:rsid w:val="006F77F9"/>
    <w:rsid w:val="006F7851"/>
    <w:rsid w:val="006F7863"/>
    <w:rsid w:val="006F78A6"/>
    <w:rsid w:val="006F7C61"/>
    <w:rsid w:val="006F7D90"/>
    <w:rsid w:val="006F7FFD"/>
    <w:rsid w:val="006FC5C2"/>
    <w:rsid w:val="00700046"/>
    <w:rsid w:val="007000FF"/>
    <w:rsid w:val="00700162"/>
    <w:rsid w:val="0070019F"/>
    <w:rsid w:val="0070029A"/>
    <w:rsid w:val="007002BC"/>
    <w:rsid w:val="0070030D"/>
    <w:rsid w:val="00700330"/>
    <w:rsid w:val="00700461"/>
    <w:rsid w:val="007005CE"/>
    <w:rsid w:val="00700689"/>
    <w:rsid w:val="007006BC"/>
    <w:rsid w:val="00700789"/>
    <w:rsid w:val="007008CD"/>
    <w:rsid w:val="00700AB8"/>
    <w:rsid w:val="00700AC1"/>
    <w:rsid w:val="00700C4E"/>
    <w:rsid w:val="00700CC0"/>
    <w:rsid w:val="00700D20"/>
    <w:rsid w:val="00700D80"/>
    <w:rsid w:val="00700E56"/>
    <w:rsid w:val="00700F49"/>
    <w:rsid w:val="00700F51"/>
    <w:rsid w:val="00700F78"/>
    <w:rsid w:val="0070104C"/>
    <w:rsid w:val="00701091"/>
    <w:rsid w:val="0070123F"/>
    <w:rsid w:val="007014E4"/>
    <w:rsid w:val="00701611"/>
    <w:rsid w:val="00701737"/>
    <w:rsid w:val="00701790"/>
    <w:rsid w:val="00701857"/>
    <w:rsid w:val="007018C6"/>
    <w:rsid w:val="007019B1"/>
    <w:rsid w:val="00701A63"/>
    <w:rsid w:val="00701E3E"/>
    <w:rsid w:val="00701FA8"/>
    <w:rsid w:val="007020F0"/>
    <w:rsid w:val="007021B0"/>
    <w:rsid w:val="0070237D"/>
    <w:rsid w:val="0070246E"/>
    <w:rsid w:val="007024E3"/>
    <w:rsid w:val="00702508"/>
    <w:rsid w:val="0070255B"/>
    <w:rsid w:val="00702574"/>
    <w:rsid w:val="00702607"/>
    <w:rsid w:val="007026C0"/>
    <w:rsid w:val="00702702"/>
    <w:rsid w:val="007027E2"/>
    <w:rsid w:val="00702884"/>
    <w:rsid w:val="007028B0"/>
    <w:rsid w:val="007028B2"/>
    <w:rsid w:val="007029CA"/>
    <w:rsid w:val="007029F3"/>
    <w:rsid w:val="00702A45"/>
    <w:rsid w:val="00702A6E"/>
    <w:rsid w:val="00702A81"/>
    <w:rsid w:val="00702B5A"/>
    <w:rsid w:val="00702E15"/>
    <w:rsid w:val="00702F7D"/>
    <w:rsid w:val="00702F85"/>
    <w:rsid w:val="00703071"/>
    <w:rsid w:val="00703072"/>
    <w:rsid w:val="0070310D"/>
    <w:rsid w:val="0070317B"/>
    <w:rsid w:val="007032F8"/>
    <w:rsid w:val="0070357E"/>
    <w:rsid w:val="00703718"/>
    <w:rsid w:val="007037BD"/>
    <w:rsid w:val="007037BF"/>
    <w:rsid w:val="00703835"/>
    <w:rsid w:val="0070399A"/>
    <w:rsid w:val="007039F3"/>
    <w:rsid w:val="00703C43"/>
    <w:rsid w:val="00703C92"/>
    <w:rsid w:val="00703D2F"/>
    <w:rsid w:val="00703D72"/>
    <w:rsid w:val="00703E63"/>
    <w:rsid w:val="00703F51"/>
    <w:rsid w:val="00703FCE"/>
    <w:rsid w:val="0070413D"/>
    <w:rsid w:val="0070417F"/>
    <w:rsid w:val="00704202"/>
    <w:rsid w:val="00704229"/>
    <w:rsid w:val="0070429C"/>
    <w:rsid w:val="0070441A"/>
    <w:rsid w:val="0070452D"/>
    <w:rsid w:val="00704675"/>
    <w:rsid w:val="00704693"/>
    <w:rsid w:val="0070470B"/>
    <w:rsid w:val="0070497B"/>
    <w:rsid w:val="007049B7"/>
    <w:rsid w:val="007049E8"/>
    <w:rsid w:val="00704B69"/>
    <w:rsid w:val="00704D85"/>
    <w:rsid w:val="00704E70"/>
    <w:rsid w:val="0070507E"/>
    <w:rsid w:val="00705086"/>
    <w:rsid w:val="007050F7"/>
    <w:rsid w:val="007051EF"/>
    <w:rsid w:val="007054DD"/>
    <w:rsid w:val="00705538"/>
    <w:rsid w:val="0070557C"/>
    <w:rsid w:val="00705596"/>
    <w:rsid w:val="007057BB"/>
    <w:rsid w:val="0070583D"/>
    <w:rsid w:val="00705869"/>
    <w:rsid w:val="007058F0"/>
    <w:rsid w:val="007058FE"/>
    <w:rsid w:val="00705904"/>
    <w:rsid w:val="007059EF"/>
    <w:rsid w:val="007059F0"/>
    <w:rsid w:val="00705A68"/>
    <w:rsid w:val="00705BB8"/>
    <w:rsid w:val="00705C70"/>
    <w:rsid w:val="00705C9B"/>
    <w:rsid w:val="00705D2E"/>
    <w:rsid w:val="00705DE1"/>
    <w:rsid w:val="00705EC0"/>
    <w:rsid w:val="00705F66"/>
    <w:rsid w:val="00706070"/>
    <w:rsid w:val="007061A4"/>
    <w:rsid w:val="00706211"/>
    <w:rsid w:val="00706242"/>
    <w:rsid w:val="007062FB"/>
    <w:rsid w:val="007063A1"/>
    <w:rsid w:val="0070650A"/>
    <w:rsid w:val="00706525"/>
    <w:rsid w:val="00706677"/>
    <w:rsid w:val="00706754"/>
    <w:rsid w:val="00706775"/>
    <w:rsid w:val="00706787"/>
    <w:rsid w:val="00706811"/>
    <w:rsid w:val="00706AFD"/>
    <w:rsid w:val="00706B1E"/>
    <w:rsid w:val="00706F2D"/>
    <w:rsid w:val="00706FEB"/>
    <w:rsid w:val="00706FF0"/>
    <w:rsid w:val="00707145"/>
    <w:rsid w:val="0070720E"/>
    <w:rsid w:val="00707520"/>
    <w:rsid w:val="0070757B"/>
    <w:rsid w:val="00707660"/>
    <w:rsid w:val="007076A2"/>
    <w:rsid w:val="00707885"/>
    <w:rsid w:val="007078AB"/>
    <w:rsid w:val="0070793C"/>
    <w:rsid w:val="00707959"/>
    <w:rsid w:val="007079F7"/>
    <w:rsid w:val="00707BEE"/>
    <w:rsid w:val="00707D05"/>
    <w:rsid w:val="00707DA3"/>
    <w:rsid w:val="00707DE3"/>
    <w:rsid w:val="00707DE7"/>
    <w:rsid w:val="00707E2D"/>
    <w:rsid w:val="00707E53"/>
    <w:rsid w:val="00707FC7"/>
    <w:rsid w:val="00710057"/>
    <w:rsid w:val="0071012C"/>
    <w:rsid w:val="007101D9"/>
    <w:rsid w:val="007102BD"/>
    <w:rsid w:val="00710328"/>
    <w:rsid w:val="0071035B"/>
    <w:rsid w:val="0071044C"/>
    <w:rsid w:val="00710491"/>
    <w:rsid w:val="007105FF"/>
    <w:rsid w:val="00710615"/>
    <w:rsid w:val="0071068A"/>
    <w:rsid w:val="00710A04"/>
    <w:rsid w:val="00710A27"/>
    <w:rsid w:val="00710AF9"/>
    <w:rsid w:val="00710BE8"/>
    <w:rsid w:val="00710D27"/>
    <w:rsid w:val="00710E19"/>
    <w:rsid w:val="00710EA5"/>
    <w:rsid w:val="00710EBF"/>
    <w:rsid w:val="00710F09"/>
    <w:rsid w:val="00710FF0"/>
    <w:rsid w:val="007114D2"/>
    <w:rsid w:val="00711590"/>
    <w:rsid w:val="007115A4"/>
    <w:rsid w:val="007117B3"/>
    <w:rsid w:val="0071192A"/>
    <w:rsid w:val="0071192B"/>
    <w:rsid w:val="0071197F"/>
    <w:rsid w:val="007119FC"/>
    <w:rsid w:val="00711B02"/>
    <w:rsid w:val="00711B45"/>
    <w:rsid w:val="00711C33"/>
    <w:rsid w:val="00711C6A"/>
    <w:rsid w:val="00711E0A"/>
    <w:rsid w:val="00711F48"/>
    <w:rsid w:val="00712011"/>
    <w:rsid w:val="007120AC"/>
    <w:rsid w:val="007120D9"/>
    <w:rsid w:val="00712257"/>
    <w:rsid w:val="007122AE"/>
    <w:rsid w:val="007122EF"/>
    <w:rsid w:val="007123D0"/>
    <w:rsid w:val="007123FF"/>
    <w:rsid w:val="0071245C"/>
    <w:rsid w:val="00712472"/>
    <w:rsid w:val="00712938"/>
    <w:rsid w:val="00712982"/>
    <w:rsid w:val="00712A3D"/>
    <w:rsid w:val="00712E1F"/>
    <w:rsid w:val="00712E68"/>
    <w:rsid w:val="00712E70"/>
    <w:rsid w:val="00712FAF"/>
    <w:rsid w:val="00712FC8"/>
    <w:rsid w:val="00712FCE"/>
    <w:rsid w:val="00713066"/>
    <w:rsid w:val="0071312C"/>
    <w:rsid w:val="00713149"/>
    <w:rsid w:val="00713150"/>
    <w:rsid w:val="00713213"/>
    <w:rsid w:val="007132ED"/>
    <w:rsid w:val="007132EE"/>
    <w:rsid w:val="00713399"/>
    <w:rsid w:val="007135C3"/>
    <w:rsid w:val="00713629"/>
    <w:rsid w:val="00713632"/>
    <w:rsid w:val="0071372A"/>
    <w:rsid w:val="00713851"/>
    <w:rsid w:val="007138C7"/>
    <w:rsid w:val="0071394B"/>
    <w:rsid w:val="00713B04"/>
    <w:rsid w:val="00713B3D"/>
    <w:rsid w:val="00713C4C"/>
    <w:rsid w:val="00713CE6"/>
    <w:rsid w:val="00713D54"/>
    <w:rsid w:val="00713D69"/>
    <w:rsid w:val="00713D9D"/>
    <w:rsid w:val="00713DD5"/>
    <w:rsid w:val="00713F22"/>
    <w:rsid w:val="00713F56"/>
    <w:rsid w:val="00713FBA"/>
    <w:rsid w:val="007140C2"/>
    <w:rsid w:val="007140E5"/>
    <w:rsid w:val="007141DC"/>
    <w:rsid w:val="007142F0"/>
    <w:rsid w:val="007143CF"/>
    <w:rsid w:val="0071440F"/>
    <w:rsid w:val="00714462"/>
    <w:rsid w:val="00714501"/>
    <w:rsid w:val="00714522"/>
    <w:rsid w:val="007145AC"/>
    <w:rsid w:val="00714600"/>
    <w:rsid w:val="007146A5"/>
    <w:rsid w:val="00714770"/>
    <w:rsid w:val="00714A75"/>
    <w:rsid w:val="00714A79"/>
    <w:rsid w:val="00714AFF"/>
    <w:rsid w:val="00714B9F"/>
    <w:rsid w:val="00714C68"/>
    <w:rsid w:val="00714D92"/>
    <w:rsid w:val="00714DAA"/>
    <w:rsid w:val="00714EBE"/>
    <w:rsid w:val="00714ED0"/>
    <w:rsid w:val="00714F52"/>
    <w:rsid w:val="007150FD"/>
    <w:rsid w:val="0071515E"/>
    <w:rsid w:val="0071516C"/>
    <w:rsid w:val="00715178"/>
    <w:rsid w:val="00715195"/>
    <w:rsid w:val="007151E9"/>
    <w:rsid w:val="00715345"/>
    <w:rsid w:val="007153DB"/>
    <w:rsid w:val="007154D6"/>
    <w:rsid w:val="007155CE"/>
    <w:rsid w:val="00715665"/>
    <w:rsid w:val="00715827"/>
    <w:rsid w:val="0071599B"/>
    <w:rsid w:val="00715AC1"/>
    <w:rsid w:val="00715B69"/>
    <w:rsid w:val="00715B84"/>
    <w:rsid w:val="00715B8D"/>
    <w:rsid w:val="00715CEF"/>
    <w:rsid w:val="00715D13"/>
    <w:rsid w:val="00715D1D"/>
    <w:rsid w:val="00715DB9"/>
    <w:rsid w:val="00715EA4"/>
    <w:rsid w:val="00715ECB"/>
    <w:rsid w:val="00715FAE"/>
    <w:rsid w:val="00716164"/>
    <w:rsid w:val="00716217"/>
    <w:rsid w:val="00716247"/>
    <w:rsid w:val="00716285"/>
    <w:rsid w:val="00716302"/>
    <w:rsid w:val="00716358"/>
    <w:rsid w:val="007163B5"/>
    <w:rsid w:val="007163C5"/>
    <w:rsid w:val="007163E4"/>
    <w:rsid w:val="00716402"/>
    <w:rsid w:val="007164D8"/>
    <w:rsid w:val="00716509"/>
    <w:rsid w:val="007165C5"/>
    <w:rsid w:val="007165EE"/>
    <w:rsid w:val="007167DF"/>
    <w:rsid w:val="0071682E"/>
    <w:rsid w:val="00716869"/>
    <w:rsid w:val="00716A18"/>
    <w:rsid w:val="00716A1C"/>
    <w:rsid w:val="00716A6F"/>
    <w:rsid w:val="00716A87"/>
    <w:rsid w:val="00716B3D"/>
    <w:rsid w:val="00716CDA"/>
    <w:rsid w:val="00716EE4"/>
    <w:rsid w:val="00716F13"/>
    <w:rsid w:val="00716F97"/>
    <w:rsid w:val="00716FC1"/>
    <w:rsid w:val="00717343"/>
    <w:rsid w:val="00717386"/>
    <w:rsid w:val="007173CC"/>
    <w:rsid w:val="00717505"/>
    <w:rsid w:val="0071760F"/>
    <w:rsid w:val="00717624"/>
    <w:rsid w:val="0071764C"/>
    <w:rsid w:val="0071778F"/>
    <w:rsid w:val="00717867"/>
    <w:rsid w:val="0071793A"/>
    <w:rsid w:val="00717B34"/>
    <w:rsid w:val="00717B80"/>
    <w:rsid w:val="00717B9A"/>
    <w:rsid w:val="00717C36"/>
    <w:rsid w:val="00717C6D"/>
    <w:rsid w:val="00717DCB"/>
    <w:rsid w:val="00717E2F"/>
    <w:rsid w:val="00717E8A"/>
    <w:rsid w:val="00717F02"/>
    <w:rsid w:val="00717F08"/>
    <w:rsid w:val="00717FAF"/>
    <w:rsid w:val="00720127"/>
    <w:rsid w:val="0072013D"/>
    <w:rsid w:val="007201E5"/>
    <w:rsid w:val="0072024D"/>
    <w:rsid w:val="007204EE"/>
    <w:rsid w:val="007207B4"/>
    <w:rsid w:val="00720918"/>
    <w:rsid w:val="00720A85"/>
    <w:rsid w:val="00720D2C"/>
    <w:rsid w:val="00720DF4"/>
    <w:rsid w:val="00720E26"/>
    <w:rsid w:val="00720FA5"/>
    <w:rsid w:val="00721267"/>
    <w:rsid w:val="0072152D"/>
    <w:rsid w:val="00721567"/>
    <w:rsid w:val="0072177D"/>
    <w:rsid w:val="007217A7"/>
    <w:rsid w:val="007217AE"/>
    <w:rsid w:val="0072181E"/>
    <w:rsid w:val="007218D8"/>
    <w:rsid w:val="00721907"/>
    <w:rsid w:val="00721ABB"/>
    <w:rsid w:val="00721B94"/>
    <w:rsid w:val="00721C65"/>
    <w:rsid w:val="00721D4C"/>
    <w:rsid w:val="00721DEA"/>
    <w:rsid w:val="00721F5A"/>
    <w:rsid w:val="0072209F"/>
    <w:rsid w:val="007220B6"/>
    <w:rsid w:val="00722116"/>
    <w:rsid w:val="0072214D"/>
    <w:rsid w:val="0072215C"/>
    <w:rsid w:val="007222C5"/>
    <w:rsid w:val="0072231E"/>
    <w:rsid w:val="00722323"/>
    <w:rsid w:val="007223B4"/>
    <w:rsid w:val="007223DE"/>
    <w:rsid w:val="0072245F"/>
    <w:rsid w:val="0072265E"/>
    <w:rsid w:val="007227C1"/>
    <w:rsid w:val="007227E5"/>
    <w:rsid w:val="00722846"/>
    <w:rsid w:val="007228DC"/>
    <w:rsid w:val="00722978"/>
    <w:rsid w:val="007229D1"/>
    <w:rsid w:val="00722A01"/>
    <w:rsid w:val="00722A98"/>
    <w:rsid w:val="00722AC9"/>
    <w:rsid w:val="00722C1B"/>
    <w:rsid w:val="00722CF9"/>
    <w:rsid w:val="00722DC3"/>
    <w:rsid w:val="00722DDC"/>
    <w:rsid w:val="00722DF0"/>
    <w:rsid w:val="00722EB8"/>
    <w:rsid w:val="00722EC9"/>
    <w:rsid w:val="00722FC9"/>
    <w:rsid w:val="00722FEA"/>
    <w:rsid w:val="007230B4"/>
    <w:rsid w:val="00723237"/>
    <w:rsid w:val="007232F8"/>
    <w:rsid w:val="0072330F"/>
    <w:rsid w:val="007233F8"/>
    <w:rsid w:val="00723427"/>
    <w:rsid w:val="0072344D"/>
    <w:rsid w:val="0072356D"/>
    <w:rsid w:val="007236AC"/>
    <w:rsid w:val="0072399F"/>
    <w:rsid w:val="007239B5"/>
    <w:rsid w:val="00723A2F"/>
    <w:rsid w:val="00723B3D"/>
    <w:rsid w:val="00723C58"/>
    <w:rsid w:val="00723CC8"/>
    <w:rsid w:val="00723D0B"/>
    <w:rsid w:val="00723D11"/>
    <w:rsid w:val="00723D3A"/>
    <w:rsid w:val="00723D8F"/>
    <w:rsid w:val="00723D91"/>
    <w:rsid w:val="00723DAE"/>
    <w:rsid w:val="00723ECB"/>
    <w:rsid w:val="00723F0B"/>
    <w:rsid w:val="00724029"/>
    <w:rsid w:val="007241FA"/>
    <w:rsid w:val="00724208"/>
    <w:rsid w:val="00724348"/>
    <w:rsid w:val="00724745"/>
    <w:rsid w:val="00724957"/>
    <w:rsid w:val="007249A8"/>
    <w:rsid w:val="007249E0"/>
    <w:rsid w:val="007249FA"/>
    <w:rsid w:val="00724A2B"/>
    <w:rsid w:val="007250A8"/>
    <w:rsid w:val="0072517F"/>
    <w:rsid w:val="007251A3"/>
    <w:rsid w:val="007251DA"/>
    <w:rsid w:val="007251ED"/>
    <w:rsid w:val="00725227"/>
    <w:rsid w:val="007252E4"/>
    <w:rsid w:val="00725374"/>
    <w:rsid w:val="00725488"/>
    <w:rsid w:val="007255CD"/>
    <w:rsid w:val="00725797"/>
    <w:rsid w:val="00725812"/>
    <w:rsid w:val="0072593E"/>
    <w:rsid w:val="007259AB"/>
    <w:rsid w:val="00725A3C"/>
    <w:rsid w:val="00725A90"/>
    <w:rsid w:val="00725B70"/>
    <w:rsid w:val="00725BDA"/>
    <w:rsid w:val="00725C1A"/>
    <w:rsid w:val="00725D02"/>
    <w:rsid w:val="00725D1D"/>
    <w:rsid w:val="00725D32"/>
    <w:rsid w:val="00725F61"/>
    <w:rsid w:val="00725FC9"/>
    <w:rsid w:val="0072612E"/>
    <w:rsid w:val="00726224"/>
    <w:rsid w:val="00726443"/>
    <w:rsid w:val="00726536"/>
    <w:rsid w:val="007265F5"/>
    <w:rsid w:val="007266B6"/>
    <w:rsid w:val="007266E2"/>
    <w:rsid w:val="00726709"/>
    <w:rsid w:val="0072672F"/>
    <w:rsid w:val="00726732"/>
    <w:rsid w:val="007267ED"/>
    <w:rsid w:val="00726A5B"/>
    <w:rsid w:val="00726AF1"/>
    <w:rsid w:val="00726CFA"/>
    <w:rsid w:val="00726D89"/>
    <w:rsid w:val="00726DA2"/>
    <w:rsid w:val="00726E83"/>
    <w:rsid w:val="00726E8C"/>
    <w:rsid w:val="0072702D"/>
    <w:rsid w:val="007270E7"/>
    <w:rsid w:val="00727496"/>
    <w:rsid w:val="007277A3"/>
    <w:rsid w:val="007277EC"/>
    <w:rsid w:val="007277FA"/>
    <w:rsid w:val="00727820"/>
    <w:rsid w:val="007279CC"/>
    <w:rsid w:val="00727A3C"/>
    <w:rsid w:val="00727AB7"/>
    <w:rsid w:val="00727B46"/>
    <w:rsid w:val="00727B96"/>
    <w:rsid w:val="00727BD8"/>
    <w:rsid w:val="00727CA2"/>
    <w:rsid w:val="00727EFC"/>
    <w:rsid w:val="00727F42"/>
    <w:rsid w:val="00727FDA"/>
    <w:rsid w:val="00730091"/>
    <w:rsid w:val="00730092"/>
    <w:rsid w:val="007300E6"/>
    <w:rsid w:val="00730115"/>
    <w:rsid w:val="00730146"/>
    <w:rsid w:val="00730147"/>
    <w:rsid w:val="00730157"/>
    <w:rsid w:val="0073021D"/>
    <w:rsid w:val="00730226"/>
    <w:rsid w:val="00730239"/>
    <w:rsid w:val="0073032D"/>
    <w:rsid w:val="007303F0"/>
    <w:rsid w:val="0073040D"/>
    <w:rsid w:val="0073050E"/>
    <w:rsid w:val="0073066F"/>
    <w:rsid w:val="007308BC"/>
    <w:rsid w:val="007309EF"/>
    <w:rsid w:val="00730B6B"/>
    <w:rsid w:val="00730C7B"/>
    <w:rsid w:val="00730CDD"/>
    <w:rsid w:val="00730D31"/>
    <w:rsid w:val="00730E53"/>
    <w:rsid w:val="00730F1C"/>
    <w:rsid w:val="00731150"/>
    <w:rsid w:val="007311DA"/>
    <w:rsid w:val="007311DD"/>
    <w:rsid w:val="00731281"/>
    <w:rsid w:val="007313EA"/>
    <w:rsid w:val="007314A3"/>
    <w:rsid w:val="00731550"/>
    <w:rsid w:val="0073160F"/>
    <w:rsid w:val="0073174A"/>
    <w:rsid w:val="0073174D"/>
    <w:rsid w:val="00731773"/>
    <w:rsid w:val="007317DA"/>
    <w:rsid w:val="00731857"/>
    <w:rsid w:val="007318C5"/>
    <w:rsid w:val="00731983"/>
    <w:rsid w:val="00731AA2"/>
    <w:rsid w:val="00731AD2"/>
    <w:rsid w:val="00731D56"/>
    <w:rsid w:val="00731D7E"/>
    <w:rsid w:val="00731DBF"/>
    <w:rsid w:val="00731E31"/>
    <w:rsid w:val="00731E47"/>
    <w:rsid w:val="00731EE3"/>
    <w:rsid w:val="00731FFD"/>
    <w:rsid w:val="0073202D"/>
    <w:rsid w:val="007320BA"/>
    <w:rsid w:val="00732241"/>
    <w:rsid w:val="00732254"/>
    <w:rsid w:val="00732424"/>
    <w:rsid w:val="00732438"/>
    <w:rsid w:val="00732532"/>
    <w:rsid w:val="007325E3"/>
    <w:rsid w:val="007326D3"/>
    <w:rsid w:val="00732899"/>
    <w:rsid w:val="007328E4"/>
    <w:rsid w:val="007329FC"/>
    <w:rsid w:val="00732A05"/>
    <w:rsid w:val="00732A1B"/>
    <w:rsid w:val="00732A1C"/>
    <w:rsid w:val="00732ADD"/>
    <w:rsid w:val="00732AEC"/>
    <w:rsid w:val="00732B20"/>
    <w:rsid w:val="00732BD3"/>
    <w:rsid w:val="00732CB1"/>
    <w:rsid w:val="00732CE5"/>
    <w:rsid w:val="00732D36"/>
    <w:rsid w:val="00732D83"/>
    <w:rsid w:val="00732E00"/>
    <w:rsid w:val="00732E8A"/>
    <w:rsid w:val="00732EE2"/>
    <w:rsid w:val="00732F8B"/>
    <w:rsid w:val="00733073"/>
    <w:rsid w:val="00733084"/>
    <w:rsid w:val="00733318"/>
    <w:rsid w:val="0073339B"/>
    <w:rsid w:val="00733444"/>
    <w:rsid w:val="0073350C"/>
    <w:rsid w:val="007336B0"/>
    <w:rsid w:val="007337CA"/>
    <w:rsid w:val="00733828"/>
    <w:rsid w:val="0073392E"/>
    <w:rsid w:val="0073393F"/>
    <w:rsid w:val="00733A17"/>
    <w:rsid w:val="00733A4C"/>
    <w:rsid w:val="00733AC5"/>
    <w:rsid w:val="00733AF5"/>
    <w:rsid w:val="00733B4E"/>
    <w:rsid w:val="00733BB3"/>
    <w:rsid w:val="00733D0D"/>
    <w:rsid w:val="00733D2C"/>
    <w:rsid w:val="00733D84"/>
    <w:rsid w:val="00733EAA"/>
    <w:rsid w:val="00733EC3"/>
    <w:rsid w:val="00733F42"/>
    <w:rsid w:val="0073411A"/>
    <w:rsid w:val="00734278"/>
    <w:rsid w:val="007342D7"/>
    <w:rsid w:val="007343C9"/>
    <w:rsid w:val="00734428"/>
    <w:rsid w:val="007344CC"/>
    <w:rsid w:val="007345A5"/>
    <w:rsid w:val="007345C1"/>
    <w:rsid w:val="007345F3"/>
    <w:rsid w:val="007346FE"/>
    <w:rsid w:val="007348C8"/>
    <w:rsid w:val="007348D2"/>
    <w:rsid w:val="0073493B"/>
    <w:rsid w:val="00734ACA"/>
    <w:rsid w:val="00734B7E"/>
    <w:rsid w:val="00734C20"/>
    <w:rsid w:val="00734C75"/>
    <w:rsid w:val="00734C83"/>
    <w:rsid w:val="00734DB2"/>
    <w:rsid w:val="00734DF4"/>
    <w:rsid w:val="00734EFA"/>
    <w:rsid w:val="007350B7"/>
    <w:rsid w:val="0073516A"/>
    <w:rsid w:val="007351A2"/>
    <w:rsid w:val="00735255"/>
    <w:rsid w:val="007352D3"/>
    <w:rsid w:val="00735320"/>
    <w:rsid w:val="00735336"/>
    <w:rsid w:val="0073544C"/>
    <w:rsid w:val="007354D1"/>
    <w:rsid w:val="007356D6"/>
    <w:rsid w:val="007357A4"/>
    <w:rsid w:val="00735811"/>
    <w:rsid w:val="007359D3"/>
    <w:rsid w:val="00735A37"/>
    <w:rsid w:val="00735ACE"/>
    <w:rsid w:val="00735B77"/>
    <w:rsid w:val="00735C54"/>
    <w:rsid w:val="00735E77"/>
    <w:rsid w:val="00735E78"/>
    <w:rsid w:val="00735FA1"/>
    <w:rsid w:val="0073602B"/>
    <w:rsid w:val="007360FA"/>
    <w:rsid w:val="0073612F"/>
    <w:rsid w:val="0073615E"/>
    <w:rsid w:val="0073618D"/>
    <w:rsid w:val="0073618E"/>
    <w:rsid w:val="0073621F"/>
    <w:rsid w:val="0073631C"/>
    <w:rsid w:val="00736425"/>
    <w:rsid w:val="00736473"/>
    <w:rsid w:val="00736545"/>
    <w:rsid w:val="007365BB"/>
    <w:rsid w:val="00736709"/>
    <w:rsid w:val="00736752"/>
    <w:rsid w:val="00736889"/>
    <w:rsid w:val="00736989"/>
    <w:rsid w:val="00736B39"/>
    <w:rsid w:val="00736BDF"/>
    <w:rsid w:val="00736C01"/>
    <w:rsid w:val="00736C47"/>
    <w:rsid w:val="007370F6"/>
    <w:rsid w:val="007371B5"/>
    <w:rsid w:val="00737287"/>
    <w:rsid w:val="007372FC"/>
    <w:rsid w:val="00737398"/>
    <w:rsid w:val="00737479"/>
    <w:rsid w:val="00737517"/>
    <w:rsid w:val="007375E5"/>
    <w:rsid w:val="0073765F"/>
    <w:rsid w:val="007377F5"/>
    <w:rsid w:val="00737849"/>
    <w:rsid w:val="00737913"/>
    <w:rsid w:val="007379F5"/>
    <w:rsid w:val="00737CBB"/>
    <w:rsid w:val="00737CFD"/>
    <w:rsid w:val="00737FA7"/>
    <w:rsid w:val="007401C7"/>
    <w:rsid w:val="007402BD"/>
    <w:rsid w:val="007402BE"/>
    <w:rsid w:val="007403E2"/>
    <w:rsid w:val="007404B9"/>
    <w:rsid w:val="007404E0"/>
    <w:rsid w:val="00740627"/>
    <w:rsid w:val="00740635"/>
    <w:rsid w:val="00740710"/>
    <w:rsid w:val="007407CF"/>
    <w:rsid w:val="0074089D"/>
    <w:rsid w:val="007409A2"/>
    <w:rsid w:val="00740BDE"/>
    <w:rsid w:val="00740E02"/>
    <w:rsid w:val="00740E29"/>
    <w:rsid w:val="00740F10"/>
    <w:rsid w:val="007410F5"/>
    <w:rsid w:val="007413DF"/>
    <w:rsid w:val="007414B7"/>
    <w:rsid w:val="007414BC"/>
    <w:rsid w:val="007414BE"/>
    <w:rsid w:val="00741679"/>
    <w:rsid w:val="00741771"/>
    <w:rsid w:val="0074180A"/>
    <w:rsid w:val="007418D0"/>
    <w:rsid w:val="00741A32"/>
    <w:rsid w:val="00741AEC"/>
    <w:rsid w:val="00741C82"/>
    <w:rsid w:val="00741CBF"/>
    <w:rsid w:val="00741D05"/>
    <w:rsid w:val="00741D07"/>
    <w:rsid w:val="00741DE8"/>
    <w:rsid w:val="00741E61"/>
    <w:rsid w:val="00741F40"/>
    <w:rsid w:val="00742048"/>
    <w:rsid w:val="007421D7"/>
    <w:rsid w:val="007421E3"/>
    <w:rsid w:val="00742299"/>
    <w:rsid w:val="007422DC"/>
    <w:rsid w:val="0074233C"/>
    <w:rsid w:val="00742344"/>
    <w:rsid w:val="00742701"/>
    <w:rsid w:val="0074279F"/>
    <w:rsid w:val="007427F9"/>
    <w:rsid w:val="00742847"/>
    <w:rsid w:val="00742928"/>
    <w:rsid w:val="00742940"/>
    <w:rsid w:val="0074297D"/>
    <w:rsid w:val="00742987"/>
    <w:rsid w:val="007429AE"/>
    <w:rsid w:val="007429AF"/>
    <w:rsid w:val="00742B01"/>
    <w:rsid w:val="00742C38"/>
    <w:rsid w:val="00742D8C"/>
    <w:rsid w:val="00742EAB"/>
    <w:rsid w:val="0074309B"/>
    <w:rsid w:val="007432A2"/>
    <w:rsid w:val="007432E3"/>
    <w:rsid w:val="00743318"/>
    <w:rsid w:val="0074358C"/>
    <w:rsid w:val="007436EA"/>
    <w:rsid w:val="0074373A"/>
    <w:rsid w:val="00743803"/>
    <w:rsid w:val="007438FA"/>
    <w:rsid w:val="00743985"/>
    <w:rsid w:val="00743CCD"/>
    <w:rsid w:val="00743D17"/>
    <w:rsid w:val="00743FCC"/>
    <w:rsid w:val="007440BA"/>
    <w:rsid w:val="007441C2"/>
    <w:rsid w:val="00744265"/>
    <w:rsid w:val="00744308"/>
    <w:rsid w:val="007443CD"/>
    <w:rsid w:val="0074446A"/>
    <w:rsid w:val="007444DD"/>
    <w:rsid w:val="00744599"/>
    <w:rsid w:val="007445E1"/>
    <w:rsid w:val="00744677"/>
    <w:rsid w:val="007446D8"/>
    <w:rsid w:val="00744740"/>
    <w:rsid w:val="00744759"/>
    <w:rsid w:val="00744788"/>
    <w:rsid w:val="0074478D"/>
    <w:rsid w:val="0074479B"/>
    <w:rsid w:val="007448E2"/>
    <w:rsid w:val="00744AD4"/>
    <w:rsid w:val="00744B64"/>
    <w:rsid w:val="00744BB8"/>
    <w:rsid w:val="00744D50"/>
    <w:rsid w:val="00744DA6"/>
    <w:rsid w:val="00744E24"/>
    <w:rsid w:val="00745064"/>
    <w:rsid w:val="007450F8"/>
    <w:rsid w:val="007452D5"/>
    <w:rsid w:val="007452DA"/>
    <w:rsid w:val="00745331"/>
    <w:rsid w:val="00745357"/>
    <w:rsid w:val="00745364"/>
    <w:rsid w:val="0074541B"/>
    <w:rsid w:val="007455E4"/>
    <w:rsid w:val="007455F5"/>
    <w:rsid w:val="0074562B"/>
    <w:rsid w:val="007456A0"/>
    <w:rsid w:val="0074571C"/>
    <w:rsid w:val="00745747"/>
    <w:rsid w:val="00745813"/>
    <w:rsid w:val="0074586E"/>
    <w:rsid w:val="00745B10"/>
    <w:rsid w:val="00745B4F"/>
    <w:rsid w:val="00745B75"/>
    <w:rsid w:val="00745E03"/>
    <w:rsid w:val="00745E8B"/>
    <w:rsid w:val="00745F42"/>
    <w:rsid w:val="0074607A"/>
    <w:rsid w:val="0074617A"/>
    <w:rsid w:val="00746234"/>
    <w:rsid w:val="0074629F"/>
    <w:rsid w:val="007464B4"/>
    <w:rsid w:val="007464FA"/>
    <w:rsid w:val="007466FC"/>
    <w:rsid w:val="00746838"/>
    <w:rsid w:val="00746A48"/>
    <w:rsid w:val="00746AF0"/>
    <w:rsid w:val="00746B4C"/>
    <w:rsid w:val="00746B53"/>
    <w:rsid w:val="00746C70"/>
    <w:rsid w:val="00746C81"/>
    <w:rsid w:val="00746CAB"/>
    <w:rsid w:val="00746CB4"/>
    <w:rsid w:val="00746DDB"/>
    <w:rsid w:val="00746DEC"/>
    <w:rsid w:val="00746DF1"/>
    <w:rsid w:val="00746E55"/>
    <w:rsid w:val="007470CD"/>
    <w:rsid w:val="00747336"/>
    <w:rsid w:val="0074739D"/>
    <w:rsid w:val="0074769A"/>
    <w:rsid w:val="00747711"/>
    <w:rsid w:val="007477B9"/>
    <w:rsid w:val="007478E0"/>
    <w:rsid w:val="007479B3"/>
    <w:rsid w:val="007479BC"/>
    <w:rsid w:val="00747A2C"/>
    <w:rsid w:val="00747A2F"/>
    <w:rsid w:val="00747A56"/>
    <w:rsid w:val="00747A72"/>
    <w:rsid w:val="00747CB5"/>
    <w:rsid w:val="00747D62"/>
    <w:rsid w:val="00750031"/>
    <w:rsid w:val="00750106"/>
    <w:rsid w:val="00750220"/>
    <w:rsid w:val="0075027C"/>
    <w:rsid w:val="007502EE"/>
    <w:rsid w:val="007504B9"/>
    <w:rsid w:val="007504D1"/>
    <w:rsid w:val="007504F2"/>
    <w:rsid w:val="00750582"/>
    <w:rsid w:val="00750618"/>
    <w:rsid w:val="0075079C"/>
    <w:rsid w:val="007507BF"/>
    <w:rsid w:val="00750829"/>
    <w:rsid w:val="0075087D"/>
    <w:rsid w:val="00750A45"/>
    <w:rsid w:val="00750B40"/>
    <w:rsid w:val="00750B51"/>
    <w:rsid w:val="00750B66"/>
    <w:rsid w:val="00750D03"/>
    <w:rsid w:val="00750D45"/>
    <w:rsid w:val="00750D7F"/>
    <w:rsid w:val="00750DB1"/>
    <w:rsid w:val="00750E5B"/>
    <w:rsid w:val="00750F3D"/>
    <w:rsid w:val="00751102"/>
    <w:rsid w:val="007511B1"/>
    <w:rsid w:val="00751312"/>
    <w:rsid w:val="007513AF"/>
    <w:rsid w:val="007514F0"/>
    <w:rsid w:val="007517DD"/>
    <w:rsid w:val="00751851"/>
    <w:rsid w:val="0075197D"/>
    <w:rsid w:val="007519D0"/>
    <w:rsid w:val="00751B09"/>
    <w:rsid w:val="00751BE3"/>
    <w:rsid w:val="00751C81"/>
    <w:rsid w:val="00751C8E"/>
    <w:rsid w:val="00751C9F"/>
    <w:rsid w:val="00751D61"/>
    <w:rsid w:val="00751DE7"/>
    <w:rsid w:val="00751E32"/>
    <w:rsid w:val="00751E7B"/>
    <w:rsid w:val="00751ED2"/>
    <w:rsid w:val="00751EF5"/>
    <w:rsid w:val="00751F0B"/>
    <w:rsid w:val="00751F17"/>
    <w:rsid w:val="00751F40"/>
    <w:rsid w:val="00751FDF"/>
    <w:rsid w:val="0075205F"/>
    <w:rsid w:val="00752103"/>
    <w:rsid w:val="00752109"/>
    <w:rsid w:val="00752131"/>
    <w:rsid w:val="00752277"/>
    <w:rsid w:val="007522C3"/>
    <w:rsid w:val="007523A7"/>
    <w:rsid w:val="007523EF"/>
    <w:rsid w:val="00752531"/>
    <w:rsid w:val="0075253A"/>
    <w:rsid w:val="00752607"/>
    <w:rsid w:val="00752676"/>
    <w:rsid w:val="00752835"/>
    <w:rsid w:val="007528FC"/>
    <w:rsid w:val="0075291C"/>
    <w:rsid w:val="0075294A"/>
    <w:rsid w:val="00752962"/>
    <w:rsid w:val="00752A03"/>
    <w:rsid w:val="00752B19"/>
    <w:rsid w:val="00752BCF"/>
    <w:rsid w:val="00752D42"/>
    <w:rsid w:val="00752F7C"/>
    <w:rsid w:val="00752FD1"/>
    <w:rsid w:val="00753246"/>
    <w:rsid w:val="007532D0"/>
    <w:rsid w:val="00753350"/>
    <w:rsid w:val="00753387"/>
    <w:rsid w:val="0075342C"/>
    <w:rsid w:val="0075346F"/>
    <w:rsid w:val="007534CF"/>
    <w:rsid w:val="00753766"/>
    <w:rsid w:val="0075377A"/>
    <w:rsid w:val="007537A2"/>
    <w:rsid w:val="00753875"/>
    <w:rsid w:val="0075398D"/>
    <w:rsid w:val="00753A96"/>
    <w:rsid w:val="00753A9A"/>
    <w:rsid w:val="00753AF4"/>
    <w:rsid w:val="00753BC1"/>
    <w:rsid w:val="00753C8A"/>
    <w:rsid w:val="00753CB2"/>
    <w:rsid w:val="00753DCB"/>
    <w:rsid w:val="00753DF0"/>
    <w:rsid w:val="00753E00"/>
    <w:rsid w:val="00753F9E"/>
    <w:rsid w:val="0075419F"/>
    <w:rsid w:val="0075424E"/>
    <w:rsid w:val="00754255"/>
    <w:rsid w:val="007542FB"/>
    <w:rsid w:val="007545B8"/>
    <w:rsid w:val="007546D1"/>
    <w:rsid w:val="00754705"/>
    <w:rsid w:val="007548AD"/>
    <w:rsid w:val="007548B4"/>
    <w:rsid w:val="007549A0"/>
    <w:rsid w:val="007549A5"/>
    <w:rsid w:val="00754CA8"/>
    <w:rsid w:val="00754D24"/>
    <w:rsid w:val="00754D8E"/>
    <w:rsid w:val="00754DAD"/>
    <w:rsid w:val="00754E23"/>
    <w:rsid w:val="00754E40"/>
    <w:rsid w:val="00754E52"/>
    <w:rsid w:val="00754E75"/>
    <w:rsid w:val="00754FDD"/>
    <w:rsid w:val="00755109"/>
    <w:rsid w:val="00755190"/>
    <w:rsid w:val="0075521A"/>
    <w:rsid w:val="00755332"/>
    <w:rsid w:val="00755367"/>
    <w:rsid w:val="00755453"/>
    <w:rsid w:val="007554B3"/>
    <w:rsid w:val="0075558F"/>
    <w:rsid w:val="007557BF"/>
    <w:rsid w:val="00755A97"/>
    <w:rsid w:val="00755A9D"/>
    <w:rsid w:val="00755AAB"/>
    <w:rsid w:val="00755AEF"/>
    <w:rsid w:val="00755B2D"/>
    <w:rsid w:val="00755BE4"/>
    <w:rsid w:val="00755CC7"/>
    <w:rsid w:val="00755D73"/>
    <w:rsid w:val="00755E5F"/>
    <w:rsid w:val="00755EC5"/>
    <w:rsid w:val="00755EE0"/>
    <w:rsid w:val="00755EF7"/>
    <w:rsid w:val="00755FE4"/>
    <w:rsid w:val="0075621D"/>
    <w:rsid w:val="00756250"/>
    <w:rsid w:val="00756476"/>
    <w:rsid w:val="007564FC"/>
    <w:rsid w:val="00756511"/>
    <w:rsid w:val="00756549"/>
    <w:rsid w:val="00756701"/>
    <w:rsid w:val="007568AE"/>
    <w:rsid w:val="0075695E"/>
    <w:rsid w:val="00756980"/>
    <w:rsid w:val="007569E3"/>
    <w:rsid w:val="00756A2B"/>
    <w:rsid w:val="00756A8A"/>
    <w:rsid w:val="00756C42"/>
    <w:rsid w:val="00756CC1"/>
    <w:rsid w:val="00756D63"/>
    <w:rsid w:val="00756E69"/>
    <w:rsid w:val="00756F47"/>
    <w:rsid w:val="0075706A"/>
    <w:rsid w:val="007571B4"/>
    <w:rsid w:val="00757528"/>
    <w:rsid w:val="0075763C"/>
    <w:rsid w:val="00757774"/>
    <w:rsid w:val="007577C4"/>
    <w:rsid w:val="00757947"/>
    <w:rsid w:val="00757995"/>
    <w:rsid w:val="00757A91"/>
    <w:rsid w:val="00757AB2"/>
    <w:rsid w:val="00757AD4"/>
    <w:rsid w:val="00757AE6"/>
    <w:rsid w:val="00757B67"/>
    <w:rsid w:val="00757D8E"/>
    <w:rsid w:val="00760346"/>
    <w:rsid w:val="00760583"/>
    <w:rsid w:val="00760587"/>
    <w:rsid w:val="007606A5"/>
    <w:rsid w:val="00760727"/>
    <w:rsid w:val="00760775"/>
    <w:rsid w:val="007607AA"/>
    <w:rsid w:val="00760818"/>
    <w:rsid w:val="00760906"/>
    <w:rsid w:val="00760977"/>
    <w:rsid w:val="00760A09"/>
    <w:rsid w:val="00760BBC"/>
    <w:rsid w:val="00760C70"/>
    <w:rsid w:val="00760E89"/>
    <w:rsid w:val="00760EA3"/>
    <w:rsid w:val="00760EA6"/>
    <w:rsid w:val="00760EEF"/>
    <w:rsid w:val="00760F19"/>
    <w:rsid w:val="00760FAC"/>
    <w:rsid w:val="00761187"/>
    <w:rsid w:val="007611D1"/>
    <w:rsid w:val="00761659"/>
    <w:rsid w:val="00761774"/>
    <w:rsid w:val="00761ACF"/>
    <w:rsid w:val="00761BAE"/>
    <w:rsid w:val="00761BC5"/>
    <w:rsid w:val="00761BF5"/>
    <w:rsid w:val="00761DBB"/>
    <w:rsid w:val="00761E73"/>
    <w:rsid w:val="00761F81"/>
    <w:rsid w:val="00762032"/>
    <w:rsid w:val="007620DB"/>
    <w:rsid w:val="00762113"/>
    <w:rsid w:val="0076213A"/>
    <w:rsid w:val="00762271"/>
    <w:rsid w:val="00762372"/>
    <w:rsid w:val="007624EB"/>
    <w:rsid w:val="00762623"/>
    <w:rsid w:val="00762780"/>
    <w:rsid w:val="00762800"/>
    <w:rsid w:val="00762820"/>
    <w:rsid w:val="007628AA"/>
    <w:rsid w:val="0076292E"/>
    <w:rsid w:val="00762A88"/>
    <w:rsid w:val="00762AE4"/>
    <w:rsid w:val="00762BCE"/>
    <w:rsid w:val="00762C3A"/>
    <w:rsid w:val="00762CA2"/>
    <w:rsid w:val="00762DEC"/>
    <w:rsid w:val="00762EEA"/>
    <w:rsid w:val="00762F37"/>
    <w:rsid w:val="0076300D"/>
    <w:rsid w:val="007630C6"/>
    <w:rsid w:val="00763184"/>
    <w:rsid w:val="0076324A"/>
    <w:rsid w:val="007633FE"/>
    <w:rsid w:val="00763523"/>
    <w:rsid w:val="0076352B"/>
    <w:rsid w:val="00763663"/>
    <w:rsid w:val="007636E0"/>
    <w:rsid w:val="00763737"/>
    <w:rsid w:val="00763801"/>
    <w:rsid w:val="00763802"/>
    <w:rsid w:val="00763864"/>
    <w:rsid w:val="00763918"/>
    <w:rsid w:val="00763928"/>
    <w:rsid w:val="00763B1B"/>
    <w:rsid w:val="00763B41"/>
    <w:rsid w:val="00763C74"/>
    <w:rsid w:val="00763CDD"/>
    <w:rsid w:val="00763CF3"/>
    <w:rsid w:val="00763D5B"/>
    <w:rsid w:val="00763DAC"/>
    <w:rsid w:val="00763EA2"/>
    <w:rsid w:val="0076401D"/>
    <w:rsid w:val="007642A7"/>
    <w:rsid w:val="0076449D"/>
    <w:rsid w:val="007644D0"/>
    <w:rsid w:val="00764620"/>
    <w:rsid w:val="00764632"/>
    <w:rsid w:val="00764773"/>
    <w:rsid w:val="00764790"/>
    <w:rsid w:val="00764793"/>
    <w:rsid w:val="0076483E"/>
    <w:rsid w:val="00764920"/>
    <w:rsid w:val="007649F7"/>
    <w:rsid w:val="00764A4B"/>
    <w:rsid w:val="00764C39"/>
    <w:rsid w:val="00764C73"/>
    <w:rsid w:val="00764CD9"/>
    <w:rsid w:val="00764CFB"/>
    <w:rsid w:val="00764DD0"/>
    <w:rsid w:val="00764E61"/>
    <w:rsid w:val="00765089"/>
    <w:rsid w:val="007650A6"/>
    <w:rsid w:val="0076515E"/>
    <w:rsid w:val="0076526E"/>
    <w:rsid w:val="007654D6"/>
    <w:rsid w:val="007654FB"/>
    <w:rsid w:val="00765595"/>
    <w:rsid w:val="00765660"/>
    <w:rsid w:val="00765746"/>
    <w:rsid w:val="0076586B"/>
    <w:rsid w:val="00765911"/>
    <w:rsid w:val="00765A07"/>
    <w:rsid w:val="00765AEB"/>
    <w:rsid w:val="00765BB3"/>
    <w:rsid w:val="00765D84"/>
    <w:rsid w:val="00766007"/>
    <w:rsid w:val="0076605E"/>
    <w:rsid w:val="00766270"/>
    <w:rsid w:val="0076629C"/>
    <w:rsid w:val="0076651D"/>
    <w:rsid w:val="00766625"/>
    <w:rsid w:val="0076668C"/>
    <w:rsid w:val="007666F7"/>
    <w:rsid w:val="0076678C"/>
    <w:rsid w:val="0076698F"/>
    <w:rsid w:val="007669B0"/>
    <w:rsid w:val="00766ACF"/>
    <w:rsid w:val="00766B37"/>
    <w:rsid w:val="00766C09"/>
    <w:rsid w:val="00766C15"/>
    <w:rsid w:val="00766C91"/>
    <w:rsid w:val="00766D37"/>
    <w:rsid w:val="00766D58"/>
    <w:rsid w:val="00766E96"/>
    <w:rsid w:val="00766ECD"/>
    <w:rsid w:val="00766F67"/>
    <w:rsid w:val="00767049"/>
    <w:rsid w:val="007670B5"/>
    <w:rsid w:val="007670F0"/>
    <w:rsid w:val="007671C3"/>
    <w:rsid w:val="00767207"/>
    <w:rsid w:val="0076728E"/>
    <w:rsid w:val="00767489"/>
    <w:rsid w:val="007677FE"/>
    <w:rsid w:val="00767863"/>
    <w:rsid w:val="007678D0"/>
    <w:rsid w:val="007678FA"/>
    <w:rsid w:val="00767994"/>
    <w:rsid w:val="00767A32"/>
    <w:rsid w:val="00767A94"/>
    <w:rsid w:val="00767BAE"/>
    <w:rsid w:val="00767BC0"/>
    <w:rsid w:val="00767BD8"/>
    <w:rsid w:val="00767E39"/>
    <w:rsid w:val="00767EA8"/>
    <w:rsid w:val="00767EEF"/>
    <w:rsid w:val="00767F5D"/>
    <w:rsid w:val="00767F62"/>
    <w:rsid w:val="00770027"/>
    <w:rsid w:val="0077010E"/>
    <w:rsid w:val="007701BE"/>
    <w:rsid w:val="00770219"/>
    <w:rsid w:val="00770299"/>
    <w:rsid w:val="0077033E"/>
    <w:rsid w:val="007703A0"/>
    <w:rsid w:val="007703B7"/>
    <w:rsid w:val="00770430"/>
    <w:rsid w:val="007704AA"/>
    <w:rsid w:val="00770535"/>
    <w:rsid w:val="00770568"/>
    <w:rsid w:val="0077069A"/>
    <w:rsid w:val="007706EF"/>
    <w:rsid w:val="007708AD"/>
    <w:rsid w:val="007708B7"/>
    <w:rsid w:val="00770934"/>
    <w:rsid w:val="00770962"/>
    <w:rsid w:val="00770A7B"/>
    <w:rsid w:val="00770AF6"/>
    <w:rsid w:val="00770B03"/>
    <w:rsid w:val="00770B30"/>
    <w:rsid w:val="00770B44"/>
    <w:rsid w:val="00770B95"/>
    <w:rsid w:val="00770C19"/>
    <w:rsid w:val="00770C6C"/>
    <w:rsid w:val="00770E65"/>
    <w:rsid w:val="007710EC"/>
    <w:rsid w:val="00771204"/>
    <w:rsid w:val="007712BA"/>
    <w:rsid w:val="0077134F"/>
    <w:rsid w:val="007713A0"/>
    <w:rsid w:val="0077140E"/>
    <w:rsid w:val="0077153F"/>
    <w:rsid w:val="00771689"/>
    <w:rsid w:val="00771779"/>
    <w:rsid w:val="00771971"/>
    <w:rsid w:val="00771B29"/>
    <w:rsid w:val="00771B62"/>
    <w:rsid w:val="00771B64"/>
    <w:rsid w:val="00771BA9"/>
    <w:rsid w:val="00771BD4"/>
    <w:rsid w:val="00771C7B"/>
    <w:rsid w:val="00771CC6"/>
    <w:rsid w:val="00771CC8"/>
    <w:rsid w:val="00771CF0"/>
    <w:rsid w:val="00771E28"/>
    <w:rsid w:val="00771E43"/>
    <w:rsid w:val="00771EBF"/>
    <w:rsid w:val="00771F30"/>
    <w:rsid w:val="00771F31"/>
    <w:rsid w:val="007722A3"/>
    <w:rsid w:val="007722FB"/>
    <w:rsid w:val="0077237B"/>
    <w:rsid w:val="00772417"/>
    <w:rsid w:val="00772467"/>
    <w:rsid w:val="00772482"/>
    <w:rsid w:val="007725B0"/>
    <w:rsid w:val="00772811"/>
    <w:rsid w:val="0077290F"/>
    <w:rsid w:val="00772944"/>
    <w:rsid w:val="00772A1E"/>
    <w:rsid w:val="00772A66"/>
    <w:rsid w:val="00772AFC"/>
    <w:rsid w:val="00772C07"/>
    <w:rsid w:val="00772C3C"/>
    <w:rsid w:val="00772C51"/>
    <w:rsid w:val="00772D11"/>
    <w:rsid w:val="00772D47"/>
    <w:rsid w:val="00772D74"/>
    <w:rsid w:val="00772E92"/>
    <w:rsid w:val="00772F3D"/>
    <w:rsid w:val="007732F3"/>
    <w:rsid w:val="00773387"/>
    <w:rsid w:val="007733BD"/>
    <w:rsid w:val="00773448"/>
    <w:rsid w:val="007734CF"/>
    <w:rsid w:val="00773522"/>
    <w:rsid w:val="00773640"/>
    <w:rsid w:val="007736A1"/>
    <w:rsid w:val="0077385A"/>
    <w:rsid w:val="00773A08"/>
    <w:rsid w:val="00773C0D"/>
    <w:rsid w:val="00773E65"/>
    <w:rsid w:val="00773EC2"/>
    <w:rsid w:val="00773FA0"/>
    <w:rsid w:val="00773FD5"/>
    <w:rsid w:val="007740D0"/>
    <w:rsid w:val="007743A8"/>
    <w:rsid w:val="007743B0"/>
    <w:rsid w:val="007743BF"/>
    <w:rsid w:val="007743E3"/>
    <w:rsid w:val="00774538"/>
    <w:rsid w:val="007745A7"/>
    <w:rsid w:val="0077467C"/>
    <w:rsid w:val="007747C4"/>
    <w:rsid w:val="007747D7"/>
    <w:rsid w:val="007747DE"/>
    <w:rsid w:val="007747ED"/>
    <w:rsid w:val="007748C9"/>
    <w:rsid w:val="007748CA"/>
    <w:rsid w:val="00774996"/>
    <w:rsid w:val="00774C00"/>
    <w:rsid w:val="00774DED"/>
    <w:rsid w:val="00774EA5"/>
    <w:rsid w:val="00774F39"/>
    <w:rsid w:val="00774FAB"/>
    <w:rsid w:val="00775040"/>
    <w:rsid w:val="00775111"/>
    <w:rsid w:val="007751AC"/>
    <w:rsid w:val="007751B3"/>
    <w:rsid w:val="00775282"/>
    <w:rsid w:val="007752AF"/>
    <w:rsid w:val="007752D2"/>
    <w:rsid w:val="0077576D"/>
    <w:rsid w:val="00775807"/>
    <w:rsid w:val="00775865"/>
    <w:rsid w:val="007758F2"/>
    <w:rsid w:val="00775956"/>
    <w:rsid w:val="00775A5E"/>
    <w:rsid w:val="00775AE2"/>
    <w:rsid w:val="00775C6D"/>
    <w:rsid w:val="00775C9E"/>
    <w:rsid w:val="00775CC7"/>
    <w:rsid w:val="00775D18"/>
    <w:rsid w:val="00775DBE"/>
    <w:rsid w:val="00775DCF"/>
    <w:rsid w:val="00775ECD"/>
    <w:rsid w:val="00775F44"/>
    <w:rsid w:val="0077610F"/>
    <w:rsid w:val="00776117"/>
    <w:rsid w:val="00776169"/>
    <w:rsid w:val="00776195"/>
    <w:rsid w:val="0077632A"/>
    <w:rsid w:val="007764B8"/>
    <w:rsid w:val="007764CC"/>
    <w:rsid w:val="00776554"/>
    <w:rsid w:val="0077656C"/>
    <w:rsid w:val="00776596"/>
    <w:rsid w:val="007765D7"/>
    <w:rsid w:val="0077665D"/>
    <w:rsid w:val="00776722"/>
    <w:rsid w:val="007767C9"/>
    <w:rsid w:val="007768AC"/>
    <w:rsid w:val="007768E0"/>
    <w:rsid w:val="007769E0"/>
    <w:rsid w:val="00776A12"/>
    <w:rsid w:val="00776A90"/>
    <w:rsid w:val="00776B25"/>
    <w:rsid w:val="00776BAF"/>
    <w:rsid w:val="00776C6C"/>
    <w:rsid w:val="00776C8F"/>
    <w:rsid w:val="00776D39"/>
    <w:rsid w:val="00776D96"/>
    <w:rsid w:val="0077718E"/>
    <w:rsid w:val="007772A9"/>
    <w:rsid w:val="00777331"/>
    <w:rsid w:val="0077740C"/>
    <w:rsid w:val="00777506"/>
    <w:rsid w:val="00777676"/>
    <w:rsid w:val="007776FF"/>
    <w:rsid w:val="0077780A"/>
    <w:rsid w:val="00777931"/>
    <w:rsid w:val="00777A18"/>
    <w:rsid w:val="00777A3D"/>
    <w:rsid w:val="00777A95"/>
    <w:rsid w:val="00777AA9"/>
    <w:rsid w:val="00777AC0"/>
    <w:rsid w:val="00777B8C"/>
    <w:rsid w:val="00777D96"/>
    <w:rsid w:val="00777E8B"/>
    <w:rsid w:val="00777F02"/>
    <w:rsid w:val="00777F99"/>
    <w:rsid w:val="00777FB6"/>
    <w:rsid w:val="00780016"/>
    <w:rsid w:val="007801CA"/>
    <w:rsid w:val="007801E9"/>
    <w:rsid w:val="007801F5"/>
    <w:rsid w:val="00780206"/>
    <w:rsid w:val="0078038F"/>
    <w:rsid w:val="007803BF"/>
    <w:rsid w:val="00780431"/>
    <w:rsid w:val="007804A3"/>
    <w:rsid w:val="007804FF"/>
    <w:rsid w:val="007807EB"/>
    <w:rsid w:val="007808E6"/>
    <w:rsid w:val="0078095A"/>
    <w:rsid w:val="00780A1F"/>
    <w:rsid w:val="00780A3F"/>
    <w:rsid w:val="00780B29"/>
    <w:rsid w:val="00780B51"/>
    <w:rsid w:val="00780D4A"/>
    <w:rsid w:val="00780E66"/>
    <w:rsid w:val="00780EFC"/>
    <w:rsid w:val="00780FA1"/>
    <w:rsid w:val="00781010"/>
    <w:rsid w:val="0078116C"/>
    <w:rsid w:val="00781197"/>
    <w:rsid w:val="007811CC"/>
    <w:rsid w:val="00781229"/>
    <w:rsid w:val="0078124D"/>
    <w:rsid w:val="0078136F"/>
    <w:rsid w:val="007813AA"/>
    <w:rsid w:val="00781420"/>
    <w:rsid w:val="00781473"/>
    <w:rsid w:val="00781771"/>
    <w:rsid w:val="00781A2D"/>
    <w:rsid w:val="00781BA4"/>
    <w:rsid w:val="00781CD3"/>
    <w:rsid w:val="00781CEB"/>
    <w:rsid w:val="00781DE2"/>
    <w:rsid w:val="00781EDF"/>
    <w:rsid w:val="00781F2A"/>
    <w:rsid w:val="007820CA"/>
    <w:rsid w:val="00782196"/>
    <w:rsid w:val="007821AF"/>
    <w:rsid w:val="007823C3"/>
    <w:rsid w:val="007824E0"/>
    <w:rsid w:val="00782508"/>
    <w:rsid w:val="007825CE"/>
    <w:rsid w:val="0078263F"/>
    <w:rsid w:val="00782730"/>
    <w:rsid w:val="00782873"/>
    <w:rsid w:val="00782BF9"/>
    <w:rsid w:val="00782C3C"/>
    <w:rsid w:val="00782D09"/>
    <w:rsid w:val="00782D61"/>
    <w:rsid w:val="00782DDC"/>
    <w:rsid w:val="00782E4C"/>
    <w:rsid w:val="007832ED"/>
    <w:rsid w:val="0078337E"/>
    <w:rsid w:val="0078346F"/>
    <w:rsid w:val="00783649"/>
    <w:rsid w:val="0078367C"/>
    <w:rsid w:val="007836EF"/>
    <w:rsid w:val="00783741"/>
    <w:rsid w:val="00783743"/>
    <w:rsid w:val="0078379B"/>
    <w:rsid w:val="00783948"/>
    <w:rsid w:val="007839AD"/>
    <w:rsid w:val="007839CD"/>
    <w:rsid w:val="00783AC8"/>
    <w:rsid w:val="00783ADA"/>
    <w:rsid w:val="00783AE6"/>
    <w:rsid w:val="00783B4B"/>
    <w:rsid w:val="00783CA6"/>
    <w:rsid w:val="00783CB4"/>
    <w:rsid w:val="00783E0A"/>
    <w:rsid w:val="00783FF5"/>
    <w:rsid w:val="0078400F"/>
    <w:rsid w:val="00784045"/>
    <w:rsid w:val="0078439D"/>
    <w:rsid w:val="007843B8"/>
    <w:rsid w:val="007843B9"/>
    <w:rsid w:val="007844C6"/>
    <w:rsid w:val="007845D6"/>
    <w:rsid w:val="007846A4"/>
    <w:rsid w:val="00784786"/>
    <w:rsid w:val="007847D0"/>
    <w:rsid w:val="00784849"/>
    <w:rsid w:val="0078485B"/>
    <w:rsid w:val="00784CD9"/>
    <w:rsid w:val="00784CFC"/>
    <w:rsid w:val="00784EE5"/>
    <w:rsid w:val="00784FC9"/>
    <w:rsid w:val="0078509C"/>
    <w:rsid w:val="007850BC"/>
    <w:rsid w:val="00785143"/>
    <w:rsid w:val="00785316"/>
    <w:rsid w:val="007854F7"/>
    <w:rsid w:val="007855C3"/>
    <w:rsid w:val="007856EC"/>
    <w:rsid w:val="0078592C"/>
    <w:rsid w:val="00785990"/>
    <w:rsid w:val="007859E3"/>
    <w:rsid w:val="00785A0D"/>
    <w:rsid w:val="00785A6A"/>
    <w:rsid w:val="00785AF1"/>
    <w:rsid w:val="00785CBF"/>
    <w:rsid w:val="00785D1B"/>
    <w:rsid w:val="00785D57"/>
    <w:rsid w:val="00785D7F"/>
    <w:rsid w:val="00785E57"/>
    <w:rsid w:val="00785FC8"/>
    <w:rsid w:val="00785FE9"/>
    <w:rsid w:val="00786019"/>
    <w:rsid w:val="00786040"/>
    <w:rsid w:val="00786050"/>
    <w:rsid w:val="00786114"/>
    <w:rsid w:val="0078618E"/>
    <w:rsid w:val="0078619E"/>
    <w:rsid w:val="007861DD"/>
    <w:rsid w:val="007862B9"/>
    <w:rsid w:val="007862E1"/>
    <w:rsid w:val="007862FA"/>
    <w:rsid w:val="00786317"/>
    <w:rsid w:val="0078644D"/>
    <w:rsid w:val="00786665"/>
    <w:rsid w:val="007867A7"/>
    <w:rsid w:val="0078680E"/>
    <w:rsid w:val="00786898"/>
    <w:rsid w:val="0078689D"/>
    <w:rsid w:val="007869DD"/>
    <w:rsid w:val="00786C3E"/>
    <w:rsid w:val="00786C7B"/>
    <w:rsid w:val="00786CBA"/>
    <w:rsid w:val="00786D8C"/>
    <w:rsid w:val="007870F3"/>
    <w:rsid w:val="00787171"/>
    <w:rsid w:val="00787188"/>
    <w:rsid w:val="007871A5"/>
    <w:rsid w:val="0078728E"/>
    <w:rsid w:val="007872AE"/>
    <w:rsid w:val="007873FB"/>
    <w:rsid w:val="00787521"/>
    <w:rsid w:val="0078756C"/>
    <w:rsid w:val="00787642"/>
    <w:rsid w:val="007876D1"/>
    <w:rsid w:val="00787762"/>
    <w:rsid w:val="007878DD"/>
    <w:rsid w:val="00787917"/>
    <w:rsid w:val="007879B9"/>
    <w:rsid w:val="00787A73"/>
    <w:rsid w:val="00787A7A"/>
    <w:rsid w:val="00787AEB"/>
    <w:rsid w:val="00787B28"/>
    <w:rsid w:val="00787BE0"/>
    <w:rsid w:val="00787C50"/>
    <w:rsid w:val="00790106"/>
    <w:rsid w:val="00790364"/>
    <w:rsid w:val="0079058D"/>
    <w:rsid w:val="007906CB"/>
    <w:rsid w:val="007908AD"/>
    <w:rsid w:val="007909A2"/>
    <w:rsid w:val="007909CD"/>
    <w:rsid w:val="007909D5"/>
    <w:rsid w:val="00790BE3"/>
    <w:rsid w:val="00790CA3"/>
    <w:rsid w:val="00790CD9"/>
    <w:rsid w:val="0079107C"/>
    <w:rsid w:val="00791211"/>
    <w:rsid w:val="00791585"/>
    <w:rsid w:val="007915C0"/>
    <w:rsid w:val="0079168E"/>
    <w:rsid w:val="0079186A"/>
    <w:rsid w:val="007918FF"/>
    <w:rsid w:val="00791A27"/>
    <w:rsid w:val="00791A6D"/>
    <w:rsid w:val="00791C1C"/>
    <w:rsid w:val="00791CFD"/>
    <w:rsid w:val="00791DBA"/>
    <w:rsid w:val="00791DE9"/>
    <w:rsid w:val="00791E6C"/>
    <w:rsid w:val="00791F19"/>
    <w:rsid w:val="00791F7D"/>
    <w:rsid w:val="00791FEB"/>
    <w:rsid w:val="0079200D"/>
    <w:rsid w:val="0079202C"/>
    <w:rsid w:val="00792102"/>
    <w:rsid w:val="007921A9"/>
    <w:rsid w:val="007921AB"/>
    <w:rsid w:val="0079221A"/>
    <w:rsid w:val="0079228A"/>
    <w:rsid w:val="007922E0"/>
    <w:rsid w:val="00792426"/>
    <w:rsid w:val="00792459"/>
    <w:rsid w:val="00792600"/>
    <w:rsid w:val="0079281A"/>
    <w:rsid w:val="0079292C"/>
    <w:rsid w:val="0079298D"/>
    <w:rsid w:val="0079299E"/>
    <w:rsid w:val="00792ABA"/>
    <w:rsid w:val="00792BE0"/>
    <w:rsid w:val="00792CC6"/>
    <w:rsid w:val="00792D55"/>
    <w:rsid w:val="007930BE"/>
    <w:rsid w:val="007930FA"/>
    <w:rsid w:val="0079315B"/>
    <w:rsid w:val="0079327A"/>
    <w:rsid w:val="007932E5"/>
    <w:rsid w:val="007932E9"/>
    <w:rsid w:val="00793529"/>
    <w:rsid w:val="007935A8"/>
    <w:rsid w:val="0079360F"/>
    <w:rsid w:val="00793617"/>
    <w:rsid w:val="007937F9"/>
    <w:rsid w:val="00793987"/>
    <w:rsid w:val="00793A55"/>
    <w:rsid w:val="00793A84"/>
    <w:rsid w:val="00793A9A"/>
    <w:rsid w:val="00793AF4"/>
    <w:rsid w:val="00793B34"/>
    <w:rsid w:val="00793B71"/>
    <w:rsid w:val="00793B8B"/>
    <w:rsid w:val="00793CB8"/>
    <w:rsid w:val="00793DB3"/>
    <w:rsid w:val="00793DBC"/>
    <w:rsid w:val="00793DE4"/>
    <w:rsid w:val="00793E07"/>
    <w:rsid w:val="00793F3D"/>
    <w:rsid w:val="0079406F"/>
    <w:rsid w:val="00794276"/>
    <w:rsid w:val="0079429E"/>
    <w:rsid w:val="007943C7"/>
    <w:rsid w:val="00794414"/>
    <w:rsid w:val="0079443B"/>
    <w:rsid w:val="00794564"/>
    <w:rsid w:val="007945FB"/>
    <w:rsid w:val="00794654"/>
    <w:rsid w:val="007946E1"/>
    <w:rsid w:val="00794728"/>
    <w:rsid w:val="00794754"/>
    <w:rsid w:val="007947BD"/>
    <w:rsid w:val="00794831"/>
    <w:rsid w:val="007948BE"/>
    <w:rsid w:val="0079490C"/>
    <w:rsid w:val="00794986"/>
    <w:rsid w:val="00794A7C"/>
    <w:rsid w:val="00794AF6"/>
    <w:rsid w:val="00794B6D"/>
    <w:rsid w:val="00794C41"/>
    <w:rsid w:val="00794C7A"/>
    <w:rsid w:val="00794DC7"/>
    <w:rsid w:val="00794E49"/>
    <w:rsid w:val="00794EA0"/>
    <w:rsid w:val="00794F40"/>
    <w:rsid w:val="0079501A"/>
    <w:rsid w:val="007950C3"/>
    <w:rsid w:val="0079510F"/>
    <w:rsid w:val="00795110"/>
    <w:rsid w:val="0079514D"/>
    <w:rsid w:val="00795185"/>
    <w:rsid w:val="00795194"/>
    <w:rsid w:val="007952BE"/>
    <w:rsid w:val="007952DB"/>
    <w:rsid w:val="007953C2"/>
    <w:rsid w:val="007954AA"/>
    <w:rsid w:val="007954C1"/>
    <w:rsid w:val="007954D4"/>
    <w:rsid w:val="007955CA"/>
    <w:rsid w:val="0079566F"/>
    <w:rsid w:val="007956FE"/>
    <w:rsid w:val="0079572A"/>
    <w:rsid w:val="00795914"/>
    <w:rsid w:val="00795A12"/>
    <w:rsid w:val="00795A5E"/>
    <w:rsid w:val="00795AB7"/>
    <w:rsid w:val="00795BEA"/>
    <w:rsid w:val="00795C35"/>
    <w:rsid w:val="00795DC0"/>
    <w:rsid w:val="00795E4D"/>
    <w:rsid w:val="00795ECA"/>
    <w:rsid w:val="0079621B"/>
    <w:rsid w:val="007962CE"/>
    <w:rsid w:val="0079643E"/>
    <w:rsid w:val="00796561"/>
    <w:rsid w:val="00796585"/>
    <w:rsid w:val="0079673C"/>
    <w:rsid w:val="007967D9"/>
    <w:rsid w:val="0079689E"/>
    <w:rsid w:val="00796943"/>
    <w:rsid w:val="00796A3C"/>
    <w:rsid w:val="00796A60"/>
    <w:rsid w:val="00796A92"/>
    <w:rsid w:val="00796AB5"/>
    <w:rsid w:val="00796BA8"/>
    <w:rsid w:val="00796E36"/>
    <w:rsid w:val="00796FAB"/>
    <w:rsid w:val="00796FE2"/>
    <w:rsid w:val="0079719F"/>
    <w:rsid w:val="007971C0"/>
    <w:rsid w:val="0079721E"/>
    <w:rsid w:val="0079723D"/>
    <w:rsid w:val="007972DD"/>
    <w:rsid w:val="0079742F"/>
    <w:rsid w:val="00797581"/>
    <w:rsid w:val="00797588"/>
    <w:rsid w:val="00797804"/>
    <w:rsid w:val="007979F4"/>
    <w:rsid w:val="00797B04"/>
    <w:rsid w:val="00797D01"/>
    <w:rsid w:val="00797D03"/>
    <w:rsid w:val="00797D67"/>
    <w:rsid w:val="007A0017"/>
    <w:rsid w:val="007A03A5"/>
    <w:rsid w:val="007A0590"/>
    <w:rsid w:val="007A0820"/>
    <w:rsid w:val="007A087A"/>
    <w:rsid w:val="007A0885"/>
    <w:rsid w:val="007A090B"/>
    <w:rsid w:val="007A0960"/>
    <w:rsid w:val="007A0A53"/>
    <w:rsid w:val="007A0AA3"/>
    <w:rsid w:val="007A0B32"/>
    <w:rsid w:val="007A0B4D"/>
    <w:rsid w:val="007A0BE3"/>
    <w:rsid w:val="007A0D43"/>
    <w:rsid w:val="007A0F6A"/>
    <w:rsid w:val="007A1236"/>
    <w:rsid w:val="007A125E"/>
    <w:rsid w:val="007A12C8"/>
    <w:rsid w:val="007A13B6"/>
    <w:rsid w:val="007A13FD"/>
    <w:rsid w:val="007A174F"/>
    <w:rsid w:val="007A1904"/>
    <w:rsid w:val="007A1957"/>
    <w:rsid w:val="007A1B6E"/>
    <w:rsid w:val="007A1BE4"/>
    <w:rsid w:val="007A1CE6"/>
    <w:rsid w:val="007A2371"/>
    <w:rsid w:val="007A250E"/>
    <w:rsid w:val="007A256B"/>
    <w:rsid w:val="007A2629"/>
    <w:rsid w:val="007A2734"/>
    <w:rsid w:val="007A28C7"/>
    <w:rsid w:val="007A29F1"/>
    <w:rsid w:val="007A2D3A"/>
    <w:rsid w:val="007A2E9B"/>
    <w:rsid w:val="007A32EE"/>
    <w:rsid w:val="007A3676"/>
    <w:rsid w:val="007A372C"/>
    <w:rsid w:val="007A37DE"/>
    <w:rsid w:val="007A3AAD"/>
    <w:rsid w:val="007A3B1B"/>
    <w:rsid w:val="007A3C12"/>
    <w:rsid w:val="007A3CA8"/>
    <w:rsid w:val="007A3D3D"/>
    <w:rsid w:val="007A3DAE"/>
    <w:rsid w:val="007A3DCB"/>
    <w:rsid w:val="007A3F1E"/>
    <w:rsid w:val="007A3FC7"/>
    <w:rsid w:val="007A3FD7"/>
    <w:rsid w:val="007A40CC"/>
    <w:rsid w:val="007A4209"/>
    <w:rsid w:val="007A42E7"/>
    <w:rsid w:val="007A4370"/>
    <w:rsid w:val="007A4389"/>
    <w:rsid w:val="007A43ED"/>
    <w:rsid w:val="007A460F"/>
    <w:rsid w:val="007A4670"/>
    <w:rsid w:val="007A481B"/>
    <w:rsid w:val="007A4900"/>
    <w:rsid w:val="007A49E1"/>
    <w:rsid w:val="007A49FF"/>
    <w:rsid w:val="007A4A0B"/>
    <w:rsid w:val="007A4A99"/>
    <w:rsid w:val="007A4ABD"/>
    <w:rsid w:val="007A4BDA"/>
    <w:rsid w:val="007A4C66"/>
    <w:rsid w:val="007A4DC0"/>
    <w:rsid w:val="007A4E1B"/>
    <w:rsid w:val="007A4E77"/>
    <w:rsid w:val="007A4E8E"/>
    <w:rsid w:val="007A4E90"/>
    <w:rsid w:val="007A4EBB"/>
    <w:rsid w:val="007A4EE6"/>
    <w:rsid w:val="007A5125"/>
    <w:rsid w:val="007A514C"/>
    <w:rsid w:val="007A5150"/>
    <w:rsid w:val="007A5169"/>
    <w:rsid w:val="007A51A0"/>
    <w:rsid w:val="007A51D6"/>
    <w:rsid w:val="007A5225"/>
    <w:rsid w:val="007A5510"/>
    <w:rsid w:val="007A5523"/>
    <w:rsid w:val="007A5634"/>
    <w:rsid w:val="007A56FD"/>
    <w:rsid w:val="007A5762"/>
    <w:rsid w:val="007A57D9"/>
    <w:rsid w:val="007A5803"/>
    <w:rsid w:val="007A5923"/>
    <w:rsid w:val="007A5B56"/>
    <w:rsid w:val="007A5B77"/>
    <w:rsid w:val="007A5D74"/>
    <w:rsid w:val="007A5DEF"/>
    <w:rsid w:val="007A5EAE"/>
    <w:rsid w:val="007A5F33"/>
    <w:rsid w:val="007A5F9B"/>
    <w:rsid w:val="007A60C8"/>
    <w:rsid w:val="007A60E4"/>
    <w:rsid w:val="007A634A"/>
    <w:rsid w:val="007A6458"/>
    <w:rsid w:val="007A6591"/>
    <w:rsid w:val="007A65CE"/>
    <w:rsid w:val="007A6645"/>
    <w:rsid w:val="007A6771"/>
    <w:rsid w:val="007A680F"/>
    <w:rsid w:val="007A698F"/>
    <w:rsid w:val="007A6A38"/>
    <w:rsid w:val="007A6B7A"/>
    <w:rsid w:val="007A6C49"/>
    <w:rsid w:val="007A6CAD"/>
    <w:rsid w:val="007A6F1C"/>
    <w:rsid w:val="007A6F8C"/>
    <w:rsid w:val="007A7147"/>
    <w:rsid w:val="007A74F5"/>
    <w:rsid w:val="007A7588"/>
    <w:rsid w:val="007A759E"/>
    <w:rsid w:val="007A75A6"/>
    <w:rsid w:val="007A7639"/>
    <w:rsid w:val="007A76D1"/>
    <w:rsid w:val="007A77A8"/>
    <w:rsid w:val="007A77F3"/>
    <w:rsid w:val="007A7806"/>
    <w:rsid w:val="007A7940"/>
    <w:rsid w:val="007A79AC"/>
    <w:rsid w:val="007A79F3"/>
    <w:rsid w:val="007A7CAA"/>
    <w:rsid w:val="007A7CC1"/>
    <w:rsid w:val="007A7CDC"/>
    <w:rsid w:val="007A7E46"/>
    <w:rsid w:val="007A7F64"/>
    <w:rsid w:val="007A7F96"/>
    <w:rsid w:val="007B005A"/>
    <w:rsid w:val="007B00E8"/>
    <w:rsid w:val="007B010C"/>
    <w:rsid w:val="007B0138"/>
    <w:rsid w:val="007B025D"/>
    <w:rsid w:val="007B037C"/>
    <w:rsid w:val="007B0572"/>
    <w:rsid w:val="007B05AC"/>
    <w:rsid w:val="007B060B"/>
    <w:rsid w:val="007B066F"/>
    <w:rsid w:val="007B07A6"/>
    <w:rsid w:val="007B08FA"/>
    <w:rsid w:val="007B0929"/>
    <w:rsid w:val="007B0A13"/>
    <w:rsid w:val="007B0BF1"/>
    <w:rsid w:val="007B0C1D"/>
    <w:rsid w:val="007B0D7A"/>
    <w:rsid w:val="007B0D8B"/>
    <w:rsid w:val="007B0E09"/>
    <w:rsid w:val="007B0FBA"/>
    <w:rsid w:val="007B109C"/>
    <w:rsid w:val="007B118D"/>
    <w:rsid w:val="007B11A4"/>
    <w:rsid w:val="007B126D"/>
    <w:rsid w:val="007B1283"/>
    <w:rsid w:val="007B13F7"/>
    <w:rsid w:val="007B15A1"/>
    <w:rsid w:val="007B17AE"/>
    <w:rsid w:val="007B17FF"/>
    <w:rsid w:val="007B183C"/>
    <w:rsid w:val="007B1994"/>
    <w:rsid w:val="007B19C3"/>
    <w:rsid w:val="007B1A80"/>
    <w:rsid w:val="007B1AAA"/>
    <w:rsid w:val="007B1AB7"/>
    <w:rsid w:val="007B1C33"/>
    <w:rsid w:val="007B1D66"/>
    <w:rsid w:val="007B1DDC"/>
    <w:rsid w:val="007B1DE7"/>
    <w:rsid w:val="007B1E1E"/>
    <w:rsid w:val="007B2021"/>
    <w:rsid w:val="007B20CB"/>
    <w:rsid w:val="007B21B8"/>
    <w:rsid w:val="007B21BB"/>
    <w:rsid w:val="007B2212"/>
    <w:rsid w:val="007B2243"/>
    <w:rsid w:val="007B2305"/>
    <w:rsid w:val="007B2320"/>
    <w:rsid w:val="007B232F"/>
    <w:rsid w:val="007B238D"/>
    <w:rsid w:val="007B24B1"/>
    <w:rsid w:val="007B25D8"/>
    <w:rsid w:val="007B263A"/>
    <w:rsid w:val="007B26BA"/>
    <w:rsid w:val="007B282E"/>
    <w:rsid w:val="007B293E"/>
    <w:rsid w:val="007B2C26"/>
    <w:rsid w:val="007B2C2B"/>
    <w:rsid w:val="007B3028"/>
    <w:rsid w:val="007B305E"/>
    <w:rsid w:val="007B31E0"/>
    <w:rsid w:val="007B3327"/>
    <w:rsid w:val="007B3370"/>
    <w:rsid w:val="007B3375"/>
    <w:rsid w:val="007B3481"/>
    <w:rsid w:val="007B3530"/>
    <w:rsid w:val="007B3566"/>
    <w:rsid w:val="007B3660"/>
    <w:rsid w:val="007B3928"/>
    <w:rsid w:val="007B3A44"/>
    <w:rsid w:val="007B3B0B"/>
    <w:rsid w:val="007B3BD0"/>
    <w:rsid w:val="007B3C05"/>
    <w:rsid w:val="007B3C61"/>
    <w:rsid w:val="007B3C73"/>
    <w:rsid w:val="007B3D4F"/>
    <w:rsid w:val="007B3E2D"/>
    <w:rsid w:val="007B3F04"/>
    <w:rsid w:val="007B3FBC"/>
    <w:rsid w:val="007B3FCA"/>
    <w:rsid w:val="007B3FFC"/>
    <w:rsid w:val="007B402A"/>
    <w:rsid w:val="007B4074"/>
    <w:rsid w:val="007B40D9"/>
    <w:rsid w:val="007B416F"/>
    <w:rsid w:val="007B4170"/>
    <w:rsid w:val="007B4230"/>
    <w:rsid w:val="007B4253"/>
    <w:rsid w:val="007B4266"/>
    <w:rsid w:val="007B42E0"/>
    <w:rsid w:val="007B4483"/>
    <w:rsid w:val="007B45FD"/>
    <w:rsid w:val="007B462D"/>
    <w:rsid w:val="007B46B9"/>
    <w:rsid w:val="007B4771"/>
    <w:rsid w:val="007B47CE"/>
    <w:rsid w:val="007B486D"/>
    <w:rsid w:val="007B486E"/>
    <w:rsid w:val="007B48C7"/>
    <w:rsid w:val="007B4B45"/>
    <w:rsid w:val="007B4B57"/>
    <w:rsid w:val="007B4DB4"/>
    <w:rsid w:val="007B4E72"/>
    <w:rsid w:val="007B4E76"/>
    <w:rsid w:val="007B4FB1"/>
    <w:rsid w:val="007B5001"/>
    <w:rsid w:val="007B504C"/>
    <w:rsid w:val="007B54CA"/>
    <w:rsid w:val="007B5708"/>
    <w:rsid w:val="007B5745"/>
    <w:rsid w:val="007B57CF"/>
    <w:rsid w:val="007B5806"/>
    <w:rsid w:val="007B5854"/>
    <w:rsid w:val="007B598B"/>
    <w:rsid w:val="007B59CE"/>
    <w:rsid w:val="007B5A93"/>
    <w:rsid w:val="007B5AF8"/>
    <w:rsid w:val="007B5B06"/>
    <w:rsid w:val="007B5E81"/>
    <w:rsid w:val="007B5FF8"/>
    <w:rsid w:val="007B6020"/>
    <w:rsid w:val="007B63C3"/>
    <w:rsid w:val="007B63F4"/>
    <w:rsid w:val="007B65CD"/>
    <w:rsid w:val="007B666F"/>
    <w:rsid w:val="007B6891"/>
    <w:rsid w:val="007B6A76"/>
    <w:rsid w:val="007B6AF7"/>
    <w:rsid w:val="007B6B72"/>
    <w:rsid w:val="007B6C06"/>
    <w:rsid w:val="007B6E3E"/>
    <w:rsid w:val="007B6E4D"/>
    <w:rsid w:val="007B6E54"/>
    <w:rsid w:val="007B6EB7"/>
    <w:rsid w:val="007B706D"/>
    <w:rsid w:val="007B717A"/>
    <w:rsid w:val="007B725C"/>
    <w:rsid w:val="007B72CF"/>
    <w:rsid w:val="007B755D"/>
    <w:rsid w:val="007B76E8"/>
    <w:rsid w:val="007B774A"/>
    <w:rsid w:val="007B776A"/>
    <w:rsid w:val="007B789E"/>
    <w:rsid w:val="007B78BE"/>
    <w:rsid w:val="007B798A"/>
    <w:rsid w:val="007B7A91"/>
    <w:rsid w:val="007B7B65"/>
    <w:rsid w:val="007B7C16"/>
    <w:rsid w:val="007B7C81"/>
    <w:rsid w:val="007B7CAF"/>
    <w:rsid w:val="007B7D56"/>
    <w:rsid w:val="007B7D9E"/>
    <w:rsid w:val="007B7E25"/>
    <w:rsid w:val="007C0205"/>
    <w:rsid w:val="007C033D"/>
    <w:rsid w:val="007C0350"/>
    <w:rsid w:val="007C03DE"/>
    <w:rsid w:val="007C0521"/>
    <w:rsid w:val="007C057E"/>
    <w:rsid w:val="007C0618"/>
    <w:rsid w:val="007C0631"/>
    <w:rsid w:val="007C06F7"/>
    <w:rsid w:val="007C0720"/>
    <w:rsid w:val="007C072D"/>
    <w:rsid w:val="007C0865"/>
    <w:rsid w:val="007C0976"/>
    <w:rsid w:val="007C0ACB"/>
    <w:rsid w:val="007C0ADA"/>
    <w:rsid w:val="007C0B2C"/>
    <w:rsid w:val="007C0CB2"/>
    <w:rsid w:val="007C0D16"/>
    <w:rsid w:val="007C0D8D"/>
    <w:rsid w:val="007C0E2C"/>
    <w:rsid w:val="007C0E55"/>
    <w:rsid w:val="007C0F2A"/>
    <w:rsid w:val="007C0F53"/>
    <w:rsid w:val="007C0F67"/>
    <w:rsid w:val="007C0F8E"/>
    <w:rsid w:val="007C1039"/>
    <w:rsid w:val="007C1199"/>
    <w:rsid w:val="007C121B"/>
    <w:rsid w:val="007C127A"/>
    <w:rsid w:val="007C1280"/>
    <w:rsid w:val="007C133D"/>
    <w:rsid w:val="007C1367"/>
    <w:rsid w:val="007C13A0"/>
    <w:rsid w:val="007C140C"/>
    <w:rsid w:val="007C1434"/>
    <w:rsid w:val="007C15F0"/>
    <w:rsid w:val="007C1701"/>
    <w:rsid w:val="007C1753"/>
    <w:rsid w:val="007C17C8"/>
    <w:rsid w:val="007C17D4"/>
    <w:rsid w:val="007C1A63"/>
    <w:rsid w:val="007C1B3D"/>
    <w:rsid w:val="007C1B69"/>
    <w:rsid w:val="007C1BFE"/>
    <w:rsid w:val="007C1F53"/>
    <w:rsid w:val="007C2131"/>
    <w:rsid w:val="007C21B9"/>
    <w:rsid w:val="007C241B"/>
    <w:rsid w:val="007C251C"/>
    <w:rsid w:val="007C2548"/>
    <w:rsid w:val="007C2683"/>
    <w:rsid w:val="007C2709"/>
    <w:rsid w:val="007C27FB"/>
    <w:rsid w:val="007C2842"/>
    <w:rsid w:val="007C28DA"/>
    <w:rsid w:val="007C28EA"/>
    <w:rsid w:val="007C29C4"/>
    <w:rsid w:val="007C2A70"/>
    <w:rsid w:val="007C2B1D"/>
    <w:rsid w:val="007C2B6C"/>
    <w:rsid w:val="007C2B94"/>
    <w:rsid w:val="007C2C13"/>
    <w:rsid w:val="007C2C6A"/>
    <w:rsid w:val="007C2CB6"/>
    <w:rsid w:val="007C2CC8"/>
    <w:rsid w:val="007C2D25"/>
    <w:rsid w:val="007C2D30"/>
    <w:rsid w:val="007C2DEA"/>
    <w:rsid w:val="007C2E0C"/>
    <w:rsid w:val="007C2E8F"/>
    <w:rsid w:val="007C2FAE"/>
    <w:rsid w:val="007C2FE9"/>
    <w:rsid w:val="007C30B7"/>
    <w:rsid w:val="007C3155"/>
    <w:rsid w:val="007C3157"/>
    <w:rsid w:val="007C31B0"/>
    <w:rsid w:val="007C320B"/>
    <w:rsid w:val="007C3285"/>
    <w:rsid w:val="007C32CD"/>
    <w:rsid w:val="007C332C"/>
    <w:rsid w:val="007C34C2"/>
    <w:rsid w:val="007C34F9"/>
    <w:rsid w:val="007C35C8"/>
    <w:rsid w:val="007C3844"/>
    <w:rsid w:val="007C387E"/>
    <w:rsid w:val="007C38AF"/>
    <w:rsid w:val="007C39E5"/>
    <w:rsid w:val="007C3A1F"/>
    <w:rsid w:val="007C3AB3"/>
    <w:rsid w:val="007C3BBC"/>
    <w:rsid w:val="007C3BFC"/>
    <w:rsid w:val="007C3C38"/>
    <w:rsid w:val="007C3E7F"/>
    <w:rsid w:val="007C3EEC"/>
    <w:rsid w:val="007C40C2"/>
    <w:rsid w:val="007C40F8"/>
    <w:rsid w:val="007C4106"/>
    <w:rsid w:val="007C414F"/>
    <w:rsid w:val="007C4259"/>
    <w:rsid w:val="007C429E"/>
    <w:rsid w:val="007C42AD"/>
    <w:rsid w:val="007C42C2"/>
    <w:rsid w:val="007C42E6"/>
    <w:rsid w:val="007C43C7"/>
    <w:rsid w:val="007C4501"/>
    <w:rsid w:val="007C454F"/>
    <w:rsid w:val="007C463D"/>
    <w:rsid w:val="007C46B6"/>
    <w:rsid w:val="007C46D6"/>
    <w:rsid w:val="007C46DF"/>
    <w:rsid w:val="007C4758"/>
    <w:rsid w:val="007C4837"/>
    <w:rsid w:val="007C492F"/>
    <w:rsid w:val="007C4A83"/>
    <w:rsid w:val="007C4A94"/>
    <w:rsid w:val="007C4B1D"/>
    <w:rsid w:val="007C4B56"/>
    <w:rsid w:val="007C4C50"/>
    <w:rsid w:val="007C4E17"/>
    <w:rsid w:val="007C4E41"/>
    <w:rsid w:val="007C4E84"/>
    <w:rsid w:val="007C4F5A"/>
    <w:rsid w:val="007C501C"/>
    <w:rsid w:val="007C50BD"/>
    <w:rsid w:val="007C5165"/>
    <w:rsid w:val="007C51A8"/>
    <w:rsid w:val="007C5230"/>
    <w:rsid w:val="007C527B"/>
    <w:rsid w:val="007C5399"/>
    <w:rsid w:val="007C5539"/>
    <w:rsid w:val="007C55C0"/>
    <w:rsid w:val="007C5656"/>
    <w:rsid w:val="007C5718"/>
    <w:rsid w:val="007C5859"/>
    <w:rsid w:val="007C5863"/>
    <w:rsid w:val="007C589B"/>
    <w:rsid w:val="007C5BA9"/>
    <w:rsid w:val="007C5C90"/>
    <w:rsid w:val="007C5D0B"/>
    <w:rsid w:val="007C5D29"/>
    <w:rsid w:val="007C5E14"/>
    <w:rsid w:val="007C5F4A"/>
    <w:rsid w:val="007C5F5D"/>
    <w:rsid w:val="007C5FAA"/>
    <w:rsid w:val="007C636B"/>
    <w:rsid w:val="007C63A5"/>
    <w:rsid w:val="007C63E3"/>
    <w:rsid w:val="007C64E8"/>
    <w:rsid w:val="007C6583"/>
    <w:rsid w:val="007C6587"/>
    <w:rsid w:val="007C67F6"/>
    <w:rsid w:val="007C68E2"/>
    <w:rsid w:val="007C68EC"/>
    <w:rsid w:val="007C6928"/>
    <w:rsid w:val="007C692A"/>
    <w:rsid w:val="007C696A"/>
    <w:rsid w:val="007C696F"/>
    <w:rsid w:val="007C6A60"/>
    <w:rsid w:val="007C6AA2"/>
    <w:rsid w:val="007C6AC4"/>
    <w:rsid w:val="007C6DB2"/>
    <w:rsid w:val="007C714B"/>
    <w:rsid w:val="007C72D2"/>
    <w:rsid w:val="007C73D6"/>
    <w:rsid w:val="007C74A5"/>
    <w:rsid w:val="007C74CB"/>
    <w:rsid w:val="007C768C"/>
    <w:rsid w:val="007C76A3"/>
    <w:rsid w:val="007C77A0"/>
    <w:rsid w:val="007C77A3"/>
    <w:rsid w:val="007C7877"/>
    <w:rsid w:val="007C7C66"/>
    <w:rsid w:val="007C7DCC"/>
    <w:rsid w:val="007D01D2"/>
    <w:rsid w:val="007D01F4"/>
    <w:rsid w:val="007D029F"/>
    <w:rsid w:val="007D031F"/>
    <w:rsid w:val="007D0333"/>
    <w:rsid w:val="007D0597"/>
    <w:rsid w:val="007D0837"/>
    <w:rsid w:val="007D095B"/>
    <w:rsid w:val="007D095E"/>
    <w:rsid w:val="007D0A26"/>
    <w:rsid w:val="007D0B27"/>
    <w:rsid w:val="007D0C95"/>
    <w:rsid w:val="007D0E0A"/>
    <w:rsid w:val="007D0E98"/>
    <w:rsid w:val="007D0EE6"/>
    <w:rsid w:val="007D0F4D"/>
    <w:rsid w:val="007D112F"/>
    <w:rsid w:val="007D11F2"/>
    <w:rsid w:val="007D1240"/>
    <w:rsid w:val="007D140C"/>
    <w:rsid w:val="007D1411"/>
    <w:rsid w:val="007D14C8"/>
    <w:rsid w:val="007D15E2"/>
    <w:rsid w:val="007D15E3"/>
    <w:rsid w:val="007D1712"/>
    <w:rsid w:val="007D1791"/>
    <w:rsid w:val="007D186A"/>
    <w:rsid w:val="007D18C1"/>
    <w:rsid w:val="007D1971"/>
    <w:rsid w:val="007D199F"/>
    <w:rsid w:val="007D1AE0"/>
    <w:rsid w:val="007D1BF1"/>
    <w:rsid w:val="007D1DE7"/>
    <w:rsid w:val="007D1E66"/>
    <w:rsid w:val="007D1EAF"/>
    <w:rsid w:val="007D1EDC"/>
    <w:rsid w:val="007D1EE5"/>
    <w:rsid w:val="007D1F12"/>
    <w:rsid w:val="007D1F79"/>
    <w:rsid w:val="007D1FCC"/>
    <w:rsid w:val="007D1FEA"/>
    <w:rsid w:val="007D2023"/>
    <w:rsid w:val="007D204B"/>
    <w:rsid w:val="007D20C2"/>
    <w:rsid w:val="007D2168"/>
    <w:rsid w:val="007D21C6"/>
    <w:rsid w:val="007D22BF"/>
    <w:rsid w:val="007D276A"/>
    <w:rsid w:val="007D2A51"/>
    <w:rsid w:val="007D2B0B"/>
    <w:rsid w:val="007D2B9A"/>
    <w:rsid w:val="007D2C9B"/>
    <w:rsid w:val="007D2CC5"/>
    <w:rsid w:val="007D2D78"/>
    <w:rsid w:val="007D2E35"/>
    <w:rsid w:val="007D2E75"/>
    <w:rsid w:val="007D304B"/>
    <w:rsid w:val="007D307E"/>
    <w:rsid w:val="007D30C6"/>
    <w:rsid w:val="007D30DE"/>
    <w:rsid w:val="007D3235"/>
    <w:rsid w:val="007D33FB"/>
    <w:rsid w:val="007D34A7"/>
    <w:rsid w:val="007D34A8"/>
    <w:rsid w:val="007D34ED"/>
    <w:rsid w:val="007D355F"/>
    <w:rsid w:val="007D3733"/>
    <w:rsid w:val="007D3758"/>
    <w:rsid w:val="007D3977"/>
    <w:rsid w:val="007D3AF3"/>
    <w:rsid w:val="007D3B4B"/>
    <w:rsid w:val="007D3B55"/>
    <w:rsid w:val="007D3BD0"/>
    <w:rsid w:val="007D3C1B"/>
    <w:rsid w:val="007D3C27"/>
    <w:rsid w:val="007D3C47"/>
    <w:rsid w:val="007D40A5"/>
    <w:rsid w:val="007D4171"/>
    <w:rsid w:val="007D427E"/>
    <w:rsid w:val="007D42C1"/>
    <w:rsid w:val="007D4383"/>
    <w:rsid w:val="007D45F0"/>
    <w:rsid w:val="007D46CD"/>
    <w:rsid w:val="007D470C"/>
    <w:rsid w:val="007D4772"/>
    <w:rsid w:val="007D47D7"/>
    <w:rsid w:val="007D486A"/>
    <w:rsid w:val="007D491C"/>
    <w:rsid w:val="007D49B3"/>
    <w:rsid w:val="007D4A55"/>
    <w:rsid w:val="007D4A89"/>
    <w:rsid w:val="007D4A8A"/>
    <w:rsid w:val="007D4ADB"/>
    <w:rsid w:val="007D4B51"/>
    <w:rsid w:val="007D4C57"/>
    <w:rsid w:val="007D4D6C"/>
    <w:rsid w:val="007D4D84"/>
    <w:rsid w:val="007D4DFF"/>
    <w:rsid w:val="007D4E27"/>
    <w:rsid w:val="007D4E46"/>
    <w:rsid w:val="007D5148"/>
    <w:rsid w:val="007D514F"/>
    <w:rsid w:val="007D5207"/>
    <w:rsid w:val="007D531B"/>
    <w:rsid w:val="007D5393"/>
    <w:rsid w:val="007D5482"/>
    <w:rsid w:val="007D5571"/>
    <w:rsid w:val="007D5638"/>
    <w:rsid w:val="007D5904"/>
    <w:rsid w:val="007D594C"/>
    <w:rsid w:val="007D5955"/>
    <w:rsid w:val="007D5999"/>
    <w:rsid w:val="007D5C3B"/>
    <w:rsid w:val="007D5CD1"/>
    <w:rsid w:val="007D5D59"/>
    <w:rsid w:val="007D5FC4"/>
    <w:rsid w:val="007D600D"/>
    <w:rsid w:val="007D6071"/>
    <w:rsid w:val="007D608A"/>
    <w:rsid w:val="007D60FB"/>
    <w:rsid w:val="007D6141"/>
    <w:rsid w:val="007D614B"/>
    <w:rsid w:val="007D6228"/>
    <w:rsid w:val="007D62E2"/>
    <w:rsid w:val="007D6362"/>
    <w:rsid w:val="007D63A0"/>
    <w:rsid w:val="007D63F8"/>
    <w:rsid w:val="007D64E2"/>
    <w:rsid w:val="007D652D"/>
    <w:rsid w:val="007D66B5"/>
    <w:rsid w:val="007D679C"/>
    <w:rsid w:val="007D68A8"/>
    <w:rsid w:val="007D699A"/>
    <w:rsid w:val="007D6A3E"/>
    <w:rsid w:val="007D6A5E"/>
    <w:rsid w:val="007D6D1A"/>
    <w:rsid w:val="007D6D6B"/>
    <w:rsid w:val="007D6DC1"/>
    <w:rsid w:val="007D6E53"/>
    <w:rsid w:val="007D6EAD"/>
    <w:rsid w:val="007D6FBC"/>
    <w:rsid w:val="007D6FC2"/>
    <w:rsid w:val="007D6FCA"/>
    <w:rsid w:val="007D700F"/>
    <w:rsid w:val="007D70B2"/>
    <w:rsid w:val="007D70EE"/>
    <w:rsid w:val="007D70F1"/>
    <w:rsid w:val="007D7224"/>
    <w:rsid w:val="007D7429"/>
    <w:rsid w:val="007D76B6"/>
    <w:rsid w:val="007D788D"/>
    <w:rsid w:val="007D7924"/>
    <w:rsid w:val="007D7AB0"/>
    <w:rsid w:val="007D7AD5"/>
    <w:rsid w:val="007D7BB6"/>
    <w:rsid w:val="007D7BF1"/>
    <w:rsid w:val="007D7CA4"/>
    <w:rsid w:val="007D7FA2"/>
    <w:rsid w:val="007D7FE1"/>
    <w:rsid w:val="007E009E"/>
    <w:rsid w:val="007E00DB"/>
    <w:rsid w:val="007E00FC"/>
    <w:rsid w:val="007E0323"/>
    <w:rsid w:val="007E03C2"/>
    <w:rsid w:val="007E0456"/>
    <w:rsid w:val="007E0468"/>
    <w:rsid w:val="007E04BF"/>
    <w:rsid w:val="007E04EC"/>
    <w:rsid w:val="007E066E"/>
    <w:rsid w:val="007E06CE"/>
    <w:rsid w:val="007E0722"/>
    <w:rsid w:val="007E075D"/>
    <w:rsid w:val="007E0788"/>
    <w:rsid w:val="007E07B1"/>
    <w:rsid w:val="007E0851"/>
    <w:rsid w:val="007E0965"/>
    <w:rsid w:val="007E09EE"/>
    <w:rsid w:val="007E0C22"/>
    <w:rsid w:val="007E0DB4"/>
    <w:rsid w:val="007E0E46"/>
    <w:rsid w:val="007E0E68"/>
    <w:rsid w:val="007E0ED8"/>
    <w:rsid w:val="007E1057"/>
    <w:rsid w:val="007E1123"/>
    <w:rsid w:val="007E1150"/>
    <w:rsid w:val="007E11FF"/>
    <w:rsid w:val="007E129D"/>
    <w:rsid w:val="007E12E5"/>
    <w:rsid w:val="007E13A6"/>
    <w:rsid w:val="007E1464"/>
    <w:rsid w:val="007E1609"/>
    <w:rsid w:val="007E1663"/>
    <w:rsid w:val="007E1924"/>
    <w:rsid w:val="007E195E"/>
    <w:rsid w:val="007E198E"/>
    <w:rsid w:val="007E1A95"/>
    <w:rsid w:val="007E1B4E"/>
    <w:rsid w:val="007E1D2C"/>
    <w:rsid w:val="007E1D52"/>
    <w:rsid w:val="007E1E07"/>
    <w:rsid w:val="007E21CC"/>
    <w:rsid w:val="007E2305"/>
    <w:rsid w:val="007E239A"/>
    <w:rsid w:val="007E24D0"/>
    <w:rsid w:val="007E2555"/>
    <w:rsid w:val="007E2702"/>
    <w:rsid w:val="007E2747"/>
    <w:rsid w:val="007E2831"/>
    <w:rsid w:val="007E28FB"/>
    <w:rsid w:val="007E294E"/>
    <w:rsid w:val="007E29AB"/>
    <w:rsid w:val="007E29C1"/>
    <w:rsid w:val="007E2A09"/>
    <w:rsid w:val="007E2B01"/>
    <w:rsid w:val="007E2BE6"/>
    <w:rsid w:val="007E2C2D"/>
    <w:rsid w:val="007E2C3D"/>
    <w:rsid w:val="007E2C41"/>
    <w:rsid w:val="007E2CA2"/>
    <w:rsid w:val="007E2E93"/>
    <w:rsid w:val="007E2EC9"/>
    <w:rsid w:val="007E2F2A"/>
    <w:rsid w:val="007E2FBE"/>
    <w:rsid w:val="007E308C"/>
    <w:rsid w:val="007E3229"/>
    <w:rsid w:val="007E3284"/>
    <w:rsid w:val="007E32A3"/>
    <w:rsid w:val="007E347E"/>
    <w:rsid w:val="007E34BC"/>
    <w:rsid w:val="007E3589"/>
    <w:rsid w:val="007E35BF"/>
    <w:rsid w:val="007E3680"/>
    <w:rsid w:val="007E37C6"/>
    <w:rsid w:val="007E3801"/>
    <w:rsid w:val="007E3831"/>
    <w:rsid w:val="007E388F"/>
    <w:rsid w:val="007E38ED"/>
    <w:rsid w:val="007E3929"/>
    <w:rsid w:val="007E39A2"/>
    <w:rsid w:val="007E39CA"/>
    <w:rsid w:val="007E39F4"/>
    <w:rsid w:val="007E3A5E"/>
    <w:rsid w:val="007E3A7E"/>
    <w:rsid w:val="007E3B7B"/>
    <w:rsid w:val="007E3CBC"/>
    <w:rsid w:val="007E3E49"/>
    <w:rsid w:val="007E3E78"/>
    <w:rsid w:val="007E3F77"/>
    <w:rsid w:val="007E3FE4"/>
    <w:rsid w:val="007E4012"/>
    <w:rsid w:val="007E43EE"/>
    <w:rsid w:val="007E44DE"/>
    <w:rsid w:val="007E457A"/>
    <w:rsid w:val="007E4656"/>
    <w:rsid w:val="007E4707"/>
    <w:rsid w:val="007E473C"/>
    <w:rsid w:val="007E47F6"/>
    <w:rsid w:val="007E4A15"/>
    <w:rsid w:val="007E4A27"/>
    <w:rsid w:val="007E4A55"/>
    <w:rsid w:val="007E4BBE"/>
    <w:rsid w:val="007E4C7D"/>
    <w:rsid w:val="007E4E28"/>
    <w:rsid w:val="007E4E3C"/>
    <w:rsid w:val="007E5042"/>
    <w:rsid w:val="007E51CE"/>
    <w:rsid w:val="007E5231"/>
    <w:rsid w:val="007E523C"/>
    <w:rsid w:val="007E5240"/>
    <w:rsid w:val="007E5342"/>
    <w:rsid w:val="007E5498"/>
    <w:rsid w:val="007E5674"/>
    <w:rsid w:val="007E56E7"/>
    <w:rsid w:val="007E5727"/>
    <w:rsid w:val="007E58F7"/>
    <w:rsid w:val="007E59CD"/>
    <w:rsid w:val="007E5B41"/>
    <w:rsid w:val="007E5BA4"/>
    <w:rsid w:val="007E5EC7"/>
    <w:rsid w:val="007E6002"/>
    <w:rsid w:val="007E61D6"/>
    <w:rsid w:val="007E6256"/>
    <w:rsid w:val="007E62A0"/>
    <w:rsid w:val="007E630A"/>
    <w:rsid w:val="007E6457"/>
    <w:rsid w:val="007E65F5"/>
    <w:rsid w:val="007E6676"/>
    <w:rsid w:val="007E66B3"/>
    <w:rsid w:val="007E66D9"/>
    <w:rsid w:val="007E6701"/>
    <w:rsid w:val="007E6777"/>
    <w:rsid w:val="007E67AF"/>
    <w:rsid w:val="007E6909"/>
    <w:rsid w:val="007E6B1F"/>
    <w:rsid w:val="007E6B7C"/>
    <w:rsid w:val="007E6F48"/>
    <w:rsid w:val="007E6FF2"/>
    <w:rsid w:val="007E7114"/>
    <w:rsid w:val="007E713A"/>
    <w:rsid w:val="007E7162"/>
    <w:rsid w:val="007E72B3"/>
    <w:rsid w:val="007E73A5"/>
    <w:rsid w:val="007E73DA"/>
    <w:rsid w:val="007E7501"/>
    <w:rsid w:val="007E7503"/>
    <w:rsid w:val="007E754C"/>
    <w:rsid w:val="007E7565"/>
    <w:rsid w:val="007E7622"/>
    <w:rsid w:val="007E7637"/>
    <w:rsid w:val="007E7694"/>
    <w:rsid w:val="007E77FD"/>
    <w:rsid w:val="007E780C"/>
    <w:rsid w:val="007E785B"/>
    <w:rsid w:val="007E7864"/>
    <w:rsid w:val="007E7983"/>
    <w:rsid w:val="007E79DB"/>
    <w:rsid w:val="007E7A7C"/>
    <w:rsid w:val="007E7AFF"/>
    <w:rsid w:val="007E7B17"/>
    <w:rsid w:val="007E7BE7"/>
    <w:rsid w:val="007E7C05"/>
    <w:rsid w:val="007E7C69"/>
    <w:rsid w:val="007E7C96"/>
    <w:rsid w:val="007E7CFE"/>
    <w:rsid w:val="007E7DAD"/>
    <w:rsid w:val="007E7EAB"/>
    <w:rsid w:val="007E7F01"/>
    <w:rsid w:val="007F025D"/>
    <w:rsid w:val="007F02B2"/>
    <w:rsid w:val="007F0369"/>
    <w:rsid w:val="007F03C6"/>
    <w:rsid w:val="007F043E"/>
    <w:rsid w:val="007F049A"/>
    <w:rsid w:val="007F05F5"/>
    <w:rsid w:val="007F061C"/>
    <w:rsid w:val="007F066C"/>
    <w:rsid w:val="007F0670"/>
    <w:rsid w:val="007F06BC"/>
    <w:rsid w:val="007F07C5"/>
    <w:rsid w:val="007F07F0"/>
    <w:rsid w:val="007F08DB"/>
    <w:rsid w:val="007F0AA1"/>
    <w:rsid w:val="007F0BAC"/>
    <w:rsid w:val="007F0C4E"/>
    <w:rsid w:val="007F0C88"/>
    <w:rsid w:val="007F0CE7"/>
    <w:rsid w:val="007F0D8C"/>
    <w:rsid w:val="007F10A5"/>
    <w:rsid w:val="007F1169"/>
    <w:rsid w:val="007F121C"/>
    <w:rsid w:val="007F1222"/>
    <w:rsid w:val="007F1283"/>
    <w:rsid w:val="007F12A4"/>
    <w:rsid w:val="007F1309"/>
    <w:rsid w:val="007F13D3"/>
    <w:rsid w:val="007F1811"/>
    <w:rsid w:val="007F183B"/>
    <w:rsid w:val="007F19C7"/>
    <w:rsid w:val="007F1AC4"/>
    <w:rsid w:val="007F1B18"/>
    <w:rsid w:val="007F1B3E"/>
    <w:rsid w:val="007F1B52"/>
    <w:rsid w:val="007F1EEF"/>
    <w:rsid w:val="007F1F3D"/>
    <w:rsid w:val="007F1F76"/>
    <w:rsid w:val="007F1FA1"/>
    <w:rsid w:val="007F1FD6"/>
    <w:rsid w:val="007F1FF6"/>
    <w:rsid w:val="007F201B"/>
    <w:rsid w:val="007F20F5"/>
    <w:rsid w:val="007F219A"/>
    <w:rsid w:val="007F21F2"/>
    <w:rsid w:val="007F2304"/>
    <w:rsid w:val="007F2361"/>
    <w:rsid w:val="007F23FE"/>
    <w:rsid w:val="007F2512"/>
    <w:rsid w:val="007F25C9"/>
    <w:rsid w:val="007F265B"/>
    <w:rsid w:val="007F26A7"/>
    <w:rsid w:val="007F27B2"/>
    <w:rsid w:val="007F283E"/>
    <w:rsid w:val="007F284A"/>
    <w:rsid w:val="007F2886"/>
    <w:rsid w:val="007F28C8"/>
    <w:rsid w:val="007F28D2"/>
    <w:rsid w:val="007F2995"/>
    <w:rsid w:val="007F2A1A"/>
    <w:rsid w:val="007F2AB9"/>
    <w:rsid w:val="007F2B18"/>
    <w:rsid w:val="007F2EB1"/>
    <w:rsid w:val="007F2EFA"/>
    <w:rsid w:val="007F2F5B"/>
    <w:rsid w:val="007F2FC5"/>
    <w:rsid w:val="007F306A"/>
    <w:rsid w:val="007F307C"/>
    <w:rsid w:val="007F328E"/>
    <w:rsid w:val="007F32CF"/>
    <w:rsid w:val="007F3518"/>
    <w:rsid w:val="007F35D9"/>
    <w:rsid w:val="007F35F4"/>
    <w:rsid w:val="007F37CA"/>
    <w:rsid w:val="007F37F4"/>
    <w:rsid w:val="007F37F7"/>
    <w:rsid w:val="007F3880"/>
    <w:rsid w:val="007F38B9"/>
    <w:rsid w:val="007F3A0A"/>
    <w:rsid w:val="007F3A4C"/>
    <w:rsid w:val="007F3AF8"/>
    <w:rsid w:val="007F3AFC"/>
    <w:rsid w:val="007F3B7F"/>
    <w:rsid w:val="007F3C89"/>
    <w:rsid w:val="007F3C9D"/>
    <w:rsid w:val="007F3CC7"/>
    <w:rsid w:val="007F3DEC"/>
    <w:rsid w:val="007F3E46"/>
    <w:rsid w:val="007F3FE0"/>
    <w:rsid w:val="007F41BE"/>
    <w:rsid w:val="007F4208"/>
    <w:rsid w:val="007F427B"/>
    <w:rsid w:val="007F43E7"/>
    <w:rsid w:val="007F444E"/>
    <w:rsid w:val="007F492A"/>
    <w:rsid w:val="007F49B8"/>
    <w:rsid w:val="007F49C5"/>
    <w:rsid w:val="007F49C7"/>
    <w:rsid w:val="007F49D5"/>
    <w:rsid w:val="007F4C9D"/>
    <w:rsid w:val="007F4D0D"/>
    <w:rsid w:val="007F4E54"/>
    <w:rsid w:val="007F4E75"/>
    <w:rsid w:val="007F4EBC"/>
    <w:rsid w:val="007F4F03"/>
    <w:rsid w:val="007F4F6F"/>
    <w:rsid w:val="007F4F87"/>
    <w:rsid w:val="007F4FBF"/>
    <w:rsid w:val="007F505C"/>
    <w:rsid w:val="007F516C"/>
    <w:rsid w:val="007F517C"/>
    <w:rsid w:val="007F52D0"/>
    <w:rsid w:val="007F52DA"/>
    <w:rsid w:val="007F5341"/>
    <w:rsid w:val="007F5446"/>
    <w:rsid w:val="007F5494"/>
    <w:rsid w:val="007F54D3"/>
    <w:rsid w:val="007F558A"/>
    <w:rsid w:val="007F5698"/>
    <w:rsid w:val="007F56B5"/>
    <w:rsid w:val="007F5729"/>
    <w:rsid w:val="007F5896"/>
    <w:rsid w:val="007F5949"/>
    <w:rsid w:val="007F5A4D"/>
    <w:rsid w:val="007F5A94"/>
    <w:rsid w:val="007F5B7A"/>
    <w:rsid w:val="007F5C7C"/>
    <w:rsid w:val="007F5C88"/>
    <w:rsid w:val="007F5CCA"/>
    <w:rsid w:val="007F5CE1"/>
    <w:rsid w:val="007F5DFC"/>
    <w:rsid w:val="007F5E98"/>
    <w:rsid w:val="007F5EAD"/>
    <w:rsid w:val="007F5F33"/>
    <w:rsid w:val="007F6119"/>
    <w:rsid w:val="007F618C"/>
    <w:rsid w:val="007F621F"/>
    <w:rsid w:val="007F6393"/>
    <w:rsid w:val="007F6472"/>
    <w:rsid w:val="007F6491"/>
    <w:rsid w:val="007F64D8"/>
    <w:rsid w:val="007F6521"/>
    <w:rsid w:val="007F6532"/>
    <w:rsid w:val="007F65D2"/>
    <w:rsid w:val="007F65DA"/>
    <w:rsid w:val="007F6660"/>
    <w:rsid w:val="007F6731"/>
    <w:rsid w:val="007F6768"/>
    <w:rsid w:val="007F67A1"/>
    <w:rsid w:val="007F67EE"/>
    <w:rsid w:val="007F6947"/>
    <w:rsid w:val="007F69EF"/>
    <w:rsid w:val="007F6A4C"/>
    <w:rsid w:val="007F6A85"/>
    <w:rsid w:val="007F6A9D"/>
    <w:rsid w:val="007F6ABD"/>
    <w:rsid w:val="007F6B12"/>
    <w:rsid w:val="007F6BA2"/>
    <w:rsid w:val="007F6BDD"/>
    <w:rsid w:val="007F6BE7"/>
    <w:rsid w:val="007F6C41"/>
    <w:rsid w:val="007F6CC1"/>
    <w:rsid w:val="007F6D29"/>
    <w:rsid w:val="007F6D40"/>
    <w:rsid w:val="007F6F2A"/>
    <w:rsid w:val="007F7037"/>
    <w:rsid w:val="007F707A"/>
    <w:rsid w:val="007F70E3"/>
    <w:rsid w:val="007F7121"/>
    <w:rsid w:val="007F7167"/>
    <w:rsid w:val="007F72BC"/>
    <w:rsid w:val="007F72D1"/>
    <w:rsid w:val="007F73B1"/>
    <w:rsid w:val="007F73B9"/>
    <w:rsid w:val="007F73D2"/>
    <w:rsid w:val="007F759D"/>
    <w:rsid w:val="007F75E7"/>
    <w:rsid w:val="007F7606"/>
    <w:rsid w:val="007F7668"/>
    <w:rsid w:val="007F7674"/>
    <w:rsid w:val="007F76AC"/>
    <w:rsid w:val="007F793E"/>
    <w:rsid w:val="007F79EC"/>
    <w:rsid w:val="007F7C1A"/>
    <w:rsid w:val="007F7C4E"/>
    <w:rsid w:val="007F7C8B"/>
    <w:rsid w:val="007F7DE9"/>
    <w:rsid w:val="007F7F93"/>
    <w:rsid w:val="00800032"/>
    <w:rsid w:val="00800065"/>
    <w:rsid w:val="00800313"/>
    <w:rsid w:val="00800317"/>
    <w:rsid w:val="00800371"/>
    <w:rsid w:val="008003DC"/>
    <w:rsid w:val="008004C8"/>
    <w:rsid w:val="008004FB"/>
    <w:rsid w:val="008006FE"/>
    <w:rsid w:val="0080072B"/>
    <w:rsid w:val="0080077E"/>
    <w:rsid w:val="00800882"/>
    <w:rsid w:val="00800956"/>
    <w:rsid w:val="008009A7"/>
    <w:rsid w:val="00800A65"/>
    <w:rsid w:val="00800CD8"/>
    <w:rsid w:val="00800D16"/>
    <w:rsid w:val="00800EC3"/>
    <w:rsid w:val="00800F54"/>
    <w:rsid w:val="00801121"/>
    <w:rsid w:val="008011AF"/>
    <w:rsid w:val="0080126C"/>
    <w:rsid w:val="008014A2"/>
    <w:rsid w:val="008014A7"/>
    <w:rsid w:val="008015F1"/>
    <w:rsid w:val="00801606"/>
    <w:rsid w:val="0080165E"/>
    <w:rsid w:val="0080173A"/>
    <w:rsid w:val="0080176B"/>
    <w:rsid w:val="008017EC"/>
    <w:rsid w:val="0080185E"/>
    <w:rsid w:val="008018D6"/>
    <w:rsid w:val="00801975"/>
    <w:rsid w:val="00801F64"/>
    <w:rsid w:val="00801FDA"/>
    <w:rsid w:val="00802023"/>
    <w:rsid w:val="00802219"/>
    <w:rsid w:val="008022CB"/>
    <w:rsid w:val="00802300"/>
    <w:rsid w:val="00802478"/>
    <w:rsid w:val="00802561"/>
    <w:rsid w:val="008025E9"/>
    <w:rsid w:val="008026B8"/>
    <w:rsid w:val="00802764"/>
    <w:rsid w:val="00802818"/>
    <w:rsid w:val="008028E1"/>
    <w:rsid w:val="00802A30"/>
    <w:rsid w:val="00802A56"/>
    <w:rsid w:val="00802D2B"/>
    <w:rsid w:val="00802F9D"/>
    <w:rsid w:val="00803023"/>
    <w:rsid w:val="008030CB"/>
    <w:rsid w:val="008030F8"/>
    <w:rsid w:val="00803103"/>
    <w:rsid w:val="0080318E"/>
    <w:rsid w:val="008032C6"/>
    <w:rsid w:val="00803373"/>
    <w:rsid w:val="00803490"/>
    <w:rsid w:val="008034C7"/>
    <w:rsid w:val="0080354C"/>
    <w:rsid w:val="0080359F"/>
    <w:rsid w:val="008035ED"/>
    <w:rsid w:val="008036ED"/>
    <w:rsid w:val="00803727"/>
    <w:rsid w:val="00803810"/>
    <w:rsid w:val="00803A0D"/>
    <w:rsid w:val="00803A52"/>
    <w:rsid w:val="00803BE1"/>
    <w:rsid w:val="00803C30"/>
    <w:rsid w:val="00803C77"/>
    <w:rsid w:val="00803D2B"/>
    <w:rsid w:val="00803E8D"/>
    <w:rsid w:val="0080400E"/>
    <w:rsid w:val="008041F5"/>
    <w:rsid w:val="008041FB"/>
    <w:rsid w:val="00804236"/>
    <w:rsid w:val="008042C6"/>
    <w:rsid w:val="0080436E"/>
    <w:rsid w:val="00804437"/>
    <w:rsid w:val="008044A6"/>
    <w:rsid w:val="008044EE"/>
    <w:rsid w:val="00804608"/>
    <w:rsid w:val="00804691"/>
    <w:rsid w:val="008048F5"/>
    <w:rsid w:val="0080494C"/>
    <w:rsid w:val="008049C6"/>
    <w:rsid w:val="00804ABA"/>
    <w:rsid w:val="00804C1C"/>
    <w:rsid w:val="00804D9C"/>
    <w:rsid w:val="00804DFA"/>
    <w:rsid w:val="0080510D"/>
    <w:rsid w:val="008051BC"/>
    <w:rsid w:val="008052E4"/>
    <w:rsid w:val="008053E3"/>
    <w:rsid w:val="0080540D"/>
    <w:rsid w:val="0080541B"/>
    <w:rsid w:val="008054AB"/>
    <w:rsid w:val="008054C8"/>
    <w:rsid w:val="0080569C"/>
    <w:rsid w:val="008057EF"/>
    <w:rsid w:val="00805BBC"/>
    <w:rsid w:val="00805DC7"/>
    <w:rsid w:val="00805E70"/>
    <w:rsid w:val="00805FB6"/>
    <w:rsid w:val="00806041"/>
    <w:rsid w:val="00806068"/>
    <w:rsid w:val="0080609D"/>
    <w:rsid w:val="0080622D"/>
    <w:rsid w:val="00806261"/>
    <w:rsid w:val="0080630F"/>
    <w:rsid w:val="00806359"/>
    <w:rsid w:val="0080635C"/>
    <w:rsid w:val="00806473"/>
    <w:rsid w:val="00806480"/>
    <w:rsid w:val="00806485"/>
    <w:rsid w:val="0080650B"/>
    <w:rsid w:val="00806520"/>
    <w:rsid w:val="008065AC"/>
    <w:rsid w:val="008065E1"/>
    <w:rsid w:val="00806687"/>
    <w:rsid w:val="00806716"/>
    <w:rsid w:val="00806886"/>
    <w:rsid w:val="008068D3"/>
    <w:rsid w:val="008069DF"/>
    <w:rsid w:val="008069E2"/>
    <w:rsid w:val="00806B00"/>
    <w:rsid w:val="00806BF7"/>
    <w:rsid w:val="00806CC3"/>
    <w:rsid w:val="00806DA9"/>
    <w:rsid w:val="00806DB0"/>
    <w:rsid w:val="00806EB0"/>
    <w:rsid w:val="00806F45"/>
    <w:rsid w:val="00806F5A"/>
    <w:rsid w:val="00806F66"/>
    <w:rsid w:val="00806FA1"/>
    <w:rsid w:val="00806FA7"/>
    <w:rsid w:val="00806FB9"/>
    <w:rsid w:val="00807034"/>
    <w:rsid w:val="0080705E"/>
    <w:rsid w:val="008070A7"/>
    <w:rsid w:val="008072F6"/>
    <w:rsid w:val="00807357"/>
    <w:rsid w:val="00807412"/>
    <w:rsid w:val="008075C9"/>
    <w:rsid w:val="0080767B"/>
    <w:rsid w:val="008076F9"/>
    <w:rsid w:val="00807712"/>
    <w:rsid w:val="00807991"/>
    <w:rsid w:val="00807B21"/>
    <w:rsid w:val="00807C5F"/>
    <w:rsid w:val="00807CBD"/>
    <w:rsid w:val="00807D03"/>
    <w:rsid w:val="00807D64"/>
    <w:rsid w:val="00807ECC"/>
    <w:rsid w:val="008101B7"/>
    <w:rsid w:val="008101F6"/>
    <w:rsid w:val="00810223"/>
    <w:rsid w:val="0081038E"/>
    <w:rsid w:val="008103AB"/>
    <w:rsid w:val="00810522"/>
    <w:rsid w:val="00810550"/>
    <w:rsid w:val="00810557"/>
    <w:rsid w:val="008106E6"/>
    <w:rsid w:val="00810789"/>
    <w:rsid w:val="0081082C"/>
    <w:rsid w:val="0081083E"/>
    <w:rsid w:val="0081088A"/>
    <w:rsid w:val="008109EC"/>
    <w:rsid w:val="00810B0F"/>
    <w:rsid w:val="00810BA3"/>
    <w:rsid w:val="00810BD9"/>
    <w:rsid w:val="00810BE4"/>
    <w:rsid w:val="00810C2A"/>
    <w:rsid w:val="00810CA7"/>
    <w:rsid w:val="00810CB6"/>
    <w:rsid w:val="00810CDC"/>
    <w:rsid w:val="00810D23"/>
    <w:rsid w:val="00810D7C"/>
    <w:rsid w:val="00810E53"/>
    <w:rsid w:val="00810FDA"/>
    <w:rsid w:val="00811104"/>
    <w:rsid w:val="00811114"/>
    <w:rsid w:val="00811120"/>
    <w:rsid w:val="00811132"/>
    <w:rsid w:val="0081117E"/>
    <w:rsid w:val="00811299"/>
    <w:rsid w:val="008113E8"/>
    <w:rsid w:val="008114DA"/>
    <w:rsid w:val="0081158A"/>
    <w:rsid w:val="00811657"/>
    <w:rsid w:val="008116A0"/>
    <w:rsid w:val="00811706"/>
    <w:rsid w:val="00811754"/>
    <w:rsid w:val="008117AF"/>
    <w:rsid w:val="00811843"/>
    <w:rsid w:val="0081190C"/>
    <w:rsid w:val="00811AFB"/>
    <w:rsid w:val="00811B9E"/>
    <w:rsid w:val="00811E6E"/>
    <w:rsid w:val="00811FC4"/>
    <w:rsid w:val="0081201A"/>
    <w:rsid w:val="0081215B"/>
    <w:rsid w:val="00812216"/>
    <w:rsid w:val="00812224"/>
    <w:rsid w:val="00812239"/>
    <w:rsid w:val="00812288"/>
    <w:rsid w:val="008122B3"/>
    <w:rsid w:val="00812365"/>
    <w:rsid w:val="0081247A"/>
    <w:rsid w:val="008124FC"/>
    <w:rsid w:val="008125C2"/>
    <w:rsid w:val="008125CB"/>
    <w:rsid w:val="008125CF"/>
    <w:rsid w:val="008126EF"/>
    <w:rsid w:val="00812818"/>
    <w:rsid w:val="0081286D"/>
    <w:rsid w:val="00812895"/>
    <w:rsid w:val="00812897"/>
    <w:rsid w:val="00812A8D"/>
    <w:rsid w:val="00812AC4"/>
    <w:rsid w:val="00812D90"/>
    <w:rsid w:val="00812D96"/>
    <w:rsid w:val="00812E16"/>
    <w:rsid w:val="00812E56"/>
    <w:rsid w:val="00812E7B"/>
    <w:rsid w:val="00812E8C"/>
    <w:rsid w:val="00812E91"/>
    <w:rsid w:val="00812FAC"/>
    <w:rsid w:val="0081301F"/>
    <w:rsid w:val="00813049"/>
    <w:rsid w:val="0081309D"/>
    <w:rsid w:val="00813159"/>
    <w:rsid w:val="0081332D"/>
    <w:rsid w:val="008133B5"/>
    <w:rsid w:val="00813419"/>
    <w:rsid w:val="00813441"/>
    <w:rsid w:val="0081347C"/>
    <w:rsid w:val="008134B1"/>
    <w:rsid w:val="00813528"/>
    <w:rsid w:val="0081382A"/>
    <w:rsid w:val="0081393A"/>
    <w:rsid w:val="00813BB9"/>
    <w:rsid w:val="00813DF0"/>
    <w:rsid w:val="00813F3D"/>
    <w:rsid w:val="00813F76"/>
    <w:rsid w:val="00813F94"/>
    <w:rsid w:val="00813FAE"/>
    <w:rsid w:val="00814142"/>
    <w:rsid w:val="008147A2"/>
    <w:rsid w:val="008147ED"/>
    <w:rsid w:val="0081480C"/>
    <w:rsid w:val="00814A38"/>
    <w:rsid w:val="00814AC0"/>
    <w:rsid w:val="00814DD7"/>
    <w:rsid w:val="00814E1B"/>
    <w:rsid w:val="00814E4F"/>
    <w:rsid w:val="00814E6A"/>
    <w:rsid w:val="00814F2A"/>
    <w:rsid w:val="00815040"/>
    <w:rsid w:val="00815084"/>
    <w:rsid w:val="0081515C"/>
    <w:rsid w:val="008154A1"/>
    <w:rsid w:val="00815644"/>
    <w:rsid w:val="008158A9"/>
    <w:rsid w:val="008158F2"/>
    <w:rsid w:val="008159B0"/>
    <w:rsid w:val="008159D7"/>
    <w:rsid w:val="00815A7D"/>
    <w:rsid w:val="00815B00"/>
    <w:rsid w:val="00815B6B"/>
    <w:rsid w:val="00815E96"/>
    <w:rsid w:val="00815E9C"/>
    <w:rsid w:val="00815FBB"/>
    <w:rsid w:val="00816214"/>
    <w:rsid w:val="00816224"/>
    <w:rsid w:val="0081623F"/>
    <w:rsid w:val="008163E5"/>
    <w:rsid w:val="008164CF"/>
    <w:rsid w:val="0081651E"/>
    <w:rsid w:val="008165AE"/>
    <w:rsid w:val="00816763"/>
    <w:rsid w:val="00816A17"/>
    <w:rsid w:val="00816AEC"/>
    <w:rsid w:val="00816B6C"/>
    <w:rsid w:val="00816C27"/>
    <w:rsid w:val="00816CC3"/>
    <w:rsid w:val="00816CFF"/>
    <w:rsid w:val="00816DED"/>
    <w:rsid w:val="00816FB3"/>
    <w:rsid w:val="008170CE"/>
    <w:rsid w:val="00817174"/>
    <w:rsid w:val="008173B6"/>
    <w:rsid w:val="00817446"/>
    <w:rsid w:val="00817710"/>
    <w:rsid w:val="0081779D"/>
    <w:rsid w:val="008177E2"/>
    <w:rsid w:val="0081789C"/>
    <w:rsid w:val="008179A5"/>
    <w:rsid w:val="00817A8A"/>
    <w:rsid w:val="00817AE7"/>
    <w:rsid w:val="00817B14"/>
    <w:rsid w:val="00817B84"/>
    <w:rsid w:val="00817BB0"/>
    <w:rsid w:val="00817DFD"/>
    <w:rsid w:val="00817E2B"/>
    <w:rsid w:val="00817F22"/>
    <w:rsid w:val="00820005"/>
    <w:rsid w:val="008200E2"/>
    <w:rsid w:val="008201C0"/>
    <w:rsid w:val="00820230"/>
    <w:rsid w:val="00820365"/>
    <w:rsid w:val="0082044A"/>
    <w:rsid w:val="0082078A"/>
    <w:rsid w:val="008207D0"/>
    <w:rsid w:val="00820810"/>
    <w:rsid w:val="00820832"/>
    <w:rsid w:val="0082083D"/>
    <w:rsid w:val="00820B31"/>
    <w:rsid w:val="00820B60"/>
    <w:rsid w:val="00820BC3"/>
    <w:rsid w:val="00820BCC"/>
    <w:rsid w:val="00820C6F"/>
    <w:rsid w:val="00820E17"/>
    <w:rsid w:val="00820E80"/>
    <w:rsid w:val="00821012"/>
    <w:rsid w:val="0082105A"/>
    <w:rsid w:val="0082123E"/>
    <w:rsid w:val="00821331"/>
    <w:rsid w:val="00821566"/>
    <w:rsid w:val="0082166C"/>
    <w:rsid w:val="008216DE"/>
    <w:rsid w:val="00821802"/>
    <w:rsid w:val="008218FC"/>
    <w:rsid w:val="00821924"/>
    <w:rsid w:val="00821983"/>
    <w:rsid w:val="008219A7"/>
    <w:rsid w:val="00821AAA"/>
    <w:rsid w:val="00821B2B"/>
    <w:rsid w:val="00821B82"/>
    <w:rsid w:val="00821B85"/>
    <w:rsid w:val="00821C37"/>
    <w:rsid w:val="00821C3B"/>
    <w:rsid w:val="00821C45"/>
    <w:rsid w:val="00821CCF"/>
    <w:rsid w:val="00821D3B"/>
    <w:rsid w:val="00821D91"/>
    <w:rsid w:val="00821DB0"/>
    <w:rsid w:val="00821E25"/>
    <w:rsid w:val="00821E41"/>
    <w:rsid w:val="00821E80"/>
    <w:rsid w:val="00821FC8"/>
    <w:rsid w:val="00822043"/>
    <w:rsid w:val="0082209E"/>
    <w:rsid w:val="00822244"/>
    <w:rsid w:val="0082232E"/>
    <w:rsid w:val="0082233A"/>
    <w:rsid w:val="0082235C"/>
    <w:rsid w:val="008223C4"/>
    <w:rsid w:val="00822444"/>
    <w:rsid w:val="00822465"/>
    <w:rsid w:val="00822699"/>
    <w:rsid w:val="008226CF"/>
    <w:rsid w:val="00822796"/>
    <w:rsid w:val="00822A00"/>
    <w:rsid w:val="00822A58"/>
    <w:rsid w:val="00822A9D"/>
    <w:rsid w:val="00822AE9"/>
    <w:rsid w:val="00822CA4"/>
    <w:rsid w:val="00822CFF"/>
    <w:rsid w:val="00822D20"/>
    <w:rsid w:val="00822D50"/>
    <w:rsid w:val="00822DD6"/>
    <w:rsid w:val="0082301A"/>
    <w:rsid w:val="00823021"/>
    <w:rsid w:val="0082310B"/>
    <w:rsid w:val="008232CD"/>
    <w:rsid w:val="0082337F"/>
    <w:rsid w:val="008234E5"/>
    <w:rsid w:val="00823547"/>
    <w:rsid w:val="008235BC"/>
    <w:rsid w:val="008236BA"/>
    <w:rsid w:val="008237D8"/>
    <w:rsid w:val="00823891"/>
    <w:rsid w:val="00823940"/>
    <w:rsid w:val="00823CF0"/>
    <w:rsid w:val="00823D0B"/>
    <w:rsid w:val="00823D60"/>
    <w:rsid w:val="00823D93"/>
    <w:rsid w:val="00823DA2"/>
    <w:rsid w:val="00823E61"/>
    <w:rsid w:val="00823F4B"/>
    <w:rsid w:val="00823FDF"/>
    <w:rsid w:val="00823FED"/>
    <w:rsid w:val="00823FFA"/>
    <w:rsid w:val="00824021"/>
    <w:rsid w:val="00824048"/>
    <w:rsid w:val="00824064"/>
    <w:rsid w:val="008240F5"/>
    <w:rsid w:val="00824170"/>
    <w:rsid w:val="008241BF"/>
    <w:rsid w:val="0082425C"/>
    <w:rsid w:val="00824349"/>
    <w:rsid w:val="00824354"/>
    <w:rsid w:val="00824675"/>
    <w:rsid w:val="0082475C"/>
    <w:rsid w:val="00824A4B"/>
    <w:rsid w:val="00824B16"/>
    <w:rsid w:val="00824CAD"/>
    <w:rsid w:val="00824D19"/>
    <w:rsid w:val="00824F08"/>
    <w:rsid w:val="00824F27"/>
    <w:rsid w:val="00824FB0"/>
    <w:rsid w:val="0082553E"/>
    <w:rsid w:val="008255CC"/>
    <w:rsid w:val="0082574F"/>
    <w:rsid w:val="00825840"/>
    <w:rsid w:val="0082598C"/>
    <w:rsid w:val="00825B4D"/>
    <w:rsid w:val="00825B6D"/>
    <w:rsid w:val="00825C9F"/>
    <w:rsid w:val="00825CCD"/>
    <w:rsid w:val="00825EB6"/>
    <w:rsid w:val="00825F0C"/>
    <w:rsid w:val="00825FD7"/>
    <w:rsid w:val="00825FEA"/>
    <w:rsid w:val="00825FEE"/>
    <w:rsid w:val="00826137"/>
    <w:rsid w:val="0082613D"/>
    <w:rsid w:val="00826182"/>
    <w:rsid w:val="008261E8"/>
    <w:rsid w:val="008262F8"/>
    <w:rsid w:val="00826327"/>
    <w:rsid w:val="0082644F"/>
    <w:rsid w:val="00826458"/>
    <w:rsid w:val="00826499"/>
    <w:rsid w:val="00826581"/>
    <w:rsid w:val="008265B6"/>
    <w:rsid w:val="008267B1"/>
    <w:rsid w:val="008268AC"/>
    <w:rsid w:val="00826A5F"/>
    <w:rsid w:val="00826A99"/>
    <w:rsid w:val="00826A9E"/>
    <w:rsid w:val="00826ADA"/>
    <w:rsid w:val="00826B7A"/>
    <w:rsid w:val="00826BED"/>
    <w:rsid w:val="00826C24"/>
    <w:rsid w:val="00826C5B"/>
    <w:rsid w:val="00826C5D"/>
    <w:rsid w:val="00826C65"/>
    <w:rsid w:val="00826C68"/>
    <w:rsid w:val="00826C9C"/>
    <w:rsid w:val="00826CD2"/>
    <w:rsid w:val="00826DBC"/>
    <w:rsid w:val="00826EF8"/>
    <w:rsid w:val="00826F6E"/>
    <w:rsid w:val="00826FC0"/>
    <w:rsid w:val="0082717F"/>
    <w:rsid w:val="008273F0"/>
    <w:rsid w:val="0082742A"/>
    <w:rsid w:val="00827457"/>
    <w:rsid w:val="008274C2"/>
    <w:rsid w:val="008274F3"/>
    <w:rsid w:val="0082753D"/>
    <w:rsid w:val="008277DE"/>
    <w:rsid w:val="00827AB6"/>
    <w:rsid w:val="00827AEB"/>
    <w:rsid w:val="00827BAA"/>
    <w:rsid w:val="00827E04"/>
    <w:rsid w:val="00827F2F"/>
    <w:rsid w:val="00827F9C"/>
    <w:rsid w:val="008300F3"/>
    <w:rsid w:val="00830112"/>
    <w:rsid w:val="008301D1"/>
    <w:rsid w:val="008303B2"/>
    <w:rsid w:val="0083058A"/>
    <w:rsid w:val="00830652"/>
    <w:rsid w:val="0083070A"/>
    <w:rsid w:val="00830830"/>
    <w:rsid w:val="0083087C"/>
    <w:rsid w:val="008308A8"/>
    <w:rsid w:val="0083096C"/>
    <w:rsid w:val="0083098F"/>
    <w:rsid w:val="00830AFF"/>
    <w:rsid w:val="00830BC4"/>
    <w:rsid w:val="00830BDC"/>
    <w:rsid w:val="00830BE9"/>
    <w:rsid w:val="00830C7A"/>
    <w:rsid w:val="00830D74"/>
    <w:rsid w:val="00830D83"/>
    <w:rsid w:val="00830FF3"/>
    <w:rsid w:val="008310E3"/>
    <w:rsid w:val="0083115D"/>
    <w:rsid w:val="00831236"/>
    <w:rsid w:val="008312E5"/>
    <w:rsid w:val="0083134F"/>
    <w:rsid w:val="008313A1"/>
    <w:rsid w:val="0083140E"/>
    <w:rsid w:val="00831488"/>
    <w:rsid w:val="008316C7"/>
    <w:rsid w:val="0083186C"/>
    <w:rsid w:val="0083186F"/>
    <w:rsid w:val="00831B8F"/>
    <w:rsid w:val="00831BB9"/>
    <w:rsid w:val="00831CAE"/>
    <w:rsid w:val="00831D67"/>
    <w:rsid w:val="00831E79"/>
    <w:rsid w:val="00831E7F"/>
    <w:rsid w:val="0083214B"/>
    <w:rsid w:val="00832195"/>
    <w:rsid w:val="00832206"/>
    <w:rsid w:val="00832266"/>
    <w:rsid w:val="0083231F"/>
    <w:rsid w:val="00832454"/>
    <w:rsid w:val="00832522"/>
    <w:rsid w:val="008325F6"/>
    <w:rsid w:val="00832617"/>
    <w:rsid w:val="0083281E"/>
    <w:rsid w:val="008328CC"/>
    <w:rsid w:val="00832914"/>
    <w:rsid w:val="00832953"/>
    <w:rsid w:val="0083296D"/>
    <w:rsid w:val="008329EA"/>
    <w:rsid w:val="00832A15"/>
    <w:rsid w:val="00832AED"/>
    <w:rsid w:val="00832B21"/>
    <w:rsid w:val="00832C03"/>
    <w:rsid w:val="00832C0A"/>
    <w:rsid w:val="00832DBE"/>
    <w:rsid w:val="00832DFC"/>
    <w:rsid w:val="00832E10"/>
    <w:rsid w:val="00832E83"/>
    <w:rsid w:val="00832EA6"/>
    <w:rsid w:val="00833001"/>
    <w:rsid w:val="00833034"/>
    <w:rsid w:val="00833065"/>
    <w:rsid w:val="008330F9"/>
    <w:rsid w:val="00833171"/>
    <w:rsid w:val="00833194"/>
    <w:rsid w:val="0083331F"/>
    <w:rsid w:val="00833418"/>
    <w:rsid w:val="00833551"/>
    <w:rsid w:val="00833555"/>
    <w:rsid w:val="008337D2"/>
    <w:rsid w:val="0083391B"/>
    <w:rsid w:val="00833961"/>
    <w:rsid w:val="008339B1"/>
    <w:rsid w:val="00833A5C"/>
    <w:rsid w:val="00833B16"/>
    <w:rsid w:val="00833E92"/>
    <w:rsid w:val="00834051"/>
    <w:rsid w:val="00834079"/>
    <w:rsid w:val="008340BA"/>
    <w:rsid w:val="00834282"/>
    <w:rsid w:val="008343E2"/>
    <w:rsid w:val="008344E0"/>
    <w:rsid w:val="00834508"/>
    <w:rsid w:val="008348DF"/>
    <w:rsid w:val="0083491B"/>
    <w:rsid w:val="00834A8A"/>
    <w:rsid w:val="00834ADE"/>
    <w:rsid w:val="00834B05"/>
    <w:rsid w:val="00834B57"/>
    <w:rsid w:val="00834C12"/>
    <w:rsid w:val="00834C40"/>
    <w:rsid w:val="00834CBA"/>
    <w:rsid w:val="00834E08"/>
    <w:rsid w:val="00834E98"/>
    <w:rsid w:val="00834FBD"/>
    <w:rsid w:val="00834FEB"/>
    <w:rsid w:val="00835277"/>
    <w:rsid w:val="008353EE"/>
    <w:rsid w:val="00835441"/>
    <w:rsid w:val="008354A5"/>
    <w:rsid w:val="008354B3"/>
    <w:rsid w:val="008354BF"/>
    <w:rsid w:val="008355A9"/>
    <w:rsid w:val="00835667"/>
    <w:rsid w:val="00835758"/>
    <w:rsid w:val="008357A9"/>
    <w:rsid w:val="008357DD"/>
    <w:rsid w:val="00835831"/>
    <w:rsid w:val="00835A13"/>
    <w:rsid w:val="00835A21"/>
    <w:rsid w:val="00835AEA"/>
    <w:rsid w:val="00835C5F"/>
    <w:rsid w:val="00835CA5"/>
    <w:rsid w:val="00835CE0"/>
    <w:rsid w:val="00835EDD"/>
    <w:rsid w:val="00835EE0"/>
    <w:rsid w:val="00835F83"/>
    <w:rsid w:val="00835FBD"/>
    <w:rsid w:val="0083600F"/>
    <w:rsid w:val="0083601F"/>
    <w:rsid w:val="008360EC"/>
    <w:rsid w:val="00836123"/>
    <w:rsid w:val="008362F0"/>
    <w:rsid w:val="00836321"/>
    <w:rsid w:val="0083632B"/>
    <w:rsid w:val="00836361"/>
    <w:rsid w:val="008365F1"/>
    <w:rsid w:val="0083674E"/>
    <w:rsid w:val="00836778"/>
    <w:rsid w:val="008367FB"/>
    <w:rsid w:val="00836908"/>
    <w:rsid w:val="00836A3D"/>
    <w:rsid w:val="00836A84"/>
    <w:rsid w:val="00836C9B"/>
    <w:rsid w:val="008370D7"/>
    <w:rsid w:val="00837160"/>
    <w:rsid w:val="008372EB"/>
    <w:rsid w:val="008372F1"/>
    <w:rsid w:val="0083739B"/>
    <w:rsid w:val="00837412"/>
    <w:rsid w:val="00837600"/>
    <w:rsid w:val="00837663"/>
    <w:rsid w:val="008376FE"/>
    <w:rsid w:val="00837719"/>
    <w:rsid w:val="00837806"/>
    <w:rsid w:val="008378CD"/>
    <w:rsid w:val="00837AB2"/>
    <w:rsid w:val="00837B65"/>
    <w:rsid w:val="00837CCF"/>
    <w:rsid w:val="00837E48"/>
    <w:rsid w:val="00837E6A"/>
    <w:rsid w:val="00837F18"/>
    <w:rsid w:val="00837F95"/>
    <w:rsid w:val="00840008"/>
    <w:rsid w:val="00840012"/>
    <w:rsid w:val="00840099"/>
    <w:rsid w:val="00840122"/>
    <w:rsid w:val="00840132"/>
    <w:rsid w:val="008401A4"/>
    <w:rsid w:val="008401E5"/>
    <w:rsid w:val="00840222"/>
    <w:rsid w:val="00840264"/>
    <w:rsid w:val="00840311"/>
    <w:rsid w:val="008403C0"/>
    <w:rsid w:val="00840590"/>
    <w:rsid w:val="008405AB"/>
    <w:rsid w:val="00840684"/>
    <w:rsid w:val="0084086B"/>
    <w:rsid w:val="00840931"/>
    <w:rsid w:val="00840991"/>
    <w:rsid w:val="008409C2"/>
    <w:rsid w:val="008409D3"/>
    <w:rsid w:val="00840A7C"/>
    <w:rsid w:val="00840A99"/>
    <w:rsid w:val="00840B98"/>
    <w:rsid w:val="00840C6B"/>
    <w:rsid w:val="00840C8C"/>
    <w:rsid w:val="00840DC1"/>
    <w:rsid w:val="00840DD3"/>
    <w:rsid w:val="00840DEE"/>
    <w:rsid w:val="00840ECD"/>
    <w:rsid w:val="00840F73"/>
    <w:rsid w:val="0084100A"/>
    <w:rsid w:val="008413FF"/>
    <w:rsid w:val="0084156A"/>
    <w:rsid w:val="00841754"/>
    <w:rsid w:val="00841767"/>
    <w:rsid w:val="00841A35"/>
    <w:rsid w:val="00841A9B"/>
    <w:rsid w:val="00841CD8"/>
    <w:rsid w:val="00841D2B"/>
    <w:rsid w:val="00841DDB"/>
    <w:rsid w:val="00841E10"/>
    <w:rsid w:val="00841FB2"/>
    <w:rsid w:val="00842014"/>
    <w:rsid w:val="0084204C"/>
    <w:rsid w:val="0084205A"/>
    <w:rsid w:val="008420E5"/>
    <w:rsid w:val="00842145"/>
    <w:rsid w:val="008421B4"/>
    <w:rsid w:val="008421C5"/>
    <w:rsid w:val="008422FA"/>
    <w:rsid w:val="00842455"/>
    <w:rsid w:val="00842578"/>
    <w:rsid w:val="0084266C"/>
    <w:rsid w:val="00842792"/>
    <w:rsid w:val="008427EE"/>
    <w:rsid w:val="00842920"/>
    <w:rsid w:val="0084296E"/>
    <w:rsid w:val="00842AFA"/>
    <w:rsid w:val="00842BF5"/>
    <w:rsid w:val="00842C4D"/>
    <w:rsid w:val="00842D16"/>
    <w:rsid w:val="00842E73"/>
    <w:rsid w:val="00842F1E"/>
    <w:rsid w:val="00842FD6"/>
    <w:rsid w:val="0084320E"/>
    <w:rsid w:val="00843246"/>
    <w:rsid w:val="008432C0"/>
    <w:rsid w:val="008432E0"/>
    <w:rsid w:val="00843355"/>
    <w:rsid w:val="00843395"/>
    <w:rsid w:val="0084349D"/>
    <w:rsid w:val="00843569"/>
    <w:rsid w:val="008436E6"/>
    <w:rsid w:val="008437BC"/>
    <w:rsid w:val="00843895"/>
    <w:rsid w:val="008438C9"/>
    <w:rsid w:val="0084396A"/>
    <w:rsid w:val="00843B28"/>
    <w:rsid w:val="00843C8D"/>
    <w:rsid w:val="00843CAE"/>
    <w:rsid w:val="00843CE8"/>
    <w:rsid w:val="00843FAB"/>
    <w:rsid w:val="008440CC"/>
    <w:rsid w:val="008440E6"/>
    <w:rsid w:val="00844235"/>
    <w:rsid w:val="0084425E"/>
    <w:rsid w:val="00844287"/>
    <w:rsid w:val="008442E2"/>
    <w:rsid w:val="0084431A"/>
    <w:rsid w:val="00844436"/>
    <w:rsid w:val="0084457A"/>
    <w:rsid w:val="0084484F"/>
    <w:rsid w:val="00844858"/>
    <w:rsid w:val="00844903"/>
    <w:rsid w:val="008449A3"/>
    <w:rsid w:val="00844C4A"/>
    <w:rsid w:val="00844D5A"/>
    <w:rsid w:val="00844E90"/>
    <w:rsid w:val="00844F0F"/>
    <w:rsid w:val="00844FA8"/>
    <w:rsid w:val="008450D3"/>
    <w:rsid w:val="0084511D"/>
    <w:rsid w:val="00845127"/>
    <w:rsid w:val="00845209"/>
    <w:rsid w:val="0084539C"/>
    <w:rsid w:val="00845442"/>
    <w:rsid w:val="008454E5"/>
    <w:rsid w:val="00845516"/>
    <w:rsid w:val="0084555A"/>
    <w:rsid w:val="0084559D"/>
    <w:rsid w:val="008455BF"/>
    <w:rsid w:val="008455EA"/>
    <w:rsid w:val="00845622"/>
    <w:rsid w:val="0084579E"/>
    <w:rsid w:val="008459E9"/>
    <w:rsid w:val="00845A80"/>
    <w:rsid w:val="00845A89"/>
    <w:rsid w:val="00845AA8"/>
    <w:rsid w:val="00845AE6"/>
    <w:rsid w:val="00845B24"/>
    <w:rsid w:val="00845BB1"/>
    <w:rsid w:val="00845BEF"/>
    <w:rsid w:val="00845DFE"/>
    <w:rsid w:val="00845FAC"/>
    <w:rsid w:val="00845FBF"/>
    <w:rsid w:val="0084609C"/>
    <w:rsid w:val="008460DE"/>
    <w:rsid w:val="008462F4"/>
    <w:rsid w:val="00846328"/>
    <w:rsid w:val="008463EA"/>
    <w:rsid w:val="0084648B"/>
    <w:rsid w:val="00846497"/>
    <w:rsid w:val="0084649E"/>
    <w:rsid w:val="008465DF"/>
    <w:rsid w:val="00846605"/>
    <w:rsid w:val="0084665F"/>
    <w:rsid w:val="008466DC"/>
    <w:rsid w:val="00846796"/>
    <w:rsid w:val="008467BF"/>
    <w:rsid w:val="0084686D"/>
    <w:rsid w:val="00846A24"/>
    <w:rsid w:val="00846AD9"/>
    <w:rsid w:val="00846B28"/>
    <w:rsid w:val="00846C2E"/>
    <w:rsid w:val="00846DF6"/>
    <w:rsid w:val="00846EE5"/>
    <w:rsid w:val="00846F84"/>
    <w:rsid w:val="00846FBF"/>
    <w:rsid w:val="0084706D"/>
    <w:rsid w:val="00847086"/>
    <w:rsid w:val="008470AD"/>
    <w:rsid w:val="00847198"/>
    <w:rsid w:val="008471B5"/>
    <w:rsid w:val="008472AF"/>
    <w:rsid w:val="00847367"/>
    <w:rsid w:val="008473BE"/>
    <w:rsid w:val="008473EE"/>
    <w:rsid w:val="00847466"/>
    <w:rsid w:val="0084753D"/>
    <w:rsid w:val="00847AB6"/>
    <w:rsid w:val="00847C3F"/>
    <w:rsid w:val="00847C6E"/>
    <w:rsid w:val="00847C7E"/>
    <w:rsid w:val="00847CDC"/>
    <w:rsid w:val="00847E45"/>
    <w:rsid w:val="00847E8F"/>
    <w:rsid w:val="00847EC7"/>
    <w:rsid w:val="0085010D"/>
    <w:rsid w:val="008502DE"/>
    <w:rsid w:val="00850313"/>
    <w:rsid w:val="0085031E"/>
    <w:rsid w:val="008503C2"/>
    <w:rsid w:val="00850491"/>
    <w:rsid w:val="008504C9"/>
    <w:rsid w:val="0085057E"/>
    <w:rsid w:val="008505F2"/>
    <w:rsid w:val="00850765"/>
    <w:rsid w:val="008507AF"/>
    <w:rsid w:val="00850A46"/>
    <w:rsid w:val="00850B65"/>
    <w:rsid w:val="00850CB2"/>
    <w:rsid w:val="00850E04"/>
    <w:rsid w:val="00850E0C"/>
    <w:rsid w:val="00850E7E"/>
    <w:rsid w:val="00850F5A"/>
    <w:rsid w:val="00850FBD"/>
    <w:rsid w:val="00850FC3"/>
    <w:rsid w:val="008510F6"/>
    <w:rsid w:val="00851101"/>
    <w:rsid w:val="008511AF"/>
    <w:rsid w:val="0085120D"/>
    <w:rsid w:val="0085146A"/>
    <w:rsid w:val="008514BA"/>
    <w:rsid w:val="008514D2"/>
    <w:rsid w:val="00851609"/>
    <w:rsid w:val="0085162E"/>
    <w:rsid w:val="0085176A"/>
    <w:rsid w:val="00851B3E"/>
    <w:rsid w:val="00851B48"/>
    <w:rsid w:val="00851B5B"/>
    <w:rsid w:val="00851C3D"/>
    <w:rsid w:val="00851C65"/>
    <w:rsid w:val="00851D44"/>
    <w:rsid w:val="00851E1B"/>
    <w:rsid w:val="00851E38"/>
    <w:rsid w:val="00851E4E"/>
    <w:rsid w:val="00851E96"/>
    <w:rsid w:val="00851F05"/>
    <w:rsid w:val="00851F81"/>
    <w:rsid w:val="00851FC2"/>
    <w:rsid w:val="00852027"/>
    <w:rsid w:val="0085209B"/>
    <w:rsid w:val="0085209D"/>
    <w:rsid w:val="00852145"/>
    <w:rsid w:val="008521CD"/>
    <w:rsid w:val="0085227D"/>
    <w:rsid w:val="00852388"/>
    <w:rsid w:val="00852424"/>
    <w:rsid w:val="0085250E"/>
    <w:rsid w:val="0085252D"/>
    <w:rsid w:val="008525A1"/>
    <w:rsid w:val="008525E8"/>
    <w:rsid w:val="008527F9"/>
    <w:rsid w:val="008528D0"/>
    <w:rsid w:val="008528EE"/>
    <w:rsid w:val="0085290C"/>
    <w:rsid w:val="00852A34"/>
    <w:rsid w:val="00852B9A"/>
    <w:rsid w:val="00852BAD"/>
    <w:rsid w:val="00852C88"/>
    <w:rsid w:val="00852D19"/>
    <w:rsid w:val="00852DA9"/>
    <w:rsid w:val="00852EC9"/>
    <w:rsid w:val="00852F4F"/>
    <w:rsid w:val="008530F6"/>
    <w:rsid w:val="0085314E"/>
    <w:rsid w:val="00853200"/>
    <w:rsid w:val="008532CE"/>
    <w:rsid w:val="00853360"/>
    <w:rsid w:val="0085344E"/>
    <w:rsid w:val="00853534"/>
    <w:rsid w:val="008535B8"/>
    <w:rsid w:val="0085364E"/>
    <w:rsid w:val="008536C5"/>
    <w:rsid w:val="0085373C"/>
    <w:rsid w:val="008537C0"/>
    <w:rsid w:val="0085381C"/>
    <w:rsid w:val="00853994"/>
    <w:rsid w:val="008539CA"/>
    <w:rsid w:val="00853A3A"/>
    <w:rsid w:val="00853A62"/>
    <w:rsid w:val="00853C8C"/>
    <w:rsid w:val="00853F41"/>
    <w:rsid w:val="008540AE"/>
    <w:rsid w:val="00854275"/>
    <w:rsid w:val="00854283"/>
    <w:rsid w:val="008542C3"/>
    <w:rsid w:val="0085431B"/>
    <w:rsid w:val="00854333"/>
    <w:rsid w:val="00854431"/>
    <w:rsid w:val="00854497"/>
    <w:rsid w:val="008545CF"/>
    <w:rsid w:val="0085473C"/>
    <w:rsid w:val="0085491D"/>
    <w:rsid w:val="0085494B"/>
    <w:rsid w:val="00854AA2"/>
    <w:rsid w:val="00854D8B"/>
    <w:rsid w:val="00854DED"/>
    <w:rsid w:val="00854EF0"/>
    <w:rsid w:val="00854F72"/>
    <w:rsid w:val="008550B6"/>
    <w:rsid w:val="00855101"/>
    <w:rsid w:val="008552B3"/>
    <w:rsid w:val="0085547F"/>
    <w:rsid w:val="0085569E"/>
    <w:rsid w:val="00855927"/>
    <w:rsid w:val="00855A4C"/>
    <w:rsid w:val="00855A8A"/>
    <w:rsid w:val="00855B61"/>
    <w:rsid w:val="00855BC2"/>
    <w:rsid w:val="00855BD9"/>
    <w:rsid w:val="00855C68"/>
    <w:rsid w:val="00855D49"/>
    <w:rsid w:val="00855D97"/>
    <w:rsid w:val="00855E05"/>
    <w:rsid w:val="00855EBA"/>
    <w:rsid w:val="00855F18"/>
    <w:rsid w:val="008560D9"/>
    <w:rsid w:val="00856158"/>
    <w:rsid w:val="00856331"/>
    <w:rsid w:val="008563C1"/>
    <w:rsid w:val="00856410"/>
    <w:rsid w:val="00856595"/>
    <w:rsid w:val="008565FF"/>
    <w:rsid w:val="0085661C"/>
    <w:rsid w:val="00856693"/>
    <w:rsid w:val="00856757"/>
    <w:rsid w:val="00856858"/>
    <w:rsid w:val="008568A4"/>
    <w:rsid w:val="00856932"/>
    <w:rsid w:val="00856AE5"/>
    <w:rsid w:val="00856AE9"/>
    <w:rsid w:val="00856AF6"/>
    <w:rsid w:val="00856C7A"/>
    <w:rsid w:val="00856DDB"/>
    <w:rsid w:val="00856F19"/>
    <w:rsid w:val="00856FB0"/>
    <w:rsid w:val="008571E9"/>
    <w:rsid w:val="0085736B"/>
    <w:rsid w:val="00857391"/>
    <w:rsid w:val="00857411"/>
    <w:rsid w:val="00857440"/>
    <w:rsid w:val="00857537"/>
    <w:rsid w:val="008576ED"/>
    <w:rsid w:val="00857720"/>
    <w:rsid w:val="0085778E"/>
    <w:rsid w:val="00857A20"/>
    <w:rsid w:val="00857AF3"/>
    <w:rsid w:val="00857B68"/>
    <w:rsid w:val="00857B7A"/>
    <w:rsid w:val="00857B92"/>
    <w:rsid w:val="00857BE8"/>
    <w:rsid w:val="00857CD0"/>
    <w:rsid w:val="00857CEA"/>
    <w:rsid w:val="00857D12"/>
    <w:rsid w:val="00857F59"/>
    <w:rsid w:val="008601F0"/>
    <w:rsid w:val="00860389"/>
    <w:rsid w:val="008603A9"/>
    <w:rsid w:val="00860581"/>
    <w:rsid w:val="008605A9"/>
    <w:rsid w:val="008607BD"/>
    <w:rsid w:val="00860874"/>
    <w:rsid w:val="00860972"/>
    <w:rsid w:val="008609AE"/>
    <w:rsid w:val="008609E1"/>
    <w:rsid w:val="00860D45"/>
    <w:rsid w:val="00860D5F"/>
    <w:rsid w:val="00860E45"/>
    <w:rsid w:val="00860EDD"/>
    <w:rsid w:val="00861015"/>
    <w:rsid w:val="008610CF"/>
    <w:rsid w:val="00861127"/>
    <w:rsid w:val="00861164"/>
    <w:rsid w:val="008611E9"/>
    <w:rsid w:val="0086127C"/>
    <w:rsid w:val="008612CA"/>
    <w:rsid w:val="00861334"/>
    <w:rsid w:val="00861353"/>
    <w:rsid w:val="0086149D"/>
    <w:rsid w:val="008615D0"/>
    <w:rsid w:val="00861630"/>
    <w:rsid w:val="00861635"/>
    <w:rsid w:val="00861656"/>
    <w:rsid w:val="008616AD"/>
    <w:rsid w:val="008617DA"/>
    <w:rsid w:val="0086183F"/>
    <w:rsid w:val="008618B7"/>
    <w:rsid w:val="008618DF"/>
    <w:rsid w:val="008618F0"/>
    <w:rsid w:val="0086192B"/>
    <w:rsid w:val="0086198B"/>
    <w:rsid w:val="008619CC"/>
    <w:rsid w:val="00861AF4"/>
    <w:rsid w:val="00861B68"/>
    <w:rsid w:val="00861C47"/>
    <w:rsid w:val="00861CBB"/>
    <w:rsid w:val="00861CF1"/>
    <w:rsid w:val="00861D29"/>
    <w:rsid w:val="00861E7A"/>
    <w:rsid w:val="00861FF4"/>
    <w:rsid w:val="008620DE"/>
    <w:rsid w:val="008621A2"/>
    <w:rsid w:val="00862238"/>
    <w:rsid w:val="00862340"/>
    <w:rsid w:val="008623DA"/>
    <w:rsid w:val="008623DC"/>
    <w:rsid w:val="00862413"/>
    <w:rsid w:val="00862645"/>
    <w:rsid w:val="00862700"/>
    <w:rsid w:val="0086274E"/>
    <w:rsid w:val="00862785"/>
    <w:rsid w:val="00862794"/>
    <w:rsid w:val="008629BA"/>
    <w:rsid w:val="00862B1C"/>
    <w:rsid w:val="00862C34"/>
    <w:rsid w:val="00862CDC"/>
    <w:rsid w:val="00862CE0"/>
    <w:rsid w:val="00862CF7"/>
    <w:rsid w:val="00862DA7"/>
    <w:rsid w:val="00862E2C"/>
    <w:rsid w:val="00862E8B"/>
    <w:rsid w:val="00862EAB"/>
    <w:rsid w:val="00862F52"/>
    <w:rsid w:val="00862FCD"/>
    <w:rsid w:val="00863090"/>
    <w:rsid w:val="008630DB"/>
    <w:rsid w:val="0086315D"/>
    <w:rsid w:val="0086317B"/>
    <w:rsid w:val="00863195"/>
    <w:rsid w:val="0086322A"/>
    <w:rsid w:val="0086334F"/>
    <w:rsid w:val="008633B1"/>
    <w:rsid w:val="0086342F"/>
    <w:rsid w:val="00863470"/>
    <w:rsid w:val="00863476"/>
    <w:rsid w:val="0086369F"/>
    <w:rsid w:val="008636AC"/>
    <w:rsid w:val="008637FE"/>
    <w:rsid w:val="0086391F"/>
    <w:rsid w:val="00863988"/>
    <w:rsid w:val="008639E8"/>
    <w:rsid w:val="00863AFD"/>
    <w:rsid w:val="00863C19"/>
    <w:rsid w:val="00863D30"/>
    <w:rsid w:val="00863D96"/>
    <w:rsid w:val="00863E53"/>
    <w:rsid w:val="00863EB4"/>
    <w:rsid w:val="00863F2A"/>
    <w:rsid w:val="00863FEE"/>
    <w:rsid w:val="008643C2"/>
    <w:rsid w:val="008644C5"/>
    <w:rsid w:val="008644EF"/>
    <w:rsid w:val="008644F6"/>
    <w:rsid w:val="00864502"/>
    <w:rsid w:val="00864528"/>
    <w:rsid w:val="0086455B"/>
    <w:rsid w:val="008648BD"/>
    <w:rsid w:val="0086490B"/>
    <w:rsid w:val="00864A26"/>
    <w:rsid w:val="00864BB8"/>
    <w:rsid w:val="00864C63"/>
    <w:rsid w:val="00864CA9"/>
    <w:rsid w:val="00864CC8"/>
    <w:rsid w:val="00864E78"/>
    <w:rsid w:val="00864F1C"/>
    <w:rsid w:val="00864F56"/>
    <w:rsid w:val="00864FAC"/>
    <w:rsid w:val="00865033"/>
    <w:rsid w:val="008650AA"/>
    <w:rsid w:val="0086513E"/>
    <w:rsid w:val="0086521B"/>
    <w:rsid w:val="0086522E"/>
    <w:rsid w:val="00865246"/>
    <w:rsid w:val="0086539D"/>
    <w:rsid w:val="008654F8"/>
    <w:rsid w:val="00865796"/>
    <w:rsid w:val="008657BD"/>
    <w:rsid w:val="008658DB"/>
    <w:rsid w:val="00865919"/>
    <w:rsid w:val="00865941"/>
    <w:rsid w:val="00865959"/>
    <w:rsid w:val="00865966"/>
    <w:rsid w:val="00865C1A"/>
    <w:rsid w:val="00865D94"/>
    <w:rsid w:val="00865E93"/>
    <w:rsid w:val="00865EBC"/>
    <w:rsid w:val="00865ED6"/>
    <w:rsid w:val="008660C6"/>
    <w:rsid w:val="008661CA"/>
    <w:rsid w:val="0086621E"/>
    <w:rsid w:val="00866360"/>
    <w:rsid w:val="00866431"/>
    <w:rsid w:val="008664BE"/>
    <w:rsid w:val="0086652A"/>
    <w:rsid w:val="0086653D"/>
    <w:rsid w:val="008665BC"/>
    <w:rsid w:val="0086666A"/>
    <w:rsid w:val="0086666C"/>
    <w:rsid w:val="0086672C"/>
    <w:rsid w:val="00866760"/>
    <w:rsid w:val="0086676A"/>
    <w:rsid w:val="00866776"/>
    <w:rsid w:val="00866A11"/>
    <w:rsid w:val="00866B91"/>
    <w:rsid w:val="00866BBD"/>
    <w:rsid w:val="00866CE2"/>
    <w:rsid w:val="00866D22"/>
    <w:rsid w:val="00866D71"/>
    <w:rsid w:val="00866E42"/>
    <w:rsid w:val="00866EA3"/>
    <w:rsid w:val="00866EEB"/>
    <w:rsid w:val="00867008"/>
    <w:rsid w:val="00867338"/>
    <w:rsid w:val="00867518"/>
    <w:rsid w:val="0086761F"/>
    <w:rsid w:val="00867730"/>
    <w:rsid w:val="008678C4"/>
    <w:rsid w:val="008678DD"/>
    <w:rsid w:val="0086797A"/>
    <w:rsid w:val="00867A81"/>
    <w:rsid w:val="00867ADA"/>
    <w:rsid w:val="00867D29"/>
    <w:rsid w:val="00867DA6"/>
    <w:rsid w:val="00867ED2"/>
    <w:rsid w:val="008701B2"/>
    <w:rsid w:val="008703CD"/>
    <w:rsid w:val="00870409"/>
    <w:rsid w:val="00870444"/>
    <w:rsid w:val="0087053A"/>
    <w:rsid w:val="0087055A"/>
    <w:rsid w:val="008705B5"/>
    <w:rsid w:val="0087078E"/>
    <w:rsid w:val="008707E6"/>
    <w:rsid w:val="00870821"/>
    <w:rsid w:val="00870923"/>
    <w:rsid w:val="00870924"/>
    <w:rsid w:val="00870ACE"/>
    <w:rsid w:val="00870B61"/>
    <w:rsid w:val="00870C0F"/>
    <w:rsid w:val="00870C7E"/>
    <w:rsid w:val="00870D91"/>
    <w:rsid w:val="00870E15"/>
    <w:rsid w:val="00870E48"/>
    <w:rsid w:val="00870E95"/>
    <w:rsid w:val="00870FFB"/>
    <w:rsid w:val="00871047"/>
    <w:rsid w:val="00871049"/>
    <w:rsid w:val="00871243"/>
    <w:rsid w:val="008712F7"/>
    <w:rsid w:val="00871341"/>
    <w:rsid w:val="0087139C"/>
    <w:rsid w:val="008713E2"/>
    <w:rsid w:val="008713F7"/>
    <w:rsid w:val="00871629"/>
    <w:rsid w:val="00871644"/>
    <w:rsid w:val="00871873"/>
    <w:rsid w:val="008718FC"/>
    <w:rsid w:val="00871920"/>
    <w:rsid w:val="0087194B"/>
    <w:rsid w:val="00871986"/>
    <w:rsid w:val="00871998"/>
    <w:rsid w:val="00871A03"/>
    <w:rsid w:val="00871ABE"/>
    <w:rsid w:val="00871D21"/>
    <w:rsid w:val="00871DE0"/>
    <w:rsid w:val="00871F2C"/>
    <w:rsid w:val="0087205C"/>
    <w:rsid w:val="008720A5"/>
    <w:rsid w:val="00872162"/>
    <w:rsid w:val="00872199"/>
    <w:rsid w:val="008722EC"/>
    <w:rsid w:val="008722FC"/>
    <w:rsid w:val="00872315"/>
    <w:rsid w:val="008723BB"/>
    <w:rsid w:val="0087244E"/>
    <w:rsid w:val="00872471"/>
    <w:rsid w:val="0087251F"/>
    <w:rsid w:val="00872663"/>
    <w:rsid w:val="00872680"/>
    <w:rsid w:val="008726CE"/>
    <w:rsid w:val="008726D0"/>
    <w:rsid w:val="00872934"/>
    <w:rsid w:val="0087294C"/>
    <w:rsid w:val="0087298F"/>
    <w:rsid w:val="00872B42"/>
    <w:rsid w:val="00872C42"/>
    <w:rsid w:val="00872CBA"/>
    <w:rsid w:val="00872E8B"/>
    <w:rsid w:val="008730DB"/>
    <w:rsid w:val="008731A6"/>
    <w:rsid w:val="008731EA"/>
    <w:rsid w:val="0087322B"/>
    <w:rsid w:val="00873306"/>
    <w:rsid w:val="008733CB"/>
    <w:rsid w:val="00873465"/>
    <w:rsid w:val="0087348E"/>
    <w:rsid w:val="00873572"/>
    <w:rsid w:val="008736C6"/>
    <w:rsid w:val="00873938"/>
    <w:rsid w:val="00873943"/>
    <w:rsid w:val="00873B29"/>
    <w:rsid w:val="00873BF8"/>
    <w:rsid w:val="00873C90"/>
    <w:rsid w:val="00873E31"/>
    <w:rsid w:val="00873E84"/>
    <w:rsid w:val="00873FB8"/>
    <w:rsid w:val="00874101"/>
    <w:rsid w:val="008742A5"/>
    <w:rsid w:val="008743C7"/>
    <w:rsid w:val="00874597"/>
    <w:rsid w:val="008745A3"/>
    <w:rsid w:val="008745C9"/>
    <w:rsid w:val="00874627"/>
    <w:rsid w:val="00874716"/>
    <w:rsid w:val="008747C7"/>
    <w:rsid w:val="008748CB"/>
    <w:rsid w:val="00874B39"/>
    <w:rsid w:val="00874BFD"/>
    <w:rsid w:val="00874DEF"/>
    <w:rsid w:val="00874E0B"/>
    <w:rsid w:val="00874ECE"/>
    <w:rsid w:val="00874F0A"/>
    <w:rsid w:val="008751C0"/>
    <w:rsid w:val="008751CA"/>
    <w:rsid w:val="00875213"/>
    <w:rsid w:val="00875255"/>
    <w:rsid w:val="00875306"/>
    <w:rsid w:val="0087533A"/>
    <w:rsid w:val="00875494"/>
    <w:rsid w:val="008754A5"/>
    <w:rsid w:val="0087555D"/>
    <w:rsid w:val="0087571C"/>
    <w:rsid w:val="00875775"/>
    <w:rsid w:val="008757A5"/>
    <w:rsid w:val="00875960"/>
    <w:rsid w:val="00875997"/>
    <w:rsid w:val="00875C5D"/>
    <w:rsid w:val="00875E70"/>
    <w:rsid w:val="00875E71"/>
    <w:rsid w:val="00875E7C"/>
    <w:rsid w:val="00875F93"/>
    <w:rsid w:val="0087601A"/>
    <w:rsid w:val="0087602C"/>
    <w:rsid w:val="00876084"/>
    <w:rsid w:val="008760B2"/>
    <w:rsid w:val="008762E8"/>
    <w:rsid w:val="008763B5"/>
    <w:rsid w:val="00876415"/>
    <w:rsid w:val="008764F0"/>
    <w:rsid w:val="0087650E"/>
    <w:rsid w:val="00876648"/>
    <w:rsid w:val="008766BA"/>
    <w:rsid w:val="008767A4"/>
    <w:rsid w:val="008767DD"/>
    <w:rsid w:val="00876865"/>
    <w:rsid w:val="0087690D"/>
    <w:rsid w:val="00876988"/>
    <w:rsid w:val="00876A20"/>
    <w:rsid w:val="00876BD3"/>
    <w:rsid w:val="00876D1A"/>
    <w:rsid w:val="00876D5F"/>
    <w:rsid w:val="00876EB7"/>
    <w:rsid w:val="00876EE2"/>
    <w:rsid w:val="00877074"/>
    <w:rsid w:val="00877075"/>
    <w:rsid w:val="00877221"/>
    <w:rsid w:val="0087731C"/>
    <w:rsid w:val="008774AF"/>
    <w:rsid w:val="00877590"/>
    <w:rsid w:val="008775DA"/>
    <w:rsid w:val="008776FB"/>
    <w:rsid w:val="008776FC"/>
    <w:rsid w:val="0087770F"/>
    <w:rsid w:val="0087775B"/>
    <w:rsid w:val="00877795"/>
    <w:rsid w:val="008777B6"/>
    <w:rsid w:val="008777F1"/>
    <w:rsid w:val="008777FA"/>
    <w:rsid w:val="00877AF6"/>
    <w:rsid w:val="00877B9B"/>
    <w:rsid w:val="00877D0A"/>
    <w:rsid w:val="00877DA4"/>
    <w:rsid w:val="00877E3B"/>
    <w:rsid w:val="00877E8B"/>
    <w:rsid w:val="008800E4"/>
    <w:rsid w:val="0088014C"/>
    <w:rsid w:val="00880291"/>
    <w:rsid w:val="00880315"/>
    <w:rsid w:val="00880386"/>
    <w:rsid w:val="008803F8"/>
    <w:rsid w:val="008804CE"/>
    <w:rsid w:val="008804FA"/>
    <w:rsid w:val="00880546"/>
    <w:rsid w:val="0088060A"/>
    <w:rsid w:val="008806FA"/>
    <w:rsid w:val="0088081B"/>
    <w:rsid w:val="00880909"/>
    <w:rsid w:val="008809F8"/>
    <w:rsid w:val="00880A2C"/>
    <w:rsid w:val="00880ADB"/>
    <w:rsid w:val="00880B57"/>
    <w:rsid w:val="00880B6C"/>
    <w:rsid w:val="00880B76"/>
    <w:rsid w:val="00880C26"/>
    <w:rsid w:val="00880CA6"/>
    <w:rsid w:val="00880DC1"/>
    <w:rsid w:val="00880E6F"/>
    <w:rsid w:val="00880FB7"/>
    <w:rsid w:val="0088108B"/>
    <w:rsid w:val="008810D7"/>
    <w:rsid w:val="00881141"/>
    <w:rsid w:val="008811FF"/>
    <w:rsid w:val="00881216"/>
    <w:rsid w:val="0088138B"/>
    <w:rsid w:val="008813E1"/>
    <w:rsid w:val="008814EC"/>
    <w:rsid w:val="0088163D"/>
    <w:rsid w:val="0088174D"/>
    <w:rsid w:val="008817F6"/>
    <w:rsid w:val="00881845"/>
    <w:rsid w:val="0088187C"/>
    <w:rsid w:val="0088195D"/>
    <w:rsid w:val="00881A75"/>
    <w:rsid w:val="00881BBA"/>
    <w:rsid w:val="00881D67"/>
    <w:rsid w:val="00881E96"/>
    <w:rsid w:val="00881FDB"/>
    <w:rsid w:val="00881FEF"/>
    <w:rsid w:val="0088201F"/>
    <w:rsid w:val="00882094"/>
    <w:rsid w:val="008821C0"/>
    <w:rsid w:val="008822AB"/>
    <w:rsid w:val="00882413"/>
    <w:rsid w:val="0088241B"/>
    <w:rsid w:val="00882656"/>
    <w:rsid w:val="008826C2"/>
    <w:rsid w:val="00882706"/>
    <w:rsid w:val="008827CE"/>
    <w:rsid w:val="00882804"/>
    <w:rsid w:val="008828B1"/>
    <w:rsid w:val="00882915"/>
    <w:rsid w:val="00882923"/>
    <w:rsid w:val="00882A32"/>
    <w:rsid w:val="00882BED"/>
    <w:rsid w:val="00882C0F"/>
    <w:rsid w:val="00882C26"/>
    <w:rsid w:val="00882CE1"/>
    <w:rsid w:val="00882DC3"/>
    <w:rsid w:val="00882DFB"/>
    <w:rsid w:val="00882F75"/>
    <w:rsid w:val="00882FCA"/>
    <w:rsid w:val="00883184"/>
    <w:rsid w:val="00883239"/>
    <w:rsid w:val="0088325F"/>
    <w:rsid w:val="00883356"/>
    <w:rsid w:val="008833C2"/>
    <w:rsid w:val="00883535"/>
    <w:rsid w:val="0088369B"/>
    <w:rsid w:val="00883767"/>
    <w:rsid w:val="008837F7"/>
    <w:rsid w:val="00883893"/>
    <w:rsid w:val="008838C0"/>
    <w:rsid w:val="0088391B"/>
    <w:rsid w:val="00883A5F"/>
    <w:rsid w:val="00883AC7"/>
    <w:rsid w:val="00883BA3"/>
    <w:rsid w:val="00883C02"/>
    <w:rsid w:val="00883C9C"/>
    <w:rsid w:val="00883CC7"/>
    <w:rsid w:val="00883D8D"/>
    <w:rsid w:val="00883DEF"/>
    <w:rsid w:val="00883E2B"/>
    <w:rsid w:val="0088423A"/>
    <w:rsid w:val="008843E4"/>
    <w:rsid w:val="00884474"/>
    <w:rsid w:val="00884748"/>
    <w:rsid w:val="008847E6"/>
    <w:rsid w:val="0088486B"/>
    <w:rsid w:val="00884887"/>
    <w:rsid w:val="00884CA3"/>
    <w:rsid w:val="00884D76"/>
    <w:rsid w:val="00884DA6"/>
    <w:rsid w:val="00884E10"/>
    <w:rsid w:val="00884E87"/>
    <w:rsid w:val="00884F11"/>
    <w:rsid w:val="00884F3B"/>
    <w:rsid w:val="00884F55"/>
    <w:rsid w:val="00884FF4"/>
    <w:rsid w:val="00885015"/>
    <w:rsid w:val="008851BC"/>
    <w:rsid w:val="00885205"/>
    <w:rsid w:val="0088522F"/>
    <w:rsid w:val="00885247"/>
    <w:rsid w:val="008852A1"/>
    <w:rsid w:val="008853D6"/>
    <w:rsid w:val="008854A4"/>
    <w:rsid w:val="00885662"/>
    <w:rsid w:val="008857DD"/>
    <w:rsid w:val="0088585A"/>
    <w:rsid w:val="00885866"/>
    <w:rsid w:val="0088591D"/>
    <w:rsid w:val="00885A94"/>
    <w:rsid w:val="00885AD9"/>
    <w:rsid w:val="00885C27"/>
    <w:rsid w:val="00885C9B"/>
    <w:rsid w:val="00885CCB"/>
    <w:rsid w:val="00885CE8"/>
    <w:rsid w:val="0088612C"/>
    <w:rsid w:val="0088618B"/>
    <w:rsid w:val="00886390"/>
    <w:rsid w:val="00886722"/>
    <w:rsid w:val="008867A4"/>
    <w:rsid w:val="008868A2"/>
    <w:rsid w:val="008868CB"/>
    <w:rsid w:val="008869BC"/>
    <w:rsid w:val="008869E7"/>
    <w:rsid w:val="00886A8F"/>
    <w:rsid w:val="00886B12"/>
    <w:rsid w:val="00886C14"/>
    <w:rsid w:val="00886C26"/>
    <w:rsid w:val="00886CC7"/>
    <w:rsid w:val="00886DF9"/>
    <w:rsid w:val="00886E66"/>
    <w:rsid w:val="00886E75"/>
    <w:rsid w:val="00886EAD"/>
    <w:rsid w:val="00886F4C"/>
    <w:rsid w:val="00886FB6"/>
    <w:rsid w:val="0088720F"/>
    <w:rsid w:val="00887233"/>
    <w:rsid w:val="00887367"/>
    <w:rsid w:val="00887416"/>
    <w:rsid w:val="00887429"/>
    <w:rsid w:val="0088767F"/>
    <w:rsid w:val="008876FD"/>
    <w:rsid w:val="00887796"/>
    <w:rsid w:val="00887825"/>
    <w:rsid w:val="00887946"/>
    <w:rsid w:val="00887989"/>
    <w:rsid w:val="00887A1D"/>
    <w:rsid w:val="00887AC1"/>
    <w:rsid w:val="00887B54"/>
    <w:rsid w:val="00887B97"/>
    <w:rsid w:val="00887BBD"/>
    <w:rsid w:val="00887BDD"/>
    <w:rsid w:val="00887C06"/>
    <w:rsid w:val="00887C0A"/>
    <w:rsid w:val="00887C4E"/>
    <w:rsid w:val="00887CB0"/>
    <w:rsid w:val="00887CDB"/>
    <w:rsid w:val="00887D62"/>
    <w:rsid w:val="00887E65"/>
    <w:rsid w:val="00887EDA"/>
    <w:rsid w:val="00887EF3"/>
    <w:rsid w:val="00887F16"/>
    <w:rsid w:val="00887F55"/>
    <w:rsid w:val="00887FE1"/>
    <w:rsid w:val="00890163"/>
    <w:rsid w:val="0089016F"/>
    <w:rsid w:val="008901F2"/>
    <w:rsid w:val="00890218"/>
    <w:rsid w:val="0089021F"/>
    <w:rsid w:val="008903EC"/>
    <w:rsid w:val="00890425"/>
    <w:rsid w:val="008904B7"/>
    <w:rsid w:val="008904C6"/>
    <w:rsid w:val="00890501"/>
    <w:rsid w:val="0089050F"/>
    <w:rsid w:val="00890594"/>
    <w:rsid w:val="008905F6"/>
    <w:rsid w:val="008906E5"/>
    <w:rsid w:val="0089074B"/>
    <w:rsid w:val="008907E6"/>
    <w:rsid w:val="008907F9"/>
    <w:rsid w:val="0089082F"/>
    <w:rsid w:val="0089085A"/>
    <w:rsid w:val="00890923"/>
    <w:rsid w:val="00890AF8"/>
    <w:rsid w:val="00890B28"/>
    <w:rsid w:val="00890B29"/>
    <w:rsid w:val="00890C70"/>
    <w:rsid w:val="00890D26"/>
    <w:rsid w:val="00890D69"/>
    <w:rsid w:val="00890E42"/>
    <w:rsid w:val="00890EA3"/>
    <w:rsid w:val="00890F95"/>
    <w:rsid w:val="00891030"/>
    <w:rsid w:val="008911D2"/>
    <w:rsid w:val="008911DD"/>
    <w:rsid w:val="0089122B"/>
    <w:rsid w:val="00891382"/>
    <w:rsid w:val="008913AD"/>
    <w:rsid w:val="008913CE"/>
    <w:rsid w:val="008916BE"/>
    <w:rsid w:val="00891788"/>
    <w:rsid w:val="008917AE"/>
    <w:rsid w:val="00891865"/>
    <w:rsid w:val="0089189A"/>
    <w:rsid w:val="008918CD"/>
    <w:rsid w:val="008919B8"/>
    <w:rsid w:val="008919E7"/>
    <w:rsid w:val="00891A1C"/>
    <w:rsid w:val="00891AC1"/>
    <w:rsid w:val="00891BDE"/>
    <w:rsid w:val="00891C3E"/>
    <w:rsid w:val="00891D0E"/>
    <w:rsid w:val="00891D62"/>
    <w:rsid w:val="00891E92"/>
    <w:rsid w:val="00891FB6"/>
    <w:rsid w:val="00891FF3"/>
    <w:rsid w:val="00892150"/>
    <w:rsid w:val="008921BA"/>
    <w:rsid w:val="008921E4"/>
    <w:rsid w:val="00892270"/>
    <w:rsid w:val="008922AB"/>
    <w:rsid w:val="008922BC"/>
    <w:rsid w:val="008922CA"/>
    <w:rsid w:val="008923F7"/>
    <w:rsid w:val="0089240B"/>
    <w:rsid w:val="00892497"/>
    <w:rsid w:val="00892510"/>
    <w:rsid w:val="00892629"/>
    <w:rsid w:val="00892642"/>
    <w:rsid w:val="008926D5"/>
    <w:rsid w:val="0089289F"/>
    <w:rsid w:val="0089294C"/>
    <w:rsid w:val="00892954"/>
    <w:rsid w:val="00892A67"/>
    <w:rsid w:val="00892AE4"/>
    <w:rsid w:val="00892BFD"/>
    <w:rsid w:val="00892D12"/>
    <w:rsid w:val="00893162"/>
    <w:rsid w:val="00893254"/>
    <w:rsid w:val="00893416"/>
    <w:rsid w:val="00893481"/>
    <w:rsid w:val="008934A3"/>
    <w:rsid w:val="00893537"/>
    <w:rsid w:val="00893680"/>
    <w:rsid w:val="008936CA"/>
    <w:rsid w:val="008937CC"/>
    <w:rsid w:val="00893800"/>
    <w:rsid w:val="008938AC"/>
    <w:rsid w:val="00893959"/>
    <w:rsid w:val="008939E9"/>
    <w:rsid w:val="00893AA7"/>
    <w:rsid w:val="00893AE7"/>
    <w:rsid w:val="00893CD6"/>
    <w:rsid w:val="00893D71"/>
    <w:rsid w:val="00893EC7"/>
    <w:rsid w:val="00894024"/>
    <w:rsid w:val="00894042"/>
    <w:rsid w:val="008942D1"/>
    <w:rsid w:val="008942DA"/>
    <w:rsid w:val="00894409"/>
    <w:rsid w:val="008944BA"/>
    <w:rsid w:val="008944BF"/>
    <w:rsid w:val="008944C1"/>
    <w:rsid w:val="008944CE"/>
    <w:rsid w:val="00894595"/>
    <w:rsid w:val="008945B8"/>
    <w:rsid w:val="008945F6"/>
    <w:rsid w:val="0089473E"/>
    <w:rsid w:val="00894872"/>
    <w:rsid w:val="008949A9"/>
    <w:rsid w:val="008949FC"/>
    <w:rsid w:val="00894A12"/>
    <w:rsid w:val="00894A5A"/>
    <w:rsid w:val="00894B48"/>
    <w:rsid w:val="00894B4B"/>
    <w:rsid w:val="00894C19"/>
    <w:rsid w:val="00894C3B"/>
    <w:rsid w:val="00894CE1"/>
    <w:rsid w:val="00894E66"/>
    <w:rsid w:val="00894F74"/>
    <w:rsid w:val="008950AA"/>
    <w:rsid w:val="008950E6"/>
    <w:rsid w:val="00895136"/>
    <w:rsid w:val="008951FF"/>
    <w:rsid w:val="00895236"/>
    <w:rsid w:val="008952A4"/>
    <w:rsid w:val="0089538F"/>
    <w:rsid w:val="00895404"/>
    <w:rsid w:val="0089541C"/>
    <w:rsid w:val="008956AF"/>
    <w:rsid w:val="00895730"/>
    <w:rsid w:val="00895770"/>
    <w:rsid w:val="00895870"/>
    <w:rsid w:val="008959C1"/>
    <w:rsid w:val="00895F98"/>
    <w:rsid w:val="00896083"/>
    <w:rsid w:val="008960C3"/>
    <w:rsid w:val="008960D9"/>
    <w:rsid w:val="00896212"/>
    <w:rsid w:val="008964E3"/>
    <w:rsid w:val="008964F1"/>
    <w:rsid w:val="0089660C"/>
    <w:rsid w:val="008966B8"/>
    <w:rsid w:val="008967A1"/>
    <w:rsid w:val="008968DD"/>
    <w:rsid w:val="00896A41"/>
    <w:rsid w:val="00896A8F"/>
    <w:rsid w:val="00896A9E"/>
    <w:rsid w:val="00896BA1"/>
    <w:rsid w:val="00896C72"/>
    <w:rsid w:val="00896CCE"/>
    <w:rsid w:val="00897013"/>
    <w:rsid w:val="008970A0"/>
    <w:rsid w:val="0089713D"/>
    <w:rsid w:val="008971C8"/>
    <w:rsid w:val="00897246"/>
    <w:rsid w:val="0089726E"/>
    <w:rsid w:val="008973F4"/>
    <w:rsid w:val="0089762F"/>
    <w:rsid w:val="008976C7"/>
    <w:rsid w:val="008976CE"/>
    <w:rsid w:val="008976FC"/>
    <w:rsid w:val="00897756"/>
    <w:rsid w:val="008977B8"/>
    <w:rsid w:val="00897849"/>
    <w:rsid w:val="008978D0"/>
    <w:rsid w:val="008978D7"/>
    <w:rsid w:val="008979E4"/>
    <w:rsid w:val="00897A1A"/>
    <w:rsid w:val="00897C3F"/>
    <w:rsid w:val="00897EA7"/>
    <w:rsid w:val="00897F01"/>
    <w:rsid w:val="00897FCD"/>
    <w:rsid w:val="008A0000"/>
    <w:rsid w:val="008A002F"/>
    <w:rsid w:val="008A00EB"/>
    <w:rsid w:val="008A0134"/>
    <w:rsid w:val="008A01AD"/>
    <w:rsid w:val="008A01B9"/>
    <w:rsid w:val="008A025C"/>
    <w:rsid w:val="008A0261"/>
    <w:rsid w:val="008A0357"/>
    <w:rsid w:val="008A03AE"/>
    <w:rsid w:val="008A03D5"/>
    <w:rsid w:val="008A04C0"/>
    <w:rsid w:val="008A0506"/>
    <w:rsid w:val="008A0795"/>
    <w:rsid w:val="008A07BC"/>
    <w:rsid w:val="008A0971"/>
    <w:rsid w:val="008A0A5C"/>
    <w:rsid w:val="008A0B97"/>
    <w:rsid w:val="008A0D4F"/>
    <w:rsid w:val="008A0E15"/>
    <w:rsid w:val="008A0EF0"/>
    <w:rsid w:val="008A0F33"/>
    <w:rsid w:val="008A0F70"/>
    <w:rsid w:val="008A0FBC"/>
    <w:rsid w:val="008A1044"/>
    <w:rsid w:val="008A1066"/>
    <w:rsid w:val="008A155F"/>
    <w:rsid w:val="008A1581"/>
    <w:rsid w:val="008A159F"/>
    <w:rsid w:val="008A1A28"/>
    <w:rsid w:val="008A1BC0"/>
    <w:rsid w:val="008A1C8C"/>
    <w:rsid w:val="008A1CDE"/>
    <w:rsid w:val="008A1D38"/>
    <w:rsid w:val="008A1D7D"/>
    <w:rsid w:val="008A1E27"/>
    <w:rsid w:val="008A1FD0"/>
    <w:rsid w:val="008A2080"/>
    <w:rsid w:val="008A21DD"/>
    <w:rsid w:val="008A2257"/>
    <w:rsid w:val="008A230A"/>
    <w:rsid w:val="008A2322"/>
    <w:rsid w:val="008A23D6"/>
    <w:rsid w:val="008A25F1"/>
    <w:rsid w:val="008A2776"/>
    <w:rsid w:val="008A2823"/>
    <w:rsid w:val="008A2853"/>
    <w:rsid w:val="008A29AE"/>
    <w:rsid w:val="008A2A25"/>
    <w:rsid w:val="008A2B49"/>
    <w:rsid w:val="008A2B94"/>
    <w:rsid w:val="008A2BAC"/>
    <w:rsid w:val="008A2D3F"/>
    <w:rsid w:val="008A2D7E"/>
    <w:rsid w:val="008A31B2"/>
    <w:rsid w:val="008A31F8"/>
    <w:rsid w:val="008A3466"/>
    <w:rsid w:val="008A3552"/>
    <w:rsid w:val="008A356D"/>
    <w:rsid w:val="008A35C1"/>
    <w:rsid w:val="008A35E1"/>
    <w:rsid w:val="008A36DE"/>
    <w:rsid w:val="008A39D3"/>
    <w:rsid w:val="008A3A17"/>
    <w:rsid w:val="008A3B4E"/>
    <w:rsid w:val="008A3B8B"/>
    <w:rsid w:val="008A3DD8"/>
    <w:rsid w:val="008A3E58"/>
    <w:rsid w:val="008A3E66"/>
    <w:rsid w:val="008A3ED4"/>
    <w:rsid w:val="008A3EE1"/>
    <w:rsid w:val="008A3F3A"/>
    <w:rsid w:val="008A3FD0"/>
    <w:rsid w:val="008A42CD"/>
    <w:rsid w:val="008A4341"/>
    <w:rsid w:val="008A4477"/>
    <w:rsid w:val="008A450B"/>
    <w:rsid w:val="008A46F9"/>
    <w:rsid w:val="008A4727"/>
    <w:rsid w:val="008A4965"/>
    <w:rsid w:val="008A496E"/>
    <w:rsid w:val="008A4A06"/>
    <w:rsid w:val="008A4ACD"/>
    <w:rsid w:val="008A4AEB"/>
    <w:rsid w:val="008A4B62"/>
    <w:rsid w:val="008A4B68"/>
    <w:rsid w:val="008A4C4C"/>
    <w:rsid w:val="008A4C99"/>
    <w:rsid w:val="008A4DEF"/>
    <w:rsid w:val="008A4EE8"/>
    <w:rsid w:val="008A4FB9"/>
    <w:rsid w:val="008A50F7"/>
    <w:rsid w:val="008A5116"/>
    <w:rsid w:val="008A5157"/>
    <w:rsid w:val="008A51B0"/>
    <w:rsid w:val="008A51C9"/>
    <w:rsid w:val="008A5229"/>
    <w:rsid w:val="008A5307"/>
    <w:rsid w:val="008A53DC"/>
    <w:rsid w:val="008A54AC"/>
    <w:rsid w:val="008A564C"/>
    <w:rsid w:val="008A56DC"/>
    <w:rsid w:val="008A56DD"/>
    <w:rsid w:val="008A57C1"/>
    <w:rsid w:val="008A586A"/>
    <w:rsid w:val="008A58E7"/>
    <w:rsid w:val="008A590B"/>
    <w:rsid w:val="008A599F"/>
    <w:rsid w:val="008A59D3"/>
    <w:rsid w:val="008A5B2A"/>
    <w:rsid w:val="008A5B94"/>
    <w:rsid w:val="008A5CBF"/>
    <w:rsid w:val="008A5D61"/>
    <w:rsid w:val="008A5EBE"/>
    <w:rsid w:val="008A6123"/>
    <w:rsid w:val="008A6127"/>
    <w:rsid w:val="008A619A"/>
    <w:rsid w:val="008A61E6"/>
    <w:rsid w:val="008A62BE"/>
    <w:rsid w:val="008A6331"/>
    <w:rsid w:val="008A6460"/>
    <w:rsid w:val="008A656D"/>
    <w:rsid w:val="008A656F"/>
    <w:rsid w:val="008A65E6"/>
    <w:rsid w:val="008A6647"/>
    <w:rsid w:val="008A66D1"/>
    <w:rsid w:val="008A67B3"/>
    <w:rsid w:val="008A67FE"/>
    <w:rsid w:val="008A682B"/>
    <w:rsid w:val="008A6833"/>
    <w:rsid w:val="008A689F"/>
    <w:rsid w:val="008A68C6"/>
    <w:rsid w:val="008A6918"/>
    <w:rsid w:val="008A69EB"/>
    <w:rsid w:val="008A69F4"/>
    <w:rsid w:val="008A6ABB"/>
    <w:rsid w:val="008A6AF8"/>
    <w:rsid w:val="008A6B29"/>
    <w:rsid w:val="008A6B98"/>
    <w:rsid w:val="008A6BCB"/>
    <w:rsid w:val="008A6BF6"/>
    <w:rsid w:val="008A6D34"/>
    <w:rsid w:val="008A6D8D"/>
    <w:rsid w:val="008A6DB3"/>
    <w:rsid w:val="008A6E9E"/>
    <w:rsid w:val="008A6EED"/>
    <w:rsid w:val="008A6F00"/>
    <w:rsid w:val="008A6FCA"/>
    <w:rsid w:val="008A7028"/>
    <w:rsid w:val="008A705B"/>
    <w:rsid w:val="008A7135"/>
    <w:rsid w:val="008A7240"/>
    <w:rsid w:val="008A729A"/>
    <w:rsid w:val="008A7373"/>
    <w:rsid w:val="008A73D0"/>
    <w:rsid w:val="008A73EC"/>
    <w:rsid w:val="008A7475"/>
    <w:rsid w:val="008A750D"/>
    <w:rsid w:val="008A7519"/>
    <w:rsid w:val="008A7534"/>
    <w:rsid w:val="008A75BE"/>
    <w:rsid w:val="008A7614"/>
    <w:rsid w:val="008A76DC"/>
    <w:rsid w:val="008A78AB"/>
    <w:rsid w:val="008A78F4"/>
    <w:rsid w:val="008A79A5"/>
    <w:rsid w:val="008A7A5C"/>
    <w:rsid w:val="008A7B68"/>
    <w:rsid w:val="008A7BBC"/>
    <w:rsid w:val="008A7CF6"/>
    <w:rsid w:val="008A7DC7"/>
    <w:rsid w:val="008A7F8E"/>
    <w:rsid w:val="008A7FC0"/>
    <w:rsid w:val="008B0055"/>
    <w:rsid w:val="008B0083"/>
    <w:rsid w:val="008B0113"/>
    <w:rsid w:val="008B019C"/>
    <w:rsid w:val="008B037B"/>
    <w:rsid w:val="008B040E"/>
    <w:rsid w:val="008B051C"/>
    <w:rsid w:val="008B0572"/>
    <w:rsid w:val="008B0590"/>
    <w:rsid w:val="008B0639"/>
    <w:rsid w:val="008B06CB"/>
    <w:rsid w:val="008B070B"/>
    <w:rsid w:val="008B0754"/>
    <w:rsid w:val="008B0877"/>
    <w:rsid w:val="008B089D"/>
    <w:rsid w:val="008B08D9"/>
    <w:rsid w:val="008B093D"/>
    <w:rsid w:val="008B099F"/>
    <w:rsid w:val="008B0AE8"/>
    <w:rsid w:val="008B0C18"/>
    <w:rsid w:val="008B0EEC"/>
    <w:rsid w:val="008B0F92"/>
    <w:rsid w:val="008B10AA"/>
    <w:rsid w:val="008B10C7"/>
    <w:rsid w:val="008B1115"/>
    <w:rsid w:val="008B1156"/>
    <w:rsid w:val="008B117C"/>
    <w:rsid w:val="008B11DE"/>
    <w:rsid w:val="008B12C9"/>
    <w:rsid w:val="008B1373"/>
    <w:rsid w:val="008B145F"/>
    <w:rsid w:val="008B14AD"/>
    <w:rsid w:val="008B14CE"/>
    <w:rsid w:val="008B1533"/>
    <w:rsid w:val="008B15D0"/>
    <w:rsid w:val="008B15F5"/>
    <w:rsid w:val="008B167E"/>
    <w:rsid w:val="008B16D7"/>
    <w:rsid w:val="008B16F8"/>
    <w:rsid w:val="008B170A"/>
    <w:rsid w:val="008B17EA"/>
    <w:rsid w:val="008B1911"/>
    <w:rsid w:val="008B1B64"/>
    <w:rsid w:val="008B1BF8"/>
    <w:rsid w:val="008B1C61"/>
    <w:rsid w:val="008B1CEC"/>
    <w:rsid w:val="008B1D3B"/>
    <w:rsid w:val="008B1EDB"/>
    <w:rsid w:val="008B1F6C"/>
    <w:rsid w:val="008B20BD"/>
    <w:rsid w:val="008B2193"/>
    <w:rsid w:val="008B22DC"/>
    <w:rsid w:val="008B22E0"/>
    <w:rsid w:val="008B2386"/>
    <w:rsid w:val="008B23A2"/>
    <w:rsid w:val="008B26AC"/>
    <w:rsid w:val="008B278A"/>
    <w:rsid w:val="008B2A26"/>
    <w:rsid w:val="008B2A50"/>
    <w:rsid w:val="008B2A80"/>
    <w:rsid w:val="008B2B86"/>
    <w:rsid w:val="008B2CD5"/>
    <w:rsid w:val="008B2D3B"/>
    <w:rsid w:val="008B2E37"/>
    <w:rsid w:val="008B2EDE"/>
    <w:rsid w:val="008B3220"/>
    <w:rsid w:val="008B336C"/>
    <w:rsid w:val="008B34CE"/>
    <w:rsid w:val="008B37A3"/>
    <w:rsid w:val="008B38B6"/>
    <w:rsid w:val="008B38D3"/>
    <w:rsid w:val="008B38F3"/>
    <w:rsid w:val="008B3911"/>
    <w:rsid w:val="008B3A80"/>
    <w:rsid w:val="008B3C10"/>
    <w:rsid w:val="008B3CAE"/>
    <w:rsid w:val="008B3DAA"/>
    <w:rsid w:val="008B3F18"/>
    <w:rsid w:val="008B40BB"/>
    <w:rsid w:val="008B41E0"/>
    <w:rsid w:val="008B41EB"/>
    <w:rsid w:val="008B4253"/>
    <w:rsid w:val="008B43FE"/>
    <w:rsid w:val="008B443E"/>
    <w:rsid w:val="008B4521"/>
    <w:rsid w:val="008B4549"/>
    <w:rsid w:val="008B4572"/>
    <w:rsid w:val="008B4658"/>
    <w:rsid w:val="008B4707"/>
    <w:rsid w:val="008B477A"/>
    <w:rsid w:val="008B4805"/>
    <w:rsid w:val="008B48A7"/>
    <w:rsid w:val="008B498E"/>
    <w:rsid w:val="008B4A87"/>
    <w:rsid w:val="008B4B21"/>
    <w:rsid w:val="008B4CB4"/>
    <w:rsid w:val="008B4CE3"/>
    <w:rsid w:val="008B4E99"/>
    <w:rsid w:val="008B4F67"/>
    <w:rsid w:val="008B4FD3"/>
    <w:rsid w:val="008B5046"/>
    <w:rsid w:val="008B521E"/>
    <w:rsid w:val="008B5287"/>
    <w:rsid w:val="008B53FF"/>
    <w:rsid w:val="008B540E"/>
    <w:rsid w:val="008B543B"/>
    <w:rsid w:val="008B5534"/>
    <w:rsid w:val="008B557C"/>
    <w:rsid w:val="008B55B5"/>
    <w:rsid w:val="008B55BE"/>
    <w:rsid w:val="008B5662"/>
    <w:rsid w:val="008B56BE"/>
    <w:rsid w:val="008B56D9"/>
    <w:rsid w:val="008B5763"/>
    <w:rsid w:val="008B5878"/>
    <w:rsid w:val="008B589A"/>
    <w:rsid w:val="008B58A0"/>
    <w:rsid w:val="008B5922"/>
    <w:rsid w:val="008B5C03"/>
    <w:rsid w:val="008B5C28"/>
    <w:rsid w:val="008B5C3B"/>
    <w:rsid w:val="008B5C85"/>
    <w:rsid w:val="008B5CBF"/>
    <w:rsid w:val="008B5D16"/>
    <w:rsid w:val="008B5D46"/>
    <w:rsid w:val="008B5DAD"/>
    <w:rsid w:val="008B5DD6"/>
    <w:rsid w:val="008B5DE5"/>
    <w:rsid w:val="008B6042"/>
    <w:rsid w:val="008B613C"/>
    <w:rsid w:val="008B62D2"/>
    <w:rsid w:val="008B6343"/>
    <w:rsid w:val="008B647D"/>
    <w:rsid w:val="008B65F7"/>
    <w:rsid w:val="008B6723"/>
    <w:rsid w:val="008B679C"/>
    <w:rsid w:val="008B67B8"/>
    <w:rsid w:val="008B683E"/>
    <w:rsid w:val="008B6899"/>
    <w:rsid w:val="008B68D6"/>
    <w:rsid w:val="008B68E0"/>
    <w:rsid w:val="008B6B13"/>
    <w:rsid w:val="008B6B3F"/>
    <w:rsid w:val="008B6D05"/>
    <w:rsid w:val="008B6E82"/>
    <w:rsid w:val="008B6EB8"/>
    <w:rsid w:val="008B6F96"/>
    <w:rsid w:val="008B6FFE"/>
    <w:rsid w:val="008B71BD"/>
    <w:rsid w:val="008B7313"/>
    <w:rsid w:val="008B734F"/>
    <w:rsid w:val="008B7362"/>
    <w:rsid w:val="008B74DB"/>
    <w:rsid w:val="008B7846"/>
    <w:rsid w:val="008B7870"/>
    <w:rsid w:val="008B788F"/>
    <w:rsid w:val="008B79E9"/>
    <w:rsid w:val="008B7C1F"/>
    <w:rsid w:val="008B7DD1"/>
    <w:rsid w:val="008B7E53"/>
    <w:rsid w:val="008B7E86"/>
    <w:rsid w:val="008B7F1E"/>
    <w:rsid w:val="008B7FC5"/>
    <w:rsid w:val="008C0027"/>
    <w:rsid w:val="008C0064"/>
    <w:rsid w:val="008C0365"/>
    <w:rsid w:val="008C03E0"/>
    <w:rsid w:val="008C03F6"/>
    <w:rsid w:val="008C04B4"/>
    <w:rsid w:val="008C04D4"/>
    <w:rsid w:val="008C067B"/>
    <w:rsid w:val="008C07B8"/>
    <w:rsid w:val="008C0897"/>
    <w:rsid w:val="008C0912"/>
    <w:rsid w:val="008C0AA1"/>
    <w:rsid w:val="008C0B56"/>
    <w:rsid w:val="008C0E85"/>
    <w:rsid w:val="008C10A1"/>
    <w:rsid w:val="008C116D"/>
    <w:rsid w:val="008C11F4"/>
    <w:rsid w:val="008C13E1"/>
    <w:rsid w:val="008C1528"/>
    <w:rsid w:val="008C15C1"/>
    <w:rsid w:val="008C1626"/>
    <w:rsid w:val="008C1787"/>
    <w:rsid w:val="008C1919"/>
    <w:rsid w:val="008C1960"/>
    <w:rsid w:val="008C1AA5"/>
    <w:rsid w:val="008C1BB7"/>
    <w:rsid w:val="008C1BF2"/>
    <w:rsid w:val="008C1C03"/>
    <w:rsid w:val="008C1D1E"/>
    <w:rsid w:val="008C1D3B"/>
    <w:rsid w:val="008C2007"/>
    <w:rsid w:val="008C20C3"/>
    <w:rsid w:val="008C21FC"/>
    <w:rsid w:val="008C23FC"/>
    <w:rsid w:val="008C2484"/>
    <w:rsid w:val="008C248D"/>
    <w:rsid w:val="008C256F"/>
    <w:rsid w:val="008C26B7"/>
    <w:rsid w:val="008C2796"/>
    <w:rsid w:val="008C283C"/>
    <w:rsid w:val="008C29FB"/>
    <w:rsid w:val="008C2A08"/>
    <w:rsid w:val="008C2A17"/>
    <w:rsid w:val="008C2B8E"/>
    <w:rsid w:val="008C2C5B"/>
    <w:rsid w:val="008C2D32"/>
    <w:rsid w:val="008C2D7F"/>
    <w:rsid w:val="008C2D85"/>
    <w:rsid w:val="008C2E1D"/>
    <w:rsid w:val="008C2EDE"/>
    <w:rsid w:val="008C2F2E"/>
    <w:rsid w:val="008C2FAE"/>
    <w:rsid w:val="008C2FFC"/>
    <w:rsid w:val="008C3086"/>
    <w:rsid w:val="008C31F8"/>
    <w:rsid w:val="008C32E9"/>
    <w:rsid w:val="008C332E"/>
    <w:rsid w:val="008C3370"/>
    <w:rsid w:val="008C3375"/>
    <w:rsid w:val="008C36C9"/>
    <w:rsid w:val="008C379F"/>
    <w:rsid w:val="008C386B"/>
    <w:rsid w:val="008C3897"/>
    <w:rsid w:val="008C38AC"/>
    <w:rsid w:val="008C3BD3"/>
    <w:rsid w:val="008C3C14"/>
    <w:rsid w:val="008C3D36"/>
    <w:rsid w:val="008C3DF2"/>
    <w:rsid w:val="008C3E05"/>
    <w:rsid w:val="008C3FF0"/>
    <w:rsid w:val="008C4084"/>
    <w:rsid w:val="008C422D"/>
    <w:rsid w:val="008C425F"/>
    <w:rsid w:val="008C42FD"/>
    <w:rsid w:val="008C430A"/>
    <w:rsid w:val="008C430D"/>
    <w:rsid w:val="008C4361"/>
    <w:rsid w:val="008C4397"/>
    <w:rsid w:val="008C439C"/>
    <w:rsid w:val="008C4463"/>
    <w:rsid w:val="008C4724"/>
    <w:rsid w:val="008C4893"/>
    <w:rsid w:val="008C4898"/>
    <w:rsid w:val="008C4972"/>
    <w:rsid w:val="008C4BD7"/>
    <w:rsid w:val="008C4D50"/>
    <w:rsid w:val="008C4D94"/>
    <w:rsid w:val="008C4E5D"/>
    <w:rsid w:val="008C5130"/>
    <w:rsid w:val="008C51E3"/>
    <w:rsid w:val="008C5245"/>
    <w:rsid w:val="008C52B4"/>
    <w:rsid w:val="008C52B7"/>
    <w:rsid w:val="008C5361"/>
    <w:rsid w:val="008C5495"/>
    <w:rsid w:val="008C5608"/>
    <w:rsid w:val="008C571E"/>
    <w:rsid w:val="008C582D"/>
    <w:rsid w:val="008C5880"/>
    <w:rsid w:val="008C58A9"/>
    <w:rsid w:val="008C5AB2"/>
    <w:rsid w:val="008C5B64"/>
    <w:rsid w:val="008C5D58"/>
    <w:rsid w:val="008C5EF5"/>
    <w:rsid w:val="008C5FAD"/>
    <w:rsid w:val="008C60BA"/>
    <w:rsid w:val="008C6129"/>
    <w:rsid w:val="008C621D"/>
    <w:rsid w:val="008C623B"/>
    <w:rsid w:val="008C623C"/>
    <w:rsid w:val="008C62B6"/>
    <w:rsid w:val="008C62E6"/>
    <w:rsid w:val="008C63DC"/>
    <w:rsid w:val="008C63F3"/>
    <w:rsid w:val="008C6409"/>
    <w:rsid w:val="008C642B"/>
    <w:rsid w:val="008C6448"/>
    <w:rsid w:val="008C66C3"/>
    <w:rsid w:val="008C6735"/>
    <w:rsid w:val="008C67D7"/>
    <w:rsid w:val="008C6920"/>
    <w:rsid w:val="008C697F"/>
    <w:rsid w:val="008C69B6"/>
    <w:rsid w:val="008C6A7F"/>
    <w:rsid w:val="008C6ACC"/>
    <w:rsid w:val="008C6ADD"/>
    <w:rsid w:val="008C6B65"/>
    <w:rsid w:val="008C6BB6"/>
    <w:rsid w:val="008C6CBE"/>
    <w:rsid w:val="008C6D6C"/>
    <w:rsid w:val="008C6ED0"/>
    <w:rsid w:val="008C6F0D"/>
    <w:rsid w:val="008C6F92"/>
    <w:rsid w:val="008C6FDC"/>
    <w:rsid w:val="008C712A"/>
    <w:rsid w:val="008C717E"/>
    <w:rsid w:val="008C721C"/>
    <w:rsid w:val="008C7235"/>
    <w:rsid w:val="008C723A"/>
    <w:rsid w:val="008C726C"/>
    <w:rsid w:val="008C7286"/>
    <w:rsid w:val="008C736A"/>
    <w:rsid w:val="008C73DB"/>
    <w:rsid w:val="008C73DC"/>
    <w:rsid w:val="008C746A"/>
    <w:rsid w:val="008C75B4"/>
    <w:rsid w:val="008C7638"/>
    <w:rsid w:val="008C7646"/>
    <w:rsid w:val="008C7678"/>
    <w:rsid w:val="008C7691"/>
    <w:rsid w:val="008C7727"/>
    <w:rsid w:val="008C77B2"/>
    <w:rsid w:val="008C7864"/>
    <w:rsid w:val="008C7B03"/>
    <w:rsid w:val="008C7C4F"/>
    <w:rsid w:val="008C7C50"/>
    <w:rsid w:val="008C7E3A"/>
    <w:rsid w:val="008C7ECE"/>
    <w:rsid w:val="008D00FD"/>
    <w:rsid w:val="008D0338"/>
    <w:rsid w:val="008D0363"/>
    <w:rsid w:val="008D03AC"/>
    <w:rsid w:val="008D03C4"/>
    <w:rsid w:val="008D071B"/>
    <w:rsid w:val="008D0872"/>
    <w:rsid w:val="008D08B7"/>
    <w:rsid w:val="008D0973"/>
    <w:rsid w:val="008D0C2E"/>
    <w:rsid w:val="008D0C5E"/>
    <w:rsid w:val="008D0CEF"/>
    <w:rsid w:val="008D0D3F"/>
    <w:rsid w:val="008D0D7E"/>
    <w:rsid w:val="008D0DF9"/>
    <w:rsid w:val="008D0E33"/>
    <w:rsid w:val="008D0E43"/>
    <w:rsid w:val="008D0F9F"/>
    <w:rsid w:val="008D0FD7"/>
    <w:rsid w:val="008D1032"/>
    <w:rsid w:val="008D115C"/>
    <w:rsid w:val="008D116B"/>
    <w:rsid w:val="008D1275"/>
    <w:rsid w:val="008D1346"/>
    <w:rsid w:val="008D14A5"/>
    <w:rsid w:val="008D14CC"/>
    <w:rsid w:val="008D1655"/>
    <w:rsid w:val="008D170E"/>
    <w:rsid w:val="008D1A62"/>
    <w:rsid w:val="008D1AC2"/>
    <w:rsid w:val="008D1B2A"/>
    <w:rsid w:val="008D1B74"/>
    <w:rsid w:val="008D1BD6"/>
    <w:rsid w:val="008D1CFC"/>
    <w:rsid w:val="008D1DE4"/>
    <w:rsid w:val="008D1E1E"/>
    <w:rsid w:val="008D2002"/>
    <w:rsid w:val="008D204C"/>
    <w:rsid w:val="008D20DC"/>
    <w:rsid w:val="008D20E3"/>
    <w:rsid w:val="008D216A"/>
    <w:rsid w:val="008D21D7"/>
    <w:rsid w:val="008D2274"/>
    <w:rsid w:val="008D227C"/>
    <w:rsid w:val="008D2319"/>
    <w:rsid w:val="008D2365"/>
    <w:rsid w:val="008D242A"/>
    <w:rsid w:val="008D250A"/>
    <w:rsid w:val="008D256C"/>
    <w:rsid w:val="008D25BD"/>
    <w:rsid w:val="008D2607"/>
    <w:rsid w:val="008D279B"/>
    <w:rsid w:val="008D2819"/>
    <w:rsid w:val="008D2853"/>
    <w:rsid w:val="008D292F"/>
    <w:rsid w:val="008D2AA0"/>
    <w:rsid w:val="008D2B0C"/>
    <w:rsid w:val="008D2B96"/>
    <w:rsid w:val="008D2C35"/>
    <w:rsid w:val="008D2CAD"/>
    <w:rsid w:val="008D2DBC"/>
    <w:rsid w:val="008D2DE5"/>
    <w:rsid w:val="008D2F7E"/>
    <w:rsid w:val="008D300C"/>
    <w:rsid w:val="008D3065"/>
    <w:rsid w:val="008D3156"/>
    <w:rsid w:val="008D3158"/>
    <w:rsid w:val="008D3182"/>
    <w:rsid w:val="008D3240"/>
    <w:rsid w:val="008D3249"/>
    <w:rsid w:val="008D3273"/>
    <w:rsid w:val="008D32DB"/>
    <w:rsid w:val="008D32F3"/>
    <w:rsid w:val="008D372C"/>
    <w:rsid w:val="008D3737"/>
    <w:rsid w:val="008D37A6"/>
    <w:rsid w:val="008D37CE"/>
    <w:rsid w:val="008D38DF"/>
    <w:rsid w:val="008D3A53"/>
    <w:rsid w:val="008D3A6B"/>
    <w:rsid w:val="008D3A8E"/>
    <w:rsid w:val="008D3A9F"/>
    <w:rsid w:val="008D3B1A"/>
    <w:rsid w:val="008D3C27"/>
    <w:rsid w:val="008D3CAC"/>
    <w:rsid w:val="008D3D72"/>
    <w:rsid w:val="008D3E0A"/>
    <w:rsid w:val="008D3E85"/>
    <w:rsid w:val="008D402F"/>
    <w:rsid w:val="008D4043"/>
    <w:rsid w:val="008D40C3"/>
    <w:rsid w:val="008D4216"/>
    <w:rsid w:val="008D427E"/>
    <w:rsid w:val="008D4283"/>
    <w:rsid w:val="008D42C6"/>
    <w:rsid w:val="008D42D2"/>
    <w:rsid w:val="008D4396"/>
    <w:rsid w:val="008D44ED"/>
    <w:rsid w:val="008D4650"/>
    <w:rsid w:val="008D4D15"/>
    <w:rsid w:val="008D4DCB"/>
    <w:rsid w:val="008D4E45"/>
    <w:rsid w:val="008D4EAA"/>
    <w:rsid w:val="008D4EEE"/>
    <w:rsid w:val="008D4F51"/>
    <w:rsid w:val="008D4FD7"/>
    <w:rsid w:val="008D501C"/>
    <w:rsid w:val="008D502D"/>
    <w:rsid w:val="008D514D"/>
    <w:rsid w:val="008D51ED"/>
    <w:rsid w:val="008D523D"/>
    <w:rsid w:val="008D526B"/>
    <w:rsid w:val="008D5273"/>
    <w:rsid w:val="008D528D"/>
    <w:rsid w:val="008D53EB"/>
    <w:rsid w:val="008D53F6"/>
    <w:rsid w:val="008D5408"/>
    <w:rsid w:val="008D5494"/>
    <w:rsid w:val="008D565C"/>
    <w:rsid w:val="008D5878"/>
    <w:rsid w:val="008D58ED"/>
    <w:rsid w:val="008D5906"/>
    <w:rsid w:val="008D5B88"/>
    <w:rsid w:val="008D5C62"/>
    <w:rsid w:val="008D5D44"/>
    <w:rsid w:val="008D5D95"/>
    <w:rsid w:val="008D5E8C"/>
    <w:rsid w:val="008D5F45"/>
    <w:rsid w:val="008D6151"/>
    <w:rsid w:val="008D615D"/>
    <w:rsid w:val="008D61B2"/>
    <w:rsid w:val="008D622B"/>
    <w:rsid w:val="008D62BF"/>
    <w:rsid w:val="008D62E0"/>
    <w:rsid w:val="008D639E"/>
    <w:rsid w:val="008D64BE"/>
    <w:rsid w:val="008D64CC"/>
    <w:rsid w:val="008D65B4"/>
    <w:rsid w:val="008D66EF"/>
    <w:rsid w:val="008D6716"/>
    <w:rsid w:val="008D6A96"/>
    <w:rsid w:val="008D6E3B"/>
    <w:rsid w:val="008D6E80"/>
    <w:rsid w:val="008D7070"/>
    <w:rsid w:val="008D7165"/>
    <w:rsid w:val="008D71C4"/>
    <w:rsid w:val="008D72A4"/>
    <w:rsid w:val="008D72D1"/>
    <w:rsid w:val="008D746D"/>
    <w:rsid w:val="008D7565"/>
    <w:rsid w:val="008D7722"/>
    <w:rsid w:val="008D7734"/>
    <w:rsid w:val="008D7A17"/>
    <w:rsid w:val="008D7A8A"/>
    <w:rsid w:val="008D7C5B"/>
    <w:rsid w:val="008D7D89"/>
    <w:rsid w:val="008D7D92"/>
    <w:rsid w:val="008D7DEE"/>
    <w:rsid w:val="008D7E1B"/>
    <w:rsid w:val="008D7E6D"/>
    <w:rsid w:val="008D7EB1"/>
    <w:rsid w:val="008E0012"/>
    <w:rsid w:val="008E0058"/>
    <w:rsid w:val="008E0084"/>
    <w:rsid w:val="008E009A"/>
    <w:rsid w:val="008E0166"/>
    <w:rsid w:val="008E018F"/>
    <w:rsid w:val="008E021B"/>
    <w:rsid w:val="008E0361"/>
    <w:rsid w:val="008E04AF"/>
    <w:rsid w:val="008E051C"/>
    <w:rsid w:val="008E05D3"/>
    <w:rsid w:val="008E0640"/>
    <w:rsid w:val="008E06B5"/>
    <w:rsid w:val="008E090E"/>
    <w:rsid w:val="008E09A7"/>
    <w:rsid w:val="008E0AE9"/>
    <w:rsid w:val="008E0C27"/>
    <w:rsid w:val="008E0CEA"/>
    <w:rsid w:val="008E0DD1"/>
    <w:rsid w:val="008E0F3E"/>
    <w:rsid w:val="008E107F"/>
    <w:rsid w:val="008E1106"/>
    <w:rsid w:val="008E1176"/>
    <w:rsid w:val="008E11B7"/>
    <w:rsid w:val="008E11FA"/>
    <w:rsid w:val="008E123B"/>
    <w:rsid w:val="008E12CC"/>
    <w:rsid w:val="008E133F"/>
    <w:rsid w:val="008E142A"/>
    <w:rsid w:val="008E159A"/>
    <w:rsid w:val="008E15E4"/>
    <w:rsid w:val="008E17D0"/>
    <w:rsid w:val="008E17DB"/>
    <w:rsid w:val="008E1810"/>
    <w:rsid w:val="008E1850"/>
    <w:rsid w:val="008E1880"/>
    <w:rsid w:val="008E1A01"/>
    <w:rsid w:val="008E1E92"/>
    <w:rsid w:val="008E1EF0"/>
    <w:rsid w:val="008E2079"/>
    <w:rsid w:val="008E20F9"/>
    <w:rsid w:val="008E2190"/>
    <w:rsid w:val="008E221C"/>
    <w:rsid w:val="008E224A"/>
    <w:rsid w:val="008E2319"/>
    <w:rsid w:val="008E23D0"/>
    <w:rsid w:val="008E26AC"/>
    <w:rsid w:val="008E2788"/>
    <w:rsid w:val="008E29D1"/>
    <w:rsid w:val="008E29DC"/>
    <w:rsid w:val="008E2AB6"/>
    <w:rsid w:val="008E2B29"/>
    <w:rsid w:val="008E2D2E"/>
    <w:rsid w:val="008E2D9F"/>
    <w:rsid w:val="008E2E04"/>
    <w:rsid w:val="008E2E3A"/>
    <w:rsid w:val="008E2EBF"/>
    <w:rsid w:val="008E2EEC"/>
    <w:rsid w:val="008E3016"/>
    <w:rsid w:val="008E322E"/>
    <w:rsid w:val="008E328C"/>
    <w:rsid w:val="008E32C9"/>
    <w:rsid w:val="008E33D9"/>
    <w:rsid w:val="008E3403"/>
    <w:rsid w:val="008E355E"/>
    <w:rsid w:val="008E35A6"/>
    <w:rsid w:val="008E35D3"/>
    <w:rsid w:val="008E35DC"/>
    <w:rsid w:val="008E3601"/>
    <w:rsid w:val="008E3693"/>
    <w:rsid w:val="008E36BA"/>
    <w:rsid w:val="008E3732"/>
    <w:rsid w:val="008E37E4"/>
    <w:rsid w:val="008E37F6"/>
    <w:rsid w:val="008E3881"/>
    <w:rsid w:val="008E3897"/>
    <w:rsid w:val="008E38F4"/>
    <w:rsid w:val="008E391C"/>
    <w:rsid w:val="008E3991"/>
    <w:rsid w:val="008E3994"/>
    <w:rsid w:val="008E39FA"/>
    <w:rsid w:val="008E3A1F"/>
    <w:rsid w:val="008E3A38"/>
    <w:rsid w:val="008E3B17"/>
    <w:rsid w:val="008E3BB2"/>
    <w:rsid w:val="008E3D57"/>
    <w:rsid w:val="008E3EC3"/>
    <w:rsid w:val="008E3F03"/>
    <w:rsid w:val="008E3F92"/>
    <w:rsid w:val="008E4052"/>
    <w:rsid w:val="008E40DF"/>
    <w:rsid w:val="008E422A"/>
    <w:rsid w:val="008E42B0"/>
    <w:rsid w:val="008E4337"/>
    <w:rsid w:val="008E45CD"/>
    <w:rsid w:val="008E461A"/>
    <w:rsid w:val="008E4639"/>
    <w:rsid w:val="008E4704"/>
    <w:rsid w:val="008E4723"/>
    <w:rsid w:val="008E476C"/>
    <w:rsid w:val="008E4778"/>
    <w:rsid w:val="008E47ED"/>
    <w:rsid w:val="008E4865"/>
    <w:rsid w:val="008E486F"/>
    <w:rsid w:val="008E48B2"/>
    <w:rsid w:val="008E48C1"/>
    <w:rsid w:val="008E49B8"/>
    <w:rsid w:val="008E4A50"/>
    <w:rsid w:val="008E4C53"/>
    <w:rsid w:val="008E4CF1"/>
    <w:rsid w:val="008E4D22"/>
    <w:rsid w:val="008E4FC7"/>
    <w:rsid w:val="008E514D"/>
    <w:rsid w:val="008E51D6"/>
    <w:rsid w:val="008E5219"/>
    <w:rsid w:val="008E521F"/>
    <w:rsid w:val="008E52C2"/>
    <w:rsid w:val="008E5322"/>
    <w:rsid w:val="008E54DF"/>
    <w:rsid w:val="008E54FD"/>
    <w:rsid w:val="008E5529"/>
    <w:rsid w:val="008E5546"/>
    <w:rsid w:val="008E5573"/>
    <w:rsid w:val="008E562A"/>
    <w:rsid w:val="008E56CF"/>
    <w:rsid w:val="008E5719"/>
    <w:rsid w:val="008E574B"/>
    <w:rsid w:val="008E5971"/>
    <w:rsid w:val="008E5A0F"/>
    <w:rsid w:val="008E5A9E"/>
    <w:rsid w:val="008E5B65"/>
    <w:rsid w:val="008E5B90"/>
    <w:rsid w:val="008E5BD9"/>
    <w:rsid w:val="008E5C79"/>
    <w:rsid w:val="008E5CF0"/>
    <w:rsid w:val="008E5DE1"/>
    <w:rsid w:val="008E5DE6"/>
    <w:rsid w:val="008E5E33"/>
    <w:rsid w:val="008E5EA0"/>
    <w:rsid w:val="008E5FA4"/>
    <w:rsid w:val="008E5FBA"/>
    <w:rsid w:val="008E5FEA"/>
    <w:rsid w:val="008E60B8"/>
    <w:rsid w:val="008E619B"/>
    <w:rsid w:val="008E639F"/>
    <w:rsid w:val="008E63AE"/>
    <w:rsid w:val="008E641D"/>
    <w:rsid w:val="008E669D"/>
    <w:rsid w:val="008E68B6"/>
    <w:rsid w:val="008E69A2"/>
    <w:rsid w:val="008E6AA3"/>
    <w:rsid w:val="008E6B5A"/>
    <w:rsid w:val="008E6D01"/>
    <w:rsid w:val="008E6DF8"/>
    <w:rsid w:val="008E6E34"/>
    <w:rsid w:val="008E6EBC"/>
    <w:rsid w:val="008E6F5A"/>
    <w:rsid w:val="008E70EA"/>
    <w:rsid w:val="008E70F3"/>
    <w:rsid w:val="008E71C6"/>
    <w:rsid w:val="008E724D"/>
    <w:rsid w:val="008E7268"/>
    <w:rsid w:val="008E74B5"/>
    <w:rsid w:val="008E75DB"/>
    <w:rsid w:val="008E7679"/>
    <w:rsid w:val="008E76F9"/>
    <w:rsid w:val="008E76FB"/>
    <w:rsid w:val="008E772B"/>
    <w:rsid w:val="008E7872"/>
    <w:rsid w:val="008E792C"/>
    <w:rsid w:val="008E797D"/>
    <w:rsid w:val="008E79D8"/>
    <w:rsid w:val="008E7AC3"/>
    <w:rsid w:val="008E7AF8"/>
    <w:rsid w:val="008E7BA5"/>
    <w:rsid w:val="008E7CE7"/>
    <w:rsid w:val="008E7E14"/>
    <w:rsid w:val="008E7EE7"/>
    <w:rsid w:val="008E7FA2"/>
    <w:rsid w:val="008F0303"/>
    <w:rsid w:val="008F0305"/>
    <w:rsid w:val="008F032B"/>
    <w:rsid w:val="008F03CB"/>
    <w:rsid w:val="008F04B4"/>
    <w:rsid w:val="008F06E4"/>
    <w:rsid w:val="008F07FB"/>
    <w:rsid w:val="008F0832"/>
    <w:rsid w:val="008F092D"/>
    <w:rsid w:val="008F0A45"/>
    <w:rsid w:val="008F0B26"/>
    <w:rsid w:val="008F0C7A"/>
    <w:rsid w:val="008F0D45"/>
    <w:rsid w:val="008F0FFB"/>
    <w:rsid w:val="008F102E"/>
    <w:rsid w:val="008F10C2"/>
    <w:rsid w:val="008F1144"/>
    <w:rsid w:val="008F1365"/>
    <w:rsid w:val="008F13A7"/>
    <w:rsid w:val="008F152E"/>
    <w:rsid w:val="008F1541"/>
    <w:rsid w:val="008F1B5D"/>
    <w:rsid w:val="008F1CB2"/>
    <w:rsid w:val="008F1D61"/>
    <w:rsid w:val="008F1D8A"/>
    <w:rsid w:val="008F1DE8"/>
    <w:rsid w:val="008F1E3C"/>
    <w:rsid w:val="008F1E65"/>
    <w:rsid w:val="008F1E6C"/>
    <w:rsid w:val="008F1FC7"/>
    <w:rsid w:val="008F20E3"/>
    <w:rsid w:val="008F2108"/>
    <w:rsid w:val="008F2224"/>
    <w:rsid w:val="008F222C"/>
    <w:rsid w:val="008F2345"/>
    <w:rsid w:val="008F2349"/>
    <w:rsid w:val="008F2480"/>
    <w:rsid w:val="008F265D"/>
    <w:rsid w:val="008F2672"/>
    <w:rsid w:val="008F26D6"/>
    <w:rsid w:val="008F28A3"/>
    <w:rsid w:val="008F29B1"/>
    <w:rsid w:val="008F2A07"/>
    <w:rsid w:val="008F2AAD"/>
    <w:rsid w:val="008F2AD9"/>
    <w:rsid w:val="008F2B4C"/>
    <w:rsid w:val="008F2C52"/>
    <w:rsid w:val="008F2DB9"/>
    <w:rsid w:val="008F2E2A"/>
    <w:rsid w:val="008F2E3D"/>
    <w:rsid w:val="008F2E4B"/>
    <w:rsid w:val="008F2F1A"/>
    <w:rsid w:val="008F2FAC"/>
    <w:rsid w:val="008F2FFE"/>
    <w:rsid w:val="008F3176"/>
    <w:rsid w:val="008F31D0"/>
    <w:rsid w:val="008F31EF"/>
    <w:rsid w:val="008F32E0"/>
    <w:rsid w:val="008F330B"/>
    <w:rsid w:val="008F3367"/>
    <w:rsid w:val="008F3401"/>
    <w:rsid w:val="008F3433"/>
    <w:rsid w:val="008F34B5"/>
    <w:rsid w:val="008F34BD"/>
    <w:rsid w:val="008F3630"/>
    <w:rsid w:val="008F3698"/>
    <w:rsid w:val="008F36AB"/>
    <w:rsid w:val="008F36F3"/>
    <w:rsid w:val="008F372D"/>
    <w:rsid w:val="008F3735"/>
    <w:rsid w:val="008F3758"/>
    <w:rsid w:val="008F37A7"/>
    <w:rsid w:val="008F382B"/>
    <w:rsid w:val="008F38A2"/>
    <w:rsid w:val="008F38B2"/>
    <w:rsid w:val="008F3914"/>
    <w:rsid w:val="008F3917"/>
    <w:rsid w:val="008F3A57"/>
    <w:rsid w:val="008F3B36"/>
    <w:rsid w:val="008F3B55"/>
    <w:rsid w:val="008F3C5F"/>
    <w:rsid w:val="008F3D38"/>
    <w:rsid w:val="008F3DE8"/>
    <w:rsid w:val="008F3E92"/>
    <w:rsid w:val="008F3EEF"/>
    <w:rsid w:val="008F4008"/>
    <w:rsid w:val="008F4166"/>
    <w:rsid w:val="008F42D0"/>
    <w:rsid w:val="008F43BD"/>
    <w:rsid w:val="008F447C"/>
    <w:rsid w:val="008F44BB"/>
    <w:rsid w:val="008F45A3"/>
    <w:rsid w:val="008F461B"/>
    <w:rsid w:val="008F4B13"/>
    <w:rsid w:val="008F4C61"/>
    <w:rsid w:val="008F4D62"/>
    <w:rsid w:val="008F4E07"/>
    <w:rsid w:val="008F4E13"/>
    <w:rsid w:val="008F4E69"/>
    <w:rsid w:val="008F502C"/>
    <w:rsid w:val="008F50D9"/>
    <w:rsid w:val="008F5147"/>
    <w:rsid w:val="008F514E"/>
    <w:rsid w:val="008F5308"/>
    <w:rsid w:val="008F5375"/>
    <w:rsid w:val="008F53D1"/>
    <w:rsid w:val="008F542C"/>
    <w:rsid w:val="008F55F2"/>
    <w:rsid w:val="008F5613"/>
    <w:rsid w:val="008F5629"/>
    <w:rsid w:val="008F570F"/>
    <w:rsid w:val="008F573C"/>
    <w:rsid w:val="008F57B3"/>
    <w:rsid w:val="008F5984"/>
    <w:rsid w:val="008F5B2C"/>
    <w:rsid w:val="008F5C57"/>
    <w:rsid w:val="008F5D1B"/>
    <w:rsid w:val="008F5E2D"/>
    <w:rsid w:val="008F5F43"/>
    <w:rsid w:val="008F5FF6"/>
    <w:rsid w:val="008F624B"/>
    <w:rsid w:val="008F652F"/>
    <w:rsid w:val="008F66ED"/>
    <w:rsid w:val="008F6728"/>
    <w:rsid w:val="008F6741"/>
    <w:rsid w:val="008F68A0"/>
    <w:rsid w:val="008F693E"/>
    <w:rsid w:val="008F697E"/>
    <w:rsid w:val="008F69DB"/>
    <w:rsid w:val="008F69E7"/>
    <w:rsid w:val="008F6ADE"/>
    <w:rsid w:val="008F6B03"/>
    <w:rsid w:val="008F6BC8"/>
    <w:rsid w:val="008F6EF1"/>
    <w:rsid w:val="008F748F"/>
    <w:rsid w:val="008F756F"/>
    <w:rsid w:val="008F7624"/>
    <w:rsid w:val="008F77A4"/>
    <w:rsid w:val="008F78F5"/>
    <w:rsid w:val="008F7A35"/>
    <w:rsid w:val="008F7A80"/>
    <w:rsid w:val="008F7BE8"/>
    <w:rsid w:val="008F7CB7"/>
    <w:rsid w:val="008F7E59"/>
    <w:rsid w:val="008F7EE6"/>
    <w:rsid w:val="008F7F2E"/>
    <w:rsid w:val="008F7FB0"/>
    <w:rsid w:val="00900140"/>
    <w:rsid w:val="0090021B"/>
    <w:rsid w:val="00900233"/>
    <w:rsid w:val="00900298"/>
    <w:rsid w:val="00900319"/>
    <w:rsid w:val="00900338"/>
    <w:rsid w:val="0090034A"/>
    <w:rsid w:val="00900400"/>
    <w:rsid w:val="0090043D"/>
    <w:rsid w:val="0090061F"/>
    <w:rsid w:val="00900642"/>
    <w:rsid w:val="00900649"/>
    <w:rsid w:val="009007CB"/>
    <w:rsid w:val="0090092D"/>
    <w:rsid w:val="00900A5A"/>
    <w:rsid w:val="00900ABE"/>
    <w:rsid w:val="00900AD7"/>
    <w:rsid w:val="00900BCD"/>
    <w:rsid w:val="00900BD1"/>
    <w:rsid w:val="00900CC1"/>
    <w:rsid w:val="00900CF5"/>
    <w:rsid w:val="00900CFF"/>
    <w:rsid w:val="00900D90"/>
    <w:rsid w:val="00900E01"/>
    <w:rsid w:val="00900E27"/>
    <w:rsid w:val="00900E7E"/>
    <w:rsid w:val="00900E94"/>
    <w:rsid w:val="00900F44"/>
    <w:rsid w:val="00900FC9"/>
    <w:rsid w:val="00901017"/>
    <w:rsid w:val="0090111F"/>
    <w:rsid w:val="00901172"/>
    <w:rsid w:val="00901180"/>
    <w:rsid w:val="00901183"/>
    <w:rsid w:val="009011D7"/>
    <w:rsid w:val="00901346"/>
    <w:rsid w:val="009013E0"/>
    <w:rsid w:val="00901540"/>
    <w:rsid w:val="0090179B"/>
    <w:rsid w:val="009017BF"/>
    <w:rsid w:val="009018C1"/>
    <w:rsid w:val="009018C3"/>
    <w:rsid w:val="009018E5"/>
    <w:rsid w:val="009018EB"/>
    <w:rsid w:val="0090196E"/>
    <w:rsid w:val="00901A05"/>
    <w:rsid w:val="00901B13"/>
    <w:rsid w:val="00901BC7"/>
    <w:rsid w:val="00901CC7"/>
    <w:rsid w:val="00901DF8"/>
    <w:rsid w:val="00901E84"/>
    <w:rsid w:val="00901F6F"/>
    <w:rsid w:val="00901FC3"/>
    <w:rsid w:val="00902077"/>
    <w:rsid w:val="009020C7"/>
    <w:rsid w:val="00902179"/>
    <w:rsid w:val="0090226E"/>
    <w:rsid w:val="0090228D"/>
    <w:rsid w:val="0090253E"/>
    <w:rsid w:val="0090254B"/>
    <w:rsid w:val="009026F0"/>
    <w:rsid w:val="00902722"/>
    <w:rsid w:val="009027B9"/>
    <w:rsid w:val="00902801"/>
    <w:rsid w:val="009028C2"/>
    <w:rsid w:val="009028EB"/>
    <w:rsid w:val="009028F6"/>
    <w:rsid w:val="0090299A"/>
    <w:rsid w:val="00902AC7"/>
    <w:rsid w:val="00902BFE"/>
    <w:rsid w:val="00902C48"/>
    <w:rsid w:val="00902D0D"/>
    <w:rsid w:val="00902DE4"/>
    <w:rsid w:val="00902E24"/>
    <w:rsid w:val="00902E45"/>
    <w:rsid w:val="00902EA9"/>
    <w:rsid w:val="00902F1C"/>
    <w:rsid w:val="0090308B"/>
    <w:rsid w:val="0090309E"/>
    <w:rsid w:val="0090313B"/>
    <w:rsid w:val="00903157"/>
    <w:rsid w:val="00903228"/>
    <w:rsid w:val="00903372"/>
    <w:rsid w:val="00903477"/>
    <w:rsid w:val="0090348B"/>
    <w:rsid w:val="00903563"/>
    <w:rsid w:val="009035AB"/>
    <w:rsid w:val="00903602"/>
    <w:rsid w:val="00903661"/>
    <w:rsid w:val="009036B9"/>
    <w:rsid w:val="009036E3"/>
    <w:rsid w:val="00903722"/>
    <w:rsid w:val="0090394C"/>
    <w:rsid w:val="009039D4"/>
    <w:rsid w:val="00903B9A"/>
    <w:rsid w:val="00903D63"/>
    <w:rsid w:val="00903DE1"/>
    <w:rsid w:val="00903E22"/>
    <w:rsid w:val="00903F12"/>
    <w:rsid w:val="00903FFF"/>
    <w:rsid w:val="00904076"/>
    <w:rsid w:val="009040B1"/>
    <w:rsid w:val="00904140"/>
    <w:rsid w:val="009041CE"/>
    <w:rsid w:val="00904224"/>
    <w:rsid w:val="009042F6"/>
    <w:rsid w:val="00904367"/>
    <w:rsid w:val="00904434"/>
    <w:rsid w:val="009044CD"/>
    <w:rsid w:val="009045C0"/>
    <w:rsid w:val="00904652"/>
    <w:rsid w:val="0090472C"/>
    <w:rsid w:val="00904881"/>
    <w:rsid w:val="00904A96"/>
    <w:rsid w:val="00904B35"/>
    <w:rsid w:val="00904CC7"/>
    <w:rsid w:val="00904D2F"/>
    <w:rsid w:val="00904D89"/>
    <w:rsid w:val="00904DF7"/>
    <w:rsid w:val="00904EA5"/>
    <w:rsid w:val="00904FBC"/>
    <w:rsid w:val="0090504F"/>
    <w:rsid w:val="009051FB"/>
    <w:rsid w:val="00905207"/>
    <w:rsid w:val="0090522F"/>
    <w:rsid w:val="009052CE"/>
    <w:rsid w:val="00905332"/>
    <w:rsid w:val="0090534D"/>
    <w:rsid w:val="00905437"/>
    <w:rsid w:val="00905462"/>
    <w:rsid w:val="00905495"/>
    <w:rsid w:val="0090552D"/>
    <w:rsid w:val="0090559B"/>
    <w:rsid w:val="00905628"/>
    <w:rsid w:val="00905991"/>
    <w:rsid w:val="009059FC"/>
    <w:rsid w:val="00905ACC"/>
    <w:rsid w:val="00905BD6"/>
    <w:rsid w:val="00905CE3"/>
    <w:rsid w:val="00905D64"/>
    <w:rsid w:val="00905E10"/>
    <w:rsid w:val="00905E83"/>
    <w:rsid w:val="009061FA"/>
    <w:rsid w:val="00906373"/>
    <w:rsid w:val="009063F7"/>
    <w:rsid w:val="00906571"/>
    <w:rsid w:val="0090660C"/>
    <w:rsid w:val="00906785"/>
    <w:rsid w:val="009067E9"/>
    <w:rsid w:val="009067F8"/>
    <w:rsid w:val="0090689A"/>
    <w:rsid w:val="009068A1"/>
    <w:rsid w:val="009069C5"/>
    <w:rsid w:val="00906A30"/>
    <w:rsid w:val="00906AF2"/>
    <w:rsid w:val="00906C00"/>
    <w:rsid w:val="00906C16"/>
    <w:rsid w:val="00906CFE"/>
    <w:rsid w:val="00906E54"/>
    <w:rsid w:val="00906F3C"/>
    <w:rsid w:val="0090704A"/>
    <w:rsid w:val="0090706F"/>
    <w:rsid w:val="00907251"/>
    <w:rsid w:val="0090730E"/>
    <w:rsid w:val="00907314"/>
    <w:rsid w:val="0090731C"/>
    <w:rsid w:val="00907391"/>
    <w:rsid w:val="009073C2"/>
    <w:rsid w:val="0090753B"/>
    <w:rsid w:val="009075B1"/>
    <w:rsid w:val="009077F7"/>
    <w:rsid w:val="009078D0"/>
    <w:rsid w:val="00907948"/>
    <w:rsid w:val="00907A5E"/>
    <w:rsid w:val="00907A75"/>
    <w:rsid w:val="00907A94"/>
    <w:rsid w:val="00907ACD"/>
    <w:rsid w:val="00907B88"/>
    <w:rsid w:val="00907CD0"/>
    <w:rsid w:val="00907D57"/>
    <w:rsid w:val="00907EBC"/>
    <w:rsid w:val="00907EC8"/>
    <w:rsid w:val="00907EFA"/>
    <w:rsid w:val="00907F88"/>
    <w:rsid w:val="00907FD5"/>
    <w:rsid w:val="009100D9"/>
    <w:rsid w:val="009100F6"/>
    <w:rsid w:val="009101AE"/>
    <w:rsid w:val="0091029B"/>
    <w:rsid w:val="009102DF"/>
    <w:rsid w:val="009104D7"/>
    <w:rsid w:val="009105AE"/>
    <w:rsid w:val="009105CB"/>
    <w:rsid w:val="00910664"/>
    <w:rsid w:val="009106DF"/>
    <w:rsid w:val="009106EB"/>
    <w:rsid w:val="0091092C"/>
    <w:rsid w:val="0091098C"/>
    <w:rsid w:val="009109FF"/>
    <w:rsid w:val="00910A4B"/>
    <w:rsid w:val="00910A9F"/>
    <w:rsid w:val="00910ACA"/>
    <w:rsid w:val="00910B63"/>
    <w:rsid w:val="00910B96"/>
    <w:rsid w:val="00910BB0"/>
    <w:rsid w:val="00910C3B"/>
    <w:rsid w:val="00910E6C"/>
    <w:rsid w:val="00910EE7"/>
    <w:rsid w:val="00910F27"/>
    <w:rsid w:val="00910F35"/>
    <w:rsid w:val="0091107E"/>
    <w:rsid w:val="00911246"/>
    <w:rsid w:val="00911291"/>
    <w:rsid w:val="00911462"/>
    <w:rsid w:val="009114EC"/>
    <w:rsid w:val="0091155F"/>
    <w:rsid w:val="009118D0"/>
    <w:rsid w:val="009118DF"/>
    <w:rsid w:val="00911969"/>
    <w:rsid w:val="00911A54"/>
    <w:rsid w:val="00911A6B"/>
    <w:rsid w:val="00911B92"/>
    <w:rsid w:val="00911E66"/>
    <w:rsid w:val="00911EE1"/>
    <w:rsid w:val="00911F1F"/>
    <w:rsid w:val="00911F6B"/>
    <w:rsid w:val="0091200D"/>
    <w:rsid w:val="00912112"/>
    <w:rsid w:val="00912396"/>
    <w:rsid w:val="00912475"/>
    <w:rsid w:val="00912476"/>
    <w:rsid w:val="0091248D"/>
    <w:rsid w:val="00912530"/>
    <w:rsid w:val="0091268A"/>
    <w:rsid w:val="009126D0"/>
    <w:rsid w:val="00912769"/>
    <w:rsid w:val="009127ED"/>
    <w:rsid w:val="00912AA0"/>
    <w:rsid w:val="00912AE6"/>
    <w:rsid w:val="00912C7D"/>
    <w:rsid w:val="00912FC7"/>
    <w:rsid w:val="00912FF2"/>
    <w:rsid w:val="00913071"/>
    <w:rsid w:val="00913118"/>
    <w:rsid w:val="00913328"/>
    <w:rsid w:val="009133DE"/>
    <w:rsid w:val="0091343C"/>
    <w:rsid w:val="0091349E"/>
    <w:rsid w:val="00913836"/>
    <w:rsid w:val="0091390A"/>
    <w:rsid w:val="00913991"/>
    <w:rsid w:val="009139E4"/>
    <w:rsid w:val="009139F6"/>
    <w:rsid w:val="00913A7B"/>
    <w:rsid w:val="00913AE1"/>
    <w:rsid w:val="00913B1F"/>
    <w:rsid w:val="00913B85"/>
    <w:rsid w:val="00913B87"/>
    <w:rsid w:val="00913E12"/>
    <w:rsid w:val="00913EBC"/>
    <w:rsid w:val="0091410A"/>
    <w:rsid w:val="0091410E"/>
    <w:rsid w:val="009141C6"/>
    <w:rsid w:val="00914363"/>
    <w:rsid w:val="00914544"/>
    <w:rsid w:val="009145B8"/>
    <w:rsid w:val="009145C4"/>
    <w:rsid w:val="0091464F"/>
    <w:rsid w:val="009146BA"/>
    <w:rsid w:val="009149F6"/>
    <w:rsid w:val="00914A90"/>
    <w:rsid w:val="00914D2E"/>
    <w:rsid w:val="00914E1D"/>
    <w:rsid w:val="00914EFD"/>
    <w:rsid w:val="00914F85"/>
    <w:rsid w:val="0091508E"/>
    <w:rsid w:val="00915157"/>
    <w:rsid w:val="009151CB"/>
    <w:rsid w:val="00915313"/>
    <w:rsid w:val="0091531A"/>
    <w:rsid w:val="00915460"/>
    <w:rsid w:val="009154C4"/>
    <w:rsid w:val="00915730"/>
    <w:rsid w:val="00915780"/>
    <w:rsid w:val="009158C0"/>
    <w:rsid w:val="00915939"/>
    <w:rsid w:val="0091593F"/>
    <w:rsid w:val="00915965"/>
    <w:rsid w:val="00915A0F"/>
    <w:rsid w:val="00915BCA"/>
    <w:rsid w:val="00915D10"/>
    <w:rsid w:val="00915D78"/>
    <w:rsid w:val="00915F73"/>
    <w:rsid w:val="0091606E"/>
    <w:rsid w:val="00916168"/>
    <w:rsid w:val="009161B0"/>
    <w:rsid w:val="00916255"/>
    <w:rsid w:val="0091635E"/>
    <w:rsid w:val="00916387"/>
    <w:rsid w:val="009163E0"/>
    <w:rsid w:val="009164F2"/>
    <w:rsid w:val="00916544"/>
    <w:rsid w:val="00916656"/>
    <w:rsid w:val="00916678"/>
    <w:rsid w:val="0091668F"/>
    <w:rsid w:val="00916786"/>
    <w:rsid w:val="009169A1"/>
    <w:rsid w:val="00916B32"/>
    <w:rsid w:val="00916EC1"/>
    <w:rsid w:val="00916EC4"/>
    <w:rsid w:val="009170FC"/>
    <w:rsid w:val="00917594"/>
    <w:rsid w:val="00917923"/>
    <w:rsid w:val="00917978"/>
    <w:rsid w:val="0091799D"/>
    <w:rsid w:val="00917B56"/>
    <w:rsid w:val="00917DA0"/>
    <w:rsid w:val="0092016F"/>
    <w:rsid w:val="00920180"/>
    <w:rsid w:val="00920189"/>
    <w:rsid w:val="0092018D"/>
    <w:rsid w:val="009201F5"/>
    <w:rsid w:val="00920233"/>
    <w:rsid w:val="009204B7"/>
    <w:rsid w:val="009204DE"/>
    <w:rsid w:val="0092063E"/>
    <w:rsid w:val="0092065C"/>
    <w:rsid w:val="009208FD"/>
    <w:rsid w:val="00920944"/>
    <w:rsid w:val="00920947"/>
    <w:rsid w:val="0092097B"/>
    <w:rsid w:val="009209A6"/>
    <w:rsid w:val="00920AE5"/>
    <w:rsid w:val="00920AFB"/>
    <w:rsid w:val="00920B7A"/>
    <w:rsid w:val="00920BE6"/>
    <w:rsid w:val="00920C1D"/>
    <w:rsid w:val="00920C57"/>
    <w:rsid w:val="00920E52"/>
    <w:rsid w:val="00920F87"/>
    <w:rsid w:val="009210DA"/>
    <w:rsid w:val="009210E9"/>
    <w:rsid w:val="00921252"/>
    <w:rsid w:val="00921259"/>
    <w:rsid w:val="00921457"/>
    <w:rsid w:val="00921483"/>
    <w:rsid w:val="00921499"/>
    <w:rsid w:val="009215EF"/>
    <w:rsid w:val="00921647"/>
    <w:rsid w:val="0092178A"/>
    <w:rsid w:val="009217F0"/>
    <w:rsid w:val="0092189F"/>
    <w:rsid w:val="0092197E"/>
    <w:rsid w:val="00921994"/>
    <w:rsid w:val="00921A8B"/>
    <w:rsid w:val="00921D81"/>
    <w:rsid w:val="00921DE1"/>
    <w:rsid w:val="00921EE9"/>
    <w:rsid w:val="0092215F"/>
    <w:rsid w:val="009221D6"/>
    <w:rsid w:val="009221F4"/>
    <w:rsid w:val="00922294"/>
    <w:rsid w:val="00922379"/>
    <w:rsid w:val="009223DB"/>
    <w:rsid w:val="00922403"/>
    <w:rsid w:val="00922513"/>
    <w:rsid w:val="00922516"/>
    <w:rsid w:val="00922635"/>
    <w:rsid w:val="0092267E"/>
    <w:rsid w:val="009227A9"/>
    <w:rsid w:val="009227AA"/>
    <w:rsid w:val="009227E4"/>
    <w:rsid w:val="0092281E"/>
    <w:rsid w:val="0092297B"/>
    <w:rsid w:val="00922993"/>
    <w:rsid w:val="00922C87"/>
    <w:rsid w:val="00922D00"/>
    <w:rsid w:val="00922E06"/>
    <w:rsid w:val="00922E29"/>
    <w:rsid w:val="00923013"/>
    <w:rsid w:val="00923034"/>
    <w:rsid w:val="009230C7"/>
    <w:rsid w:val="009230D0"/>
    <w:rsid w:val="009231AC"/>
    <w:rsid w:val="009232B3"/>
    <w:rsid w:val="009233A2"/>
    <w:rsid w:val="00923529"/>
    <w:rsid w:val="0092353E"/>
    <w:rsid w:val="00923635"/>
    <w:rsid w:val="009236DD"/>
    <w:rsid w:val="00923714"/>
    <w:rsid w:val="009238DE"/>
    <w:rsid w:val="00923C31"/>
    <w:rsid w:val="00923E1E"/>
    <w:rsid w:val="00923E98"/>
    <w:rsid w:val="00923EC4"/>
    <w:rsid w:val="00923FD8"/>
    <w:rsid w:val="0092400D"/>
    <w:rsid w:val="00924054"/>
    <w:rsid w:val="00924230"/>
    <w:rsid w:val="00924309"/>
    <w:rsid w:val="00924317"/>
    <w:rsid w:val="00924464"/>
    <w:rsid w:val="00924488"/>
    <w:rsid w:val="0092449E"/>
    <w:rsid w:val="009244AE"/>
    <w:rsid w:val="009244C6"/>
    <w:rsid w:val="009246C7"/>
    <w:rsid w:val="00924719"/>
    <w:rsid w:val="0092491A"/>
    <w:rsid w:val="009249BC"/>
    <w:rsid w:val="00924A35"/>
    <w:rsid w:val="00924C31"/>
    <w:rsid w:val="00924C6F"/>
    <w:rsid w:val="00924CDE"/>
    <w:rsid w:val="00924D32"/>
    <w:rsid w:val="00924E2C"/>
    <w:rsid w:val="00924F6F"/>
    <w:rsid w:val="00925066"/>
    <w:rsid w:val="0092516E"/>
    <w:rsid w:val="009251DC"/>
    <w:rsid w:val="0092535C"/>
    <w:rsid w:val="009254DF"/>
    <w:rsid w:val="00925577"/>
    <w:rsid w:val="0092559B"/>
    <w:rsid w:val="009256FE"/>
    <w:rsid w:val="009257E1"/>
    <w:rsid w:val="00925969"/>
    <w:rsid w:val="00925B6E"/>
    <w:rsid w:val="00925C7F"/>
    <w:rsid w:val="00925D77"/>
    <w:rsid w:val="00925D78"/>
    <w:rsid w:val="00925E5B"/>
    <w:rsid w:val="00925F11"/>
    <w:rsid w:val="00925F83"/>
    <w:rsid w:val="00926036"/>
    <w:rsid w:val="00926071"/>
    <w:rsid w:val="00926141"/>
    <w:rsid w:val="00926242"/>
    <w:rsid w:val="00926340"/>
    <w:rsid w:val="00926592"/>
    <w:rsid w:val="00926594"/>
    <w:rsid w:val="00926617"/>
    <w:rsid w:val="0092662E"/>
    <w:rsid w:val="00926665"/>
    <w:rsid w:val="009266BF"/>
    <w:rsid w:val="0092676E"/>
    <w:rsid w:val="009267DA"/>
    <w:rsid w:val="0092681A"/>
    <w:rsid w:val="009269AD"/>
    <w:rsid w:val="009269F3"/>
    <w:rsid w:val="00926A0D"/>
    <w:rsid w:val="00926A63"/>
    <w:rsid w:val="00926B6B"/>
    <w:rsid w:val="00926BDE"/>
    <w:rsid w:val="00926BF1"/>
    <w:rsid w:val="00926C89"/>
    <w:rsid w:val="00926E07"/>
    <w:rsid w:val="00926E13"/>
    <w:rsid w:val="00926E5E"/>
    <w:rsid w:val="00926EE6"/>
    <w:rsid w:val="00926FDB"/>
    <w:rsid w:val="00927022"/>
    <w:rsid w:val="009270DC"/>
    <w:rsid w:val="0092717A"/>
    <w:rsid w:val="009271AF"/>
    <w:rsid w:val="009271E9"/>
    <w:rsid w:val="0092720D"/>
    <w:rsid w:val="0092723A"/>
    <w:rsid w:val="009272B5"/>
    <w:rsid w:val="009274E6"/>
    <w:rsid w:val="00927530"/>
    <w:rsid w:val="0092780E"/>
    <w:rsid w:val="00927825"/>
    <w:rsid w:val="0092792E"/>
    <w:rsid w:val="00927948"/>
    <w:rsid w:val="009279CA"/>
    <w:rsid w:val="00927A6E"/>
    <w:rsid w:val="00927AC4"/>
    <w:rsid w:val="00927BF6"/>
    <w:rsid w:val="00927C25"/>
    <w:rsid w:val="00927C78"/>
    <w:rsid w:val="00927D25"/>
    <w:rsid w:val="00927F0E"/>
    <w:rsid w:val="00927F29"/>
    <w:rsid w:val="00927F35"/>
    <w:rsid w:val="00927FB1"/>
    <w:rsid w:val="009300D4"/>
    <w:rsid w:val="00930195"/>
    <w:rsid w:val="009302CF"/>
    <w:rsid w:val="009302E6"/>
    <w:rsid w:val="00930313"/>
    <w:rsid w:val="0093034F"/>
    <w:rsid w:val="00930374"/>
    <w:rsid w:val="0093050A"/>
    <w:rsid w:val="009306EF"/>
    <w:rsid w:val="00930899"/>
    <w:rsid w:val="00930A8E"/>
    <w:rsid w:val="00930BBA"/>
    <w:rsid w:val="00930E93"/>
    <w:rsid w:val="00930F6C"/>
    <w:rsid w:val="00930FAF"/>
    <w:rsid w:val="00931003"/>
    <w:rsid w:val="009311D6"/>
    <w:rsid w:val="009311EF"/>
    <w:rsid w:val="0093122F"/>
    <w:rsid w:val="009312C7"/>
    <w:rsid w:val="0093133D"/>
    <w:rsid w:val="0093141E"/>
    <w:rsid w:val="00931454"/>
    <w:rsid w:val="009314FC"/>
    <w:rsid w:val="00931672"/>
    <w:rsid w:val="00931752"/>
    <w:rsid w:val="00931786"/>
    <w:rsid w:val="00931808"/>
    <w:rsid w:val="00931896"/>
    <w:rsid w:val="009318DC"/>
    <w:rsid w:val="009318F8"/>
    <w:rsid w:val="0093193B"/>
    <w:rsid w:val="00931950"/>
    <w:rsid w:val="00931A15"/>
    <w:rsid w:val="00931A88"/>
    <w:rsid w:val="00931C9C"/>
    <w:rsid w:val="00931D92"/>
    <w:rsid w:val="00931DF8"/>
    <w:rsid w:val="00931E75"/>
    <w:rsid w:val="00931FE4"/>
    <w:rsid w:val="00932136"/>
    <w:rsid w:val="00932386"/>
    <w:rsid w:val="009324B6"/>
    <w:rsid w:val="009325CC"/>
    <w:rsid w:val="00932627"/>
    <w:rsid w:val="0093262A"/>
    <w:rsid w:val="0093262E"/>
    <w:rsid w:val="0093287C"/>
    <w:rsid w:val="009328E5"/>
    <w:rsid w:val="00932B65"/>
    <w:rsid w:val="00932C09"/>
    <w:rsid w:val="00932CC6"/>
    <w:rsid w:val="00932F81"/>
    <w:rsid w:val="0093305C"/>
    <w:rsid w:val="00933117"/>
    <w:rsid w:val="0093316A"/>
    <w:rsid w:val="00933244"/>
    <w:rsid w:val="00933395"/>
    <w:rsid w:val="00933435"/>
    <w:rsid w:val="00933577"/>
    <w:rsid w:val="009336BF"/>
    <w:rsid w:val="009336D7"/>
    <w:rsid w:val="0093372C"/>
    <w:rsid w:val="009338E0"/>
    <w:rsid w:val="009339F8"/>
    <w:rsid w:val="00933A5E"/>
    <w:rsid w:val="00933AAF"/>
    <w:rsid w:val="00933BB9"/>
    <w:rsid w:val="00933C15"/>
    <w:rsid w:val="00933C17"/>
    <w:rsid w:val="00933C65"/>
    <w:rsid w:val="00933D29"/>
    <w:rsid w:val="00933D56"/>
    <w:rsid w:val="00933D57"/>
    <w:rsid w:val="00933EB5"/>
    <w:rsid w:val="00933F55"/>
    <w:rsid w:val="00933FBC"/>
    <w:rsid w:val="0093401E"/>
    <w:rsid w:val="00934028"/>
    <w:rsid w:val="0093402C"/>
    <w:rsid w:val="009340FC"/>
    <w:rsid w:val="009343FA"/>
    <w:rsid w:val="0093444D"/>
    <w:rsid w:val="0093457B"/>
    <w:rsid w:val="009345DB"/>
    <w:rsid w:val="009345ED"/>
    <w:rsid w:val="009346F1"/>
    <w:rsid w:val="009346FF"/>
    <w:rsid w:val="00934736"/>
    <w:rsid w:val="009348D2"/>
    <w:rsid w:val="00934BEC"/>
    <w:rsid w:val="00934C29"/>
    <w:rsid w:val="00934C32"/>
    <w:rsid w:val="00934C60"/>
    <w:rsid w:val="00934D12"/>
    <w:rsid w:val="00934D2C"/>
    <w:rsid w:val="00934D75"/>
    <w:rsid w:val="00934E9F"/>
    <w:rsid w:val="00934FCA"/>
    <w:rsid w:val="00935057"/>
    <w:rsid w:val="0093513E"/>
    <w:rsid w:val="00935221"/>
    <w:rsid w:val="00935443"/>
    <w:rsid w:val="00935461"/>
    <w:rsid w:val="009354C8"/>
    <w:rsid w:val="009354CD"/>
    <w:rsid w:val="009355F6"/>
    <w:rsid w:val="00935732"/>
    <w:rsid w:val="0093579C"/>
    <w:rsid w:val="009357E9"/>
    <w:rsid w:val="00935842"/>
    <w:rsid w:val="009358D7"/>
    <w:rsid w:val="009359DC"/>
    <w:rsid w:val="00935AFB"/>
    <w:rsid w:val="00935BE3"/>
    <w:rsid w:val="00935BE9"/>
    <w:rsid w:val="00935E1E"/>
    <w:rsid w:val="00935EF1"/>
    <w:rsid w:val="009360B6"/>
    <w:rsid w:val="009362A3"/>
    <w:rsid w:val="009363EE"/>
    <w:rsid w:val="00936407"/>
    <w:rsid w:val="0093647C"/>
    <w:rsid w:val="0093662E"/>
    <w:rsid w:val="009366DC"/>
    <w:rsid w:val="0093675C"/>
    <w:rsid w:val="009367B1"/>
    <w:rsid w:val="009367CD"/>
    <w:rsid w:val="0093681A"/>
    <w:rsid w:val="00936863"/>
    <w:rsid w:val="00936867"/>
    <w:rsid w:val="009368BF"/>
    <w:rsid w:val="00936902"/>
    <w:rsid w:val="00936A91"/>
    <w:rsid w:val="00936B5C"/>
    <w:rsid w:val="00936B99"/>
    <w:rsid w:val="00936C84"/>
    <w:rsid w:val="00936D53"/>
    <w:rsid w:val="00936D95"/>
    <w:rsid w:val="00936DF8"/>
    <w:rsid w:val="00936E41"/>
    <w:rsid w:val="00936EF6"/>
    <w:rsid w:val="00936F2B"/>
    <w:rsid w:val="00936FBB"/>
    <w:rsid w:val="00937054"/>
    <w:rsid w:val="00937158"/>
    <w:rsid w:val="009371BC"/>
    <w:rsid w:val="009371F4"/>
    <w:rsid w:val="00937292"/>
    <w:rsid w:val="00937442"/>
    <w:rsid w:val="0093754F"/>
    <w:rsid w:val="009375A8"/>
    <w:rsid w:val="00937619"/>
    <w:rsid w:val="00937667"/>
    <w:rsid w:val="009377E6"/>
    <w:rsid w:val="00937958"/>
    <w:rsid w:val="00937A0A"/>
    <w:rsid w:val="00937A9A"/>
    <w:rsid w:val="00937ADB"/>
    <w:rsid w:val="00937B03"/>
    <w:rsid w:val="00937B92"/>
    <w:rsid w:val="00937C86"/>
    <w:rsid w:val="00937CDA"/>
    <w:rsid w:val="00937DCF"/>
    <w:rsid w:val="00937E40"/>
    <w:rsid w:val="00937ED8"/>
    <w:rsid w:val="00937F01"/>
    <w:rsid w:val="00937FAC"/>
    <w:rsid w:val="00940088"/>
    <w:rsid w:val="00940289"/>
    <w:rsid w:val="009403F5"/>
    <w:rsid w:val="0094048D"/>
    <w:rsid w:val="00940592"/>
    <w:rsid w:val="0094071B"/>
    <w:rsid w:val="00940736"/>
    <w:rsid w:val="00940827"/>
    <w:rsid w:val="00940A46"/>
    <w:rsid w:val="00940B6B"/>
    <w:rsid w:val="00940DE4"/>
    <w:rsid w:val="00940EF6"/>
    <w:rsid w:val="00940FAB"/>
    <w:rsid w:val="00940FC5"/>
    <w:rsid w:val="00941371"/>
    <w:rsid w:val="009414A6"/>
    <w:rsid w:val="00941533"/>
    <w:rsid w:val="00941540"/>
    <w:rsid w:val="0094158E"/>
    <w:rsid w:val="009415FC"/>
    <w:rsid w:val="00941626"/>
    <w:rsid w:val="0094163E"/>
    <w:rsid w:val="00941685"/>
    <w:rsid w:val="00941712"/>
    <w:rsid w:val="0094175F"/>
    <w:rsid w:val="009417A4"/>
    <w:rsid w:val="00941891"/>
    <w:rsid w:val="00941971"/>
    <w:rsid w:val="009419F9"/>
    <w:rsid w:val="00941A30"/>
    <w:rsid w:val="00941A5C"/>
    <w:rsid w:val="00941B5A"/>
    <w:rsid w:val="00941B81"/>
    <w:rsid w:val="00941C06"/>
    <w:rsid w:val="00941E09"/>
    <w:rsid w:val="00941E24"/>
    <w:rsid w:val="00941F55"/>
    <w:rsid w:val="00941FB7"/>
    <w:rsid w:val="00942057"/>
    <w:rsid w:val="00942160"/>
    <w:rsid w:val="009421D0"/>
    <w:rsid w:val="009422D5"/>
    <w:rsid w:val="0094237E"/>
    <w:rsid w:val="009423F7"/>
    <w:rsid w:val="00942472"/>
    <w:rsid w:val="00942643"/>
    <w:rsid w:val="00942693"/>
    <w:rsid w:val="00942733"/>
    <w:rsid w:val="00942793"/>
    <w:rsid w:val="00942A90"/>
    <w:rsid w:val="00942AC3"/>
    <w:rsid w:val="00942B67"/>
    <w:rsid w:val="00942BB4"/>
    <w:rsid w:val="00942C4D"/>
    <w:rsid w:val="00942C82"/>
    <w:rsid w:val="00942D48"/>
    <w:rsid w:val="00942F1F"/>
    <w:rsid w:val="00943151"/>
    <w:rsid w:val="0094318F"/>
    <w:rsid w:val="009432FF"/>
    <w:rsid w:val="009433CB"/>
    <w:rsid w:val="0094348B"/>
    <w:rsid w:val="009434D5"/>
    <w:rsid w:val="00943687"/>
    <w:rsid w:val="009436D6"/>
    <w:rsid w:val="009438B9"/>
    <w:rsid w:val="0094397C"/>
    <w:rsid w:val="009439B5"/>
    <w:rsid w:val="00943A00"/>
    <w:rsid w:val="00943B4D"/>
    <w:rsid w:val="00943C0F"/>
    <w:rsid w:val="00943C87"/>
    <w:rsid w:val="00943D3A"/>
    <w:rsid w:val="00944053"/>
    <w:rsid w:val="009440CF"/>
    <w:rsid w:val="00944138"/>
    <w:rsid w:val="0094414B"/>
    <w:rsid w:val="0094425A"/>
    <w:rsid w:val="009442D5"/>
    <w:rsid w:val="0094430B"/>
    <w:rsid w:val="0094436F"/>
    <w:rsid w:val="00944414"/>
    <w:rsid w:val="00944428"/>
    <w:rsid w:val="00944593"/>
    <w:rsid w:val="009445DC"/>
    <w:rsid w:val="00944682"/>
    <w:rsid w:val="00944702"/>
    <w:rsid w:val="0094474D"/>
    <w:rsid w:val="009447C6"/>
    <w:rsid w:val="00944871"/>
    <w:rsid w:val="0094496C"/>
    <w:rsid w:val="009449E2"/>
    <w:rsid w:val="00944A3E"/>
    <w:rsid w:val="00944BB2"/>
    <w:rsid w:val="00944BBC"/>
    <w:rsid w:val="00944CFF"/>
    <w:rsid w:val="00944DF0"/>
    <w:rsid w:val="00944F43"/>
    <w:rsid w:val="00945002"/>
    <w:rsid w:val="00945040"/>
    <w:rsid w:val="0094508D"/>
    <w:rsid w:val="009450DF"/>
    <w:rsid w:val="00945124"/>
    <w:rsid w:val="00945363"/>
    <w:rsid w:val="0094545E"/>
    <w:rsid w:val="0094549A"/>
    <w:rsid w:val="0094554E"/>
    <w:rsid w:val="009456B0"/>
    <w:rsid w:val="009456C0"/>
    <w:rsid w:val="009456C3"/>
    <w:rsid w:val="00945803"/>
    <w:rsid w:val="00945972"/>
    <w:rsid w:val="00945BD9"/>
    <w:rsid w:val="00945C1E"/>
    <w:rsid w:val="00945CCC"/>
    <w:rsid w:val="00945CCD"/>
    <w:rsid w:val="00945D6B"/>
    <w:rsid w:val="00945D91"/>
    <w:rsid w:val="00945D95"/>
    <w:rsid w:val="00945EC9"/>
    <w:rsid w:val="00945F21"/>
    <w:rsid w:val="00946012"/>
    <w:rsid w:val="00946146"/>
    <w:rsid w:val="00946276"/>
    <w:rsid w:val="0094632F"/>
    <w:rsid w:val="00946338"/>
    <w:rsid w:val="00946461"/>
    <w:rsid w:val="00946478"/>
    <w:rsid w:val="00946634"/>
    <w:rsid w:val="00946950"/>
    <w:rsid w:val="00946959"/>
    <w:rsid w:val="0094698B"/>
    <w:rsid w:val="00946A38"/>
    <w:rsid w:val="00946B0D"/>
    <w:rsid w:val="00946C1C"/>
    <w:rsid w:val="00946C5C"/>
    <w:rsid w:val="00946C86"/>
    <w:rsid w:val="00946CBA"/>
    <w:rsid w:val="00946DEA"/>
    <w:rsid w:val="00946E10"/>
    <w:rsid w:val="00946F5D"/>
    <w:rsid w:val="00946FAA"/>
    <w:rsid w:val="00947003"/>
    <w:rsid w:val="0094705D"/>
    <w:rsid w:val="009471C8"/>
    <w:rsid w:val="009471F2"/>
    <w:rsid w:val="009472FD"/>
    <w:rsid w:val="009475AF"/>
    <w:rsid w:val="009475D0"/>
    <w:rsid w:val="009476B9"/>
    <w:rsid w:val="00947957"/>
    <w:rsid w:val="009479CD"/>
    <w:rsid w:val="00947A3F"/>
    <w:rsid w:val="00947A49"/>
    <w:rsid w:val="00947B29"/>
    <w:rsid w:val="00947BE2"/>
    <w:rsid w:val="00947E0A"/>
    <w:rsid w:val="00947FA4"/>
    <w:rsid w:val="00950028"/>
    <w:rsid w:val="00950163"/>
    <w:rsid w:val="00950195"/>
    <w:rsid w:val="00950246"/>
    <w:rsid w:val="00950459"/>
    <w:rsid w:val="009504A2"/>
    <w:rsid w:val="00950618"/>
    <w:rsid w:val="009506B6"/>
    <w:rsid w:val="009508AA"/>
    <w:rsid w:val="009508FA"/>
    <w:rsid w:val="00950AD1"/>
    <w:rsid w:val="00950C11"/>
    <w:rsid w:val="00950C1E"/>
    <w:rsid w:val="00950E3B"/>
    <w:rsid w:val="00950FD9"/>
    <w:rsid w:val="00950FDE"/>
    <w:rsid w:val="00951056"/>
    <w:rsid w:val="009510AB"/>
    <w:rsid w:val="009510CA"/>
    <w:rsid w:val="00951119"/>
    <w:rsid w:val="0095124D"/>
    <w:rsid w:val="009512A7"/>
    <w:rsid w:val="0095132E"/>
    <w:rsid w:val="0095141B"/>
    <w:rsid w:val="0095155A"/>
    <w:rsid w:val="009515FF"/>
    <w:rsid w:val="009516D9"/>
    <w:rsid w:val="009516FD"/>
    <w:rsid w:val="009518DA"/>
    <w:rsid w:val="0095195C"/>
    <w:rsid w:val="00951982"/>
    <w:rsid w:val="009519D1"/>
    <w:rsid w:val="00951A00"/>
    <w:rsid w:val="00951B10"/>
    <w:rsid w:val="00951BFA"/>
    <w:rsid w:val="00951CDB"/>
    <w:rsid w:val="00951EA8"/>
    <w:rsid w:val="00951ED8"/>
    <w:rsid w:val="00951F9E"/>
    <w:rsid w:val="00952041"/>
    <w:rsid w:val="00952133"/>
    <w:rsid w:val="0095219C"/>
    <w:rsid w:val="009522A3"/>
    <w:rsid w:val="00952349"/>
    <w:rsid w:val="00952374"/>
    <w:rsid w:val="0095237E"/>
    <w:rsid w:val="0095241C"/>
    <w:rsid w:val="009524B8"/>
    <w:rsid w:val="00952583"/>
    <w:rsid w:val="0095260E"/>
    <w:rsid w:val="0095288A"/>
    <w:rsid w:val="00952893"/>
    <w:rsid w:val="00952932"/>
    <w:rsid w:val="009529E8"/>
    <w:rsid w:val="00952DF9"/>
    <w:rsid w:val="00952E34"/>
    <w:rsid w:val="00952E52"/>
    <w:rsid w:val="00952FE8"/>
    <w:rsid w:val="009530F1"/>
    <w:rsid w:val="00953125"/>
    <w:rsid w:val="009531C3"/>
    <w:rsid w:val="00953342"/>
    <w:rsid w:val="009533F6"/>
    <w:rsid w:val="009535C4"/>
    <w:rsid w:val="009537D4"/>
    <w:rsid w:val="009539C4"/>
    <w:rsid w:val="009539C5"/>
    <w:rsid w:val="00953A34"/>
    <w:rsid w:val="00953ACF"/>
    <w:rsid w:val="00953BD2"/>
    <w:rsid w:val="00953C50"/>
    <w:rsid w:val="00953CD7"/>
    <w:rsid w:val="00953ECE"/>
    <w:rsid w:val="00953FD7"/>
    <w:rsid w:val="00953FFD"/>
    <w:rsid w:val="00954005"/>
    <w:rsid w:val="00954072"/>
    <w:rsid w:val="0095407A"/>
    <w:rsid w:val="009540A0"/>
    <w:rsid w:val="00954182"/>
    <w:rsid w:val="009541B1"/>
    <w:rsid w:val="009542BA"/>
    <w:rsid w:val="0095434D"/>
    <w:rsid w:val="0095437B"/>
    <w:rsid w:val="00954463"/>
    <w:rsid w:val="00954486"/>
    <w:rsid w:val="009544AA"/>
    <w:rsid w:val="009544C7"/>
    <w:rsid w:val="00954563"/>
    <w:rsid w:val="009545A2"/>
    <w:rsid w:val="009545C2"/>
    <w:rsid w:val="009546E7"/>
    <w:rsid w:val="00954715"/>
    <w:rsid w:val="00954767"/>
    <w:rsid w:val="00954768"/>
    <w:rsid w:val="009547E6"/>
    <w:rsid w:val="00954845"/>
    <w:rsid w:val="00954870"/>
    <w:rsid w:val="00954888"/>
    <w:rsid w:val="00954947"/>
    <w:rsid w:val="00954A66"/>
    <w:rsid w:val="00954C0E"/>
    <w:rsid w:val="00954CCF"/>
    <w:rsid w:val="00954E61"/>
    <w:rsid w:val="00954E63"/>
    <w:rsid w:val="00954E6D"/>
    <w:rsid w:val="00954F50"/>
    <w:rsid w:val="00954FAF"/>
    <w:rsid w:val="00955023"/>
    <w:rsid w:val="009550FB"/>
    <w:rsid w:val="00955132"/>
    <w:rsid w:val="0095518E"/>
    <w:rsid w:val="009551B3"/>
    <w:rsid w:val="00955755"/>
    <w:rsid w:val="00955AE7"/>
    <w:rsid w:val="00955BAE"/>
    <w:rsid w:val="00955CA2"/>
    <w:rsid w:val="00955E5A"/>
    <w:rsid w:val="00955FA7"/>
    <w:rsid w:val="00955FB0"/>
    <w:rsid w:val="0095600C"/>
    <w:rsid w:val="00956010"/>
    <w:rsid w:val="0095616C"/>
    <w:rsid w:val="00956268"/>
    <w:rsid w:val="009564D2"/>
    <w:rsid w:val="009564EE"/>
    <w:rsid w:val="009564F0"/>
    <w:rsid w:val="0095668B"/>
    <w:rsid w:val="00956857"/>
    <w:rsid w:val="009568A0"/>
    <w:rsid w:val="009568F0"/>
    <w:rsid w:val="00956B40"/>
    <w:rsid w:val="00956BB1"/>
    <w:rsid w:val="00956C32"/>
    <w:rsid w:val="00956CD4"/>
    <w:rsid w:val="0095700B"/>
    <w:rsid w:val="00957089"/>
    <w:rsid w:val="00957155"/>
    <w:rsid w:val="0095717E"/>
    <w:rsid w:val="009571A9"/>
    <w:rsid w:val="009571DA"/>
    <w:rsid w:val="0095750C"/>
    <w:rsid w:val="00957551"/>
    <w:rsid w:val="0095755A"/>
    <w:rsid w:val="009575C9"/>
    <w:rsid w:val="009576ED"/>
    <w:rsid w:val="009577F5"/>
    <w:rsid w:val="009578C2"/>
    <w:rsid w:val="009579E7"/>
    <w:rsid w:val="00957A23"/>
    <w:rsid w:val="00957A39"/>
    <w:rsid w:val="00957AB0"/>
    <w:rsid w:val="00957D1D"/>
    <w:rsid w:val="00957D79"/>
    <w:rsid w:val="00957DA5"/>
    <w:rsid w:val="00957DA7"/>
    <w:rsid w:val="00957DFF"/>
    <w:rsid w:val="00957F1E"/>
    <w:rsid w:val="00957FEC"/>
    <w:rsid w:val="00957FEF"/>
    <w:rsid w:val="00960089"/>
    <w:rsid w:val="009602AD"/>
    <w:rsid w:val="00960348"/>
    <w:rsid w:val="00960486"/>
    <w:rsid w:val="009604A9"/>
    <w:rsid w:val="00960549"/>
    <w:rsid w:val="009606E3"/>
    <w:rsid w:val="0096086F"/>
    <w:rsid w:val="0096089C"/>
    <w:rsid w:val="00960918"/>
    <w:rsid w:val="00960AC7"/>
    <w:rsid w:val="00960B0E"/>
    <w:rsid w:val="00960CBB"/>
    <w:rsid w:val="00960CD0"/>
    <w:rsid w:val="00960F40"/>
    <w:rsid w:val="009610D2"/>
    <w:rsid w:val="009611A5"/>
    <w:rsid w:val="0096120E"/>
    <w:rsid w:val="009612EA"/>
    <w:rsid w:val="009612EE"/>
    <w:rsid w:val="0096149A"/>
    <w:rsid w:val="0096158B"/>
    <w:rsid w:val="0096167F"/>
    <w:rsid w:val="009616C9"/>
    <w:rsid w:val="0096180A"/>
    <w:rsid w:val="0096187F"/>
    <w:rsid w:val="00961A6D"/>
    <w:rsid w:val="00961A9D"/>
    <w:rsid w:val="00961B02"/>
    <w:rsid w:val="00961C2D"/>
    <w:rsid w:val="00961C9C"/>
    <w:rsid w:val="00961DF5"/>
    <w:rsid w:val="00961DF8"/>
    <w:rsid w:val="00961E39"/>
    <w:rsid w:val="00961EB0"/>
    <w:rsid w:val="00961F5A"/>
    <w:rsid w:val="00961FDC"/>
    <w:rsid w:val="009620A8"/>
    <w:rsid w:val="00962278"/>
    <w:rsid w:val="0096231C"/>
    <w:rsid w:val="009624E8"/>
    <w:rsid w:val="009626E4"/>
    <w:rsid w:val="00962742"/>
    <w:rsid w:val="009627F0"/>
    <w:rsid w:val="00962856"/>
    <w:rsid w:val="00962864"/>
    <w:rsid w:val="00962883"/>
    <w:rsid w:val="00962943"/>
    <w:rsid w:val="00962A11"/>
    <w:rsid w:val="00962A57"/>
    <w:rsid w:val="00962A99"/>
    <w:rsid w:val="00962ACE"/>
    <w:rsid w:val="00962B04"/>
    <w:rsid w:val="00962B49"/>
    <w:rsid w:val="00962E42"/>
    <w:rsid w:val="00963050"/>
    <w:rsid w:val="00963149"/>
    <w:rsid w:val="00963333"/>
    <w:rsid w:val="00963471"/>
    <w:rsid w:val="0096354C"/>
    <w:rsid w:val="00963593"/>
    <w:rsid w:val="0096392B"/>
    <w:rsid w:val="009639AE"/>
    <w:rsid w:val="00963C99"/>
    <w:rsid w:val="00964040"/>
    <w:rsid w:val="009640B2"/>
    <w:rsid w:val="00964238"/>
    <w:rsid w:val="0096433F"/>
    <w:rsid w:val="009643F3"/>
    <w:rsid w:val="0096440A"/>
    <w:rsid w:val="0096445F"/>
    <w:rsid w:val="009644ED"/>
    <w:rsid w:val="00964613"/>
    <w:rsid w:val="00964850"/>
    <w:rsid w:val="009648E4"/>
    <w:rsid w:val="00964948"/>
    <w:rsid w:val="009649C4"/>
    <w:rsid w:val="00964CD6"/>
    <w:rsid w:val="00964D42"/>
    <w:rsid w:val="00964FAE"/>
    <w:rsid w:val="00965022"/>
    <w:rsid w:val="009650ED"/>
    <w:rsid w:val="009651C4"/>
    <w:rsid w:val="00965245"/>
    <w:rsid w:val="0096527D"/>
    <w:rsid w:val="00965407"/>
    <w:rsid w:val="0096551A"/>
    <w:rsid w:val="0096555C"/>
    <w:rsid w:val="00965592"/>
    <w:rsid w:val="009655E1"/>
    <w:rsid w:val="009656B6"/>
    <w:rsid w:val="0096579F"/>
    <w:rsid w:val="009657CB"/>
    <w:rsid w:val="00965861"/>
    <w:rsid w:val="0096586B"/>
    <w:rsid w:val="00965912"/>
    <w:rsid w:val="009659D8"/>
    <w:rsid w:val="00965AFD"/>
    <w:rsid w:val="00965E65"/>
    <w:rsid w:val="00965E6B"/>
    <w:rsid w:val="00965EE9"/>
    <w:rsid w:val="00965F0D"/>
    <w:rsid w:val="00965FE5"/>
    <w:rsid w:val="009661F0"/>
    <w:rsid w:val="009662D8"/>
    <w:rsid w:val="00966308"/>
    <w:rsid w:val="0096634F"/>
    <w:rsid w:val="00966384"/>
    <w:rsid w:val="00966552"/>
    <w:rsid w:val="00966564"/>
    <w:rsid w:val="00966621"/>
    <w:rsid w:val="00966637"/>
    <w:rsid w:val="00966714"/>
    <w:rsid w:val="0096672E"/>
    <w:rsid w:val="0096687C"/>
    <w:rsid w:val="009668D8"/>
    <w:rsid w:val="0096699A"/>
    <w:rsid w:val="009669C0"/>
    <w:rsid w:val="00966AB5"/>
    <w:rsid w:val="00966C4E"/>
    <w:rsid w:val="00966E20"/>
    <w:rsid w:val="00966FC0"/>
    <w:rsid w:val="00966FF5"/>
    <w:rsid w:val="00967031"/>
    <w:rsid w:val="0096723B"/>
    <w:rsid w:val="009673D3"/>
    <w:rsid w:val="00967439"/>
    <w:rsid w:val="00967814"/>
    <w:rsid w:val="00967853"/>
    <w:rsid w:val="009678A6"/>
    <w:rsid w:val="00967975"/>
    <w:rsid w:val="009679C7"/>
    <w:rsid w:val="009679EE"/>
    <w:rsid w:val="00967A64"/>
    <w:rsid w:val="00967AEF"/>
    <w:rsid w:val="00967BB8"/>
    <w:rsid w:val="00967CBC"/>
    <w:rsid w:val="00967EC6"/>
    <w:rsid w:val="00967EFD"/>
    <w:rsid w:val="00967FFE"/>
    <w:rsid w:val="00970147"/>
    <w:rsid w:val="0097014C"/>
    <w:rsid w:val="009701B9"/>
    <w:rsid w:val="00970256"/>
    <w:rsid w:val="009702E4"/>
    <w:rsid w:val="009703E1"/>
    <w:rsid w:val="00970431"/>
    <w:rsid w:val="0097051F"/>
    <w:rsid w:val="00970610"/>
    <w:rsid w:val="0097064C"/>
    <w:rsid w:val="00970844"/>
    <w:rsid w:val="009709BA"/>
    <w:rsid w:val="00970A54"/>
    <w:rsid w:val="00970CC5"/>
    <w:rsid w:val="00970D43"/>
    <w:rsid w:val="00970D7C"/>
    <w:rsid w:val="00970E61"/>
    <w:rsid w:val="0097105A"/>
    <w:rsid w:val="00971151"/>
    <w:rsid w:val="009711B9"/>
    <w:rsid w:val="00971368"/>
    <w:rsid w:val="00971465"/>
    <w:rsid w:val="00971533"/>
    <w:rsid w:val="009715A0"/>
    <w:rsid w:val="009715D3"/>
    <w:rsid w:val="0097165D"/>
    <w:rsid w:val="00971909"/>
    <w:rsid w:val="0097197A"/>
    <w:rsid w:val="00971C1E"/>
    <w:rsid w:val="00971C9C"/>
    <w:rsid w:val="00971CA9"/>
    <w:rsid w:val="00971D34"/>
    <w:rsid w:val="00971F61"/>
    <w:rsid w:val="00971F7D"/>
    <w:rsid w:val="00971F9A"/>
    <w:rsid w:val="0097204B"/>
    <w:rsid w:val="00972086"/>
    <w:rsid w:val="009720B9"/>
    <w:rsid w:val="009721EE"/>
    <w:rsid w:val="0097225C"/>
    <w:rsid w:val="00972447"/>
    <w:rsid w:val="009724E8"/>
    <w:rsid w:val="0097261B"/>
    <w:rsid w:val="00972658"/>
    <w:rsid w:val="00972669"/>
    <w:rsid w:val="0097266A"/>
    <w:rsid w:val="009727DA"/>
    <w:rsid w:val="009728E7"/>
    <w:rsid w:val="00972AA4"/>
    <w:rsid w:val="00972CE4"/>
    <w:rsid w:val="00972CED"/>
    <w:rsid w:val="00972DBB"/>
    <w:rsid w:val="00972FED"/>
    <w:rsid w:val="0097301F"/>
    <w:rsid w:val="009731B4"/>
    <w:rsid w:val="009732B6"/>
    <w:rsid w:val="00973385"/>
    <w:rsid w:val="009733BF"/>
    <w:rsid w:val="0097347A"/>
    <w:rsid w:val="0097353A"/>
    <w:rsid w:val="009736F3"/>
    <w:rsid w:val="009737CE"/>
    <w:rsid w:val="009737D1"/>
    <w:rsid w:val="00973895"/>
    <w:rsid w:val="009739E9"/>
    <w:rsid w:val="00973A49"/>
    <w:rsid w:val="00973AEF"/>
    <w:rsid w:val="00973B26"/>
    <w:rsid w:val="00973B9C"/>
    <w:rsid w:val="00973C05"/>
    <w:rsid w:val="00973D34"/>
    <w:rsid w:val="00973E39"/>
    <w:rsid w:val="00973E84"/>
    <w:rsid w:val="00973E9C"/>
    <w:rsid w:val="0097408A"/>
    <w:rsid w:val="00974110"/>
    <w:rsid w:val="009741B1"/>
    <w:rsid w:val="009741E1"/>
    <w:rsid w:val="009741E6"/>
    <w:rsid w:val="00974201"/>
    <w:rsid w:val="00974250"/>
    <w:rsid w:val="0097427A"/>
    <w:rsid w:val="00974390"/>
    <w:rsid w:val="0097455D"/>
    <w:rsid w:val="0097469C"/>
    <w:rsid w:val="0097479B"/>
    <w:rsid w:val="009747AF"/>
    <w:rsid w:val="00974880"/>
    <w:rsid w:val="00974904"/>
    <w:rsid w:val="0097490E"/>
    <w:rsid w:val="009749FA"/>
    <w:rsid w:val="00974A85"/>
    <w:rsid w:val="00974B40"/>
    <w:rsid w:val="00974BC3"/>
    <w:rsid w:val="00974C56"/>
    <w:rsid w:val="00974C9F"/>
    <w:rsid w:val="00974E39"/>
    <w:rsid w:val="00974E3F"/>
    <w:rsid w:val="00974F11"/>
    <w:rsid w:val="0097526B"/>
    <w:rsid w:val="00975288"/>
    <w:rsid w:val="00975339"/>
    <w:rsid w:val="009753D5"/>
    <w:rsid w:val="00975570"/>
    <w:rsid w:val="0097573C"/>
    <w:rsid w:val="0097575A"/>
    <w:rsid w:val="009757C6"/>
    <w:rsid w:val="009757F2"/>
    <w:rsid w:val="00975938"/>
    <w:rsid w:val="00975BC0"/>
    <w:rsid w:val="00975BD3"/>
    <w:rsid w:val="00975BE6"/>
    <w:rsid w:val="00975CBE"/>
    <w:rsid w:val="00975CFC"/>
    <w:rsid w:val="00975EE1"/>
    <w:rsid w:val="00975F1E"/>
    <w:rsid w:val="00976042"/>
    <w:rsid w:val="00976142"/>
    <w:rsid w:val="009761C6"/>
    <w:rsid w:val="0097626D"/>
    <w:rsid w:val="009764A0"/>
    <w:rsid w:val="00976536"/>
    <w:rsid w:val="0097657A"/>
    <w:rsid w:val="00976644"/>
    <w:rsid w:val="00976649"/>
    <w:rsid w:val="009766D5"/>
    <w:rsid w:val="009766D6"/>
    <w:rsid w:val="0097674F"/>
    <w:rsid w:val="009767A5"/>
    <w:rsid w:val="00976856"/>
    <w:rsid w:val="0097693D"/>
    <w:rsid w:val="00976983"/>
    <w:rsid w:val="009769A7"/>
    <w:rsid w:val="00976A6F"/>
    <w:rsid w:val="00976AB1"/>
    <w:rsid w:val="00976AF8"/>
    <w:rsid w:val="00976B1C"/>
    <w:rsid w:val="00976C58"/>
    <w:rsid w:val="00976E5D"/>
    <w:rsid w:val="00976F86"/>
    <w:rsid w:val="009770A0"/>
    <w:rsid w:val="00977263"/>
    <w:rsid w:val="009772EE"/>
    <w:rsid w:val="0097736E"/>
    <w:rsid w:val="00977393"/>
    <w:rsid w:val="009773B4"/>
    <w:rsid w:val="009773BC"/>
    <w:rsid w:val="009773F8"/>
    <w:rsid w:val="0097746C"/>
    <w:rsid w:val="0097750F"/>
    <w:rsid w:val="009775A8"/>
    <w:rsid w:val="0097765F"/>
    <w:rsid w:val="0097790D"/>
    <w:rsid w:val="00977910"/>
    <w:rsid w:val="009779DB"/>
    <w:rsid w:val="00977A12"/>
    <w:rsid w:val="00977BF1"/>
    <w:rsid w:val="00977C19"/>
    <w:rsid w:val="00977CDC"/>
    <w:rsid w:val="00977DB6"/>
    <w:rsid w:val="00977ED7"/>
    <w:rsid w:val="00977F06"/>
    <w:rsid w:val="00977FBA"/>
    <w:rsid w:val="00977FC6"/>
    <w:rsid w:val="009803E2"/>
    <w:rsid w:val="009803E5"/>
    <w:rsid w:val="00980589"/>
    <w:rsid w:val="009805E9"/>
    <w:rsid w:val="00980672"/>
    <w:rsid w:val="009807E9"/>
    <w:rsid w:val="00980876"/>
    <w:rsid w:val="0098095F"/>
    <w:rsid w:val="00980974"/>
    <w:rsid w:val="009809DB"/>
    <w:rsid w:val="00980A2F"/>
    <w:rsid w:val="00980BB1"/>
    <w:rsid w:val="00980C2B"/>
    <w:rsid w:val="00980CC7"/>
    <w:rsid w:val="00980D17"/>
    <w:rsid w:val="00980ED4"/>
    <w:rsid w:val="00980FAC"/>
    <w:rsid w:val="00980FB4"/>
    <w:rsid w:val="0098105A"/>
    <w:rsid w:val="009810D1"/>
    <w:rsid w:val="009811C0"/>
    <w:rsid w:val="00981334"/>
    <w:rsid w:val="00981380"/>
    <w:rsid w:val="009813E4"/>
    <w:rsid w:val="0098141A"/>
    <w:rsid w:val="0098145D"/>
    <w:rsid w:val="00981863"/>
    <w:rsid w:val="0098190D"/>
    <w:rsid w:val="0098192B"/>
    <w:rsid w:val="00981949"/>
    <w:rsid w:val="0098198F"/>
    <w:rsid w:val="009819B6"/>
    <w:rsid w:val="00981AB6"/>
    <w:rsid w:val="00981AC0"/>
    <w:rsid w:val="00981C6C"/>
    <w:rsid w:val="00981CD3"/>
    <w:rsid w:val="00981D6D"/>
    <w:rsid w:val="00981DF0"/>
    <w:rsid w:val="00981E76"/>
    <w:rsid w:val="00981E87"/>
    <w:rsid w:val="00981E89"/>
    <w:rsid w:val="00981F44"/>
    <w:rsid w:val="00981FB8"/>
    <w:rsid w:val="0098204F"/>
    <w:rsid w:val="0098243B"/>
    <w:rsid w:val="00982505"/>
    <w:rsid w:val="00982521"/>
    <w:rsid w:val="00982761"/>
    <w:rsid w:val="00982868"/>
    <w:rsid w:val="009828C0"/>
    <w:rsid w:val="00982970"/>
    <w:rsid w:val="009829FD"/>
    <w:rsid w:val="00982AFD"/>
    <w:rsid w:val="00982BFB"/>
    <w:rsid w:val="0098306E"/>
    <w:rsid w:val="00983081"/>
    <w:rsid w:val="0098329D"/>
    <w:rsid w:val="009833DB"/>
    <w:rsid w:val="009833FB"/>
    <w:rsid w:val="0098358B"/>
    <w:rsid w:val="0098359E"/>
    <w:rsid w:val="009835B5"/>
    <w:rsid w:val="00983705"/>
    <w:rsid w:val="009839FA"/>
    <w:rsid w:val="00983A02"/>
    <w:rsid w:val="00983A58"/>
    <w:rsid w:val="00983CBA"/>
    <w:rsid w:val="00983CC8"/>
    <w:rsid w:val="00983CD5"/>
    <w:rsid w:val="00983CF0"/>
    <w:rsid w:val="00983CF5"/>
    <w:rsid w:val="00983D0E"/>
    <w:rsid w:val="00983D8C"/>
    <w:rsid w:val="00983DBA"/>
    <w:rsid w:val="00983DC0"/>
    <w:rsid w:val="00983DD0"/>
    <w:rsid w:val="00983E2A"/>
    <w:rsid w:val="00983ECA"/>
    <w:rsid w:val="00983EFA"/>
    <w:rsid w:val="00983F70"/>
    <w:rsid w:val="00983F9D"/>
    <w:rsid w:val="0098403A"/>
    <w:rsid w:val="00984148"/>
    <w:rsid w:val="00984526"/>
    <w:rsid w:val="0098456B"/>
    <w:rsid w:val="00984620"/>
    <w:rsid w:val="00984834"/>
    <w:rsid w:val="00984868"/>
    <w:rsid w:val="009849C5"/>
    <w:rsid w:val="00984A04"/>
    <w:rsid w:val="00984AA1"/>
    <w:rsid w:val="00984BEE"/>
    <w:rsid w:val="00984C33"/>
    <w:rsid w:val="00984C50"/>
    <w:rsid w:val="00984C8D"/>
    <w:rsid w:val="00984D22"/>
    <w:rsid w:val="00984D79"/>
    <w:rsid w:val="00984E4C"/>
    <w:rsid w:val="00984FFE"/>
    <w:rsid w:val="0098506D"/>
    <w:rsid w:val="00985159"/>
    <w:rsid w:val="0098515A"/>
    <w:rsid w:val="0098518F"/>
    <w:rsid w:val="00985271"/>
    <w:rsid w:val="009855A3"/>
    <w:rsid w:val="009855D0"/>
    <w:rsid w:val="00985774"/>
    <w:rsid w:val="00985780"/>
    <w:rsid w:val="009857CF"/>
    <w:rsid w:val="009857F8"/>
    <w:rsid w:val="00985851"/>
    <w:rsid w:val="00985939"/>
    <w:rsid w:val="009859BA"/>
    <w:rsid w:val="00985A00"/>
    <w:rsid w:val="00985D7B"/>
    <w:rsid w:val="00985EBF"/>
    <w:rsid w:val="00985EEF"/>
    <w:rsid w:val="0098617B"/>
    <w:rsid w:val="009861F2"/>
    <w:rsid w:val="0098620D"/>
    <w:rsid w:val="0098634A"/>
    <w:rsid w:val="009863B0"/>
    <w:rsid w:val="009863F5"/>
    <w:rsid w:val="0098655A"/>
    <w:rsid w:val="00986654"/>
    <w:rsid w:val="00986662"/>
    <w:rsid w:val="0098669D"/>
    <w:rsid w:val="009866F2"/>
    <w:rsid w:val="0098670D"/>
    <w:rsid w:val="0098673A"/>
    <w:rsid w:val="009869DC"/>
    <w:rsid w:val="009869E1"/>
    <w:rsid w:val="00986A5A"/>
    <w:rsid w:val="00986C94"/>
    <w:rsid w:val="00986CDA"/>
    <w:rsid w:val="00986DAD"/>
    <w:rsid w:val="00986FD4"/>
    <w:rsid w:val="00986FFB"/>
    <w:rsid w:val="009870FD"/>
    <w:rsid w:val="00987115"/>
    <w:rsid w:val="0098726D"/>
    <w:rsid w:val="0098728E"/>
    <w:rsid w:val="00987464"/>
    <w:rsid w:val="00987533"/>
    <w:rsid w:val="00987546"/>
    <w:rsid w:val="0098754D"/>
    <w:rsid w:val="0098772D"/>
    <w:rsid w:val="0098796A"/>
    <w:rsid w:val="00987ACE"/>
    <w:rsid w:val="00987BFA"/>
    <w:rsid w:val="00987BFC"/>
    <w:rsid w:val="00987C0D"/>
    <w:rsid w:val="00987C7B"/>
    <w:rsid w:val="00987CA3"/>
    <w:rsid w:val="00987D84"/>
    <w:rsid w:val="00987E4B"/>
    <w:rsid w:val="00987E4D"/>
    <w:rsid w:val="00987F97"/>
    <w:rsid w:val="00987FC5"/>
    <w:rsid w:val="00987FE3"/>
    <w:rsid w:val="00990001"/>
    <w:rsid w:val="0099001D"/>
    <w:rsid w:val="009900A5"/>
    <w:rsid w:val="0099016B"/>
    <w:rsid w:val="009902AB"/>
    <w:rsid w:val="009902FE"/>
    <w:rsid w:val="00990357"/>
    <w:rsid w:val="0099035D"/>
    <w:rsid w:val="00990393"/>
    <w:rsid w:val="009903CC"/>
    <w:rsid w:val="009903D8"/>
    <w:rsid w:val="00990451"/>
    <w:rsid w:val="00990460"/>
    <w:rsid w:val="009904BE"/>
    <w:rsid w:val="009905AC"/>
    <w:rsid w:val="009905F1"/>
    <w:rsid w:val="009905FF"/>
    <w:rsid w:val="00990611"/>
    <w:rsid w:val="00990692"/>
    <w:rsid w:val="00990790"/>
    <w:rsid w:val="009907C7"/>
    <w:rsid w:val="009908DB"/>
    <w:rsid w:val="00990A60"/>
    <w:rsid w:val="00990B51"/>
    <w:rsid w:val="00990B8B"/>
    <w:rsid w:val="00990B96"/>
    <w:rsid w:val="00990C2E"/>
    <w:rsid w:val="00990C5D"/>
    <w:rsid w:val="00990CF7"/>
    <w:rsid w:val="00990D79"/>
    <w:rsid w:val="00990E71"/>
    <w:rsid w:val="00990F9B"/>
    <w:rsid w:val="0099113E"/>
    <w:rsid w:val="0099115C"/>
    <w:rsid w:val="00991384"/>
    <w:rsid w:val="0099144C"/>
    <w:rsid w:val="009914D7"/>
    <w:rsid w:val="00991614"/>
    <w:rsid w:val="0099164F"/>
    <w:rsid w:val="009917E9"/>
    <w:rsid w:val="00991802"/>
    <w:rsid w:val="0099180D"/>
    <w:rsid w:val="00991818"/>
    <w:rsid w:val="00991869"/>
    <w:rsid w:val="00991891"/>
    <w:rsid w:val="0099190E"/>
    <w:rsid w:val="00991CA9"/>
    <w:rsid w:val="00991D7E"/>
    <w:rsid w:val="009922CD"/>
    <w:rsid w:val="009922D6"/>
    <w:rsid w:val="009923DA"/>
    <w:rsid w:val="00992534"/>
    <w:rsid w:val="00992587"/>
    <w:rsid w:val="00992631"/>
    <w:rsid w:val="009927D8"/>
    <w:rsid w:val="009928FD"/>
    <w:rsid w:val="0099298B"/>
    <w:rsid w:val="00992B29"/>
    <w:rsid w:val="00992CA3"/>
    <w:rsid w:val="00992EF3"/>
    <w:rsid w:val="00992F2C"/>
    <w:rsid w:val="00993025"/>
    <w:rsid w:val="0099303F"/>
    <w:rsid w:val="009932AE"/>
    <w:rsid w:val="0099341F"/>
    <w:rsid w:val="00993431"/>
    <w:rsid w:val="00993CBC"/>
    <w:rsid w:val="00993DEF"/>
    <w:rsid w:val="00993E64"/>
    <w:rsid w:val="00993F1A"/>
    <w:rsid w:val="00993F79"/>
    <w:rsid w:val="009940B5"/>
    <w:rsid w:val="00994100"/>
    <w:rsid w:val="0099411E"/>
    <w:rsid w:val="0099419A"/>
    <w:rsid w:val="009941D1"/>
    <w:rsid w:val="0099423E"/>
    <w:rsid w:val="009942AC"/>
    <w:rsid w:val="009942FF"/>
    <w:rsid w:val="00994391"/>
    <w:rsid w:val="009943CB"/>
    <w:rsid w:val="009944DE"/>
    <w:rsid w:val="009944E7"/>
    <w:rsid w:val="00994544"/>
    <w:rsid w:val="00994659"/>
    <w:rsid w:val="009947E8"/>
    <w:rsid w:val="0099488F"/>
    <w:rsid w:val="009948C3"/>
    <w:rsid w:val="00994A1A"/>
    <w:rsid w:val="00994B05"/>
    <w:rsid w:val="00994B39"/>
    <w:rsid w:val="00994BC7"/>
    <w:rsid w:val="00994BDF"/>
    <w:rsid w:val="00994C92"/>
    <w:rsid w:val="00994D4A"/>
    <w:rsid w:val="00994E34"/>
    <w:rsid w:val="00994F1C"/>
    <w:rsid w:val="00995207"/>
    <w:rsid w:val="0099532F"/>
    <w:rsid w:val="00995484"/>
    <w:rsid w:val="00995571"/>
    <w:rsid w:val="009956BE"/>
    <w:rsid w:val="00995771"/>
    <w:rsid w:val="009958E0"/>
    <w:rsid w:val="00995919"/>
    <w:rsid w:val="00995AFE"/>
    <w:rsid w:val="00995B07"/>
    <w:rsid w:val="00995B6F"/>
    <w:rsid w:val="00995BCE"/>
    <w:rsid w:val="00995CC5"/>
    <w:rsid w:val="00995CCE"/>
    <w:rsid w:val="00995D09"/>
    <w:rsid w:val="00995DAA"/>
    <w:rsid w:val="00995E7B"/>
    <w:rsid w:val="00995FCD"/>
    <w:rsid w:val="00995FFA"/>
    <w:rsid w:val="00996142"/>
    <w:rsid w:val="009964AA"/>
    <w:rsid w:val="009965A7"/>
    <w:rsid w:val="0099676B"/>
    <w:rsid w:val="009967A5"/>
    <w:rsid w:val="0099682D"/>
    <w:rsid w:val="0099687C"/>
    <w:rsid w:val="009968C5"/>
    <w:rsid w:val="009968F1"/>
    <w:rsid w:val="00996AAE"/>
    <w:rsid w:val="00996C5F"/>
    <w:rsid w:val="00996D2F"/>
    <w:rsid w:val="00996E12"/>
    <w:rsid w:val="00996FDC"/>
    <w:rsid w:val="00997207"/>
    <w:rsid w:val="00997235"/>
    <w:rsid w:val="0099724F"/>
    <w:rsid w:val="00997283"/>
    <w:rsid w:val="0099743D"/>
    <w:rsid w:val="0099750B"/>
    <w:rsid w:val="009976E4"/>
    <w:rsid w:val="00997776"/>
    <w:rsid w:val="009978C3"/>
    <w:rsid w:val="00997942"/>
    <w:rsid w:val="0099798B"/>
    <w:rsid w:val="00997A8C"/>
    <w:rsid w:val="00997BE0"/>
    <w:rsid w:val="00997CCD"/>
    <w:rsid w:val="00997CD6"/>
    <w:rsid w:val="00997F0E"/>
    <w:rsid w:val="00997F58"/>
    <w:rsid w:val="009A003F"/>
    <w:rsid w:val="009A0096"/>
    <w:rsid w:val="009A010F"/>
    <w:rsid w:val="009A01B1"/>
    <w:rsid w:val="009A01BD"/>
    <w:rsid w:val="009A01E3"/>
    <w:rsid w:val="009A0228"/>
    <w:rsid w:val="009A029B"/>
    <w:rsid w:val="009A05D9"/>
    <w:rsid w:val="009A0649"/>
    <w:rsid w:val="009A06F0"/>
    <w:rsid w:val="009A0857"/>
    <w:rsid w:val="009A0883"/>
    <w:rsid w:val="009A08C7"/>
    <w:rsid w:val="009A0AED"/>
    <w:rsid w:val="009A0BC9"/>
    <w:rsid w:val="009A0CFD"/>
    <w:rsid w:val="009A0DA7"/>
    <w:rsid w:val="009A0DBD"/>
    <w:rsid w:val="009A0E16"/>
    <w:rsid w:val="009A0E79"/>
    <w:rsid w:val="009A0EC3"/>
    <w:rsid w:val="009A0F38"/>
    <w:rsid w:val="009A0F40"/>
    <w:rsid w:val="009A100F"/>
    <w:rsid w:val="009A1176"/>
    <w:rsid w:val="009A11F2"/>
    <w:rsid w:val="009A1200"/>
    <w:rsid w:val="009A12CC"/>
    <w:rsid w:val="009A12E7"/>
    <w:rsid w:val="009A12F2"/>
    <w:rsid w:val="009A1336"/>
    <w:rsid w:val="009A1360"/>
    <w:rsid w:val="009A1374"/>
    <w:rsid w:val="009A13F1"/>
    <w:rsid w:val="009A157A"/>
    <w:rsid w:val="009A1593"/>
    <w:rsid w:val="009A1792"/>
    <w:rsid w:val="009A19A8"/>
    <w:rsid w:val="009A1BB6"/>
    <w:rsid w:val="009A1BC6"/>
    <w:rsid w:val="009A1C46"/>
    <w:rsid w:val="009A1C84"/>
    <w:rsid w:val="009A1C9F"/>
    <w:rsid w:val="009A1CC0"/>
    <w:rsid w:val="009A1D1C"/>
    <w:rsid w:val="009A1DE0"/>
    <w:rsid w:val="009A1E25"/>
    <w:rsid w:val="009A1EE2"/>
    <w:rsid w:val="009A1FD1"/>
    <w:rsid w:val="009A2010"/>
    <w:rsid w:val="009A2043"/>
    <w:rsid w:val="009A2175"/>
    <w:rsid w:val="009A22ED"/>
    <w:rsid w:val="009A2387"/>
    <w:rsid w:val="009A242B"/>
    <w:rsid w:val="009A2470"/>
    <w:rsid w:val="009A2561"/>
    <w:rsid w:val="009A256C"/>
    <w:rsid w:val="009A258D"/>
    <w:rsid w:val="009A25B0"/>
    <w:rsid w:val="009A26C9"/>
    <w:rsid w:val="009A2770"/>
    <w:rsid w:val="009A27D2"/>
    <w:rsid w:val="009A2957"/>
    <w:rsid w:val="009A29B4"/>
    <w:rsid w:val="009A2B67"/>
    <w:rsid w:val="009A2B89"/>
    <w:rsid w:val="009A2BC9"/>
    <w:rsid w:val="009A2C2D"/>
    <w:rsid w:val="009A2CD5"/>
    <w:rsid w:val="009A2D58"/>
    <w:rsid w:val="009A2EB3"/>
    <w:rsid w:val="009A2EBC"/>
    <w:rsid w:val="009A2F8D"/>
    <w:rsid w:val="009A2FDB"/>
    <w:rsid w:val="009A3181"/>
    <w:rsid w:val="009A323B"/>
    <w:rsid w:val="009A341E"/>
    <w:rsid w:val="009A345E"/>
    <w:rsid w:val="009A34DD"/>
    <w:rsid w:val="009A352F"/>
    <w:rsid w:val="009A35AC"/>
    <w:rsid w:val="009A35EA"/>
    <w:rsid w:val="009A363C"/>
    <w:rsid w:val="009A36EC"/>
    <w:rsid w:val="009A3739"/>
    <w:rsid w:val="009A37B8"/>
    <w:rsid w:val="009A39C7"/>
    <w:rsid w:val="009A3A6E"/>
    <w:rsid w:val="009A3B99"/>
    <w:rsid w:val="009A3BBE"/>
    <w:rsid w:val="009A3D34"/>
    <w:rsid w:val="009A3D4B"/>
    <w:rsid w:val="009A3DA9"/>
    <w:rsid w:val="009A419E"/>
    <w:rsid w:val="009A4234"/>
    <w:rsid w:val="009A4274"/>
    <w:rsid w:val="009A4324"/>
    <w:rsid w:val="009A45F9"/>
    <w:rsid w:val="009A4644"/>
    <w:rsid w:val="009A4665"/>
    <w:rsid w:val="009A4796"/>
    <w:rsid w:val="009A4807"/>
    <w:rsid w:val="009A4868"/>
    <w:rsid w:val="009A49C3"/>
    <w:rsid w:val="009A4B46"/>
    <w:rsid w:val="009A4B6D"/>
    <w:rsid w:val="009A4BA1"/>
    <w:rsid w:val="009A4BC9"/>
    <w:rsid w:val="009A4DCE"/>
    <w:rsid w:val="009A4E19"/>
    <w:rsid w:val="009A4EAD"/>
    <w:rsid w:val="009A5133"/>
    <w:rsid w:val="009A540E"/>
    <w:rsid w:val="009A549D"/>
    <w:rsid w:val="009A54B5"/>
    <w:rsid w:val="009A5699"/>
    <w:rsid w:val="009A56D2"/>
    <w:rsid w:val="009A57DD"/>
    <w:rsid w:val="009A5806"/>
    <w:rsid w:val="009A588B"/>
    <w:rsid w:val="009A59DD"/>
    <w:rsid w:val="009A5AAE"/>
    <w:rsid w:val="009A5ACA"/>
    <w:rsid w:val="009A5B53"/>
    <w:rsid w:val="009A5BC0"/>
    <w:rsid w:val="009A5C60"/>
    <w:rsid w:val="009A5CAF"/>
    <w:rsid w:val="009A5D48"/>
    <w:rsid w:val="009A5E0B"/>
    <w:rsid w:val="009A5FD0"/>
    <w:rsid w:val="009A5FFB"/>
    <w:rsid w:val="009A6053"/>
    <w:rsid w:val="009A61F5"/>
    <w:rsid w:val="009A6498"/>
    <w:rsid w:val="009A6520"/>
    <w:rsid w:val="009A686E"/>
    <w:rsid w:val="009A69B7"/>
    <w:rsid w:val="009A6B15"/>
    <w:rsid w:val="009A6D31"/>
    <w:rsid w:val="009A6E0A"/>
    <w:rsid w:val="009A6E76"/>
    <w:rsid w:val="009A6F84"/>
    <w:rsid w:val="009A7036"/>
    <w:rsid w:val="009A713D"/>
    <w:rsid w:val="009A7151"/>
    <w:rsid w:val="009A7297"/>
    <w:rsid w:val="009A7314"/>
    <w:rsid w:val="009A746B"/>
    <w:rsid w:val="009A752C"/>
    <w:rsid w:val="009A759B"/>
    <w:rsid w:val="009A76A4"/>
    <w:rsid w:val="009A78B4"/>
    <w:rsid w:val="009A78F0"/>
    <w:rsid w:val="009A793C"/>
    <w:rsid w:val="009A79BC"/>
    <w:rsid w:val="009A7AB1"/>
    <w:rsid w:val="009A7B88"/>
    <w:rsid w:val="009A7BCB"/>
    <w:rsid w:val="009A7BCC"/>
    <w:rsid w:val="009A7C03"/>
    <w:rsid w:val="009A7CF6"/>
    <w:rsid w:val="009A7D02"/>
    <w:rsid w:val="009A7D2D"/>
    <w:rsid w:val="009A7EB2"/>
    <w:rsid w:val="009B0028"/>
    <w:rsid w:val="009B0093"/>
    <w:rsid w:val="009B03CB"/>
    <w:rsid w:val="009B04E4"/>
    <w:rsid w:val="009B05A0"/>
    <w:rsid w:val="009B0645"/>
    <w:rsid w:val="009B068F"/>
    <w:rsid w:val="009B083A"/>
    <w:rsid w:val="009B087C"/>
    <w:rsid w:val="009B09AF"/>
    <w:rsid w:val="009B0A83"/>
    <w:rsid w:val="009B0A8A"/>
    <w:rsid w:val="009B0AD4"/>
    <w:rsid w:val="009B0B23"/>
    <w:rsid w:val="009B0CB9"/>
    <w:rsid w:val="009B0D9B"/>
    <w:rsid w:val="009B0DB0"/>
    <w:rsid w:val="009B0DB8"/>
    <w:rsid w:val="009B0F1B"/>
    <w:rsid w:val="009B0FA3"/>
    <w:rsid w:val="009B0FD0"/>
    <w:rsid w:val="009B1317"/>
    <w:rsid w:val="009B1344"/>
    <w:rsid w:val="009B1385"/>
    <w:rsid w:val="009B13D1"/>
    <w:rsid w:val="009B1404"/>
    <w:rsid w:val="009B1446"/>
    <w:rsid w:val="009B14D3"/>
    <w:rsid w:val="009B14EE"/>
    <w:rsid w:val="009B155B"/>
    <w:rsid w:val="009B1751"/>
    <w:rsid w:val="009B17A1"/>
    <w:rsid w:val="009B1811"/>
    <w:rsid w:val="009B1844"/>
    <w:rsid w:val="009B188B"/>
    <w:rsid w:val="009B1A5E"/>
    <w:rsid w:val="009B1C43"/>
    <w:rsid w:val="009B1C9B"/>
    <w:rsid w:val="009B1DC6"/>
    <w:rsid w:val="009B1E2D"/>
    <w:rsid w:val="009B1F0E"/>
    <w:rsid w:val="009B1F7D"/>
    <w:rsid w:val="009B1FED"/>
    <w:rsid w:val="009B2039"/>
    <w:rsid w:val="009B212A"/>
    <w:rsid w:val="009B21B9"/>
    <w:rsid w:val="009B222B"/>
    <w:rsid w:val="009B2304"/>
    <w:rsid w:val="009B2411"/>
    <w:rsid w:val="009B244D"/>
    <w:rsid w:val="009B24C3"/>
    <w:rsid w:val="009B2602"/>
    <w:rsid w:val="009B26F1"/>
    <w:rsid w:val="009B29FD"/>
    <w:rsid w:val="009B2AA0"/>
    <w:rsid w:val="009B2B94"/>
    <w:rsid w:val="009B2BDD"/>
    <w:rsid w:val="009B2C47"/>
    <w:rsid w:val="009B2D2C"/>
    <w:rsid w:val="009B2E4A"/>
    <w:rsid w:val="009B2EC5"/>
    <w:rsid w:val="009B2FBF"/>
    <w:rsid w:val="009B3035"/>
    <w:rsid w:val="009B3103"/>
    <w:rsid w:val="009B3117"/>
    <w:rsid w:val="009B31A7"/>
    <w:rsid w:val="009B3294"/>
    <w:rsid w:val="009B3333"/>
    <w:rsid w:val="009B3384"/>
    <w:rsid w:val="009B33B9"/>
    <w:rsid w:val="009B348B"/>
    <w:rsid w:val="009B3760"/>
    <w:rsid w:val="009B377B"/>
    <w:rsid w:val="009B377C"/>
    <w:rsid w:val="009B3781"/>
    <w:rsid w:val="009B38D5"/>
    <w:rsid w:val="009B39AE"/>
    <w:rsid w:val="009B3A1B"/>
    <w:rsid w:val="009B3B1B"/>
    <w:rsid w:val="009B3DBF"/>
    <w:rsid w:val="009B3F2D"/>
    <w:rsid w:val="009B3F7D"/>
    <w:rsid w:val="009B40A2"/>
    <w:rsid w:val="009B40B7"/>
    <w:rsid w:val="009B41B2"/>
    <w:rsid w:val="009B41B6"/>
    <w:rsid w:val="009B433A"/>
    <w:rsid w:val="009B43FF"/>
    <w:rsid w:val="009B4521"/>
    <w:rsid w:val="009B4650"/>
    <w:rsid w:val="009B47A2"/>
    <w:rsid w:val="009B481D"/>
    <w:rsid w:val="009B4BE4"/>
    <w:rsid w:val="009B4EDE"/>
    <w:rsid w:val="009B5056"/>
    <w:rsid w:val="009B5129"/>
    <w:rsid w:val="009B51AB"/>
    <w:rsid w:val="009B531C"/>
    <w:rsid w:val="009B5427"/>
    <w:rsid w:val="009B54E8"/>
    <w:rsid w:val="009B5731"/>
    <w:rsid w:val="009B5793"/>
    <w:rsid w:val="009B57D0"/>
    <w:rsid w:val="009B5A06"/>
    <w:rsid w:val="009B5A1F"/>
    <w:rsid w:val="009B5B4E"/>
    <w:rsid w:val="009B5C84"/>
    <w:rsid w:val="009B5C89"/>
    <w:rsid w:val="009B5D3D"/>
    <w:rsid w:val="009B5F0E"/>
    <w:rsid w:val="009B5FD6"/>
    <w:rsid w:val="009B613B"/>
    <w:rsid w:val="009B6258"/>
    <w:rsid w:val="009B627C"/>
    <w:rsid w:val="009B6281"/>
    <w:rsid w:val="009B62B6"/>
    <w:rsid w:val="009B6362"/>
    <w:rsid w:val="009B6522"/>
    <w:rsid w:val="009B6525"/>
    <w:rsid w:val="009B6595"/>
    <w:rsid w:val="009B6631"/>
    <w:rsid w:val="009B66FC"/>
    <w:rsid w:val="009B675A"/>
    <w:rsid w:val="009B6804"/>
    <w:rsid w:val="009B680B"/>
    <w:rsid w:val="009B687A"/>
    <w:rsid w:val="009B68D1"/>
    <w:rsid w:val="009B68DE"/>
    <w:rsid w:val="009B6967"/>
    <w:rsid w:val="009B6A48"/>
    <w:rsid w:val="009B6BC6"/>
    <w:rsid w:val="009B6BCC"/>
    <w:rsid w:val="009B6CD9"/>
    <w:rsid w:val="009B6D8B"/>
    <w:rsid w:val="009B6DB5"/>
    <w:rsid w:val="009B7021"/>
    <w:rsid w:val="009B710E"/>
    <w:rsid w:val="009B718E"/>
    <w:rsid w:val="009B71F7"/>
    <w:rsid w:val="009B7494"/>
    <w:rsid w:val="009B74E4"/>
    <w:rsid w:val="009B74EF"/>
    <w:rsid w:val="009B7675"/>
    <w:rsid w:val="009B771E"/>
    <w:rsid w:val="009B776B"/>
    <w:rsid w:val="009B777E"/>
    <w:rsid w:val="009B778E"/>
    <w:rsid w:val="009B77C3"/>
    <w:rsid w:val="009B78F2"/>
    <w:rsid w:val="009B7A1B"/>
    <w:rsid w:val="009B7BAA"/>
    <w:rsid w:val="009B7BF8"/>
    <w:rsid w:val="009B7EFB"/>
    <w:rsid w:val="009B7F65"/>
    <w:rsid w:val="009B7F7B"/>
    <w:rsid w:val="009B7FC7"/>
    <w:rsid w:val="009C0075"/>
    <w:rsid w:val="009C0234"/>
    <w:rsid w:val="009C02CF"/>
    <w:rsid w:val="009C0309"/>
    <w:rsid w:val="009C0317"/>
    <w:rsid w:val="009C0514"/>
    <w:rsid w:val="009C0592"/>
    <w:rsid w:val="009C05B4"/>
    <w:rsid w:val="009C065F"/>
    <w:rsid w:val="009C073D"/>
    <w:rsid w:val="009C07B0"/>
    <w:rsid w:val="009C087A"/>
    <w:rsid w:val="009C0AD3"/>
    <w:rsid w:val="009C0BCC"/>
    <w:rsid w:val="009C0BD8"/>
    <w:rsid w:val="009C0C2B"/>
    <w:rsid w:val="009C0DE1"/>
    <w:rsid w:val="009C0E58"/>
    <w:rsid w:val="009C118B"/>
    <w:rsid w:val="009C136D"/>
    <w:rsid w:val="009C13C6"/>
    <w:rsid w:val="009C13EF"/>
    <w:rsid w:val="009C1723"/>
    <w:rsid w:val="009C18A5"/>
    <w:rsid w:val="009C1966"/>
    <w:rsid w:val="009C1988"/>
    <w:rsid w:val="009C1CFD"/>
    <w:rsid w:val="009C1D1B"/>
    <w:rsid w:val="009C1DD6"/>
    <w:rsid w:val="009C1ED1"/>
    <w:rsid w:val="009C1EF1"/>
    <w:rsid w:val="009C209B"/>
    <w:rsid w:val="009C2208"/>
    <w:rsid w:val="009C22B1"/>
    <w:rsid w:val="009C248A"/>
    <w:rsid w:val="009C2557"/>
    <w:rsid w:val="009C26D8"/>
    <w:rsid w:val="009C27D5"/>
    <w:rsid w:val="009C2816"/>
    <w:rsid w:val="009C282B"/>
    <w:rsid w:val="009C2889"/>
    <w:rsid w:val="009C28DE"/>
    <w:rsid w:val="009C29CB"/>
    <w:rsid w:val="009C2A5D"/>
    <w:rsid w:val="009C2C8D"/>
    <w:rsid w:val="009C2D1B"/>
    <w:rsid w:val="009C2E3D"/>
    <w:rsid w:val="009C2EE5"/>
    <w:rsid w:val="009C2F50"/>
    <w:rsid w:val="009C2F73"/>
    <w:rsid w:val="009C3224"/>
    <w:rsid w:val="009C34A3"/>
    <w:rsid w:val="009C34DE"/>
    <w:rsid w:val="009C371A"/>
    <w:rsid w:val="009C37CF"/>
    <w:rsid w:val="009C3840"/>
    <w:rsid w:val="009C3876"/>
    <w:rsid w:val="009C396E"/>
    <w:rsid w:val="009C398D"/>
    <w:rsid w:val="009C39B8"/>
    <w:rsid w:val="009C3A31"/>
    <w:rsid w:val="009C3AC2"/>
    <w:rsid w:val="009C3AD6"/>
    <w:rsid w:val="009C3B84"/>
    <w:rsid w:val="009C3C05"/>
    <w:rsid w:val="009C3CFB"/>
    <w:rsid w:val="009C4066"/>
    <w:rsid w:val="009C4208"/>
    <w:rsid w:val="009C4266"/>
    <w:rsid w:val="009C426E"/>
    <w:rsid w:val="009C429A"/>
    <w:rsid w:val="009C42A6"/>
    <w:rsid w:val="009C458B"/>
    <w:rsid w:val="009C466A"/>
    <w:rsid w:val="009C47A6"/>
    <w:rsid w:val="009C47B5"/>
    <w:rsid w:val="009C48C3"/>
    <w:rsid w:val="009C49AA"/>
    <w:rsid w:val="009C49C1"/>
    <w:rsid w:val="009C4ADC"/>
    <w:rsid w:val="009C4D28"/>
    <w:rsid w:val="009C4DC3"/>
    <w:rsid w:val="009C4F3F"/>
    <w:rsid w:val="009C4F93"/>
    <w:rsid w:val="009C50DB"/>
    <w:rsid w:val="009C51E9"/>
    <w:rsid w:val="009C5451"/>
    <w:rsid w:val="009C555E"/>
    <w:rsid w:val="009C5627"/>
    <w:rsid w:val="009C5701"/>
    <w:rsid w:val="009C572E"/>
    <w:rsid w:val="009C5981"/>
    <w:rsid w:val="009C5A3B"/>
    <w:rsid w:val="009C5B5E"/>
    <w:rsid w:val="009C5BED"/>
    <w:rsid w:val="009C5C09"/>
    <w:rsid w:val="009C5C3D"/>
    <w:rsid w:val="009C5D28"/>
    <w:rsid w:val="009C5D68"/>
    <w:rsid w:val="009C5ED6"/>
    <w:rsid w:val="009C5F58"/>
    <w:rsid w:val="009C5FD1"/>
    <w:rsid w:val="009C6031"/>
    <w:rsid w:val="009C608B"/>
    <w:rsid w:val="009C6209"/>
    <w:rsid w:val="009C6261"/>
    <w:rsid w:val="009C62DD"/>
    <w:rsid w:val="009C642C"/>
    <w:rsid w:val="009C64FA"/>
    <w:rsid w:val="009C65AC"/>
    <w:rsid w:val="009C65C2"/>
    <w:rsid w:val="009C65EC"/>
    <w:rsid w:val="009C66D7"/>
    <w:rsid w:val="009C67BE"/>
    <w:rsid w:val="009C68B7"/>
    <w:rsid w:val="009C696F"/>
    <w:rsid w:val="009C69B8"/>
    <w:rsid w:val="009C69F1"/>
    <w:rsid w:val="009C6A69"/>
    <w:rsid w:val="009C6A6E"/>
    <w:rsid w:val="009C6C94"/>
    <w:rsid w:val="009C6CDA"/>
    <w:rsid w:val="009C6D05"/>
    <w:rsid w:val="009C6D61"/>
    <w:rsid w:val="009C6EA4"/>
    <w:rsid w:val="009C6EC9"/>
    <w:rsid w:val="009C7022"/>
    <w:rsid w:val="009C70B5"/>
    <w:rsid w:val="009C71F8"/>
    <w:rsid w:val="009C7258"/>
    <w:rsid w:val="009C72F2"/>
    <w:rsid w:val="009C7461"/>
    <w:rsid w:val="009C76D7"/>
    <w:rsid w:val="009C7722"/>
    <w:rsid w:val="009C7728"/>
    <w:rsid w:val="009C782F"/>
    <w:rsid w:val="009C783E"/>
    <w:rsid w:val="009C79BB"/>
    <w:rsid w:val="009C7BF3"/>
    <w:rsid w:val="009C7C2D"/>
    <w:rsid w:val="009C7D88"/>
    <w:rsid w:val="009C7DE4"/>
    <w:rsid w:val="009C7E53"/>
    <w:rsid w:val="009C7EB1"/>
    <w:rsid w:val="009C7F46"/>
    <w:rsid w:val="009D006D"/>
    <w:rsid w:val="009D0103"/>
    <w:rsid w:val="009D01EE"/>
    <w:rsid w:val="009D026A"/>
    <w:rsid w:val="009D0278"/>
    <w:rsid w:val="009D0358"/>
    <w:rsid w:val="009D0428"/>
    <w:rsid w:val="009D04E8"/>
    <w:rsid w:val="009D052B"/>
    <w:rsid w:val="009D0558"/>
    <w:rsid w:val="009D055B"/>
    <w:rsid w:val="009D057F"/>
    <w:rsid w:val="009D061F"/>
    <w:rsid w:val="009D06B4"/>
    <w:rsid w:val="009D0899"/>
    <w:rsid w:val="009D091F"/>
    <w:rsid w:val="009D0A8E"/>
    <w:rsid w:val="009D0BBB"/>
    <w:rsid w:val="009D0BEE"/>
    <w:rsid w:val="009D0C9A"/>
    <w:rsid w:val="009D0CE7"/>
    <w:rsid w:val="009D0D20"/>
    <w:rsid w:val="009D0EF9"/>
    <w:rsid w:val="009D115C"/>
    <w:rsid w:val="009D1289"/>
    <w:rsid w:val="009D12ED"/>
    <w:rsid w:val="009D14C8"/>
    <w:rsid w:val="009D1536"/>
    <w:rsid w:val="009D15FF"/>
    <w:rsid w:val="009D16A8"/>
    <w:rsid w:val="009D176C"/>
    <w:rsid w:val="009D17C3"/>
    <w:rsid w:val="009D189D"/>
    <w:rsid w:val="009D18D1"/>
    <w:rsid w:val="009D19FA"/>
    <w:rsid w:val="009D1BE9"/>
    <w:rsid w:val="009D1BF5"/>
    <w:rsid w:val="009D1E9B"/>
    <w:rsid w:val="009D1F7D"/>
    <w:rsid w:val="009D1F98"/>
    <w:rsid w:val="009D2195"/>
    <w:rsid w:val="009D22AB"/>
    <w:rsid w:val="009D2322"/>
    <w:rsid w:val="009D2326"/>
    <w:rsid w:val="009D23C0"/>
    <w:rsid w:val="009D28D4"/>
    <w:rsid w:val="009D2AC1"/>
    <w:rsid w:val="009D2CE0"/>
    <w:rsid w:val="009D2D48"/>
    <w:rsid w:val="009D2DE7"/>
    <w:rsid w:val="009D2E3E"/>
    <w:rsid w:val="009D2FAD"/>
    <w:rsid w:val="009D304E"/>
    <w:rsid w:val="009D3061"/>
    <w:rsid w:val="009D331C"/>
    <w:rsid w:val="009D33E2"/>
    <w:rsid w:val="009D3435"/>
    <w:rsid w:val="009D3571"/>
    <w:rsid w:val="009D3739"/>
    <w:rsid w:val="009D3861"/>
    <w:rsid w:val="009D38CA"/>
    <w:rsid w:val="009D39DB"/>
    <w:rsid w:val="009D3AE6"/>
    <w:rsid w:val="009D3BFC"/>
    <w:rsid w:val="009D3C6F"/>
    <w:rsid w:val="009D3C7C"/>
    <w:rsid w:val="009D3D1B"/>
    <w:rsid w:val="009D3D52"/>
    <w:rsid w:val="009D3E32"/>
    <w:rsid w:val="009D3F1B"/>
    <w:rsid w:val="009D3FBB"/>
    <w:rsid w:val="009D4348"/>
    <w:rsid w:val="009D43DC"/>
    <w:rsid w:val="009D4693"/>
    <w:rsid w:val="009D4716"/>
    <w:rsid w:val="009D47CA"/>
    <w:rsid w:val="009D47EF"/>
    <w:rsid w:val="009D4913"/>
    <w:rsid w:val="009D4963"/>
    <w:rsid w:val="009D49A7"/>
    <w:rsid w:val="009D4CE1"/>
    <w:rsid w:val="009D4CF4"/>
    <w:rsid w:val="009D4CF6"/>
    <w:rsid w:val="009D4D06"/>
    <w:rsid w:val="009D4D35"/>
    <w:rsid w:val="009D4EDC"/>
    <w:rsid w:val="009D4FB7"/>
    <w:rsid w:val="009D5063"/>
    <w:rsid w:val="009D50D8"/>
    <w:rsid w:val="009D5116"/>
    <w:rsid w:val="009D5218"/>
    <w:rsid w:val="009D52A3"/>
    <w:rsid w:val="009D52C4"/>
    <w:rsid w:val="009D54D0"/>
    <w:rsid w:val="009D5579"/>
    <w:rsid w:val="009D5597"/>
    <w:rsid w:val="009D55EA"/>
    <w:rsid w:val="009D5610"/>
    <w:rsid w:val="009D5781"/>
    <w:rsid w:val="009D57FC"/>
    <w:rsid w:val="009D586D"/>
    <w:rsid w:val="009D58C3"/>
    <w:rsid w:val="009D5A3B"/>
    <w:rsid w:val="009D5B44"/>
    <w:rsid w:val="009D5D47"/>
    <w:rsid w:val="009D5D7C"/>
    <w:rsid w:val="009D5E17"/>
    <w:rsid w:val="009D5E5C"/>
    <w:rsid w:val="009D6063"/>
    <w:rsid w:val="009D60DE"/>
    <w:rsid w:val="009D6180"/>
    <w:rsid w:val="009D6225"/>
    <w:rsid w:val="009D63F9"/>
    <w:rsid w:val="009D64B9"/>
    <w:rsid w:val="009D66C2"/>
    <w:rsid w:val="009D66DC"/>
    <w:rsid w:val="009D66EE"/>
    <w:rsid w:val="009D677B"/>
    <w:rsid w:val="009D6787"/>
    <w:rsid w:val="009D6AEB"/>
    <w:rsid w:val="009D6BFF"/>
    <w:rsid w:val="009D6C05"/>
    <w:rsid w:val="009D6C6C"/>
    <w:rsid w:val="009D6EEF"/>
    <w:rsid w:val="009D71C0"/>
    <w:rsid w:val="009D733B"/>
    <w:rsid w:val="009D735A"/>
    <w:rsid w:val="009D7365"/>
    <w:rsid w:val="009D736D"/>
    <w:rsid w:val="009D741B"/>
    <w:rsid w:val="009D7489"/>
    <w:rsid w:val="009D74A8"/>
    <w:rsid w:val="009D74F4"/>
    <w:rsid w:val="009D7608"/>
    <w:rsid w:val="009D762B"/>
    <w:rsid w:val="009D76C5"/>
    <w:rsid w:val="009D770E"/>
    <w:rsid w:val="009D7870"/>
    <w:rsid w:val="009D7873"/>
    <w:rsid w:val="009D791B"/>
    <w:rsid w:val="009D7983"/>
    <w:rsid w:val="009D7A7D"/>
    <w:rsid w:val="009D7AAA"/>
    <w:rsid w:val="009D7B89"/>
    <w:rsid w:val="009D7BE6"/>
    <w:rsid w:val="009D7C30"/>
    <w:rsid w:val="009D7E3D"/>
    <w:rsid w:val="009D7EEA"/>
    <w:rsid w:val="009D7F36"/>
    <w:rsid w:val="009E006C"/>
    <w:rsid w:val="009E019C"/>
    <w:rsid w:val="009E01B7"/>
    <w:rsid w:val="009E01F8"/>
    <w:rsid w:val="009E0293"/>
    <w:rsid w:val="009E035D"/>
    <w:rsid w:val="009E0389"/>
    <w:rsid w:val="009E03D4"/>
    <w:rsid w:val="009E040C"/>
    <w:rsid w:val="009E048E"/>
    <w:rsid w:val="009E0658"/>
    <w:rsid w:val="009E0780"/>
    <w:rsid w:val="009E080A"/>
    <w:rsid w:val="009E08A9"/>
    <w:rsid w:val="009E095D"/>
    <w:rsid w:val="009E0A48"/>
    <w:rsid w:val="009E0AF1"/>
    <w:rsid w:val="009E0BCA"/>
    <w:rsid w:val="009E0C0D"/>
    <w:rsid w:val="009E0C16"/>
    <w:rsid w:val="009E0DA9"/>
    <w:rsid w:val="009E0E46"/>
    <w:rsid w:val="009E0ED7"/>
    <w:rsid w:val="009E0F39"/>
    <w:rsid w:val="009E1149"/>
    <w:rsid w:val="009E11D9"/>
    <w:rsid w:val="009E1206"/>
    <w:rsid w:val="009E12EF"/>
    <w:rsid w:val="009E1419"/>
    <w:rsid w:val="009E144F"/>
    <w:rsid w:val="009E1497"/>
    <w:rsid w:val="009E1656"/>
    <w:rsid w:val="009E1663"/>
    <w:rsid w:val="009E1723"/>
    <w:rsid w:val="009E17C3"/>
    <w:rsid w:val="009E17F8"/>
    <w:rsid w:val="009E1AEF"/>
    <w:rsid w:val="009E1B02"/>
    <w:rsid w:val="009E1CA8"/>
    <w:rsid w:val="009E1E66"/>
    <w:rsid w:val="009E1EA1"/>
    <w:rsid w:val="009E1FE8"/>
    <w:rsid w:val="009E2010"/>
    <w:rsid w:val="009E20C8"/>
    <w:rsid w:val="009E213D"/>
    <w:rsid w:val="009E2224"/>
    <w:rsid w:val="009E222D"/>
    <w:rsid w:val="009E2234"/>
    <w:rsid w:val="009E22FC"/>
    <w:rsid w:val="009E2372"/>
    <w:rsid w:val="009E2377"/>
    <w:rsid w:val="009E2408"/>
    <w:rsid w:val="009E25CE"/>
    <w:rsid w:val="009E2673"/>
    <w:rsid w:val="009E26AC"/>
    <w:rsid w:val="009E28F1"/>
    <w:rsid w:val="009E299D"/>
    <w:rsid w:val="009E29DA"/>
    <w:rsid w:val="009E29E0"/>
    <w:rsid w:val="009E2AD2"/>
    <w:rsid w:val="009E2AD7"/>
    <w:rsid w:val="009E2CFA"/>
    <w:rsid w:val="009E2D14"/>
    <w:rsid w:val="009E2D33"/>
    <w:rsid w:val="009E2DDE"/>
    <w:rsid w:val="009E2E11"/>
    <w:rsid w:val="009E2E97"/>
    <w:rsid w:val="009E2F45"/>
    <w:rsid w:val="009E321C"/>
    <w:rsid w:val="009E32AB"/>
    <w:rsid w:val="009E34BB"/>
    <w:rsid w:val="009E3513"/>
    <w:rsid w:val="009E359A"/>
    <w:rsid w:val="009E35CD"/>
    <w:rsid w:val="009E36CF"/>
    <w:rsid w:val="009E36E3"/>
    <w:rsid w:val="009E385E"/>
    <w:rsid w:val="009E39EB"/>
    <w:rsid w:val="009E3A42"/>
    <w:rsid w:val="009E3ABE"/>
    <w:rsid w:val="009E3B3B"/>
    <w:rsid w:val="009E3C1E"/>
    <w:rsid w:val="009E3D53"/>
    <w:rsid w:val="009E3D76"/>
    <w:rsid w:val="009E3D94"/>
    <w:rsid w:val="009E3F22"/>
    <w:rsid w:val="009E3F4F"/>
    <w:rsid w:val="009E4060"/>
    <w:rsid w:val="009E4136"/>
    <w:rsid w:val="009E4277"/>
    <w:rsid w:val="009E4289"/>
    <w:rsid w:val="009E442A"/>
    <w:rsid w:val="009E472D"/>
    <w:rsid w:val="009E480F"/>
    <w:rsid w:val="009E481E"/>
    <w:rsid w:val="009E487A"/>
    <w:rsid w:val="009E495F"/>
    <w:rsid w:val="009E4AF0"/>
    <w:rsid w:val="009E4BA6"/>
    <w:rsid w:val="009E4C24"/>
    <w:rsid w:val="009E4CBB"/>
    <w:rsid w:val="009E4DCB"/>
    <w:rsid w:val="009E4F38"/>
    <w:rsid w:val="009E50AD"/>
    <w:rsid w:val="009E5179"/>
    <w:rsid w:val="009E51D6"/>
    <w:rsid w:val="009E5412"/>
    <w:rsid w:val="009E5471"/>
    <w:rsid w:val="009E571A"/>
    <w:rsid w:val="009E57EA"/>
    <w:rsid w:val="009E5A8C"/>
    <w:rsid w:val="009E5B1B"/>
    <w:rsid w:val="009E5B96"/>
    <w:rsid w:val="009E5C0D"/>
    <w:rsid w:val="009E5C3A"/>
    <w:rsid w:val="009E5CC5"/>
    <w:rsid w:val="009E5D26"/>
    <w:rsid w:val="009E5D4B"/>
    <w:rsid w:val="009E5E53"/>
    <w:rsid w:val="009E5F4F"/>
    <w:rsid w:val="009E600E"/>
    <w:rsid w:val="009E611F"/>
    <w:rsid w:val="009E6197"/>
    <w:rsid w:val="009E61E1"/>
    <w:rsid w:val="009E62F0"/>
    <w:rsid w:val="009E6361"/>
    <w:rsid w:val="009E63FD"/>
    <w:rsid w:val="009E642E"/>
    <w:rsid w:val="009E6682"/>
    <w:rsid w:val="009E67A6"/>
    <w:rsid w:val="009E68C0"/>
    <w:rsid w:val="009E693A"/>
    <w:rsid w:val="009E6A16"/>
    <w:rsid w:val="009E6A2E"/>
    <w:rsid w:val="009E6A62"/>
    <w:rsid w:val="009E6ADB"/>
    <w:rsid w:val="009E6BB8"/>
    <w:rsid w:val="009E6E19"/>
    <w:rsid w:val="009E6E87"/>
    <w:rsid w:val="009E6FD1"/>
    <w:rsid w:val="009E734A"/>
    <w:rsid w:val="009E7364"/>
    <w:rsid w:val="009E7488"/>
    <w:rsid w:val="009E75D2"/>
    <w:rsid w:val="009E76C5"/>
    <w:rsid w:val="009E7809"/>
    <w:rsid w:val="009E7842"/>
    <w:rsid w:val="009E79EF"/>
    <w:rsid w:val="009E7A35"/>
    <w:rsid w:val="009E7B7D"/>
    <w:rsid w:val="009E7D4A"/>
    <w:rsid w:val="009E7DF3"/>
    <w:rsid w:val="009E7EC7"/>
    <w:rsid w:val="009E7F84"/>
    <w:rsid w:val="009F00D6"/>
    <w:rsid w:val="009F00D9"/>
    <w:rsid w:val="009F018E"/>
    <w:rsid w:val="009F01EE"/>
    <w:rsid w:val="009F01F1"/>
    <w:rsid w:val="009F04B8"/>
    <w:rsid w:val="009F04FE"/>
    <w:rsid w:val="009F053F"/>
    <w:rsid w:val="009F0555"/>
    <w:rsid w:val="009F0721"/>
    <w:rsid w:val="009F083D"/>
    <w:rsid w:val="009F0948"/>
    <w:rsid w:val="009F0984"/>
    <w:rsid w:val="009F0B7F"/>
    <w:rsid w:val="009F0BBC"/>
    <w:rsid w:val="009F0C6C"/>
    <w:rsid w:val="009F0C6D"/>
    <w:rsid w:val="009F0E45"/>
    <w:rsid w:val="009F0E8F"/>
    <w:rsid w:val="009F0EF4"/>
    <w:rsid w:val="009F1011"/>
    <w:rsid w:val="009F12A0"/>
    <w:rsid w:val="009F1409"/>
    <w:rsid w:val="009F1458"/>
    <w:rsid w:val="009F1466"/>
    <w:rsid w:val="009F1551"/>
    <w:rsid w:val="009F15F4"/>
    <w:rsid w:val="009F1759"/>
    <w:rsid w:val="009F1919"/>
    <w:rsid w:val="009F1997"/>
    <w:rsid w:val="009F1B3D"/>
    <w:rsid w:val="009F1B84"/>
    <w:rsid w:val="009F1E16"/>
    <w:rsid w:val="009F1EBF"/>
    <w:rsid w:val="009F1EDD"/>
    <w:rsid w:val="009F1F1E"/>
    <w:rsid w:val="009F205D"/>
    <w:rsid w:val="009F20FB"/>
    <w:rsid w:val="009F2129"/>
    <w:rsid w:val="009F21EE"/>
    <w:rsid w:val="009F2294"/>
    <w:rsid w:val="009F25F7"/>
    <w:rsid w:val="009F2755"/>
    <w:rsid w:val="009F280F"/>
    <w:rsid w:val="009F2822"/>
    <w:rsid w:val="009F2871"/>
    <w:rsid w:val="009F2889"/>
    <w:rsid w:val="009F2A36"/>
    <w:rsid w:val="009F2B0F"/>
    <w:rsid w:val="009F2B62"/>
    <w:rsid w:val="009F2B6C"/>
    <w:rsid w:val="009F2BB9"/>
    <w:rsid w:val="009F2EC5"/>
    <w:rsid w:val="009F2F6B"/>
    <w:rsid w:val="009F2FB6"/>
    <w:rsid w:val="009F30F9"/>
    <w:rsid w:val="009F3169"/>
    <w:rsid w:val="009F3355"/>
    <w:rsid w:val="009F34E1"/>
    <w:rsid w:val="009F356A"/>
    <w:rsid w:val="009F35A5"/>
    <w:rsid w:val="009F35BB"/>
    <w:rsid w:val="009F3621"/>
    <w:rsid w:val="009F37D9"/>
    <w:rsid w:val="009F3896"/>
    <w:rsid w:val="009F39EB"/>
    <w:rsid w:val="009F3A36"/>
    <w:rsid w:val="009F3A57"/>
    <w:rsid w:val="009F3B50"/>
    <w:rsid w:val="009F3C31"/>
    <w:rsid w:val="009F3E19"/>
    <w:rsid w:val="009F3E39"/>
    <w:rsid w:val="009F3EAA"/>
    <w:rsid w:val="009F3EC1"/>
    <w:rsid w:val="009F3F43"/>
    <w:rsid w:val="009F3F5D"/>
    <w:rsid w:val="009F3FB9"/>
    <w:rsid w:val="009F4105"/>
    <w:rsid w:val="009F4163"/>
    <w:rsid w:val="009F41F6"/>
    <w:rsid w:val="009F43F1"/>
    <w:rsid w:val="009F44E5"/>
    <w:rsid w:val="009F4513"/>
    <w:rsid w:val="009F4554"/>
    <w:rsid w:val="009F4698"/>
    <w:rsid w:val="009F4722"/>
    <w:rsid w:val="009F4817"/>
    <w:rsid w:val="009F4861"/>
    <w:rsid w:val="009F4943"/>
    <w:rsid w:val="009F4A9B"/>
    <w:rsid w:val="009F4ACE"/>
    <w:rsid w:val="009F4C80"/>
    <w:rsid w:val="009F4D4B"/>
    <w:rsid w:val="009F4E55"/>
    <w:rsid w:val="009F4E72"/>
    <w:rsid w:val="009F4F4F"/>
    <w:rsid w:val="009F4F6E"/>
    <w:rsid w:val="009F4FBD"/>
    <w:rsid w:val="009F50DF"/>
    <w:rsid w:val="009F50E6"/>
    <w:rsid w:val="009F50ED"/>
    <w:rsid w:val="009F5385"/>
    <w:rsid w:val="009F558E"/>
    <w:rsid w:val="009F57AB"/>
    <w:rsid w:val="009F57D8"/>
    <w:rsid w:val="009F5864"/>
    <w:rsid w:val="009F591F"/>
    <w:rsid w:val="009F5981"/>
    <w:rsid w:val="009F5C83"/>
    <w:rsid w:val="009F5CE9"/>
    <w:rsid w:val="009F5DCA"/>
    <w:rsid w:val="009F5ED7"/>
    <w:rsid w:val="009F5FB7"/>
    <w:rsid w:val="009F6335"/>
    <w:rsid w:val="009F6497"/>
    <w:rsid w:val="009F649C"/>
    <w:rsid w:val="009F6612"/>
    <w:rsid w:val="009F662F"/>
    <w:rsid w:val="009F6659"/>
    <w:rsid w:val="009F66AD"/>
    <w:rsid w:val="009F67B8"/>
    <w:rsid w:val="009F68C8"/>
    <w:rsid w:val="009F6994"/>
    <w:rsid w:val="009F6AAD"/>
    <w:rsid w:val="009F6BC7"/>
    <w:rsid w:val="009F6E23"/>
    <w:rsid w:val="009F6E94"/>
    <w:rsid w:val="009F7037"/>
    <w:rsid w:val="009F705E"/>
    <w:rsid w:val="009F7081"/>
    <w:rsid w:val="009F7097"/>
    <w:rsid w:val="009F70CC"/>
    <w:rsid w:val="009F7149"/>
    <w:rsid w:val="009F71C7"/>
    <w:rsid w:val="009F722C"/>
    <w:rsid w:val="009F738C"/>
    <w:rsid w:val="009F74C6"/>
    <w:rsid w:val="009F755B"/>
    <w:rsid w:val="009F7562"/>
    <w:rsid w:val="009F7582"/>
    <w:rsid w:val="009F793B"/>
    <w:rsid w:val="009F7A21"/>
    <w:rsid w:val="009F7A62"/>
    <w:rsid w:val="009F7C8E"/>
    <w:rsid w:val="009F7D69"/>
    <w:rsid w:val="009F7D88"/>
    <w:rsid w:val="009F7DA3"/>
    <w:rsid w:val="009F7E72"/>
    <w:rsid w:val="009FF109"/>
    <w:rsid w:val="00A000ED"/>
    <w:rsid w:val="00A002EF"/>
    <w:rsid w:val="00A0041E"/>
    <w:rsid w:val="00A005C7"/>
    <w:rsid w:val="00A007A5"/>
    <w:rsid w:val="00A00829"/>
    <w:rsid w:val="00A008B8"/>
    <w:rsid w:val="00A008FC"/>
    <w:rsid w:val="00A00958"/>
    <w:rsid w:val="00A0099C"/>
    <w:rsid w:val="00A00A78"/>
    <w:rsid w:val="00A00B27"/>
    <w:rsid w:val="00A00B4B"/>
    <w:rsid w:val="00A00DCC"/>
    <w:rsid w:val="00A00E56"/>
    <w:rsid w:val="00A00EA7"/>
    <w:rsid w:val="00A00F20"/>
    <w:rsid w:val="00A00F96"/>
    <w:rsid w:val="00A0106E"/>
    <w:rsid w:val="00A01166"/>
    <w:rsid w:val="00A011BB"/>
    <w:rsid w:val="00A0132E"/>
    <w:rsid w:val="00A014BF"/>
    <w:rsid w:val="00A016D8"/>
    <w:rsid w:val="00A0174E"/>
    <w:rsid w:val="00A018A8"/>
    <w:rsid w:val="00A01972"/>
    <w:rsid w:val="00A01A5E"/>
    <w:rsid w:val="00A01B0B"/>
    <w:rsid w:val="00A01C14"/>
    <w:rsid w:val="00A01DBF"/>
    <w:rsid w:val="00A01F21"/>
    <w:rsid w:val="00A02102"/>
    <w:rsid w:val="00A0220A"/>
    <w:rsid w:val="00A022A2"/>
    <w:rsid w:val="00A022B2"/>
    <w:rsid w:val="00A02339"/>
    <w:rsid w:val="00A02387"/>
    <w:rsid w:val="00A0241E"/>
    <w:rsid w:val="00A02632"/>
    <w:rsid w:val="00A026EC"/>
    <w:rsid w:val="00A02959"/>
    <w:rsid w:val="00A02BFE"/>
    <w:rsid w:val="00A02CAB"/>
    <w:rsid w:val="00A02D69"/>
    <w:rsid w:val="00A02DB4"/>
    <w:rsid w:val="00A02DFC"/>
    <w:rsid w:val="00A02F58"/>
    <w:rsid w:val="00A03072"/>
    <w:rsid w:val="00A0335C"/>
    <w:rsid w:val="00A03446"/>
    <w:rsid w:val="00A03535"/>
    <w:rsid w:val="00A03551"/>
    <w:rsid w:val="00A035C2"/>
    <w:rsid w:val="00A0378F"/>
    <w:rsid w:val="00A037A4"/>
    <w:rsid w:val="00A039B6"/>
    <w:rsid w:val="00A03A02"/>
    <w:rsid w:val="00A03A1E"/>
    <w:rsid w:val="00A03A2C"/>
    <w:rsid w:val="00A03A92"/>
    <w:rsid w:val="00A03AB5"/>
    <w:rsid w:val="00A03C2F"/>
    <w:rsid w:val="00A03CC5"/>
    <w:rsid w:val="00A04029"/>
    <w:rsid w:val="00A04061"/>
    <w:rsid w:val="00A0414C"/>
    <w:rsid w:val="00A04252"/>
    <w:rsid w:val="00A0428E"/>
    <w:rsid w:val="00A042A5"/>
    <w:rsid w:val="00A043E7"/>
    <w:rsid w:val="00A04668"/>
    <w:rsid w:val="00A04679"/>
    <w:rsid w:val="00A046CA"/>
    <w:rsid w:val="00A04856"/>
    <w:rsid w:val="00A048B3"/>
    <w:rsid w:val="00A04A7C"/>
    <w:rsid w:val="00A04E5A"/>
    <w:rsid w:val="00A04EB0"/>
    <w:rsid w:val="00A05025"/>
    <w:rsid w:val="00A050D9"/>
    <w:rsid w:val="00A05123"/>
    <w:rsid w:val="00A05295"/>
    <w:rsid w:val="00A0530E"/>
    <w:rsid w:val="00A0538B"/>
    <w:rsid w:val="00A054D4"/>
    <w:rsid w:val="00A05573"/>
    <w:rsid w:val="00A0558D"/>
    <w:rsid w:val="00A05592"/>
    <w:rsid w:val="00A05670"/>
    <w:rsid w:val="00A057EE"/>
    <w:rsid w:val="00A05899"/>
    <w:rsid w:val="00A058AA"/>
    <w:rsid w:val="00A05A59"/>
    <w:rsid w:val="00A05AF8"/>
    <w:rsid w:val="00A05AFC"/>
    <w:rsid w:val="00A05B7E"/>
    <w:rsid w:val="00A05D57"/>
    <w:rsid w:val="00A05E22"/>
    <w:rsid w:val="00A05F2B"/>
    <w:rsid w:val="00A05FAF"/>
    <w:rsid w:val="00A05FF6"/>
    <w:rsid w:val="00A060E9"/>
    <w:rsid w:val="00A06136"/>
    <w:rsid w:val="00A0624A"/>
    <w:rsid w:val="00A06252"/>
    <w:rsid w:val="00A0632C"/>
    <w:rsid w:val="00A06517"/>
    <w:rsid w:val="00A0659B"/>
    <w:rsid w:val="00A0674C"/>
    <w:rsid w:val="00A06856"/>
    <w:rsid w:val="00A06A35"/>
    <w:rsid w:val="00A06AF9"/>
    <w:rsid w:val="00A06B4C"/>
    <w:rsid w:val="00A06B5F"/>
    <w:rsid w:val="00A06BC8"/>
    <w:rsid w:val="00A06DF4"/>
    <w:rsid w:val="00A06E39"/>
    <w:rsid w:val="00A07080"/>
    <w:rsid w:val="00A0715A"/>
    <w:rsid w:val="00A07162"/>
    <w:rsid w:val="00A071C2"/>
    <w:rsid w:val="00A0729E"/>
    <w:rsid w:val="00A07311"/>
    <w:rsid w:val="00A0765A"/>
    <w:rsid w:val="00A076BB"/>
    <w:rsid w:val="00A07742"/>
    <w:rsid w:val="00A07807"/>
    <w:rsid w:val="00A0784B"/>
    <w:rsid w:val="00A07891"/>
    <w:rsid w:val="00A07964"/>
    <w:rsid w:val="00A07A48"/>
    <w:rsid w:val="00A07AC6"/>
    <w:rsid w:val="00A07B0A"/>
    <w:rsid w:val="00A07B26"/>
    <w:rsid w:val="00A07B87"/>
    <w:rsid w:val="00A07BCA"/>
    <w:rsid w:val="00A07C56"/>
    <w:rsid w:val="00A07C7D"/>
    <w:rsid w:val="00A07E15"/>
    <w:rsid w:val="00A07E20"/>
    <w:rsid w:val="00A07EAD"/>
    <w:rsid w:val="00A07F20"/>
    <w:rsid w:val="00A10005"/>
    <w:rsid w:val="00A10016"/>
    <w:rsid w:val="00A100B0"/>
    <w:rsid w:val="00A10194"/>
    <w:rsid w:val="00A101D4"/>
    <w:rsid w:val="00A1038B"/>
    <w:rsid w:val="00A10429"/>
    <w:rsid w:val="00A104D1"/>
    <w:rsid w:val="00A10683"/>
    <w:rsid w:val="00A1071B"/>
    <w:rsid w:val="00A10849"/>
    <w:rsid w:val="00A1084A"/>
    <w:rsid w:val="00A1094F"/>
    <w:rsid w:val="00A109B4"/>
    <w:rsid w:val="00A109BD"/>
    <w:rsid w:val="00A10AA8"/>
    <w:rsid w:val="00A10C5B"/>
    <w:rsid w:val="00A10CEE"/>
    <w:rsid w:val="00A10D1F"/>
    <w:rsid w:val="00A10DBA"/>
    <w:rsid w:val="00A10EAB"/>
    <w:rsid w:val="00A10EF7"/>
    <w:rsid w:val="00A10F1B"/>
    <w:rsid w:val="00A10F67"/>
    <w:rsid w:val="00A112CC"/>
    <w:rsid w:val="00A113B6"/>
    <w:rsid w:val="00A113F6"/>
    <w:rsid w:val="00A11486"/>
    <w:rsid w:val="00A114E8"/>
    <w:rsid w:val="00A115B7"/>
    <w:rsid w:val="00A11741"/>
    <w:rsid w:val="00A11779"/>
    <w:rsid w:val="00A1191F"/>
    <w:rsid w:val="00A11AF1"/>
    <w:rsid w:val="00A11BD2"/>
    <w:rsid w:val="00A11C4C"/>
    <w:rsid w:val="00A11CF8"/>
    <w:rsid w:val="00A11D10"/>
    <w:rsid w:val="00A11D3C"/>
    <w:rsid w:val="00A11D78"/>
    <w:rsid w:val="00A11E57"/>
    <w:rsid w:val="00A11F3C"/>
    <w:rsid w:val="00A12019"/>
    <w:rsid w:val="00A12052"/>
    <w:rsid w:val="00A12179"/>
    <w:rsid w:val="00A1218B"/>
    <w:rsid w:val="00A123F8"/>
    <w:rsid w:val="00A124CE"/>
    <w:rsid w:val="00A1250C"/>
    <w:rsid w:val="00A125A9"/>
    <w:rsid w:val="00A12626"/>
    <w:rsid w:val="00A128EC"/>
    <w:rsid w:val="00A12935"/>
    <w:rsid w:val="00A12975"/>
    <w:rsid w:val="00A129D2"/>
    <w:rsid w:val="00A129DF"/>
    <w:rsid w:val="00A12ABA"/>
    <w:rsid w:val="00A12C02"/>
    <w:rsid w:val="00A12C04"/>
    <w:rsid w:val="00A12D22"/>
    <w:rsid w:val="00A12D80"/>
    <w:rsid w:val="00A12DA0"/>
    <w:rsid w:val="00A12DB9"/>
    <w:rsid w:val="00A12DF4"/>
    <w:rsid w:val="00A12E0A"/>
    <w:rsid w:val="00A12E1E"/>
    <w:rsid w:val="00A12EE7"/>
    <w:rsid w:val="00A13013"/>
    <w:rsid w:val="00A1313A"/>
    <w:rsid w:val="00A13278"/>
    <w:rsid w:val="00A13281"/>
    <w:rsid w:val="00A13298"/>
    <w:rsid w:val="00A133A6"/>
    <w:rsid w:val="00A1345F"/>
    <w:rsid w:val="00A1349B"/>
    <w:rsid w:val="00A135C3"/>
    <w:rsid w:val="00A13818"/>
    <w:rsid w:val="00A1381B"/>
    <w:rsid w:val="00A138EA"/>
    <w:rsid w:val="00A13923"/>
    <w:rsid w:val="00A13931"/>
    <w:rsid w:val="00A13A02"/>
    <w:rsid w:val="00A13A2E"/>
    <w:rsid w:val="00A13B00"/>
    <w:rsid w:val="00A13B1D"/>
    <w:rsid w:val="00A13B3A"/>
    <w:rsid w:val="00A13BC5"/>
    <w:rsid w:val="00A13C06"/>
    <w:rsid w:val="00A13C6D"/>
    <w:rsid w:val="00A13CC2"/>
    <w:rsid w:val="00A13D72"/>
    <w:rsid w:val="00A13DC5"/>
    <w:rsid w:val="00A13EC7"/>
    <w:rsid w:val="00A13F3E"/>
    <w:rsid w:val="00A13F4D"/>
    <w:rsid w:val="00A1405A"/>
    <w:rsid w:val="00A1409C"/>
    <w:rsid w:val="00A141DD"/>
    <w:rsid w:val="00A14232"/>
    <w:rsid w:val="00A1427E"/>
    <w:rsid w:val="00A14284"/>
    <w:rsid w:val="00A1431F"/>
    <w:rsid w:val="00A1436E"/>
    <w:rsid w:val="00A143A9"/>
    <w:rsid w:val="00A14455"/>
    <w:rsid w:val="00A144A2"/>
    <w:rsid w:val="00A14531"/>
    <w:rsid w:val="00A14544"/>
    <w:rsid w:val="00A14584"/>
    <w:rsid w:val="00A1462B"/>
    <w:rsid w:val="00A14A0D"/>
    <w:rsid w:val="00A14B26"/>
    <w:rsid w:val="00A14C0A"/>
    <w:rsid w:val="00A14C1C"/>
    <w:rsid w:val="00A14E4F"/>
    <w:rsid w:val="00A14F8E"/>
    <w:rsid w:val="00A14FCE"/>
    <w:rsid w:val="00A15039"/>
    <w:rsid w:val="00A1503C"/>
    <w:rsid w:val="00A1507F"/>
    <w:rsid w:val="00A150F8"/>
    <w:rsid w:val="00A15319"/>
    <w:rsid w:val="00A153B1"/>
    <w:rsid w:val="00A153E7"/>
    <w:rsid w:val="00A155A9"/>
    <w:rsid w:val="00A158A2"/>
    <w:rsid w:val="00A1590B"/>
    <w:rsid w:val="00A159A3"/>
    <w:rsid w:val="00A15AD5"/>
    <w:rsid w:val="00A15B00"/>
    <w:rsid w:val="00A15B80"/>
    <w:rsid w:val="00A15B94"/>
    <w:rsid w:val="00A15BCC"/>
    <w:rsid w:val="00A15C9D"/>
    <w:rsid w:val="00A15CB0"/>
    <w:rsid w:val="00A15E73"/>
    <w:rsid w:val="00A16064"/>
    <w:rsid w:val="00A160CC"/>
    <w:rsid w:val="00A160D7"/>
    <w:rsid w:val="00A16217"/>
    <w:rsid w:val="00A16272"/>
    <w:rsid w:val="00A16334"/>
    <w:rsid w:val="00A16428"/>
    <w:rsid w:val="00A16522"/>
    <w:rsid w:val="00A1659A"/>
    <w:rsid w:val="00A16610"/>
    <w:rsid w:val="00A16662"/>
    <w:rsid w:val="00A166B7"/>
    <w:rsid w:val="00A16830"/>
    <w:rsid w:val="00A1684B"/>
    <w:rsid w:val="00A16BAF"/>
    <w:rsid w:val="00A16C21"/>
    <w:rsid w:val="00A16DD8"/>
    <w:rsid w:val="00A16FF0"/>
    <w:rsid w:val="00A1710B"/>
    <w:rsid w:val="00A17265"/>
    <w:rsid w:val="00A173D6"/>
    <w:rsid w:val="00A173DE"/>
    <w:rsid w:val="00A174A4"/>
    <w:rsid w:val="00A174F4"/>
    <w:rsid w:val="00A1752D"/>
    <w:rsid w:val="00A177AD"/>
    <w:rsid w:val="00A177B7"/>
    <w:rsid w:val="00A17878"/>
    <w:rsid w:val="00A17B1E"/>
    <w:rsid w:val="00A17BA9"/>
    <w:rsid w:val="00A17CA1"/>
    <w:rsid w:val="00A17D66"/>
    <w:rsid w:val="00A17DC6"/>
    <w:rsid w:val="00A17F57"/>
    <w:rsid w:val="00A17F93"/>
    <w:rsid w:val="00A2005F"/>
    <w:rsid w:val="00A200CA"/>
    <w:rsid w:val="00A202CC"/>
    <w:rsid w:val="00A204F2"/>
    <w:rsid w:val="00A20654"/>
    <w:rsid w:val="00A206AC"/>
    <w:rsid w:val="00A206B0"/>
    <w:rsid w:val="00A208A7"/>
    <w:rsid w:val="00A20A13"/>
    <w:rsid w:val="00A20A3A"/>
    <w:rsid w:val="00A20A3E"/>
    <w:rsid w:val="00A20B57"/>
    <w:rsid w:val="00A20BC8"/>
    <w:rsid w:val="00A20E86"/>
    <w:rsid w:val="00A20EE5"/>
    <w:rsid w:val="00A210CD"/>
    <w:rsid w:val="00A210D4"/>
    <w:rsid w:val="00A21107"/>
    <w:rsid w:val="00A211F5"/>
    <w:rsid w:val="00A2124E"/>
    <w:rsid w:val="00A21288"/>
    <w:rsid w:val="00A212A6"/>
    <w:rsid w:val="00A213EF"/>
    <w:rsid w:val="00A215E9"/>
    <w:rsid w:val="00A21666"/>
    <w:rsid w:val="00A21679"/>
    <w:rsid w:val="00A2176D"/>
    <w:rsid w:val="00A21807"/>
    <w:rsid w:val="00A219E0"/>
    <w:rsid w:val="00A21D6A"/>
    <w:rsid w:val="00A21D92"/>
    <w:rsid w:val="00A22191"/>
    <w:rsid w:val="00A221B4"/>
    <w:rsid w:val="00A221EC"/>
    <w:rsid w:val="00A22207"/>
    <w:rsid w:val="00A22292"/>
    <w:rsid w:val="00A22361"/>
    <w:rsid w:val="00A22461"/>
    <w:rsid w:val="00A22572"/>
    <w:rsid w:val="00A226B3"/>
    <w:rsid w:val="00A22748"/>
    <w:rsid w:val="00A227A2"/>
    <w:rsid w:val="00A228D8"/>
    <w:rsid w:val="00A229DB"/>
    <w:rsid w:val="00A229E1"/>
    <w:rsid w:val="00A22A29"/>
    <w:rsid w:val="00A22A8B"/>
    <w:rsid w:val="00A22BF5"/>
    <w:rsid w:val="00A22C40"/>
    <w:rsid w:val="00A23260"/>
    <w:rsid w:val="00A233BE"/>
    <w:rsid w:val="00A23639"/>
    <w:rsid w:val="00A238C3"/>
    <w:rsid w:val="00A23AE6"/>
    <w:rsid w:val="00A23C3A"/>
    <w:rsid w:val="00A23D04"/>
    <w:rsid w:val="00A23F31"/>
    <w:rsid w:val="00A23F6B"/>
    <w:rsid w:val="00A2409A"/>
    <w:rsid w:val="00A240DA"/>
    <w:rsid w:val="00A240FA"/>
    <w:rsid w:val="00A2419D"/>
    <w:rsid w:val="00A24256"/>
    <w:rsid w:val="00A24354"/>
    <w:rsid w:val="00A243EB"/>
    <w:rsid w:val="00A24632"/>
    <w:rsid w:val="00A2469C"/>
    <w:rsid w:val="00A249E0"/>
    <w:rsid w:val="00A249F1"/>
    <w:rsid w:val="00A24B1C"/>
    <w:rsid w:val="00A24C68"/>
    <w:rsid w:val="00A24D32"/>
    <w:rsid w:val="00A24D50"/>
    <w:rsid w:val="00A24D7D"/>
    <w:rsid w:val="00A24E65"/>
    <w:rsid w:val="00A24E7B"/>
    <w:rsid w:val="00A24EB3"/>
    <w:rsid w:val="00A24F72"/>
    <w:rsid w:val="00A24F74"/>
    <w:rsid w:val="00A2502B"/>
    <w:rsid w:val="00A25041"/>
    <w:rsid w:val="00A25163"/>
    <w:rsid w:val="00A2523B"/>
    <w:rsid w:val="00A25245"/>
    <w:rsid w:val="00A25308"/>
    <w:rsid w:val="00A2532C"/>
    <w:rsid w:val="00A2541B"/>
    <w:rsid w:val="00A2542D"/>
    <w:rsid w:val="00A25450"/>
    <w:rsid w:val="00A25738"/>
    <w:rsid w:val="00A25A5B"/>
    <w:rsid w:val="00A25AAD"/>
    <w:rsid w:val="00A25BB3"/>
    <w:rsid w:val="00A25C3F"/>
    <w:rsid w:val="00A25C9C"/>
    <w:rsid w:val="00A25D9B"/>
    <w:rsid w:val="00A26093"/>
    <w:rsid w:val="00A261A5"/>
    <w:rsid w:val="00A2626B"/>
    <w:rsid w:val="00A2633E"/>
    <w:rsid w:val="00A26346"/>
    <w:rsid w:val="00A2638B"/>
    <w:rsid w:val="00A26464"/>
    <w:rsid w:val="00A26627"/>
    <w:rsid w:val="00A266F3"/>
    <w:rsid w:val="00A2674F"/>
    <w:rsid w:val="00A267B0"/>
    <w:rsid w:val="00A267D2"/>
    <w:rsid w:val="00A2683B"/>
    <w:rsid w:val="00A2690D"/>
    <w:rsid w:val="00A2691A"/>
    <w:rsid w:val="00A269BC"/>
    <w:rsid w:val="00A269FC"/>
    <w:rsid w:val="00A269FE"/>
    <w:rsid w:val="00A26A1C"/>
    <w:rsid w:val="00A26A2F"/>
    <w:rsid w:val="00A26A7C"/>
    <w:rsid w:val="00A26B3B"/>
    <w:rsid w:val="00A26C06"/>
    <w:rsid w:val="00A26C1C"/>
    <w:rsid w:val="00A26C3F"/>
    <w:rsid w:val="00A26C4C"/>
    <w:rsid w:val="00A26C8D"/>
    <w:rsid w:val="00A26C8E"/>
    <w:rsid w:val="00A26CBB"/>
    <w:rsid w:val="00A26CF9"/>
    <w:rsid w:val="00A26DAC"/>
    <w:rsid w:val="00A26EE5"/>
    <w:rsid w:val="00A26EF5"/>
    <w:rsid w:val="00A26F3C"/>
    <w:rsid w:val="00A27111"/>
    <w:rsid w:val="00A27245"/>
    <w:rsid w:val="00A2727A"/>
    <w:rsid w:val="00A27356"/>
    <w:rsid w:val="00A273A8"/>
    <w:rsid w:val="00A2780B"/>
    <w:rsid w:val="00A27813"/>
    <w:rsid w:val="00A2785A"/>
    <w:rsid w:val="00A27CCD"/>
    <w:rsid w:val="00A27D7D"/>
    <w:rsid w:val="00A27DC5"/>
    <w:rsid w:val="00A27E6B"/>
    <w:rsid w:val="00A27EC4"/>
    <w:rsid w:val="00A27EF7"/>
    <w:rsid w:val="00A27EFD"/>
    <w:rsid w:val="00A3004A"/>
    <w:rsid w:val="00A30109"/>
    <w:rsid w:val="00A301CA"/>
    <w:rsid w:val="00A301DB"/>
    <w:rsid w:val="00A30315"/>
    <w:rsid w:val="00A30387"/>
    <w:rsid w:val="00A303E1"/>
    <w:rsid w:val="00A3057B"/>
    <w:rsid w:val="00A30587"/>
    <w:rsid w:val="00A30728"/>
    <w:rsid w:val="00A30776"/>
    <w:rsid w:val="00A30779"/>
    <w:rsid w:val="00A3095D"/>
    <w:rsid w:val="00A309CC"/>
    <w:rsid w:val="00A30A0F"/>
    <w:rsid w:val="00A30A49"/>
    <w:rsid w:val="00A30A67"/>
    <w:rsid w:val="00A30AEA"/>
    <w:rsid w:val="00A30B07"/>
    <w:rsid w:val="00A30B13"/>
    <w:rsid w:val="00A30B3C"/>
    <w:rsid w:val="00A30B5B"/>
    <w:rsid w:val="00A30C11"/>
    <w:rsid w:val="00A30C56"/>
    <w:rsid w:val="00A30C86"/>
    <w:rsid w:val="00A30CA3"/>
    <w:rsid w:val="00A30CCF"/>
    <w:rsid w:val="00A30CF6"/>
    <w:rsid w:val="00A30D6F"/>
    <w:rsid w:val="00A30F84"/>
    <w:rsid w:val="00A30F88"/>
    <w:rsid w:val="00A30FEA"/>
    <w:rsid w:val="00A30FF9"/>
    <w:rsid w:val="00A31218"/>
    <w:rsid w:val="00A3124B"/>
    <w:rsid w:val="00A3132F"/>
    <w:rsid w:val="00A31351"/>
    <w:rsid w:val="00A314E2"/>
    <w:rsid w:val="00A314F5"/>
    <w:rsid w:val="00A31535"/>
    <w:rsid w:val="00A31597"/>
    <w:rsid w:val="00A31636"/>
    <w:rsid w:val="00A3166F"/>
    <w:rsid w:val="00A317AC"/>
    <w:rsid w:val="00A317BC"/>
    <w:rsid w:val="00A31979"/>
    <w:rsid w:val="00A31A25"/>
    <w:rsid w:val="00A31A5A"/>
    <w:rsid w:val="00A31AB7"/>
    <w:rsid w:val="00A31B52"/>
    <w:rsid w:val="00A31B72"/>
    <w:rsid w:val="00A31BC8"/>
    <w:rsid w:val="00A31C5F"/>
    <w:rsid w:val="00A31C93"/>
    <w:rsid w:val="00A31CFF"/>
    <w:rsid w:val="00A31D8C"/>
    <w:rsid w:val="00A31E08"/>
    <w:rsid w:val="00A31E91"/>
    <w:rsid w:val="00A31EFD"/>
    <w:rsid w:val="00A321F0"/>
    <w:rsid w:val="00A321F1"/>
    <w:rsid w:val="00A3229B"/>
    <w:rsid w:val="00A322DD"/>
    <w:rsid w:val="00A322E7"/>
    <w:rsid w:val="00A323A4"/>
    <w:rsid w:val="00A323F2"/>
    <w:rsid w:val="00A324F6"/>
    <w:rsid w:val="00A32560"/>
    <w:rsid w:val="00A32643"/>
    <w:rsid w:val="00A3268A"/>
    <w:rsid w:val="00A327A0"/>
    <w:rsid w:val="00A327D6"/>
    <w:rsid w:val="00A327D7"/>
    <w:rsid w:val="00A328D6"/>
    <w:rsid w:val="00A3298A"/>
    <w:rsid w:val="00A32A4D"/>
    <w:rsid w:val="00A32A68"/>
    <w:rsid w:val="00A32AF8"/>
    <w:rsid w:val="00A32B3D"/>
    <w:rsid w:val="00A32C7C"/>
    <w:rsid w:val="00A32CB3"/>
    <w:rsid w:val="00A32CB7"/>
    <w:rsid w:val="00A32DA8"/>
    <w:rsid w:val="00A32EBF"/>
    <w:rsid w:val="00A32F51"/>
    <w:rsid w:val="00A33053"/>
    <w:rsid w:val="00A332C2"/>
    <w:rsid w:val="00A3335B"/>
    <w:rsid w:val="00A3346A"/>
    <w:rsid w:val="00A3347E"/>
    <w:rsid w:val="00A33482"/>
    <w:rsid w:val="00A334B7"/>
    <w:rsid w:val="00A3366B"/>
    <w:rsid w:val="00A33793"/>
    <w:rsid w:val="00A337BE"/>
    <w:rsid w:val="00A338E4"/>
    <w:rsid w:val="00A33ACE"/>
    <w:rsid w:val="00A33B12"/>
    <w:rsid w:val="00A33B76"/>
    <w:rsid w:val="00A33C96"/>
    <w:rsid w:val="00A33E9B"/>
    <w:rsid w:val="00A34151"/>
    <w:rsid w:val="00A341B7"/>
    <w:rsid w:val="00A341FB"/>
    <w:rsid w:val="00A343B1"/>
    <w:rsid w:val="00A3440D"/>
    <w:rsid w:val="00A344FB"/>
    <w:rsid w:val="00A34784"/>
    <w:rsid w:val="00A347E7"/>
    <w:rsid w:val="00A3491E"/>
    <w:rsid w:val="00A34A8A"/>
    <w:rsid w:val="00A34B0A"/>
    <w:rsid w:val="00A34B8A"/>
    <w:rsid w:val="00A34BC8"/>
    <w:rsid w:val="00A34D3D"/>
    <w:rsid w:val="00A34D5B"/>
    <w:rsid w:val="00A34EDA"/>
    <w:rsid w:val="00A35102"/>
    <w:rsid w:val="00A35157"/>
    <w:rsid w:val="00A35218"/>
    <w:rsid w:val="00A35346"/>
    <w:rsid w:val="00A353B1"/>
    <w:rsid w:val="00A353C8"/>
    <w:rsid w:val="00A354B8"/>
    <w:rsid w:val="00A354E6"/>
    <w:rsid w:val="00A3578E"/>
    <w:rsid w:val="00A357F7"/>
    <w:rsid w:val="00A35A63"/>
    <w:rsid w:val="00A35B5B"/>
    <w:rsid w:val="00A35B94"/>
    <w:rsid w:val="00A35BB2"/>
    <w:rsid w:val="00A35C9A"/>
    <w:rsid w:val="00A35CDC"/>
    <w:rsid w:val="00A35D29"/>
    <w:rsid w:val="00A35DCE"/>
    <w:rsid w:val="00A35E58"/>
    <w:rsid w:val="00A35F60"/>
    <w:rsid w:val="00A35F8A"/>
    <w:rsid w:val="00A360EC"/>
    <w:rsid w:val="00A36144"/>
    <w:rsid w:val="00A36181"/>
    <w:rsid w:val="00A36267"/>
    <w:rsid w:val="00A3627A"/>
    <w:rsid w:val="00A362C1"/>
    <w:rsid w:val="00A3640F"/>
    <w:rsid w:val="00A3685A"/>
    <w:rsid w:val="00A368A5"/>
    <w:rsid w:val="00A36A49"/>
    <w:rsid w:val="00A36A54"/>
    <w:rsid w:val="00A36A89"/>
    <w:rsid w:val="00A36ADA"/>
    <w:rsid w:val="00A36B0B"/>
    <w:rsid w:val="00A36B29"/>
    <w:rsid w:val="00A36C03"/>
    <w:rsid w:val="00A36D35"/>
    <w:rsid w:val="00A36D6E"/>
    <w:rsid w:val="00A36DA0"/>
    <w:rsid w:val="00A36EFE"/>
    <w:rsid w:val="00A36F27"/>
    <w:rsid w:val="00A36FAC"/>
    <w:rsid w:val="00A36FE3"/>
    <w:rsid w:val="00A370A3"/>
    <w:rsid w:val="00A37186"/>
    <w:rsid w:val="00A371BB"/>
    <w:rsid w:val="00A37420"/>
    <w:rsid w:val="00A3743F"/>
    <w:rsid w:val="00A374CF"/>
    <w:rsid w:val="00A374D0"/>
    <w:rsid w:val="00A37681"/>
    <w:rsid w:val="00A376C9"/>
    <w:rsid w:val="00A376FE"/>
    <w:rsid w:val="00A37874"/>
    <w:rsid w:val="00A37944"/>
    <w:rsid w:val="00A37AE8"/>
    <w:rsid w:val="00A37B5D"/>
    <w:rsid w:val="00A37D91"/>
    <w:rsid w:val="00A37F21"/>
    <w:rsid w:val="00A40004"/>
    <w:rsid w:val="00A400BC"/>
    <w:rsid w:val="00A40142"/>
    <w:rsid w:val="00A40291"/>
    <w:rsid w:val="00A403B4"/>
    <w:rsid w:val="00A403D4"/>
    <w:rsid w:val="00A4058E"/>
    <w:rsid w:val="00A406B4"/>
    <w:rsid w:val="00A40724"/>
    <w:rsid w:val="00A407D8"/>
    <w:rsid w:val="00A4084F"/>
    <w:rsid w:val="00A40872"/>
    <w:rsid w:val="00A408EF"/>
    <w:rsid w:val="00A409B2"/>
    <w:rsid w:val="00A40A0A"/>
    <w:rsid w:val="00A40A98"/>
    <w:rsid w:val="00A40AD0"/>
    <w:rsid w:val="00A40AE6"/>
    <w:rsid w:val="00A40AEA"/>
    <w:rsid w:val="00A40AEC"/>
    <w:rsid w:val="00A40B9B"/>
    <w:rsid w:val="00A40E0A"/>
    <w:rsid w:val="00A40E1F"/>
    <w:rsid w:val="00A40EE0"/>
    <w:rsid w:val="00A40FC4"/>
    <w:rsid w:val="00A4106C"/>
    <w:rsid w:val="00A410B3"/>
    <w:rsid w:val="00A411E3"/>
    <w:rsid w:val="00A41246"/>
    <w:rsid w:val="00A41255"/>
    <w:rsid w:val="00A4127B"/>
    <w:rsid w:val="00A41317"/>
    <w:rsid w:val="00A41474"/>
    <w:rsid w:val="00A41514"/>
    <w:rsid w:val="00A41610"/>
    <w:rsid w:val="00A4161A"/>
    <w:rsid w:val="00A41653"/>
    <w:rsid w:val="00A416F3"/>
    <w:rsid w:val="00A41772"/>
    <w:rsid w:val="00A41799"/>
    <w:rsid w:val="00A41803"/>
    <w:rsid w:val="00A41845"/>
    <w:rsid w:val="00A41866"/>
    <w:rsid w:val="00A418D9"/>
    <w:rsid w:val="00A418E2"/>
    <w:rsid w:val="00A41969"/>
    <w:rsid w:val="00A419B8"/>
    <w:rsid w:val="00A41B3D"/>
    <w:rsid w:val="00A41BD0"/>
    <w:rsid w:val="00A41C5C"/>
    <w:rsid w:val="00A41D5C"/>
    <w:rsid w:val="00A41D8A"/>
    <w:rsid w:val="00A41D98"/>
    <w:rsid w:val="00A41E59"/>
    <w:rsid w:val="00A41E8C"/>
    <w:rsid w:val="00A41F64"/>
    <w:rsid w:val="00A41F6A"/>
    <w:rsid w:val="00A42071"/>
    <w:rsid w:val="00A421CB"/>
    <w:rsid w:val="00A422A7"/>
    <w:rsid w:val="00A422DE"/>
    <w:rsid w:val="00A42448"/>
    <w:rsid w:val="00A42462"/>
    <w:rsid w:val="00A424B7"/>
    <w:rsid w:val="00A42528"/>
    <w:rsid w:val="00A426FA"/>
    <w:rsid w:val="00A426FE"/>
    <w:rsid w:val="00A42732"/>
    <w:rsid w:val="00A429E2"/>
    <w:rsid w:val="00A429EE"/>
    <w:rsid w:val="00A42A03"/>
    <w:rsid w:val="00A42BD0"/>
    <w:rsid w:val="00A42CCF"/>
    <w:rsid w:val="00A42D05"/>
    <w:rsid w:val="00A42DAF"/>
    <w:rsid w:val="00A42DB0"/>
    <w:rsid w:val="00A42E51"/>
    <w:rsid w:val="00A42E74"/>
    <w:rsid w:val="00A43070"/>
    <w:rsid w:val="00A431C1"/>
    <w:rsid w:val="00A431CB"/>
    <w:rsid w:val="00A43228"/>
    <w:rsid w:val="00A43278"/>
    <w:rsid w:val="00A43304"/>
    <w:rsid w:val="00A43390"/>
    <w:rsid w:val="00A433EE"/>
    <w:rsid w:val="00A433F9"/>
    <w:rsid w:val="00A43436"/>
    <w:rsid w:val="00A434EF"/>
    <w:rsid w:val="00A4355A"/>
    <w:rsid w:val="00A435A2"/>
    <w:rsid w:val="00A43616"/>
    <w:rsid w:val="00A437A2"/>
    <w:rsid w:val="00A4389F"/>
    <w:rsid w:val="00A438BD"/>
    <w:rsid w:val="00A43B1A"/>
    <w:rsid w:val="00A43B56"/>
    <w:rsid w:val="00A43C35"/>
    <w:rsid w:val="00A43C3E"/>
    <w:rsid w:val="00A43D9C"/>
    <w:rsid w:val="00A43DA6"/>
    <w:rsid w:val="00A43DCC"/>
    <w:rsid w:val="00A43DE6"/>
    <w:rsid w:val="00A43EBE"/>
    <w:rsid w:val="00A43F50"/>
    <w:rsid w:val="00A44039"/>
    <w:rsid w:val="00A44043"/>
    <w:rsid w:val="00A44044"/>
    <w:rsid w:val="00A44064"/>
    <w:rsid w:val="00A441CC"/>
    <w:rsid w:val="00A44410"/>
    <w:rsid w:val="00A44431"/>
    <w:rsid w:val="00A4447F"/>
    <w:rsid w:val="00A44480"/>
    <w:rsid w:val="00A444BE"/>
    <w:rsid w:val="00A4452C"/>
    <w:rsid w:val="00A445DB"/>
    <w:rsid w:val="00A44822"/>
    <w:rsid w:val="00A4488C"/>
    <w:rsid w:val="00A449D0"/>
    <w:rsid w:val="00A44A5E"/>
    <w:rsid w:val="00A44A62"/>
    <w:rsid w:val="00A44C07"/>
    <w:rsid w:val="00A44C34"/>
    <w:rsid w:val="00A44C7A"/>
    <w:rsid w:val="00A44CDF"/>
    <w:rsid w:val="00A44E8E"/>
    <w:rsid w:val="00A450A6"/>
    <w:rsid w:val="00A45144"/>
    <w:rsid w:val="00A45188"/>
    <w:rsid w:val="00A451D9"/>
    <w:rsid w:val="00A453A5"/>
    <w:rsid w:val="00A453B8"/>
    <w:rsid w:val="00A454E3"/>
    <w:rsid w:val="00A45518"/>
    <w:rsid w:val="00A455C1"/>
    <w:rsid w:val="00A45644"/>
    <w:rsid w:val="00A457B1"/>
    <w:rsid w:val="00A457E8"/>
    <w:rsid w:val="00A45932"/>
    <w:rsid w:val="00A45960"/>
    <w:rsid w:val="00A45A4A"/>
    <w:rsid w:val="00A45A7B"/>
    <w:rsid w:val="00A45B11"/>
    <w:rsid w:val="00A45BA0"/>
    <w:rsid w:val="00A45DB4"/>
    <w:rsid w:val="00A45DD3"/>
    <w:rsid w:val="00A45E31"/>
    <w:rsid w:val="00A45E3E"/>
    <w:rsid w:val="00A45FD4"/>
    <w:rsid w:val="00A461D3"/>
    <w:rsid w:val="00A46375"/>
    <w:rsid w:val="00A4680C"/>
    <w:rsid w:val="00A46888"/>
    <w:rsid w:val="00A46B54"/>
    <w:rsid w:val="00A46B88"/>
    <w:rsid w:val="00A46D33"/>
    <w:rsid w:val="00A46E12"/>
    <w:rsid w:val="00A46FE5"/>
    <w:rsid w:val="00A470DD"/>
    <w:rsid w:val="00A4711E"/>
    <w:rsid w:val="00A47122"/>
    <w:rsid w:val="00A4713D"/>
    <w:rsid w:val="00A4716C"/>
    <w:rsid w:val="00A4723B"/>
    <w:rsid w:val="00A47260"/>
    <w:rsid w:val="00A47295"/>
    <w:rsid w:val="00A47356"/>
    <w:rsid w:val="00A47538"/>
    <w:rsid w:val="00A4762E"/>
    <w:rsid w:val="00A476B9"/>
    <w:rsid w:val="00A478FF"/>
    <w:rsid w:val="00A47A65"/>
    <w:rsid w:val="00A47B9A"/>
    <w:rsid w:val="00A47DA6"/>
    <w:rsid w:val="00A47E47"/>
    <w:rsid w:val="00A47F50"/>
    <w:rsid w:val="00A500B5"/>
    <w:rsid w:val="00A50136"/>
    <w:rsid w:val="00A50190"/>
    <w:rsid w:val="00A5044D"/>
    <w:rsid w:val="00A504BE"/>
    <w:rsid w:val="00A5051E"/>
    <w:rsid w:val="00A5093E"/>
    <w:rsid w:val="00A50975"/>
    <w:rsid w:val="00A509C2"/>
    <w:rsid w:val="00A50A7F"/>
    <w:rsid w:val="00A50E5A"/>
    <w:rsid w:val="00A50F02"/>
    <w:rsid w:val="00A50F07"/>
    <w:rsid w:val="00A50F2C"/>
    <w:rsid w:val="00A51022"/>
    <w:rsid w:val="00A510A0"/>
    <w:rsid w:val="00A51125"/>
    <w:rsid w:val="00A51214"/>
    <w:rsid w:val="00A5133E"/>
    <w:rsid w:val="00A5142C"/>
    <w:rsid w:val="00A5152D"/>
    <w:rsid w:val="00A51576"/>
    <w:rsid w:val="00A51A4E"/>
    <w:rsid w:val="00A51A52"/>
    <w:rsid w:val="00A51B0B"/>
    <w:rsid w:val="00A51C93"/>
    <w:rsid w:val="00A51C9D"/>
    <w:rsid w:val="00A5200E"/>
    <w:rsid w:val="00A52063"/>
    <w:rsid w:val="00A521D4"/>
    <w:rsid w:val="00A52290"/>
    <w:rsid w:val="00A52511"/>
    <w:rsid w:val="00A525DF"/>
    <w:rsid w:val="00A526C7"/>
    <w:rsid w:val="00A526FC"/>
    <w:rsid w:val="00A5278A"/>
    <w:rsid w:val="00A52875"/>
    <w:rsid w:val="00A528BD"/>
    <w:rsid w:val="00A528DB"/>
    <w:rsid w:val="00A52A7C"/>
    <w:rsid w:val="00A52AD0"/>
    <w:rsid w:val="00A52D78"/>
    <w:rsid w:val="00A52DFE"/>
    <w:rsid w:val="00A52ED7"/>
    <w:rsid w:val="00A52F3B"/>
    <w:rsid w:val="00A52FD2"/>
    <w:rsid w:val="00A53072"/>
    <w:rsid w:val="00A530AE"/>
    <w:rsid w:val="00A53176"/>
    <w:rsid w:val="00A531C8"/>
    <w:rsid w:val="00A532E3"/>
    <w:rsid w:val="00A532F0"/>
    <w:rsid w:val="00A53339"/>
    <w:rsid w:val="00A5335F"/>
    <w:rsid w:val="00A53517"/>
    <w:rsid w:val="00A53665"/>
    <w:rsid w:val="00A536E0"/>
    <w:rsid w:val="00A53927"/>
    <w:rsid w:val="00A53B8C"/>
    <w:rsid w:val="00A53CC2"/>
    <w:rsid w:val="00A53DE7"/>
    <w:rsid w:val="00A53FF8"/>
    <w:rsid w:val="00A54082"/>
    <w:rsid w:val="00A54130"/>
    <w:rsid w:val="00A541BC"/>
    <w:rsid w:val="00A541C9"/>
    <w:rsid w:val="00A54362"/>
    <w:rsid w:val="00A5439D"/>
    <w:rsid w:val="00A54429"/>
    <w:rsid w:val="00A54495"/>
    <w:rsid w:val="00A544C1"/>
    <w:rsid w:val="00A5453A"/>
    <w:rsid w:val="00A546B6"/>
    <w:rsid w:val="00A548FB"/>
    <w:rsid w:val="00A54A42"/>
    <w:rsid w:val="00A54B62"/>
    <w:rsid w:val="00A54BB5"/>
    <w:rsid w:val="00A54C06"/>
    <w:rsid w:val="00A54C22"/>
    <w:rsid w:val="00A54C97"/>
    <w:rsid w:val="00A54D29"/>
    <w:rsid w:val="00A54E45"/>
    <w:rsid w:val="00A55029"/>
    <w:rsid w:val="00A55053"/>
    <w:rsid w:val="00A550FC"/>
    <w:rsid w:val="00A551FA"/>
    <w:rsid w:val="00A55227"/>
    <w:rsid w:val="00A552D0"/>
    <w:rsid w:val="00A553C2"/>
    <w:rsid w:val="00A5552F"/>
    <w:rsid w:val="00A5582F"/>
    <w:rsid w:val="00A5588F"/>
    <w:rsid w:val="00A55976"/>
    <w:rsid w:val="00A5597B"/>
    <w:rsid w:val="00A55B48"/>
    <w:rsid w:val="00A55CD5"/>
    <w:rsid w:val="00A55D0B"/>
    <w:rsid w:val="00A55DCB"/>
    <w:rsid w:val="00A55E12"/>
    <w:rsid w:val="00A55ED4"/>
    <w:rsid w:val="00A55EDE"/>
    <w:rsid w:val="00A55F75"/>
    <w:rsid w:val="00A56065"/>
    <w:rsid w:val="00A56108"/>
    <w:rsid w:val="00A561ED"/>
    <w:rsid w:val="00A56220"/>
    <w:rsid w:val="00A562ED"/>
    <w:rsid w:val="00A5659B"/>
    <w:rsid w:val="00A565FF"/>
    <w:rsid w:val="00A5666E"/>
    <w:rsid w:val="00A56735"/>
    <w:rsid w:val="00A5674E"/>
    <w:rsid w:val="00A567A8"/>
    <w:rsid w:val="00A56843"/>
    <w:rsid w:val="00A56AA0"/>
    <w:rsid w:val="00A56B37"/>
    <w:rsid w:val="00A56B3C"/>
    <w:rsid w:val="00A56BF9"/>
    <w:rsid w:val="00A56C22"/>
    <w:rsid w:val="00A56C82"/>
    <w:rsid w:val="00A56CD2"/>
    <w:rsid w:val="00A56D74"/>
    <w:rsid w:val="00A56E30"/>
    <w:rsid w:val="00A56F05"/>
    <w:rsid w:val="00A56F65"/>
    <w:rsid w:val="00A570C0"/>
    <w:rsid w:val="00A570E0"/>
    <w:rsid w:val="00A570F9"/>
    <w:rsid w:val="00A57109"/>
    <w:rsid w:val="00A5715D"/>
    <w:rsid w:val="00A571E7"/>
    <w:rsid w:val="00A57200"/>
    <w:rsid w:val="00A5721C"/>
    <w:rsid w:val="00A57298"/>
    <w:rsid w:val="00A5748B"/>
    <w:rsid w:val="00A574DE"/>
    <w:rsid w:val="00A575A7"/>
    <w:rsid w:val="00A57601"/>
    <w:rsid w:val="00A57681"/>
    <w:rsid w:val="00A576CC"/>
    <w:rsid w:val="00A57716"/>
    <w:rsid w:val="00A57809"/>
    <w:rsid w:val="00A57812"/>
    <w:rsid w:val="00A57A44"/>
    <w:rsid w:val="00A57C31"/>
    <w:rsid w:val="00A57CFA"/>
    <w:rsid w:val="00A57F25"/>
    <w:rsid w:val="00A57F32"/>
    <w:rsid w:val="00A6006F"/>
    <w:rsid w:val="00A60101"/>
    <w:rsid w:val="00A6011E"/>
    <w:rsid w:val="00A602B2"/>
    <w:rsid w:val="00A603C9"/>
    <w:rsid w:val="00A603D1"/>
    <w:rsid w:val="00A603DF"/>
    <w:rsid w:val="00A603F3"/>
    <w:rsid w:val="00A605E8"/>
    <w:rsid w:val="00A6064F"/>
    <w:rsid w:val="00A60676"/>
    <w:rsid w:val="00A606B0"/>
    <w:rsid w:val="00A606E3"/>
    <w:rsid w:val="00A60729"/>
    <w:rsid w:val="00A607E4"/>
    <w:rsid w:val="00A60800"/>
    <w:rsid w:val="00A608E3"/>
    <w:rsid w:val="00A609A0"/>
    <w:rsid w:val="00A60A89"/>
    <w:rsid w:val="00A60BEC"/>
    <w:rsid w:val="00A60CBB"/>
    <w:rsid w:val="00A60CBC"/>
    <w:rsid w:val="00A60E57"/>
    <w:rsid w:val="00A60EC2"/>
    <w:rsid w:val="00A60ED3"/>
    <w:rsid w:val="00A60F0D"/>
    <w:rsid w:val="00A6114E"/>
    <w:rsid w:val="00A618C7"/>
    <w:rsid w:val="00A6192A"/>
    <w:rsid w:val="00A61B10"/>
    <w:rsid w:val="00A61C29"/>
    <w:rsid w:val="00A61CE8"/>
    <w:rsid w:val="00A61D1F"/>
    <w:rsid w:val="00A61F1C"/>
    <w:rsid w:val="00A61FC4"/>
    <w:rsid w:val="00A61FE5"/>
    <w:rsid w:val="00A62063"/>
    <w:rsid w:val="00A6206B"/>
    <w:rsid w:val="00A620A8"/>
    <w:rsid w:val="00A621CE"/>
    <w:rsid w:val="00A62255"/>
    <w:rsid w:val="00A62311"/>
    <w:rsid w:val="00A62415"/>
    <w:rsid w:val="00A62477"/>
    <w:rsid w:val="00A62480"/>
    <w:rsid w:val="00A624FF"/>
    <w:rsid w:val="00A62669"/>
    <w:rsid w:val="00A626BB"/>
    <w:rsid w:val="00A6271B"/>
    <w:rsid w:val="00A62970"/>
    <w:rsid w:val="00A62999"/>
    <w:rsid w:val="00A629C3"/>
    <w:rsid w:val="00A62A29"/>
    <w:rsid w:val="00A62A33"/>
    <w:rsid w:val="00A62AB8"/>
    <w:rsid w:val="00A62B57"/>
    <w:rsid w:val="00A62BB0"/>
    <w:rsid w:val="00A62BD9"/>
    <w:rsid w:val="00A62BFE"/>
    <w:rsid w:val="00A62C18"/>
    <w:rsid w:val="00A62D3B"/>
    <w:rsid w:val="00A62D7A"/>
    <w:rsid w:val="00A62DA0"/>
    <w:rsid w:val="00A62DB5"/>
    <w:rsid w:val="00A62DDD"/>
    <w:rsid w:val="00A62DE5"/>
    <w:rsid w:val="00A62F89"/>
    <w:rsid w:val="00A63025"/>
    <w:rsid w:val="00A63109"/>
    <w:rsid w:val="00A6319C"/>
    <w:rsid w:val="00A6320E"/>
    <w:rsid w:val="00A632C9"/>
    <w:rsid w:val="00A63526"/>
    <w:rsid w:val="00A63549"/>
    <w:rsid w:val="00A63679"/>
    <w:rsid w:val="00A636A8"/>
    <w:rsid w:val="00A636BA"/>
    <w:rsid w:val="00A636C7"/>
    <w:rsid w:val="00A63715"/>
    <w:rsid w:val="00A637C1"/>
    <w:rsid w:val="00A639D9"/>
    <w:rsid w:val="00A63A11"/>
    <w:rsid w:val="00A63A74"/>
    <w:rsid w:val="00A63D21"/>
    <w:rsid w:val="00A63DE0"/>
    <w:rsid w:val="00A63E69"/>
    <w:rsid w:val="00A63F16"/>
    <w:rsid w:val="00A63FB3"/>
    <w:rsid w:val="00A64116"/>
    <w:rsid w:val="00A6420C"/>
    <w:rsid w:val="00A6428E"/>
    <w:rsid w:val="00A642AC"/>
    <w:rsid w:val="00A643A1"/>
    <w:rsid w:val="00A643F2"/>
    <w:rsid w:val="00A643F6"/>
    <w:rsid w:val="00A64414"/>
    <w:rsid w:val="00A64488"/>
    <w:rsid w:val="00A644E2"/>
    <w:rsid w:val="00A644EC"/>
    <w:rsid w:val="00A644ED"/>
    <w:rsid w:val="00A6454F"/>
    <w:rsid w:val="00A646DE"/>
    <w:rsid w:val="00A646E7"/>
    <w:rsid w:val="00A647A2"/>
    <w:rsid w:val="00A6493B"/>
    <w:rsid w:val="00A649C5"/>
    <w:rsid w:val="00A64DA9"/>
    <w:rsid w:val="00A64DB6"/>
    <w:rsid w:val="00A64DEC"/>
    <w:rsid w:val="00A64DF9"/>
    <w:rsid w:val="00A64E0A"/>
    <w:rsid w:val="00A64F67"/>
    <w:rsid w:val="00A64FA8"/>
    <w:rsid w:val="00A650B2"/>
    <w:rsid w:val="00A652E2"/>
    <w:rsid w:val="00A653C8"/>
    <w:rsid w:val="00A65435"/>
    <w:rsid w:val="00A655BC"/>
    <w:rsid w:val="00A656EA"/>
    <w:rsid w:val="00A658C3"/>
    <w:rsid w:val="00A65B1E"/>
    <w:rsid w:val="00A65BBA"/>
    <w:rsid w:val="00A65C6B"/>
    <w:rsid w:val="00A65CEA"/>
    <w:rsid w:val="00A65E18"/>
    <w:rsid w:val="00A65E43"/>
    <w:rsid w:val="00A65ED2"/>
    <w:rsid w:val="00A65F13"/>
    <w:rsid w:val="00A660AF"/>
    <w:rsid w:val="00A660CF"/>
    <w:rsid w:val="00A6615D"/>
    <w:rsid w:val="00A66243"/>
    <w:rsid w:val="00A6644B"/>
    <w:rsid w:val="00A66627"/>
    <w:rsid w:val="00A666BE"/>
    <w:rsid w:val="00A667B8"/>
    <w:rsid w:val="00A6699D"/>
    <w:rsid w:val="00A66A34"/>
    <w:rsid w:val="00A66A55"/>
    <w:rsid w:val="00A66AC4"/>
    <w:rsid w:val="00A66BE4"/>
    <w:rsid w:val="00A66BE7"/>
    <w:rsid w:val="00A66EB6"/>
    <w:rsid w:val="00A66F3A"/>
    <w:rsid w:val="00A66F44"/>
    <w:rsid w:val="00A66F72"/>
    <w:rsid w:val="00A670A9"/>
    <w:rsid w:val="00A6738A"/>
    <w:rsid w:val="00A67412"/>
    <w:rsid w:val="00A67541"/>
    <w:rsid w:val="00A675B2"/>
    <w:rsid w:val="00A676EF"/>
    <w:rsid w:val="00A67800"/>
    <w:rsid w:val="00A67836"/>
    <w:rsid w:val="00A679F5"/>
    <w:rsid w:val="00A67C02"/>
    <w:rsid w:val="00A67CC0"/>
    <w:rsid w:val="00A67F17"/>
    <w:rsid w:val="00A700E6"/>
    <w:rsid w:val="00A700EC"/>
    <w:rsid w:val="00A70177"/>
    <w:rsid w:val="00A701E5"/>
    <w:rsid w:val="00A702B5"/>
    <w:rsid w:val="00A703F1"/>
    <w:rsid w:val="00A70543"/>
    <w:rsid w:val="00A7054B"/>
    <w:rsid w:val="00A70560"/>
    <w:rsid w:val="00A705AC"/>
    <w:rsid w:val="00A70682"/>
    <w:rsid w:val="00A70969"/>
    <w:rsid w:val="00A70A03"/>
    <w:rsid w:val="00A70A37"/>
    <w:rsid w:val="00A70A59"/>
    <w:rsid w:val="00A70AA8"/>
    <w:rsid w:val="00A70B30"/>
    <w:rsid w:val="00A70CC3"/>
    <w:rsid w:val="00A70D5C"/>
    <w:rsid w:val="00A70F05"/>
    <w:rsid w:val="00A70F0D"/>
    <w:rsid w:val="00A70F70"/>
    <w:rsid w:val="00A71116"/>
    <w:rsid w:val="00A7113B"/>
    <w:rsid w:val="00A71240"/>
    <w:rsid w:val="00A713CC"/>
    <w:rsid w:val="00A714C3"/>
    <w:rsid w:val="00A71564"/>
    <w:rsid w:val="00A71673"/>
    <w:rsid w:val="00A7172E"/>
    <w:rsid w:val="00A71824"/>
    <w:rsid w:val="00A71B31"/>
    <w:rsid w:val="00A71B33"/>
    <w:rsid w:val="00A71BE0"/>
    <w:rsid w:val="00A71BED"/>
    <w:rsid w:val="00A71DFC"/>
    <w:rsid w:val="00A71F59"/>
    <w:rsid w:val="00A71F8F"/>
    <w:rsid w:val="00A71FB9"/>
    <w:rsid w:val="00A721A2"/>
    <w:rsid w:val="00A72432"/>
    <w:rsid w:val="00A72569"/>
    <w:rsid w:val="00A725BB"/>
    <w:rsid w:val="00A725EB"/>
    <w:rsid w:val="00A7265E"/>
    <w:rsid w:val="00A7272C"/>
    <w:rsid w:val="00A72817"/>
    <w:rsid w:val="00A72894"/>
    <w:rsid w:val="00A72A14"/>
    <w:rsid w:val="00A72A5A"/>
    <w:rsid w:val="00A72AFE"/>
    <w:rsid w:val="00A72C64"/>
    <w:rsid w:val="00A72C6F"/>
    <w:rsid w:val="00A72E2E"/>
    <w:rsid w:val="00A72E49"/>
    <w:rsid w:val="00A73122"/>
    <w:rsid w:val="00A731D8"/>
    <w:rsid w:val="00A735A7"/>
    <w:rsid w:val="00A736BD"/>
    <w:rsid w:val="00A73746"/>
    <w:rsid w:val="00A73829"/>
    <w:rsid w:val="00A738C1"/>
    <w:rsid w:val="00A738E1"/>
    <w:rsid w:val="00A73BAF"/>
    <w:rsid w:val="00A73BD8"/>
    <w:rsid w:val="00A73D0F"/>
    <w:rsid w:val="00A73D4C"/>
    <w:rsid w:val="00A73E24"/>
    <w:rsid w:val="00A73F0D"/>
    <w:rsid w:val="00A73FA6"/>
    <w:rsid w:val="00A741CF"/>
    <w:rsid w:val="00A7420B"/>
    <w:rsid w:val="00A7429C"/>
    <w:rsid w:val="00A74351"/>
    <w:rsid w:val="00A74393"/>
    <w:rsid w:val="00A74605"/>
    <w:rsid w:val="00A7478A"/>
    <w:rsid w:val="00A74857"/>
    <w:rsid w:val="00A748AE"/>
    <w:rsid w:val="00A749A1"/>
    <w:rsid w:val="00A74AA1"/>
    <w:rsid w:val="00A74AC6"/>
    <w:rsid w:val="00A74B37"/>
    <w:rsid w:val="00A74B94"/>
    <w:rsid w:val="00A74C15"/>
    <w:rsid w:val="00A74C80"/>
    <w:rsid w:val="00A74CAE"/>
    <w:rsid w:val="00A74E08"/>
    <w:rsid w:val="00A74E61"/>
    <w:rsid w:val="00A74EA4"/>
    <w:rsid w:val="00A74EAA"/>
    <w:rsid w:val="00A74EE4"/>
    <w:rsid w:val="00A74EF5"/>
    <w:rsid w:val="00A74EFA"/>
    <w:rsid w:val="00A74F4F"/>
    <w:rsid w:val="00A7500F"/>
    <w:rsid w:val="00A750A6"/>
    <w:rsid w:val="00A75116"/>
    <w:rsid w:val="00A751B3"/>
    <w:rsid w:val="00A752A0"/>
    <w:rsid w:val="00A752CF"/>
    <w:rsid w:val="00A75302"/>
    <w:rsid w:val="00A7531E"/>
    <w:rsid w:val="00A75343"/>
    <w:rsid w:val="00A753F2"/>
    <w:rsid w:val="00A7552C"/>
    <w:rsid w:val="00A7557B"/>
    <w:rsid w:val="00A7558E"/>
    <w:rsid w:val="00A755CA"/>
    <w:rsid w:val="00A755F2"/>
    <w:rsid w:val="00A756F3"/>
    <w:rsid w:val="00A75744"/>
    <w:rsid w:val="00A757A9"/>
    <w:rsid w:val="00A75892"/>
    <w:rsid w:val="00A75917"/>
    <w:rsid w:val="00A75B52"/>
    <w:rsid w:val="00A75BA0"/>
    <w:rsid w:val="00A75C03"/>
    <w:rsid w:val="00A75C4A"/>
    <w:rsid w:val="00A75CA2"/>
    <w:rsid w:val="00A75CA8"/>
    <w:rsid w:val="00A75D22"/>
    <w:rsid w:val="00A75D65"/>
    <w:rsid w:val="00A75DE6"/>
    <w:rsid w:val="00A75EDF"/>
    <w:rsid w:val="00A75EF0"/>
    <w:rsid w:val="00A75EFD"/>
    <w:rsid w:val="00A75F61"/>
    <w:rsid w:val="00A75FD8"/>
    <w:rsid w:val="00A760C8"/>
    <w:rsid w:val="00A761F8"/>
    <w:rsid w:val="00A762A3"/>
    <w:rsid w:val="00A762B5"/>
    <w:rsid w:val="00A7636B"/>
    <w:rsid w:val="00A763B0"/>
    <w:rsid w:val="00A7656C"/>
    <w:rsid w:val="00A7657C"/>
    <w:rsid w:val="00A76596"/>
    <w:rsid w:val="00A7665E"/>
    <w:rsid w:val="00A76966"/>
    <w:rsid w:val="00A76978"/>
    <w:rsid w:val="00A769D4"/>
    <w:rsid w:val="00A76ABE"/>
    <w:rsid w:val="00A76BCA"/>
    <w:rsid w:val="00A76C6D"/>
    <w:rsid w:val="00A76C99"/>
    <w:rsid w:val="00A76F1F"/>
    <w:rsid w:val="00A7701C"/>
    <w:rsid w:val="00A7705A"/>
    <w:rsid w:val="00A77091"/>
    <w:rsid w:val="00A7713C"/>
    <w:rsid w:val="00A7714E"/>
    <w:rsid w:val="00A77159"/>
    <w:rsid w:val="00A7715F"/>
    <w:rsid w:val="00A77192"/>
    <w:rsid w:val="00A771AB"/>
    <w:rsid w:val="00A771AF"/>
    <w:rsid w:val="00A7720D"/>
    <w:rsid w:val="00A77295"/>
    <w:rsid w:val="00A772CD"/>
    <w:rsid w:val="00A772FA"/>
    <w:rsid w:val="00A773F3"/>
    <w:rsid w:val="00A7746A"/>
    <w:rsid w:val="00A77519"/>
    <w:rsid w:val="00A7755A"/>
    <w:rsid w:val="00A775FB"/>
    <w:rsid w:val="00A7768D"/>
    <w:rsid w:val="00A777A4"/>
    <w:rsid w:val="00A77A2A"/>
    <w:rsid w:val="00A77A4E"/>
    <w:rsid w:val="00A77B1A"/>
    <w:rsid w:val="00A77B28"/>
    <w:rsid w:val="00A77C3E"/>
    <w:rsid w:val="00A77E6B"/>
    <w:rsid w:val="00A77EB1"/>
    <w:rsid w:val="00A80089"/>
    <w:rsid w:val="00A80202"/>
    <w:rsid w:val="00A8025C"/>
    <w:rsid w:val="00A8039F"/>
    <w:rsid w:val="00A804AD"/>
    <w:rsid w:val="00A80670"/>
    <w:rsid w:val="00A80741"/>
    <w:rsid w:val="00A807BB"/>
    <w:rsid w:val="00A80802"/>
    <w:rsid w:val="00A808C4"/>
    <w:rsid w:val="00A808E4"/>
    <w:rsid w:val="00A8090F"/>
    <w:rsid w:val="00A809B9"/>
    <w:rsid w:val="00A80B5B"/>
    <w:rsid w:val="00A80BC6"/>
    <w:rsid w:val="00A80BCD"/>
    <w:rsid w:val="00A80C3B"/>
    <w:rsid w:val="00A80C85"/>
    <w:rsid w:val="00A80D17"/>
    <w:rsid w:val="00A81052"/>
    <w:rsid w:val="00A81090"/>
    <w:rsid w:val="00A81099"/>
    <w:rsid w:val="00A810CC"/>
    <w:rsid w:val="00A81126"/>
    <w:rsid w:val="00A811A7"/>
    <w:rsid w:val="00A8136D"/>
    <w:rsid w:val="00A81546"/>
    <w:rsid w:val="00A8190A"/>
    <w:rsid w:val="00A81B6E"/>
    <w:rsid w:val="00A81C58"/>
    <w:rsid w:val="00A81D00"/>
    <w:rsid w:val="00A81DC0"/>
    <w:rsid w:val="00A81E28"/>
    <w:rsid w:val="00A81EAA"/>
    <w:rsid w:val="00A81F84"/>
    <w:rsid w:val="00A820BE"/>
    <w:rsid w:val="00A820E4"/>
    <w:rsid w:val="00A8215D"/>
    <w:rsid w:val="00A821EF"/>
    <w:rsid w:val="00A82589"/>
    <w:rsid w:val="00A825DF"/>
    <w:rsid w:val="00A828A4"/>
    <w:rsid w:val="00A828C2"/>
    <w:rsid w:val="00A8293A"/>
    <w:rsid w:val="00A8296A"/>
    <w:rsid w:val="00A82A6E"/>
    <w:rsid w:val="00A82A76"/>
    <w:rsid w:val="00A82AB1"/>
    <w:rsid w:val="00A82AC4"/>
    <w:rsid w:val="00A82AD4"/>
    <w:rsid w:val="00A82B3F"/>
    <w:rsid w:val="00A82C11"/>
    <w:rsid w:val="00A82CDA"/>
    <w:rsid w:val="00A82CE0"/>
    <w:rsid w:val="00A82D4B"/>
    <w:rsid w:val="00A82D94"/>
    <w:rsid w:val="00A82DDC"/>
    <w:rsid w:val="00A82DFB"/>
    <w:rsid w:val="00A82E23"/>
    <w:rsid w:val="00A83032"/>
    <w:rsid w:val="00A830A2"/>
    <w:rsid w:val="00A83289"/>
    <w:rsid w:val="00A83311"/>
    <w:rsid w:val="00A8338C"/>
    <w:rsid w:val="00A833F7"/>
    <w:rsid w:val="00A83401"/>
    <w:rsid w:val="00A83491"/>
    <w:rsid w:val="00A83593"/>
    <w:rsid w:val="00A835BC"/>
    <w:rsid w:val="00A835F9"/>
    <w:rsid w:val="00A83629"/>
    <w:rsid w:val="00A83690"/>
    <w:rsid w:val="00A837E3"/>
    <w:rsid w:val="00A83978"/>
    <w:rsid w:val="00A83B89"/>
    <w:rsid w:val="00A83BEA"/>
    <w:rsid w:val="00A83CB9"/>
    <w:rsid w:val="00A83CDA"/>
    <w:rsid w:val="00A83CDC"/>
    <w:rsid w:val="00A83D9C"/>
    <w:rsid w:val="00A83DA8"/>
    <w:rsid w:val="00A83E08"/>
    <w:rsid w:val="00A83E19"/>
    <w:rsid w:val="00A83E4B"/>
    <w:rsid w:val="00A83E6B"/>
    <w:rsid w:val="00A83EBC"/>
    <w:rsid w:val="00A84020"/>
    <w:rsid w:val="00A84058"/>
    <w:rsid w:val="00A8408A"/>
    <w:rsid w:val="00A84142"/>
    <w:rsid w:val="00A8421D"/>
    <w:rsid w:val="00A8430E"/>
    <w:rsid w:val="00A84321"/>
    <w:rsid w:val="00A844D6"/>
    <w:rsid w:val="00A8480C"/>
    <w:rsid w:val="00A84AB2"/>
    <w:rsid w:val="00A84AB9"/>
    <w:rsid w:val="00A84B01"/>
    <w:rsid w:val="00A84B09"/>
    <w:rsid w:val="00A84B35"/>
    <w:rsid w:val="00A84C66"/>
    <w:rsid w:val="00A84D25"/>
    <w:rsid w:val="00A84FAE"/>
    <w:rsid w:val="00A85067"/>
    <w:rsid w:val="00A852C1"/>
    <w:rsid w:val="00A852D8"/>
    <w:rsid w:val="00A853C5"/>
    <w:rsid w:val="00A853C6"/>
    <w:rsid w:val="00A85434"/>
    <w:rsid w:val="00A8544D"/>
    <w:rsid w:val="00A854C8"/>
    <w:rsid w:val="00A8550D"/>
    <w:rsid w:val="00A8565A"/>
    <w:rsid w:val="00A85667"/>
    <w:rsid w:val="00A8586E"/>
    <w:rsid w:val="00A858C2"/>
    <w:rsid w:val="00A858FE"/>
    <w:rsid w:val="00A85B47"/>
    <w:rsid w:val="00A85B69"/>
    <w:rsid w:val="00A85B77"/>
    <w:rsid w:val="00A85B99"/>
    <w:rsid w:val="00A85BC9"/>
    <w:rsid w:val="00A85C17"/>
    <w:rsid w:val="00A85C76"/>
    <w:rsid w:val="00A85E1B"/>
    <w:rsid w:val="00A85F0F"/>
    <w:rsid w:val="00A85F28"/>
    <w:rsid w:val="00A86034"/>
    <w:rsid w:val="00A860D7"/>
    <w:rsid w:val="00A860DE"/>
    <w:rsid w:val="00A861C8"/>
    <w:rsid w:val="00A86219"/>
    <w:rsid w:val="00A86232"/>
    <w:rsid w:val="00A862D8"/>
    <w:rsid w:val="00A86369"/>
    <w:rsid w:val="00A864B2"/>
    <w:rsid w:val="00A864C1"/>
    <w:rsid w:val="00A86641"/>
    <w:rsid w:val="00A866D2"/>
    <w:rsid w:val="00A866E4"/>
    <w:rsid w:val="00A86745"/>
    <w:rsid w:val="00A867F1"/>
    <w:rsid w:val="00A868B5"/>
    <w:rsid w:val="00A868C8"/>
    <w:rsid w:val="00A868F9"/>
    <w:rsid w:val="00A86A3F"/>
    <w:rsid w:val="00A86AF3"/>
    <w:rsid w:val="00A86B45"/>
    <w:rsid w:val="00A86BB9"/>
    <w:rsid w:val="00A86C4A"/>
    <w:rsid w:val="00A86D3D"/>
    <w:rsid w:val="00A86EA0"/>
    <w:rsid w:val="00A86F19"/>
    <w:rsid w:val="00A87001"/>
    <w:rsid w:val="00A87133"/>
    <w:rsid w:val="00A8713C"/>
    <w:rsid w:val="00A87369"/>
    <w:rsid w:val="00A874D0"/>
    <w:rsid w:val="00A87509"/>
    <w:rsid w:val="00A87519"/>
    <w:rsid w:val="00A876F3"/>
    <w:rsid w:val="00A87751"/>
    <w:rsid w:val="00A877A6"/>
    <w:rsid w:val="00A87884"/>
    <w:rsid w:val="00A879C7"/>
    <w:rsid w:val="00A87A69"/>
    <w:rsid w:val="00A87C03"/>
    <w:rsid w:val="00A87C05"/>
    <w:rsid w:val="00A87E37"/>
    <w:rsid w:val="00A87FD2"/>
    <w:rsid w:val="00A9006F"/>
    <w:rsid w:val="00A901DC"/>
    <w:rsid w:val="00A902DE"/>
    <w:rsid w:val="00A90395"/>
    <w:rsid w:val="00A903B7"/>
    <w:rsid w:val="00A90401"/>
    <w:rsid w:val="00A9041D"/>
    <w:rsid w:val="00A9045F"/>
    <w:rsid w:val="00A90773"/>
    <w:rsid w:val="00A90780"/>
    <w:rsid w:val="00A90964"/>
    <w:rsid w:val="00A90A40"/>
    <w:rsid w:val="00A90ACA"/>
    <w:rsid w:val="00A90B0E"/>
    <w:rsid w:val="00A90C76"/>
    <w:rsid w:val="00A90DBB"/>
    <w:rsid w:val="00A90E31"/>
    <w:rsid w:val="00A90F7B"/>
    <w:rsid w:val="00A90FC0"/>
    <w:rsid w:val="00A9114D"/>
    <w:rsid w:val="00A91155"/>
    <w:rsid w:val="00A91240"/>
    <w:rsid w:val="00A91267"/>
    <w:rsid w:val="00A912A3"/>
    <w:rsid w:val="00A91451"/>
    <w:rsid w:val="00A91722"/>
    <w:rsid w:val="00A91728"/>
    <w:rsid w:val="00A9179D"/>
    <w:rsid w:val="00A917AC"/>
    <w:rsid w:val="00A917F6"/>
    <w:rsid w:val="00A91850"/>
    <w:rsid w:val="00A91904"/>
    <w:rsid w:val="00A91A50"/>
    <w:rsid w:val="00A91A7B"/>
    <w:rsid w:val="00A91ADC"/>
    <w:rsid w:val="00A91B2E"/>
    <w:rsid w:val="00A91B52"/>
    <w:rsid w:val="00A91CDB"/>
    <w:rsid w:val="00A91D3B"/>
    <w:rsid w:val="00A91E2D"/>
    <w:rsid w:val="00A91EEC"/>
    <w:rsid w:val="00A920D6"/>
    <w:rsid w:val="00A92143"/>
    <w:rsid w:val="00A92246"/>
    <w:rsid w:val="00A9234A"/>
    <w:rsid w:val="00A923B8"/>
    <w:rsid w:val="00A9243E"/>
    <w:rsid w:val="00A92458"/>
    <w:rsid w:val="00A9246E"/>
    <w:rsid w:val="00A92471"/>
    <w:rsid w:val="00A92641"/>
    <w:rsid w:val="00A92651"/>
    <w:rsid w:val="00A92826"/>
    <w:rsid w:val="00A928F1"/>
    <w:rsid w:val="00A9290A"/>
    <w:rsid w:val="00A929F4"/>
    <w:rsid w:val="00A92BB2"/>
    <w:rsid w:val="00A92BB6"/>
    <w:rsid w:val="00A92BCC"/>
    <w:rsid w:val="00A92C23"/>
    <w:rsid w:val="00A92D25"/>
    <w:rsid w:val="00A92D9F"/>
    <w:rsid w:val="00A92DC2"/>
    <w:rsid w:val="00A92EB6"/>
    <w:rsid w:val="00A92ED8"/>
    <w:rsid w:val="00A92F3A"/>
    <w:rsid w:val="00A92F59"/>
    <w:rsid w:val="00A92F69"/>
    <w:rsid w:val="00A9306F"/>
    <w:rsid w:val="00A93096"/>
    <w:rsid w:val="00A93160"/>
    <w:rsid w:val="00A9332D"/>
    <w:rsid w:val="00A93360"/>
    <w:rsid w:val="00A933B9"/>
    <w:rsid w:val="00A933CD"/>
    <w:rsid w:val="00A93481"/>
    <w:rsid w:val="00A934A8"/>
    <w:rsid w:val="00A934AA"/>
    <w:rsid w:val="00A934B8"/>
    <w:rsid w:val="00A93557"/>
    <w:rsid w:val="00A935F2"/>
    <w:rsid w:val="00A937CC"/>
    <w:rsid w:val="00A937FF"/>
    <w:rsid w:val="00A93828"/>
    <w:rsid w:val="00A9391A"/>
    <w:rsid w:val="00A93991"/>
    <w:rsid w:val="00A939CE"/>
    <w:rsid w:val="00A939D4"/>
    <w:rsid w:val="00A93A1B"/>
    <w:rsid w:val="00A93A81"/>
    <w:rsid w:val="00A93AA5"/>
    <w:rsid w:val="00A93ADA"/>
    <w:rsid w:val="00A93BEC"/>
    <w:rsid w:val="00A93C92"/>
    <w:rsid w:val="00A93C9D"/>
    <w:rsid w:val="00A93CAF"/>
    <w:rsid w:val="00A93CB8"/>
    <w:rsid w:val="00A93D49"/>
    <w:rsid w:val="00A93D96"/>
    <w:rsid w:val="00A93E0F"/>
    <w:rsid w:val="00A93EA0"/>
    <w:rsid w:val="00A93FDE"/>
    <w:rsid w:val="00A94007"/>
    <w:rsid w:val="00A9408D"/>
    <w:rsid w:val="00A940B4"/>
    <w:rsid w:val="00A94113"/>
    <w:rsid w:val="00A94132"/>
    <w:rsid w:val="00A941F6"/>
    <w:rsid w:val="00A9421D"/>
    <w:rsid w:val="00A9423F"/>
    <w:rsid w:val="00A94255"/>
    <w:rsid w:val="00A942A6"/>
    <w:rsid w:val="00A942B1"/>
    <w:rsid w:val="00A942F1"/>
    <w:rsid w:val="00A94361"/>
    <w:rsid w:val="00A943E4"/>
    <w:rsid w:val="00A94468"/>
    <w:rsid w:val="00A944B2"/>
    <w:rsid w:val="00A94570"/>
    <w:rsid w:val="00A947E5"/>
    <w:rsid w:val="00A948B0"/>
    <w:rsid w:val="00A94977"/>
    <w:rsid w:val="00A94B2D"/>
    <w:rsid w:val="00A94D6D"/>
    <w:rsid w:val="00A94E5F"/>
    <w:rsid w:val="00A94F40"/>
    <w:rsid w:val="00A94FB5"/>
    <w:rsid w:val="00A9506C"/>
    <w:rsid w:val="00A950EA"/>
    <w:rsid w:val="00A9516C"/>
    <w:rsid w:val="00A951D4"/>
    <w:rsid w:val="00A95239"/>
    <w:rsid w:val="00A95245"/>
    <w:rsid w:val="00A954DA"/>
    <w:rsid w:val="00A95557"/>
    <w:rsid w:val="00A95578"/>
    <w:rsid w:val="00A955BB"/>
    <w:rsid w:val="00A95640"/>
    <w:rsid w:val="00A95677"/>
    <w:rsid w:val="00A9567F"/>
    <w:rsid w:val="00A956C3"/>
    <w:rsid w:val="00A956D7"/>
    <w:rsid w:val="00A957E4"/>
    <w:rsid w:val="00A957EF"/>
    <w:rsid w:val="00A9596D"/>
    <w:rsid w:val="00A95988"/>
    <w:rsid w:val="00A95BBA"/>
    <w:rsid w:val="00A95D6B"/>
    <w:rsid w:val="00A95DC7"/>
    <w:rsid w:val="00A95DDA"/>
    <w:rsid w:val="00A95F15"/>
    <w:rsid w:val="00A95F80"/>
    <w:rsid w:val="00A96115"/>
    <w:rsid w:val="00A96232"/>
    <w:rsid w:val="00A962AA"/>
    <w:rsid w:val="00A962D1"/>
    <w:rsid w:val="00A9641C"/>
    <w:rsid w:val="00A96428"/>
    <w:rsid w:val="00A96554"/>
    <w:rsid w:val="00A9658D"/>
    <w:rsid w:val="00A9663E"/>
    <w:rsid w:val="00A96657"/>
    <w:rsid w:val="00A96675"/>
    <w:rsid w:val="00A966B6"/>
    <w:rsid w:val="00A96799"/>
    <w:rsid w:val="00A9683E"/>
    <w:rsid w:val="00A9695E"/>
    <w:rsid w:val="00A9698A"/>
    <w:rsid w:val="00A96A65"/>
    <w:rsid w:val="00A96B29"/>
    <w:rsid w:val="00A96C68"/>
    <w:rsid w:val="00A96DAD"/>
    <w:rsid w:val="00A96DE2"/>
    <w:rsid w:val="00A96E4B"/>
    <w:rsid w:val="00A9701E"/>
    <w:rsid w:val="00A970FE"/>
    <w:rsid w:val="00A97236"/>
    <w:rsid w:val="00A9733B"/>
    <w:rsid w:val="00A9737C"/>
    <w:rsid w:val="00A97407"/>
    <w:rsid w:val="00A97423"/>
    <w:rsid w:val="00A97460"/>
    <w:rsid w:val="00A97541"/>
    <w:rsid w:val="00A97565"/>
    <w:rsid w:val="00A97770"/>
    <w:rsid w:val="00A977E0"/>
    <w:rsid w:val="00A9782D"/>
    <w:rsid w:val="00A978D7"/>
    <w:rsid w:val="00A979C1"/>
    <w:rsid w:val="00A97A7B"/>
    <w:rsid w:val="00A97B01"/>
    <w:rsid w:val="00A97B18"/>
    <w:rsid w:val="00A97BAE"/>
    <w:rsid w:val="00A97C1B"/>
    <w:rsid w:val="00A97DE2"/>
    <w:rsid w:val="00A97DFA"/>
    <w:rsid w:val="00A97E71"/>
    <w:rsid w:val="00A97F4B"/>
    <w:rsid w:val="00AA0074"/>
    <w:rsid w:val="00AA0098"/>
    <w:rsid w:val="00AA00B3"/>
    <w:rsid w:val="00AA0139"/>
    <w:rsid w:val="00AA01C1"/>
    <w:rsid w:val="00AA0209"/>
    <w:rsid w:val="00AA03CE"/>
    <w:rsid w:val="00AA047F"/>
    <w:rsid w:val="00AA0737"/>
    <w:rsid w:val="00AA07A6"/>
    <w:rsid w:val="00AA07EB"/>
    <w:rsid w:val="00AA0855"/>
    <w:rsid w:val="00AA086F"/>
    <w:rsid w:val="00AA08F2"/>
    <w:rsid w:val="00AA092E"/>
    <w:rsid w:val="00AA0BC9"/>
    <w:rsid w:val="00AA0CF8"/>
    <w:rsid w:val="00AA0D82"/>
    <w:rsid w:val="00AA0D92"/>
    <w:rsid w:val="00AA0E43"/>
    <w:rsid w:val="00AA0EC7"/>
    <w:rsid w:val="00AA0EF2"/>
    <w:rsid w:val="00AA0F3D"/>
    <w:rsid w:val="00AA0F3E"/>
    <w:rsid w:val="00AA0FE1"/>
    <w:rsid w:val="00AA0FFF"/>
    <w:rsid w:val="00AA1000"/>
    <w:rsid w:val="00AA1127"/>
    <w:rsid w:val="00AA113B"/>
    <w:rsid w:val="00AA11D1"/>
    <w:rsid w:val="00AA1258"/>
    <w:rsid w:val="00AA129C"/>
    <w:rsid w:val="00AA1337"/>
    <w:rsid w:val="00AA1687"/>
    <w:rsid w:val="00AA1767"/>
    <w:rsid w:val="00AA179A"/>
    <w:rsid w:val="00AA183E"/>
    <w:rsid w:val="00AA1846"/>
    <w:rsid w:val="00AA184B"/>
    <w:rsid w:val="00AA1852"/>
    <w:rsid w:val="00AA188E"/>
    <w:rsid w:val="00AA1D1F"/>
    <w:rsid w:val="00AA1D5B"/>
    <w:rsid w:val="00AA1D78"/>
    <w:rsid w:val="00AA1F3F"/>
    <w:rsid w:val="00AA1FC0"/>
    <w:rsid w:val="00AA1FF0"/>
    <w:rsid w:val="00AA206D"/>
    <w:rsid w:val="00AA2157"/>
    <w:rsid w:val="00AA2291"/>
    <w:rsid w:val="00AA229D"/>
    <w:rsid w:val="00AA2373"/>
    <w:rsid w:val="00AA23D0"/>
    <w:rsid w:val="00AA24ED"/>
    <w:rsid w:val="00AA2539"/>
    <w:rsid w:val="00AA2769"/>
    <w:rsid w:val="00AA27D2"/>
    <w:rsid w:val="00AA28F5"/>
    <w:rsid w:val="00AA2983"/>
    <w:rsid w:val="00AA2A04"/>
    <w:rsid w:val="00AA2A0D"/>
    <w:rsid w:val="00AA2A1B"/>
    <w:rsid w:val="00AA2D36"/>
    <w:rsid w:val="00AA2F15"/>
    <w:rsid w:val="00AA31B0"/>
    <w:rsid w:val="00AA3240"/>
    <w:rsid w:val="00AA3486"/>
    <w:rsid w:val="00AA363F"/>
    <w:rsid w:val="00AA3756"/>
    <w:rsid w:val="00AA3823"/>
    <w:rsid w:val="00AA3980"/>
    <w:rsid w:val="00AA3A02"/>
    <w:rsid w:val="00AA3A4D"/>
    <w:rsid w:val="00AA3AA6"/>
    <w:rsid w:val="00AA3AC7"/>
    <w:rsid w:val="00AA3BD3"/>
    <w:rsid w:val="00AA3BFF"/>
    <w:rsid w:val="00AA3CA6"/>
    <w:rsid w:val="00AA3DB1"/>
    <w:rsid w:val="00AA3DC5"/>
    <w:rsid w:val="00AA4027"/>
    <w:rsid w:val="00AA4102"/>
    <w:rsid w:val="00AA4134"/>
    <w:rsid w:val="00AA444E"/>
    <w:rsid w:val="00AA4554"/>
    <w:rsid w:val="00AA459D"/>
    <w:rsid w:val="00AA45B2"/>
    <w:rsid w:val="00AA4878"/>
    <w:rsid w:val="00AA4BEF"/>
    <w:rsid w:val="00AA4C99"/>
    <w:rsid w:val="00AA4CC2"/>
    <w:rsid w:val="00AA4CF7"/>
    <w:rsid w:val="00AA4D38"/>
    <w:rsid w:val="00AA4D42"/>
    <w:rsid w:val="00AA4D57"/>
    <w:rsid w:val="00AA4D61"/>
    <w:rsid w:val="00AA4D6C"/>
    <w:rsid w:val="00AA4F0F"/>
    <w:rsid w:val="00AA4FF4"/>
    <w:rsid w:val="00AA5051"/>
    <w:rsid w:val="00AA5061"/>
    <w:rsid w:val="00AA5283"/>
    <w:rsid w:val="00AA52D8"/>
    <w:rsid w:val="00AA532F"/>
    <w:rsid w:val="00AA539B"/>
    <w:rsid w:val="00AA55FE"/>
    <w:rsid w:val="00AA5675"/>
    <w:rsid w:val="00AA59FC"/>
    <w:rsid w:val="00AA59FE"/>
    <w:rsid w:val="00AA5B2C"/>
    <w:rsid w:val="00AA5BB0"/>
    <w:rsid w:val="00AA5C45"/>
    <w:rsid w:val="00AA5C62"/>
    <w:rsid w:val="00AA5C6C"/>
    <w:rsid w:val="00AA5CE0"/>
    <w:rsid w:val="00AA5DA0"/>
    <w:rsid w:val="00AA5E16"/>
    <w:rsid w:val="00AA5EE1"/>
    <w:rsid w:val="00AA5FBD"/>
    <w:rsid w:val="00AA601C"/>
    <w:rsid w:val="00AA6131"/>
    <w:rsid w:val="00AA62DB"/>
    <w:rsid w:val="00AA62DC"/>
    <w:rsid w:val="00AA63DE"/>
    <w:rsid w:val="00AA659F"/>
    <w:rsid w:val="00AA6626"/>
    <w:rsid w:val="00AA66A9"/>
    <w:rsid w:val="00AA66D9"/>
    <w:rsid w:val="00AA6764"/>
    <w:rsid w:val="00AA67A7"/>
    <w:rsid w:val="00AA6838"/>
    <w:rsid w:val="00AA6892"/>
    <w:rsid w:val="00AA68F8"/>
    <w:rsid w:val="00AA6967"/>
    <w:rsid w:val="00AA69C8"/>
    <w:rsid w:val="00AA6ACD"/>
    <w:rsid w:val="00AA6B23"/>
    <w:rsid w:val="00AA6BDF"/>
    <w:rsid w:val="00AA6C2C"/>
    <w:rsid w:val="00AA6CE2"/>
    <w:rsid w:val="00AA6CF4"/>
    <w:rsid w:val="00AA6DF4"/>
    <w:rsid w:val="00AA7050"/>
    <w:rsid w:val="00AA7200"/>
    <w:rsid w:val="00AA7425"/>
    <w:rsid w:val="00AA74A8"/>
    <w:rsid w:val="00AA74EA"/>
    <w:rsid w:val="00AA7523"/>
    <w:rsid w:val="00AA7599"/>
    <w:rsid w:val="00AA761B"/>
    <w:rsid w:val="00AA76C8"/>
    <w:rsid w:val="00AA77DD"/>
    <w:rsid w:val="00AA7833"/>
    <w:rsid w:val="00AA7A1B"/>
    <w:rsid w:val="00AA7B19"/>
    <w:rsid w:val="00AA7BDB"/>
    <w:rsid w:val="00AA7DED"/>
    <w:rsid w:val="00AA7E19"/>
    <w:rsid w:val="00AA7EC2"/>
    <w:rsid w:val="00AB0195"/>
    <w:rsid w:val="00AB01BA"/>
    <w:rsid w:val="00AB02B0"/>
    <w:rsid w:val="00AB040D"/>
    <w:rsid w:val="00AB04BD"/>
    <w:rsid w:val="00AB0510"/>
    <w:rsid w:val="00AB070E"/>
    <w:rsid w:val="00AB081C"/>
    <w:rsid w:val="00AB0840"/>
    <w:rsid w:val="00AB0953"/>
    <w:rsid w:val="00AB099C"/>
    <w:rsid w:val="00AB0A73"/>
    <w:rsid w:val="00AB0AF3"/>
    <w:rsid w:val="00AB0B68"/>
    <w:rsid w:val="00AB0C46"/>
    <w:rsid w:val="00AB0D60"/>
    <w:rsid w:val="00AB0E18"/>
    <w:rsid w:val="00AB0F66"/>
    <w:rsid w:val="00AB10DB"/>
    <w:rsid w:val="00AB1172"/>
    <w:rsid w:val="00AB118F"/>
    <w:rsid w:val="00AB11BF"/>
    <w:rsid w:val="00AB12FD"/>
    <w:rsid w:val="00AB1403"/>
    <w:rsid w:val="00AB16C5"/>
    <w:rsid w:val="00AB182B"/>
    <w:rsid w:val="00AB1864"/>
    <w:rsid w:val="00AB19D3"/>
    <w:rsid w:val="00AB1A27"/>
    <w:rsid w:val="00AB1A67"/>
    <w:rsid w:val="00AB1B25"/>
    <w:rsid w:val="00AB1C33"/>
    <w:rsid w:val="00AB1D06"/>
    <w:rsid w:val="00AB1E99"/>
    <w:rsid w:val="00AB1FE4"/>
    <w:rsid w:val="00AB23B1"/>
    <w:rsid w:val="00AB262D"/>
    <w:rsid w:val="00AB2633"/>
    <w:rsid w:val="00AB2721"/>
    <w:rsid w:val="00AB272B"/>
    <w:rsid w:val="00AB281E"/>
    <w:rsid w:val="00AB2852"/>
    <w:rsid w:val="00AB28F4"/>
    <w:rsid w:val="00AB29AC"/>
    <w:rsid w:val="00AB29C2"/>
    <w:rsid w:val="00AB2A08"/>
    <w:rsid w:val="00AB2C4C"/>
    <w:rsid w:val="00AB2D58"/>
    <w:rsid w:val="00AB2E1C"/>
    <w:rsid w:val="00AB2E20"/>
    <w:rsid w:val="00AB2E7C"/>
    <w:rsid w:val="00AB2E91"/>
    <w:rsid w:val="00AB2EC6"/>
    <w:rsid w:val="00AB2EDB"/>
    <w:rsid w:val="00AB2F0D"/>
    <w:rsid w:val="00AB2F12"/>
    <w:rsid w:val="00AB2FD5"/>
    <w:rsid w:val="00AB3025"/>
    <w:rsid w:val="00AB30C0"/>
    <w:rsid w:val="00AB3220"/>
    <w:rsid w:val="00AB32C9"/>
    <w:rsid w:val="00AB32F8"/>
    <w:rsid w:val="00AB3341"/>
    <w:rsid w:val="00AB33C5"/>
    <w:rsid w:val="00AB345B"/>
    <w:rsid w:val="00AB34B4"/>
    <w:rsid w:val="00AB3632"/>
    <w:rsid w:val="00AB3670"/>
    <w:rsid w:val="00AB36E0"/>
    <w:rsid w:val="00AB375D"/>
    <w:rsid w:val="00AB3767"/>
    <w:rsid w:val="00AB3927"/>
    <w:rsid w:val="00AB39E6"/>
    <w:rsid w:val="00AB3A03"/>
    <w:rsid w:val="00AB3B35"/>
    <w:rsid w:val="00AB3BF6"/>
    <w:rsid w:val="00AB3CFA"/>
    <w:rsid w:val="00AB3DED"/>
    <w:rsid w:val="00AB3ED6"/>
    <w:rsid w:val="00AB3FD9"/>
    <w:rsid w:val="00AB40FB"/>
    <w:rsid w:val="00AB412B"/>
    <w:rsid w:val="00AB4196"/>
    <w:rsid w:val="00AB41FF"/>
    <w:rsid w:val="00AB4250"/>
    <w:rsid w:val="00AB42E8"/>
    <w:rsid w:val="00AB433D"/>
    <w:rsid w:val="00AB43B6"/>
    <w:rsid w:val="00AB4437"/>
    <w:rsid w:val="00AB44EE"/>
    <w:rsid w:val="00AB451D"/>
    <w:rsid w:val="00AB462F"/>
    <w:rsid w:val="00AB46E2"/>
    <w:rsid w:val="00AB47BD"/>
    <w:rsid w:val="00AB489C"/>
    <w:rsid w:val="00AB49D4"/>
    <w:rsid w:val="00AB49E3"/>
    <w:rsid w:val="00AB4BE8"/>
    <w:rsid w:val="00AB4D25"/>
    <w:rsid w:val="00AB4D39"/>
    <w:rsid w:val="00AB4EBD"/>
    <w:rsid w:val="00AB4F35"/>
    <w:rsid w:val="00AB4F81"/>
    <w:rsid w:val="00AB5097"/>
    <w:rsid w:val="00AB50A0"/>
    <w:rsid w:val="00AB51C2"/>
    <w:rsid w:val="00AB5207"/>
    <w:rsid w:val="00AB5327"/>
    <w:rsid w:val="00AB53BD"/>
    <w:rsid w:val="00AB53F4"/>
    <w:rsid w:val="00AB5438"/>
    <w:rsid w:val="00AB551F"/>
    <w:rsid w:val="00AB5528"/>
    <w:rsid w:val="00AB55AF"/>
    <w:rsid w:val="00AB5612"/>
    <w:rsid w:val="00AB5614"/>
    <w:rsid w:val="00AB564B"/>
    <w:rsid w:val="00AB5671"/>
    <w:rsid w:val="00AB578B"/>
    <w:rsid w:val="00AB57F3"/>
    <w:rsid w:val="00AB58BB"/>
    <w:rsid w:val="00AB58F5"/>
    <w:rsid w:val="00AB5970"/>
    <w:rsid w:val="00AB5AA8"/>
    <w:rsid w:val="00AB5BAC"/>
    <w:rsid w:val="00AB5D2A"/>
    <w:rsid w:val="00AB5D5C"/>
    <w:rsid w:val="00AB5DD2"/>
    <w:rsid w:val="00AB5E38"/>
    <w:rsid w:val="00AB6086"/>
    <w:rsid w:val="00AB60B6"/>
    <w:rsid w:val="00AB615D"/>
    <w:rsid w:val="00AB61FD"/>
    <w:rsid w:val="00AB6235"/>
    <w:rsid w:val="00AB626D"/>
    <w:rsid w:val="00AB62F7"/>
    <w:rsid w:val="00AB634A"/>
    <w:rsid w:val="00AB6371"/>
    <w:rsid w:val="00AB642C"/>
    <w:rsid w:val="00AB6449"/>
    <w:rsid w:val="00AB6502"/>
    <w:rsid w:val="00AB6A3D"/>
    <w:rsid w:val="00AB6ACD"/>
    <w:rsid w:val="00AB6AE3"/>
    <w:rsid w:val="00AB6B06"/>
    <w:rsid w:val="00AB6B08"/>
    <w:rsid w:val="00AB6BF2"/>
    <w:rsid w:val="00AB6C94"/>
    <w:rsid w:val="00AB6D20"/>
    <w:rsid w:val="00AB6DAE"/>
    <w:rsid w:val="00AB6E5E"/>
    <w:rsid w:val="00AB6EAE"/>
    <w:rsid w:val="00AB6F82"/>
    <w:rsid w:val="00AB71EE"/>
    <w:rsid w:val="00AB72BD"/>
    <w:rsid w:val="00AB73C2"/>
    <w:rsid w:val="00AB73FD"/>
    <w:rsid w:val="00AB74A2"/>
    <w:rsid w:val="00AB74AD"/>
    <w:rsid w:val="00AB7666"/>
    <w:rsid w:val="00AB76A1"/>
    <w:rsid w:val="00AB76AC"/>
    <w:rsid w:val="00AB7795"/>
    <w:rsid w:val="00AB7908"/>
    <w:rsid w:val="00AB7955"/>
    <w:rsid w:val="00AB7A9B"/>
    <w:rsid w:val="00AB7BAC"/>
    <w:rsid w:val="00AB7D78"/>
    <w:rsid w:val="00AB7E5B"/>
    <w:rsid w:val="00AB7F23"/>
    <w:rsid w:val="00AB7F7B"/>
    <w:rsid w:val="00AB7FBC"/>
    <w:rsid w:val="00AC00A7"/>
    <w:rsid w:val="00AC00F2"/>
    <w:rsid w:val="00AC0243"/>
    <w:rsid w:val="00AC036C"/>
    <w:rsid w:val="00AC05F3"/>
    <w:rsid w:val="00AC0626"/>
    <w:rsid w:val="00AC0646"/>
    <w:rsid w:val="00AC0655"/>
    <w:rsid w:val="00AC0918"/>
    <w:rsid w:val="00AC0970"/>
    <w:rsid w:val="00AC0994"/>
    <w:rsid w:val="00AC0A3C"/>
    <w:rsid w:val="00AC0B6D"/>
    <w:rsid w:val="00AC0B92"/>
    <w:rsid w:val="00AC0BA8"/>
    <w:rsid w:val="00AC0E46"/>
    <w:rsid w:val="00AC0E64"/>
    <w:rsid w:val="00AC0FE1"/>
    <w:rsid w:val="00AC1157"/>
    <w:rsid w:val="00AC1265"/>
    <w:rsid w:val="00AC14C7"/>
    <w:rsid w:val="00AC156A"/>
    <w:rsid w:val="00AC160B"/>
    <w:rsid w:val="00AC166C"/>
    <w:rsid w:val="00AC166F"/>
    <w:rsid w:val="00AC1798"/>
    <w:rsid w:val="00AC1898"/>
    <w:rsid w:val="00AC18C2"/>
    <w:rsid w:val="00AC19A2"/>
    <w:rsid w:val="00AC1BBA"/>
    <w:rsid w:val="00AC1BF3"/>
    <w:rsid w:val="00AC1CCD"/>
    <w:rsid w:val="00AC1CFF"/>
    <w:rsid w:val="00AC1D3D"/>
    <w:rsid w:val="00AC1EE6"/>
    <w:rsid w:val="00AC1EF3"/>
    <w:rsid w:val="00AC1EFE"/>
    <w:rsid w:val="00AC1F01"/>
    <w:rsid w:val="00AC1FDA"/>
    <w:rsid w:val="00AC20F9"/>
    <w:rsid w:val="00AC216A"/>
    <w:rsid w:val="00AC2323"/>
    <w:rsid w:val="00AC2344"/>
    <w:rsid w:val="00AC2355"/>
    <w:rsid w:val="00AC23F3"/>
    <w:rsid w:val="00AC241F"/>
    <w:rsid w:val="00AC2512"/>
    <w:rsid w:val="00AC277F"/>
    <w:rsid w:val="00AC2879"/>
    <w:rsid w:val="00AC28D1"/>
    <w:rsid w:val="00AC28FD"/>
    <w:rsid w:val="00AC294C"/>
    <w:rsid w:val="00AC2CAB"/>
    <w:rsid w:val="00AC2CEF"/>
    <w:rsid w:val="00AC2DCD"/>
    <w:rsid w:val="00AC2EA6"/>
    <w:rsid w:val="00AC2FD6"/>
    <w:rsid w:val="00AC2FE1"/>
    <w:rsid w:val="00AC2FF4"/>
    <w:rsid w:val="00AC3101"/>
    <w:rsid w:val="00AC316B"/>
    <w:rsid w:val="00AC32B7"/>
    <w:rsid w:val="00AC3347"/>
    <w:rsid w:val="00AC338A"/>
    <w:rsid w:val="00AC34B6"/>
    <w:rsid w:val="00AC3519"/>
    <w:rsid w:val="00AC3530"/>
    <w:rsid w:val="00AC3563"/>
    <w:rsid w:val="00AC35C6"/>
    <w:rsid w:val="00AC35CB"/>
    <w:rsid w:val="00AC3852"/>
    <w:rsid w:val="00AC39EF"/>
    <w:rsid w:val="00AC3AA1"/>
    <w:rsid w:val="00AC3B45"/>
    <w:rsid w:val="00AC3B6E"/>
    <w:rsid w:val="00AC3BA7"/>
    <w:rsid w:val="00AC3C04"/>
    <w:rsid w:val="00AC3C0C"/>
    <w:rsid w:val="00AC3C38"/>
    <w:rsid w:val="00AC3DF5"/>
    <w:rsid w:val="00AC3E6B"/>
    <w:rsid w:val="00AC3EE3"/>
    <w:rsid w:val="00AC4052"/>
    <w:rsid w:val="00AC408E"/>
    <w:rsid w:val="00AC4160"/>
    <w:rsid w:val="00AC42C2"/>
    <w:rsid w:val="00AC431A"/>
    <w:rsid w:val="00AC43BA"/>
    <w:rsid w:val="00AC44DC"/>
    <w:rsid w:val="00AC45C7"/>
    <w:rsid w:val="00AC45F4"/>
    <w:rsid w:val="00AC4698"/>
    <w:rsid w:val="00AC46E1"/>
    <w:rsid w:val="00AC4709"/>
    <w:rsid w:val="00AC4828"/>
    <w:rsid w:val="00AC48A2"/>
    <w:rsid w:val="00AC48AC"/>
    <w:rsid w:val="00AC48C3"/>
    <w:rsid w:val="00AC49C0"/>
    <w:rsid w:val="00AC4B59"/>
    <w:rsid w:val="00AC4C7A"/>
    <w:rsid w:val="00AC4D56"/>
    <w:rsid w:val="00AC4DC2"/>
    <w:rsid w:val="00AC4E08"/>
    <w:rsid w:val="00AC4E2F"/>
    <w:rsid w:val="00AC4EBD"/>
    <w:rsid w:val="00AC4EE5"/>
    <w:rsid w:val="00AC4F5E"/>
    <w:rsid w:val="00AC513C"/>
    <w:rsid w:val="00AC51BA"/>
    <w:rsid w:val="00AC529A"/>
    <w:rsid w:val="00AC52D6"/>
    <w:rsid w:val="00AC5326"/>
    <w:rsid w:val="00AC534C"/>
    <w:rsid w:val="00AC54BC"/>
    <w:rsid w:val="00AC5702"/>
    <w:rsid w:val="00AC5738"/>
    <w:rsid w:val="00AC585B"/>
    <w:rsid w:val="00AC58F6"/>
    <w:rsid w:val="00AC5A18"/>
    <w:rsid w:val="00AC5C3F"/>
    <w:rsid w:val="00AC5CFE"/>
    <w:rsid w:val="00AC5DCC"/>
    <w:rsid w:val="00AC5DD7"/>
    <w:rsid w:val="00AC5ECC"/>
    <w:rsid w:val="00AC5F03"/>
    <w:rsid w:val="00AC60FF"/>
    <w:rsid w:val="00AC6141"/>
    <w:rsid w:val="00AC618F"/>
    <w:rsid w:val="00AC6219"/>
    <w:rsid w:val="00AC62D3"/>
    <w:rsid w:val="00AC6375"/>
    <w:rsid w:val="00AC637B"/>
    <w:rsid w:val="00AC63DE"/>
    <w:rsid w:val="00AC6647"/>
    <w:rsid w:val="00AC66EB"/>
    <w:rsid w:val="00AC6726"/>
    <w:rsid w:val="00AC68D5"/>
    <w:rsid w:val="00AC68EA"/>
    <w:rsid w:val="00AC696E"/>
    <w:rsid w:val="00AC69A6"/>
    <w:rsid w:val="00AC69BA"/>
    <w:rsid w:val="00AC69D8"/>
    <w:rsid w:val="00AC6BC4"/>
    <w:rsid w:val="00AC6C4D"/>
    <w:rsid w:val="00AC6CAB"/>
    <w:rsid w:val="00AC6CFD"/>
    <w:rsid w:val="00AC6DC3"/>
    <w:rsid w:val="00AC6F98"/>
    <w:rsid w:val="00AC7009"/>
    <w:rsid w:val="00AC7019"/>
    <w:rsid w:val="00AC706C"/>
    <w:rsid w:val="00AC70CE"/>
    <w:rsid w:val="00AC70DD"/>
    <w:rsid w:val="00AC73B0"/>
    <w:rsid w:val="00AC760C"/>
    <w:rsid w:val="00AC761D"/>
    <w:rsid w:val="00AC7640"/>
    <w:rsid w:val="00AC766D"/>
    <w:rsid w:val="00AC792D"/>
    <w:rsid w:val="00AC797B"/>
    <w:rsid w:val="00AC7B1D"/>
    <w:rsid w:val="00AC7B86"/>
    <w:rsid w:val="00AC7B87"/>
    <w:rsid w:val="00AC7C61"/>
    <w:rsid w:val="00AC7F21"/>
    <w:rsid w:val="00AC7FD1"/>
    <w:rsid w:val="00AD0054"/>
    <w:rsid w:val="00AD006A"/>
    <w:rsid w:val="00AD00A3"/>
    <w:rsid w:val="00AD0240"/>
    <w:rsid w:val="00AD030B"/>
    <w:rsid w:val="00AD0352"/>
    <w:rsid w:val="00AD03AD"/>
    <w:rsid w:val="00AD04A6"/>
    <w:rsid w:val="00AD04C8"/>
    <w:rsid w:val="00AD052C"/>
    <w:rsid w:val="00AD05DE"/>
    <w:rsid w:val="00AD0607"/>
    <w:rsid w:val="00AD075C"/>
    <w:rsid w:val="00AD0773"/>
    <w:rsid w:val="00AD0792"/>
    <w:rsid w:val="00AD0A30"/>
    <w:rsid w:val="00AD0A3E"/>
    <w:rsid w:val="00AD0AE9"/>
    <w:rsid w:val="00AD0E5D"/>
    <w:rsid w:val="00AD0E78"/>
    <w:rsid w:val="00AD0E7B"/>
    <w:rsid w:val="00AD0F2D"/>
    <w:rsid w:val="00AD0F7E"/>
    <w:rsid w:val="00AD0FC3"/>
    <w:rsid w:val="00AD1149"/>
    <w:rsid w:val="00AD1172"/>
    <w:rsid w:val="00AD11CA"/>
    <w:rsid w:val="00AD1264"/>
    <w:rsid w:val="00AD12E7"/>
    <w:rsid w:val="00AD1427"/>
    <w:rsid w:val="00AD14F9"/>
    <w:rsid w:val="00AD155A"/>
    <w:rsid w:val="00AD1633"/>
    <w:rsid w:val="00AD163E"/>
    <w:rsid w:val="00AD16A5"/>
    <w:rsid w:val="00AD176A"/>
    <w:rsid w:val="00AD1949"/>
    <w:rsid w:val="00AD1979"/>
    <w:rsid w:val="00AD1ACB"/>
    <w:rsid w:val="00AD1ADA"/>
    <w:rsid w:val="00AD1B48"/>
    <w:rsid w:val="00AD1B6B"/>
    <w:rsid w:val="00AD1BAE"/>
    <w:rsid w:val="00AD1BFF"/>
    <w:rsid w:val="00AD1CA1"/>
    <w:rsid w:val="00AD1D5A"/>
    <w:rsid w:val="00AD1E80"/>
    <w:rsid w:val="00AD1E9A"/>
    <w:rsid w:val="00AD1F0A"/>
    <w:rsid w:val="00AD1F2E"/>
    <w:rsid w:val="00AD205E"/>
    <w:rsid w:val="00AD20B5"/>
    <w:rsid w:val="00AD214C"/>
    <w:rsid w:val="00AD235F"/>
    <w:rsid w:val="00AD2396"/>
    <w:rsid w:val="00AD239F"/>
    <w:rsid w:val="00AD263C"/>
    <w:rsid w:val="00AD2899"/>
    <w:rsid w:val="00AD2919"/>
    <w:rsid w:val="00AD2963"/>
    <w:rsid w:val="00AD2984"/>
    <w:rsid w:val="00AD2AE2"/>
    <w:rsid w:val="00AD2BF2"/>
    <w:rsid w:val="00AD2C76"/>
    <w:rsid w:val="00AD2C8D"/>
    <w:rsid w:val="00AD2D35"/>
    <w:rsid w:val="00AD2D94"/>
    <w:rsid w:val="00AD2E93"/>
    <w:rsid w:val="00AD2F68"/>
    <w:rsid w:val="00AD30DE"/>
    <w:rsid w:val="00AD3201"/>
    <w:rsid w:val="00AD326F"/>
    <w:rsid w:val="00AD3353"/>
    <w:rsid w:val="00AD33F4"/>
    <w:rsid w:val="00AD3495"/>
    <w:rsid w:val="00AD3685"/>
    <w:rsid w:val="00AD371C"/>
    <w:rsid w:val="00AD38C8"/>
    <w:rsid w:val="00AD38E8"/>
    <w:rsid w:val="00AD39D1"/>
    <w:rsid w:val="00AD3B27"/>
    <w:rsid w:val="00AD3BE0"/>
    <w:rsid w:val="00AD3D8A"/>
    <w:rsid w:val="00AD3DB4"/>
    <w:rsid w:val="00AD3E63"/>
    <w:rsid w:val="00AD3E77"/>
    <w:rsid w:val="00AD3EDC"/>
    <w:rsid w:val="00AD3F3C"/>
    <w:rsid w:val="00AD3FB0"/>
    <w:rsid w:val="00AD3FD3"/>
    <w:rsid w:val="00AD41C9"/>
    <w:rsid w:val="00AD430D"/>
    <w:rsid w:val="00AD442B"/>
    <w:rsid w:val="00AD44C3"/>
    <w:rsid w:val="00AD4791"/>
    <w:rsid w:val="00AD47B4"/>
    <w:rsid w:val="00AD47C8"/>
    <w:rsid w:val="00AD47EC"/>
    <w:rsid w:val="00AD481B"/>
    <w:rsid w:val="00AD481E"/>
    <w:rsid w:val="00AD485E"/>
    <w:rsid w:val="00AD4972"/>
    <w:rsid w:val="00AD4C1F"/>
    <w:rsid w:val="00AD4DE9"/>
    <w:rsid w:val="00AD4E56"/>
    <w:rsid w:val="00AD4E92"/>
    <w:rsid w:val="00AD4FA3"/>
    <w:rsid w:val="00AD4FB0"/>
    <w:rsid w:val="00AD5278"/>
    <w:rsid w:val="00AD5467"/>
    <w:rsid w:val="00AD5479"/>
    <w:rsid w:val="00AD54EE"/>
    <w:rsid w:val="00AD5641"/>
    <w:rsid w:val="00AD566E"/>
    <w:rsid w:val="00AD56B4"/>
    <w:rsid w:val="00AD5726"/>
    <w:rsid w:val="00AD5844"/>
    <w:rsid w:val="00AD58C6"/>
    <w:rsid w:val="00AD5961"/>
    <w:rsid w:val="00AD5A6D"/>
    <w:rsid w:val="00AD5AFA"/>
    <w:rsid w:val="00AD5BA4"/>
    <w:rsid w:val="00AD5C2B"/>
    <w:rsid w:val="00AD5DAD"/>
    <w:rsid w:val="00AD5DB3"/>
    <w:rsid w:val="00AD5E04"/>
    <w:rsid w:val="00AD5E44"/>
    <w:rsid w:val="00AD5EF7"/>
    <w:rsid w:val="00AD5F19"/>
    <w:rsid w:val="00AD5F54"/>
    <w:rsid w:val="00AD6290"/>
    <w:rsid w:val="00AD6342"/>
    <w:rsid w:val="00AD64EC"/>
    <w:rsid w:val="00AD65BA"/>
    <w:rsid w:val="00AD664B"/>
    <w:rsid w:val="00AD6650"/>
    <w:rsid w:val="00AD6858"/>
    <w:rsid w:val="00AD6994"/>
    <w:rsid w:val="00AD6BA1"/>
    <w:rsid w:val="00AD6DA9"/>
    <w:rsid w:val="00AD6DB0"/>
    <w:rsid w:val="00AD6EAE"/>
    <w:rsid w:val="00AD6EBC"/>
    <w:rsid w:val="00AD6FB9"/>
    <w:rsid w:val="00AD70DE"/>
    <w:rsid w:val="00AD710E"/>
    <w:rsid w:val="00AD7301"/>
    <w:rsid w:val="00AD730C"/>
    <w:rsid w:val="00AD737C"/>
    <w:rsid w:val="00AD73AE"/>
    <w:rsid w:val="00AD748F"/>
    <w:rsid w:val="00AD74B4"/>
    <w:rsid w:val="00AD74FF"/>
    <w:rsid w:val="00AD752E"/>
    <w:rsid w:val="00AD757F"/>
    <w:rsid w:val="00AD75CB"/>
    <w:rsid w:val="00AD7616"/>
    <w:rsid w:val="00AD766B"/>
    <w:rsid w:val="00AD7678"/>
    <w:rsid w:val="00AD7746"/>
    <w:rsid w:val="00AD77EA"/>
    <w:rsid w:val="00AD7928"/>
    <w:rsid w:val="00AD7B1F"/>
    <w:rsid w:val="00AD7BAD"/>
    <w:rsid w:val="00AD7C3A"/>
    <w:rsid w:val="00AD7EFE"/>
    <w:rsid w:val="00AE029A"/>
    <w:rsid w:val="00AE0359"/>
    <w:rsid w:val="00AE0395"/>
    <w:rsid w:val="00AE0408"/>
    <w:rsid w:val="00AE04A8"/>
    <w:rsid w:val="00AE04AC"/>
    <w:rsid w:val="00AE0571"/>
    <w:rsid w:val="00AE06B2"/>
    <w:rsid w:val="00AE072A"/>
    <w:rsid w:val="00AE07C4"/>
    <w:rsid w:val="00AE07DF"/>
    <w:rsid w:val="00AE0849"/>
    <w:rsid w:val="00AE0946"/>
    <w:rsid w:val="00AE098D"/>
    <w:rsid w:val="00AE0A3E"/>
    <w:rsid w:val="00AE0AB3"/>
    <w:rsid w:val="00AE0B6E"/>
    <w:rsid w:val="00AE0B8F"/>
    <w:rsid w:val="00AE0BD4"/>
    <w:rsid w:val="00AE0CCA"/>
    <w:rsid w:val="00AE0CF7"/>
    <w:rsid w:val="00AE0D68"/>
    <w:rsid w:val="00AE0F09"/>
    <w:rsid w:val="00AE0F82"/>
    <w:rsid w:val="00AE10AB"/>
    <w:rsid w:val="00AE14F0"/>
    <w:rsid w:val="00AE16D9"/>
    <w:rsid w:val="00AE1731"/>
    <w:rsid w:val="00AE1738"/>
    <w:rsid w:val="00AE186F"/>
    <w:rsid w:val="00AE1911"/>
    <w:rsid w:val="00AE1918"/>
    <w:rsid w:val="00AE1A47"/>
    <w:rsid w:val="00AE1AA1"/>
    <w:rsid w:val="00AE1AB6"/>
    <w:rsid w:val="00AE1B2C"/>
    <w:rsid w:val="00AE1B9D"/>
    <w:rsid w:val="00AE1C7E"/>
    <w:rsid w:val="00AE1D04"/>
    <w:rsid w:val="00AE1D5B"/>
    <w:rsid w:val="00AE1E0B"/>
    <w:rsid w:val="00AE1E6B"/>
    <w:rsid w:val="00AE1E9F"/>
    <w:rsid w:val="00AE1FD1"/>
    <w:rsid w:val="00AE1FEF"/>
    <w:rsid w:val="00AE2170"/>
    <w:rsid w:val="00AE21F3"/>
    <w:rsid w:val="00AE2209"/>
    <w:rsid w:val="00AE223F"/>
    <w:rsid w:val="00AE22A7"/>
    <w:rsid w:val="00AE22E8"/>
    <w:rsid w:val="00AE259A"/>
    <w:rsid w:val="00AE261F"/>
    <w:rsid w:val="00AE2685"/>
    <w:rsid w:val="00AE2698"/>
    <w:rsid w:val="00AE278B"/>
    <w:rsid w:val="00AE27A6"/>
    <w:rsid w:val="00AE2AA3"/>
    <w:rsid w:val="00AE2B5E"/>
    <w:rsid w:val="00AE2DB7"/>
    <w:rsid w:val="00AE2E63"/>
    <w:rsid w:val="00AE2E7F"/>
    <w:rsid w:val="00AE2EAE"/>
    <w:rsid w:val="00AE2ED1"/>
    <w:rsid w:val="00AE2F1F"/>
    <w:rsid w:val="00AE303B"/>
    <w:rsid w:val="00AE3222"/>
    <w:rsid w:val="00AE32EB"/>
    <w:rsid w:val="00AE34CB"/>
    <w:rsid w:val="00AE3506"/>
    <w:rsid w:val="00AE3549"/>
    <w:rsid w:val="00AE3612"/>
    <w:rsid w:val="00AE3682"/>
    <w:rsid w:val="00AE3795"/>
    <w:rsid w:val="00AE379A"/>
    <w:rsid w:val="00AE3924"/>
    <w:rsid w:val="00AE3A4B"/>
    <w:rsid w:val="00AE3B8C"/>
    <w:rsid w:val="00AE3CD7"/>
    <w:rsid w:val="00AE3CFF"/>
    <w:rsid w:val="00AE3D21"/>
    <w:rsid w:val="00AE3D26"/>
    <w:rsid w:val="00AE409D"/>
    <w:rsid w:val="00AE4194"/>
    <w:rsid w:val="00AE41F9"/>
    <w:rsid w:val="00AE4238"/>
    <w:rsid w:val="00AE4252"/>
    <w:rsid w:val="00AE43AE"/>
    <w:rsid w:val="00AE43BF"/>
    <w:rsid w:val="00AE48BF"/>
    <w:rsid w:val="00AE4966"/>
    <w:rsid w:val="00AE49A8"/>
    <w:rsid w:val="00AE4A63"/>
    <w:rsid w:val="00AE4ABF"/>
    <w:rsid w:val="00AE4AD2"/>
    <w:rsid w:val="00AE4BFF"/>
    <w:rsid w:val="00AE4E11"/>
    <w:rsid w:val="00AE4E15"/>
    <w:rsid w:val="00AE4E45"/>
    <w:rsid w:val="00AE4E69"/>
    <w:rsid w:val="00AE4EAC"/>
    <w:rsid w:val="00AE4EFB"/>
    <w:rsid w:val="00AE4F95"/>
    <w:rsid w:val="00AE50C1"/>
    <w:rsid w:val="00AE5219"/>
    <w:rsid w:val="00AE52A2"/>
    <w:rsid w:val="00AE5372"/>
    <w:rsid w:val="00AE548A"/>
    <w:rsid w:val="00AE54D8"/>
    <w:rsid w:val="00AE54E7"/>
    <w:rsid w:val="00AE55EE"/>
    <w:rsid w:val="00AE5631"/>
    <w:rsid w:val="00AE5685"/>
    <w:rsid w:val="00AE589B"/>
    <w:rsid w:val="00AE58CA"/>
    <w:rsid w:val="00AE5993"/>
    <w:rsid w:val="00AE5A55"/>
    <w:rsid w:val="00AE5C36"/>
    <w:rsid w:val="00AE5D89"/>
    <w:rsid w:val="00AE5F96"/>
    <w:rsid w:val="00AE60D8"/>
    <w:rsid w:val="00AE60F8"/>
    <w:rsid w:val="00AE614B"/>
    <w:rsid w:val="00AE61F2"/>
    <w:rsid w:val="00AE61F9"/>
    <w:rsid w:val="00AE6295"/>
    <w:rsid w:val="00AE62BD"/>
    <w:rsid w:val="00AE64B1"/>
    <w:rsid w:val="00AE659F"/>
    <w:rsid w:val="00AE67ED"/>
    <w:rsid w:val="00AE68A8"/>
    <w:rsid w:val="00AE6908"/>
    <w:rsid w:val="00AE6916"/>
    <w:rsid w:val="00AE69BD"/>
    <w:rsid w:val="00AE6A9A"/>
    <w:rsid w:val="00AE6B39"/>
    <w:rsid w:val="00AE6B48"/>
    <w:rsid w:val="00AE6B68"/>
    <w:rsid w:val="00AE6E58"/>
    <w:rsid w:val="00AE6E8A"/>
    <w:rsid w:val="00AE6EF9"/>
    <w:rsid w:val="00AE7057"/>
    <w:rsid w:val="00AE7105"/>
    <w:rsid w:val="00AE71E6"/>
    <w:rsid w:val="00AE75D9"/>
    <w:rsid w:val="00AE75E0"/>
    <w:rsid w:val="00AE7635"/>
    <w:rsid w:val="00AE7753"/>
    <w:rsid w:val="00AE7860"/>
    <w:rsid w:val="00AE79F0"/>
    <w:rsid w:val="00AE79F8"/>
    <w:rsid w:val="00AE79FB"/>
    <w:rsid w:val="00AE7A16"/>
    <w:rsid w:val="00AE7AA2"/>
    <w:rsid w:val="00AE7BB9"/>
    <w:rsid w:val="00AE7BDA"/>
    <w:rsid w:val="00AE7C3E"/>
    <w:rsid w:val="00AE7C44"/>
    <w:rsid w:val="00AE7C83"/>
    <w:rsid w:val="00AE7CB2"/>
    <w:rsid w:val="00AE7CD6"/>
    <w:rsid w:val="00AE7E1A"/>
    <w:rsid w:val="00AE7E25"/>
    <w:rsid w:val="00AE7E6D"/>
    <w:rsid w:val="00AE7F08"/>
    <w:rsid w:val="00AE7F0F"/>
    <w:rsid w:val="00AE7F8D"/>
    <w:rsid w:val="00AF01F6"/>
    <w:rsid w:val="00AF02F6"/>
    <w:rsid w:val="00AF0443"/>
    <w:rsid w:val="00AF04B7"/>
    <w:rsid w:val="00AF04D4"/>
    <w:rsid w:val="00AF05B3"/>
    <w:rsid w:val="00AF05B7"/>
    <w:rsid w:val="00AF05D1"/>
    <w:rsid w:val="00AF0687"/>
    <w:rsid w:val="00AF06FA"/>
    <w:rsid w:val="00AF076D"/>
    <w:rsid w:val="00AF07B2"/>
    <w:rsid w:val="00AF094A"/>
    <w:rsid w:val="00AF0972"/>
    <w:rsid w:val="00AF0A52"/>
    <w:rsid w:val="00AF0C9B"/>
    <w:rsid w:val="00AF0D6E"/>
    <w:rsid w:val="00AF0DA3"/>
    <w:rsid w:val="00AF0EA6"/>
    <w:rsid w:val="00AF10C6"/>
    <w:rsid w:val="00AF10F1"/>
    <w:rsid w:val="00AF1272"/>
    <w:rsid w:val="00AF13B3"/>
    <w:rsid w:val="00AF14A3"/>
    <w:rsid w:val="00AF1583"/>
    <w:rsid w:val="00AF158C"/>
    <w:rsid w:val="00AF16D1"/>
    <w:rsid w:val="00AF16FF"/>
    <w:rsid w:val="00AF191A"/>
    <w:rsid w:val="00AF196C"/>
    <w:rsid w:val="00AF1A26"/>
    <w:rsid w:val="00AF1B33"/>
    <w:rsid w:val="00AF1D3B"/>
    <w:rsid w:val="00AF1E06"/>
    <w:rsid w:val="00AF1F04"/>
    <w:rsid w:val="00AF20B3"/>
    <w:rsid w:val="00AF21A2"/>
    <w:rsid w:val="00AF21F3"/>
    <w:rsid w:val="00AF2204"/>
    <w:rsid w:val="00AF222E"/>
    <w:rsid w:val="00AF227A"/>
    <w:rsid w:val="00AF23AC"/>
    <w:rsid w:val="00AF24A1"/>
    <w:rsid w:val="00AF24A4"/>
    <w:rsid w:val="00AF2518"/>
    <w:rsid w:val="00AF25B9"/>
    <w:rsid w:val="00AF271D"/>
    <w:rsid w:val="00AF27B0"/>
    <w:rsid w:val="00AF29FE"/>
    <w:rsid w:val="00AF2B38"/>
    <w:rsid w:val="00AF2BA2"/>
    <w:rsid w:val="00AF2BD5"/>
    <w:rsid w:val="00AF2BDC"/>
    <w:rsid w:val="00AF2C52"/>
    <w:rsid w:val="00AF2C6F"/>
    <w:rsid w:val="00AF2D68"/>
    <w:rsid w:val="00AF2E30"/>
    <w:rsid w:val="00AF2ECF"/>
    <w:rsid w:val="00AF2F08"/>
    <w:rsid w:val="00AF2F4B"/>
    <w:rsid w:val="00AF30F2"/>
    <w:rsid w:val="00AF3130"/>
    <w:rsid w:val="00AF31A9"/>
    <w:rsid w:val="00AF3244"/>
    <w:rsid w:val="00AF329B"/>
    <w:rsid w:val="00AF3311"/>
    <w:rsid w:val="00AF34E7"/>
    <w:rsid w:val="00AF353C"/>
    <w:rsid w:val="00AF3747"/>
    <w:rsid w:val="00AF3835"/>
    <w:rsid w:val="00AF3C88"/>
    <w:rsid w:val="00AF3D33"/>
    <w:rsid w:val="00AF3E08"/>
    <w:rsid w:val="00AF3E16"/>
    <w:rsid w:val="00AF4018"/>
    <w:rsid w:val="00AF4027"/>
    <w:rsid w:val="00AF4134"/>
    <w:rsid w:val="00AF414E"/>
    <w:rsid w:val="00AF42BC"/>
    <w:rsid w:val="00AF4376"/>
    <w:rsid w:val="00AF4402"/>
    <w:rsid w:val="00AF4439"/>
    <w:rsid w:val="00AF44F5"/>
    <w:rsid w:val="00AF45E5"/>
    <w:rsid w:val="00AF462F"/>
    <w:rsid w:val="00AF4639"/>
    <w:rsid w:val="00AF4655"/>
    <w:rsid w:val="00AF4680"/>
    <w:rsid w:val="00AF46F7"/>
    <w:rsid w:val="00AF481B"/>
    <w:rsid w:val="00AF4853"/>
    <w:rsid w:val="00AF48DB"/>
    <w:rsid w:val="00AF4958"/>
    <w:rsid w:val="00AF49B2"/>
    <w:rsid w:val="00AF4A5B"/>
    <w:rsid w:val="00AF4BA1"/>
    <w:rsid w:val="00AF4C51"/>
    <w:rsid w:val="00AF4D6C"/>
    <w:rsid w:val="00AF4D72"/>
    <w:rsid w:val="00AF4DD8"/>
    <w:rsid w:val="00AF4E61"/>
    <w:rsid w:val="00AF4F2D"/>
    <w:rsid w:val="00AF514E"/>
    <w:rsid w:val="00AF516F"/>
    <w:rsid w:val="00AF519F"/>
    <w:rsid w:val="00AF5233"/>
    <w:rsid w:val="00AF5251"/>
    <w:rsid w:val="00AF529A"/>
    <w:rsid w:val="00AF530C"/>
    <w:rsid w:val="00AF5396"/>
    <w:rsid w:val="00AF5483"/>
    <w:rsid w:val="00AF550E"/>
    <w:rsid w:val="00AF56C6"/>
    <w:rsid w:val="00AF56F7"/>
    <w:rsid w:val="00AF5890"/>
    <w:rsid w:val="00AF58CF"/>
    <w:rsid w:val="00AF5929"/>
    <w:rsid w:val="00AF5960"/>
    <w:rsid w:val="00AF59A7"/>
    <w:rsid w:val="00AF5A3A"/>
    <w:rsid w:val="00AF5A99"/>
    <w:rsid w:val="00AF5B98"/>
    <w:rsid w:val="00AF5C19"/>
    <w:rsid w:val="00AF5ECF"/>
    <w:rsid w:val="00AF5F5F"/>
    <w:rsid w:val="00AF6312"/>
    <w:rsid w:val="00AF64C6"/>
    <w:rsid w:val="00AF655E"/>
    <w:rsid w:val="00AF65E2"/>
    <w:rsid w:val="00AF667E"/>
    <w:rsid w:val="00AF66D0"/>
    <w:rsid w:val="00AF66F2"/>
    <w:rsid w:val="00AF67CE"/>
    <w:rsid w:val="00AF684F"/>
    <w:rsid w:val="00AF685E"/>
    <w:rsid w:val="00AF68C3"/>
    <w:rsid w:val="00AF6903"/>
    <w:rsid w:val="00AF698B"/>
    <w:rsid w:val="00AF6A09"/>
    <w:rsid w:val="00AF6A18"/>
    <w:rsid w:val="00AF6A4D"/>
    <w:rsid w:val="00AF6A87"/>
    <w:rsid w:val="00AF6AD4"/>
    <w:rsid w:val="00AF6C07"/>
    <w:rsid w:val="00AF6CAC"/>
    <w:rsid w:val="00AF6CCB"/>
    <w:rsid w:val="00AF6CED"/>
    <w:rsid w:val="00AF6FA3"/>
    <w:rsid w:val="00AF719F"/>
    <w:rsid w:val="00AF71E1"/>
    <w:rsid w:val="00AF728F"/>
    <w:rsid w:val="00AF7504"/>
    <w:rsid w:val="00AF750F"/>
    <w:rsid w:val="00AF766C"/>
    <w:rsid w:val="00AF767E"/>
    <w:rsid w:val="00AF76AF"/>
    <w:rsid w:val="00AF7930"/>
    <w:rsid w:val="00AF7A9B"/>
    <w:rsid w:val="00AF7ACE"/>
    <w:rsid w:val="00AF7B9B"/>
    <w:rsid w:val="00AF7BDE"/>
    <w:rsid w:val="00AF7D7A"/>
    <w:rsid w:val="00AF7E0E"/>
    <w:rsid w:val="00AF7E9E"/>
    <w:rsid w:val="00AF7F83"/>
    <w:rsid w:val="00AF7F96"/>
    <w:rsid w:val="00B00153"/>
    <w:rsid w:val="00B002FD"/>
    <w:rsid w:val="00B0048F"/>
    <w:rsid w:val="00B004EF"/>
    <w:rsid w:val="00B00525"/>
    <w:rsid w:val="00B00555"/>
    <w:rsid w:val="00B005DA"/>
    <w:rsid w:val="00B00669"/>
    <w:rsid w:val="00B0078F"/>
    <w:rsid w:val="00B00815"/>
    <w:rsid w:val="00B0090B"/>
    <w:rsid w:val="00B00917"/>
    <w:rsid w:val="00B00945"/>
    <w:rsid w:val="00B009B1"/>
    <w:rsid w:val="00B00C28"/>
    <w:rsid w:val="00B00C31"/>
    <w:rsid w:val="00B00E5D"/>
    <w:rsid w:val="00B00E6D"/>
    <w:rsid w:val="00B00F10"/>
    <w:rsid w:val="00B00FA6"/>
    <w:rsid w:val="00B0103F"/>
    <w:rsid w:val="00B0106A"/>
    <w:rsid w:val="00B010F9"/>
    <w:rsid w:val="00B0125C"/>
    <w:rsid w:val="00B01309"/>
    <w:rsid w:val="00B01398"/>
    <w:rsid w:val="00B0159A"/>
    <w:rsid w:val="00B015AC"/>
    <w:rsid w:val="00B0163E"/>
    <w:rsid w:val="00B018A1"/>
    <w:rsid w:val="00B0198F"/>
    <w:rsid w:val="00B019B1"/>
    <w:rsid w:val="00B01A2A"/>
    <w:rsid w:val="00B01B95"/>
    <w:rsid w:val="00B01B9D"/>
    <w:rsid w:val="00B01BA1"/>
    <w:rsid w:val="00B01CD7"/>
    <w:rsid w:val="00B01DB9"/>
    <w:rsid w:val="00B01E8B"/>
    <w:rsid w:val="00B01EF5"/>
    <w:rsid w:val="00B01F79"/>
    <w:rsid w:val="00B01FBD"/>
    <w:rsid w:val="00B01FC5"/>
    <w:rsid w:val="00B0201D"/>
    <w:rsid w:val="00B02052"/>
    <w:rsid w:val="00B0205E"/>
    <w:rsid w:val="00B0213D"/>
    <w:rsid w:val="00B022C0"/>
    <w:rsid w:val="00B0235A"/>
    <w:rsid w:val="00B0237B"/>
    <w:rsid w:val="00B023BB"/>
    <w:rsid w:val="00B023E2"/>
    <w:rsid w:val="00B02492"/>
    <w:rsid w:val="00B024D6"/>
    <w:rsid w:val="00B02540"/>
    <w:rsid w:val="00B02693"/>
    <w:rsid w:val="00B02702"/>
    <w:rsid w:val="00B028A0"/>
    <w:rsid w:val="00B028D9"/>
    <w:rsid w:val="00B02A42"/>
    <w:rsid w:val="00B02A99"/>
    <w:rsid w:val="00B02AB1"/>
    <w:rsid w:val="00B02B12"/>
    <w:rsid w:val="00B02B95"/>
    <w:rsid w:val="00B02C3D"/>
    <w:rsid w:val="00B02C71"/>
    <w:rsid w:val="00B02FDC"/>
    <w:rsid w:val="00B02FE7"/>
    <w:rsid w:val="00B030DA"/>
    <w:rsid w:val="00B030F7"/>
    <w:rsid w:val="00B032F6"/>
    <w:rsid w:val="00B03381"/>
    <w:rsid w:val="00B035B1"/>
    <w:rsid w:val="00B03670"/>
    <w:rsid w:val="00B0370D"/>
    <w:rsid w:val="00B0394C"/>
    <w:rsid w:val="00B03963"/>
    <w:rsid w:val="00B03A54"/>
    <w:rsid w:val="00B03B9D"/>
    <w:rsid w:val="00B03D45"/>
    <w:rsid w:val="00B03D5B"/>
    <w:rsid w:val="00B03FBF"/>
    <w:rsid w:val="00B04029"/>
    <w:rsid w:val="00B041FC"/>
    <w:rsid w:val="00B044F6"/>
    <w:rsid w:val="00B0465A"/>
    <w:rsid w:val="00B04741"/>
    <w:rsid w:val="00B04882"/>
    <w:rsid w:val="00B048C5"/>
    <w:rsid w:val="00B04B2A"/>
    <w:rsid w:val="00B04B2D"/>
    <w:rsid w:val="00B04B5A"/>
    <w:rsid w:val="00B04B84"/>
    <w:rsid w:val="00B04C98"/>
    <w:rsid w:val="00B04D3E"/>
    <w:rsid w:val="00B04E8B"/>
    <w:rsid w:val="00B04FA4"/>
    <w:rsid w:val="00B04FF9"/>
    <w:rsid w:val="00B05067"/>
    <w:rsid w:val="00B05303"/>
    <w:rsid w:val="00B05322"/>
    <w:rsid w:val="00B05366"/>
    <w:rsid w:val="00B05405"/>
    <w:rsid w:val="00B05493"/>
    <w:rsid w:val="00B055B6"/>
    <w:rsid w:val="00B057B3"/>
    <w:rsid w:val="00B0583C"/>
    <w:rsid w:val="00B058C7"/>
    <w:rsid w:val="00B05951"/>
    <w:rsid w:val="00B0595F"/>
    <w:rsid w:val="00B05A1F"/>
    <w:rsid w:val="00B05A9E"/>
    <w:rsid w:val="00B05B86"/>
    <w:rsid w:val="00B05BF4"/>
    <w:rsid w:val="00B05C11"/>
    <w:rsid w:val="00B05D6D"/>
    <w:rsid w:val="00B05E14"/>
    <w:rsid w:val="00B05E21"/>
    <w:rsid w:val="00B05E27"/>
    <w:rsid w:val="00B05E5D"/>
    <w:rsid w:val="00B05E93"/>
    <w:rsid w:val="00B05E9A"/>
    <w:rsid w:val="00B05F28"/>
    <w:rsid w:val="00B05FDE"/>
    <w:rsid w:val="00B06009"/>
    <w:rsid w:val="00B0606A"/>
    <w:rsid w:val="00B060EF"/>
    <w:rsid w:val="00B062FD"/>
    <w:rsid w:val="00B06317"/>
    <w:rsid w:val="00B06423"/>
    <w:rsid w:val="00B06433"/>
    <w:rsid w:val="00B06453"/>
    <w:rsid w:val="00B06538"/>
    <w:rsid w:val="00B06641"/>
    <w:rsid w:val="00B0684E"/>
    <w:rsid w:val="00B0686C"/>
    <w:rsid w:val="00B068F0"/>
    <w:rsid w:val="00B069FD"/>
    <w:rsid w:val="00B06AE9"/>
    <w:rsid w:val="00B06B20"/>
    <w:rsid w:val="00B06B42"/>
    <w:rsid w:val="00B06C6C"/>
    <w:rsid w:val="00B06D86"/>
    <w:rsid w:val="00B06DD0"/>
    <w:rsid w:val="00B06E25"/>
    <w:rsid w:val="00B070E9"/>
    <w:rsid w:val="00B0730B"/>
    <w:rsid w:val="00B0736D"/>
    <w:rsid w:val="00B07477"/>
    <w:rsid w:val="00B0754B"/>
    <w:rsid w:val="00B07704"/>
    <w:rsid w:val="00B07ACA"/>
    <w:rsid w:val="00B07B01"/>
    <w:rsid w:val="00B07BF0"/>
    <w:rsid w:val="00B07C21"/>
    <w:rsid w:val="00B07C86"/>
    <w:rsid w:val="00B07CC4"/>
    <w:rsid w:val="00B07D77"/>
    <w:rsid w:val="00B07D87"/>
    <w:rsid w:val="00B07DA0"/>
    <w:rsid w:val="00B07E07"/>
    <w:rsid w:val="00B07E45"/>
    <w:rsid w:val="00B07F72"/>
    <w:rsid w:val="00B07FE2"/>
    <w:rsid w:val="00B10069"/>
    <w:rsid w:val="00B10156"/>
    <w:rsid w:val="00B10198"/>
    <w:rsid w:val="00B10337"/>
    <w:rsid w:val="00B103CB"/>
    <w:rsid w:val="00B10410"/>
    <w:rsid w:val="00B1042E"/>
    <w:rsid w:val="00B10600"/>
    <w:rsid w:val="00B10611"/>
    <w:rsid w:val="00B10713"/>
    <w:rsid w:val="00B1078C"/>
    <w:rsid w:val="00B108D3"/>
    <w:rsid w:val="00B10B3B"/>
    <w:rsid w:val="00B10BB5"/>
    <w:rsid w:val="00B10C9E"/>
    <w:rsid w:val="00B10DE5"/>
    <w:rsid w:val="00B10DEC"/>
    <w:rsid w:val="00B10EDA"/>
    <w:rsid w:val="00B10F43"/>
    <w:rsid w:val="00B10FA4"/>
    <w:rsid w:val="00B110A1"/>
    <w:rsid w:val="00B11117"/>
    <w:rsid w:val="00B11173"/>
    <w:rsid w:val="00B111D7"/>
    <w:rsid w:val="00B11420"/>
    <w:rsid w:val="00B114C2"/>
    <w:rsid w:val="00B115E9"/>
    <w:rsid w:val="00B11670"/>
    <w:rsid w:val="00B117AD"/>
    <w:rsid w:val="00B117BE"/>
    <w:rsid w:val="00B117EB"/>
    <w:rsid w:val="00B117F7"/>
    <w:rsid w:val="00B11866"/>
    <w:rsid w:val="00B119C5"/>
    <w:rsid w:val="00B11A8F"/>
    <w:rsid w:val="00B11B5B"/>
    <w:rsid w:val="00B11BBA"/>
    <w:rsid w:val="00B11C70"/>
    <w:rsid w:val="00B11F50"/>
    <w:rsid w:val="00B11FD2"/>
    <w:rsid w:val="00B1207D"/>
    <w:rsid w:val="00B12321"/>
    <w:rsid w:val="00B1246C"/>
    <w:rsid w:val="00B1247E"/>
    <w:rsid w:val="00B12586"/>
    <w:rsid w:val="00B12627"/>
    <w:rsid w:val="00B12828"/>
    <w:rsid w:val="00B1285C"/>
    <w:rsid w:val="00B128A7"/>
    <w:rsid w:val="00B12A00"/>
    <w:rsid w:val="00B12ABF"/>
    <w:rsid w:val="00B12B65"/>
    <w:rsid w:val="00B12B83"/>
    <w:rsid w:val="00B12B9B"/>
    <w:rsid w:val="00B12C15"/>
    <w:rsid w:val="00B12C62"/>
    <w:rsid w:val="00B12C69"/>
    <w:rsid w:val="00B12DE8"/>
    <w:rsid w:val="00B130AB"/>
    <w:rsid w:val="00B13101"/>
    <w:rsid w:val="00B1319F"/>
    <w:rsid w:val="00B131A6"/>
    <w:rsid w:val="00B133BF"/>
    <w:rsid w:val="00B133FB"/>
    <w:rsid w:val="00B13448"/>
    <w:rsid w:val="00B134B1"/>
    <w:rsid w:val="00B134FB"/>
    <w:rsid w:val="00B1351C"/>
    <w:rsid w:val="00B1363F"/>
    <w:rsid w:val="00B1369B"/>
    <w:rsid w:val="00B1379C"/>
    <w:rsid w:val="00B137CE"/>
    <w:rsid w:val="00B13859"/>
    <w:rsid w:val="00B13875"/>
    <w:rsid w:val="00B1396D"/>
    <w:rsid w:val="00B139C3"/>
    <w:rsid w:val="00B13A51"/>
    <w:rsid w:val="00B13A60"/>
    <w:rsid w:val="00B13A62"/>
    <w:rsid w:val="00B13B2F"/>
    <w:rsid w:val="00B13BB0"/>
    <w:rsid w:val="00B13CE1"/>
    <w:rsid w:val="00B13CFC"/>
    <w:rsid w:val="00B13D6B"/>
    <w:rsid w:val="00B13D73"/>
    <w:rsid w:val="00B13E46"/>
    <w:rsid w:val="00B13EC7"/>
    <w:rsid w:val="00B14047"/>
    <w:rsid w:val="00B140F9"/>
    <w:rsid w:val="00B14181"/>
    <w:rsid w:val="00B1418C"/>
    <w:rsid w:val="00B141A3"/>
    <w:rsid w:val="00B1423C"/>
    <w:rsid w:val="00B14363"/>
    <w:rsid w:val="00B144F8"/>
    <w:rsid w:val="00B145E6"/>
    <w:rsid w:val="00B1462E"/>
    <w:rsid w:val="00B14683"/>
    <w:rsid w:val="00B146C7"/>
    <w:rsid w:val="00B14735"/>
    <w:rsid w:val="00B147B7"/>
    <w:rsid w:val="00B14808"/>
    <w:rsid w:val="00B14875"/>
    <w:rsid w:val="00B149D7"/>
    <w:rsid w:val="00B14A00"/>
    <w:rsid w:val="00B14B8F"/>
    <w:rsid w:val="00B14B99"/>
    <w:rsid w:val="00B14C66"/>
    <w:rsid w:val="00B14CEE"/>
    <w:rsid w:val="00B14D42"/>
    <w:rsid w:val="00B15148"/>
    <w:rsid w:val="00B1517D"/>
    <w:rsid w:val="00B15182"/>
    <w:rsid w:val="00B1526B"/>
    <w:rsid w:val="00B15367"/>
    <w:rsid w:val="00B153B4"/>
    <w:rsid w:val="00B154F7"/>
    <w:rsid w:val="00B155EE"/>
    <w:rsid w:val="00B1577A"/>
    <w:rsid w:val="00B157E6"/>
    <w:rsid w:val="00B15941"/>
    <w:rsid w:val="00B15CAA"/>
    <w:rsid w:val="00B15D7A"/>
    <w:rsid w:val="00B15E23"/>
    <w:rsid w:val="00B15FB2"/>
    <w:rsid w:val="00B16338"/>
    <w:rsid w:val="00B164E5"/>
    <w:rsid w:val="00B16598"/>
    <w:rsid w:val="00B165ED"/>
    <w:rsid w:val="00B166CC"/>
    <w:rsid w:val="00B16731"/>
    <w:rsid w:val="00B16772"/>
    <w:rsid w:val="00B16803"/>
    <w:rsid w:val="00B168E4"/>
    <w:rsid w:val="00B16937"/>
    <w:rsid w:val="00B169ED"/>
    <w:rsid w:val="00B16B3B"/>
    <w:rsid w:val="00B16CAB"/>
    <w:rsid w:val="00B16D63"/>
    <w:rsid w:val="00B16E34"/>
    <w:rsid w:val="00B16EAC"/>
    <w:rsid w:val="00B16ED1"/>
    <w:rsid w:val="00B171AE"/>
    <w:rsid w:val="00B17233"/>
    <w:rsid w:val="00B17249"/>
    <w:rsid w:val="00B172BA"/>
    <w:rsid w:val="00B172D7"/>
    <w:rsid w:val="00B173BC"/>
    <w:rsid w:val="00B17434"/>
    <w:rsid w:val="00B17584"/>
    <w:rsid w:val="00B17585"/>
    <w:rsid w:val="00B1762C"/>
    <w:rsid w:val="00B1764A"/>
    <w:rsid w:val="00B17659"/>
    <w:rsid w:val="00B178D9"/>
    <w:rsid w:val="00B179E8"/>
    <w:rsid w:val="00B179EC"/>
    <w:rsid w:val="00B17A7C"/>
    <w:rsid w:val="00B17C5F"/>
    <w:rsid w:val="00B17D3F"/>
    <w:rsid w:val="00B17E5A"/>
    <w:rsid w:val="00B17E8A"/>
    <w:rsid w:val="00B17F76"/>
    <w:rsid w:val="00B17FB2"/>
    <w:rsid w:val="00B200B7"/>
    <w:rsid w:val="00B200F6"/>
    <w:rsid w:val="00B2010C"/>
    <w:rsid w:val="00B20173"/>
    <w:rsid w:val="00B2029E"/>
    <w:rsid w:val="00B202F6"/>
    <w:rsid w:val="00B202F8"/>
    <w:rsid w:val="00B20361"/>
    <w:rsid w:val="00B20585"/>
    <w:rsid w:val="00B205BE"/>
    <w:rsid w:val="00B206D8"/>
    <w:rsid w:val="00B20A1D"/>
    <w:rsid w:val="00B20ADD"/>
    <w:rsid w:val="00B20AF6"/>
    <w:rsid w:val="00B20B31"/>
    <w:rsid w:val="00B20DED"/>
    <w:rsid w:val="00B20DF6"/>
    <w:rsid w:val="00B20E0E"/>
    <w:rsid w:val="00B20E40"/>
    <w:rsid w:val="00B210C2"/>
    <w:rsid w:val="00B211FB"/>
    <w:rsid w:val="00B2121D"/>
    <w:rsid w:val="00B2124D"/>
    <w:rsid w:val="00B213B5"/>
    <w:rsid w:val="00B214B5"/>
    <w:rsid w:val="00B214C9"/>
    <w:rsid w:val="00B21526"/>
    <w:rsid w:val="00B215E6"/>
    <w:rsid w:val="00B21772"/>
    <w:rsid w:val="00B217FD"/>
    <w:rsid w:val="00B21916"/>
    <w:rsid w:val="00B21A1C"/>
    <w:rsid w:val="00B21C36"/>
    <w:rsid w:val="00B21C9B"/>
    <w:rsid w:val="00B21CD1"/>
    <w:rsid w:val="00B21D76"/>
    <w:rsid w:val="00B21DEB"/>
    <w:rsid w:val="00B21E3A"/>
    <w:rsid w:val="00B21E4A"/>
    <w:rsid w:val="00B22068"/>
    <w:rsid w:val="00B221DF"/>
    <w:rsid w:val="00B2236A"/>
    <w:rsid w:val="00B2237E"/>
    <w:rsid w:val="00B223F0"/>
    <w:rsid w:val="00B22437"/>
    <w:rsid w:val="00B22482"/>
    <w:rsid w:val="00B2248F"/>
    <w:rsid w:val="00B224C7"/>
    <w:rsid w:val="00B224DB"/>
    <w:rsid w:val="00B226ED"/>
    <w:rsid w:val="00B22722"/>
    <w:rsid w:val="00B2275A"/>
    <w:rsid w:val="00B22ADA"/>
    <w:rsid w:val="00B22BC7"/>
    <w:rsid w:val="00B22BEF"/>
    <w:rsid w:val="00B230FC"/>
    <w:rsid w:val="00B23185"/>
    <w:rsid w:val="00B2332A"/>
    <w:rsid w:val="00B233A3"/>
    <w:rsid w:val="00B233BB"/>
    <w:rsid w:val="00B235B0"/>
    <w:rsid w:val="00B23694"/>
    <w:rsid w:val="00B2375D"/>
    <w:rsid w:val="00B237C7"/>
    <w:rsid w:val="00B23906"/>
    <w:rsid w:val="00B23AB6"/>
    <w:rsid w:val="00B23AE6"/>
    <w:rsid w:val="00B23C17"/>
    <w:rsid w:val="00B23CAC"/>
    <w:rsid w:val="00B23E59"/>
    <w:rsid w:val="00B23E94"/>
    <w:rsid w:val="00B23EDE"/>
    <w:rsid w:val="00B23F33"/>
    <w:rsid w:val="00B23FB9"/>
    <w:rsid w:val="00B2402C"/>
    <w:rsid w:val="00B2407E"/>
    <w:rsid w:val="00B24126"/>
    <w:rsid w:val="00B2419D"/>
    <w:rsid w:val="00B241EC"/>
    <w:rsid w:val="00B2422F"/>
    <w:rsid w:val="00B242D2"/>
    <w:rsid w:val="00B242F3"/>
    <w:rsid w:val="00B2444D"/>
    <w:rsid w:val="00B245CD"/>
    <w:rsid w:val="00B24617"/>
    <w:rsid w:val="00B24662"/>
    <w:rsid w:val="00B24801"/>
    <w:rsid w:val="00B248D2"/>
    <w:rsid w:val="00B24A09"/>
    <w:rsid w:val="00B24A2C"/>
    <w:rsid w:val="00B24CCF"/>
    <w:rsid w:val="00B24DEE"/>
    <w:rsid w:val="00B25011"/>
    <w:rsid w:val="00B25062"/>
    <w:rsid w:val="00B25199"/>
    <w:rsid w:val="00B251DE"/>
    <w:rsid w:val="00B25232"/>
    <w:rsid w:val="00B252EA"/>
    <w:rsid w:val="00B25321"/>
    <w:rsid w:val="00B253E8"/>
    <w:rsid w:val="00B2541F"/>
    <w:rsid w:val="00B2553B"/>
    <w:rsid w:val="00B25674"/>
    <w:rsid w:val="00B259C4"/>
    <w:rsid w:val="00B25A0D"/>
    <w:rsid w:val="00B25A73"/>
    <w:rsid w:val="00B25A94"/>
    <w:rsid w:val="00B25DB8"/>
    <w:rsid w:val="00B25E4F"/>
    <w:rsid w:val="00B25EFD"/>
    <w:rsid w:val="00B25F43"/>
    <w:rsid w:val="00B25FFC"/>
    <w:rsid w:val="00B26067"/>
    <w:rsid w:val="00B26339"/>
    <w:rsid w:val="00B264D1"/>
    <w:rsid w:val="00B265A3"/>
    <w:rsid w:val="00B266A8"/>
    <w:rsid w:val="00B26839"/>
    <w:rsid w:val="00B26930"/>
    <w:rsid w:val="00B2694B"/>
    <w:rsid w:val="00B26A5E"/>
    <w:rsid w:val="00B26A66"/>
    <w:rsid w:val="00B26AAA"/>
    <w:rsid w:val="00B26D81"/>
    <w:rsid w:val="00B26DCA"/>
    <w:rsid w:val="00B26EC3"/>
    <w:rsid w:val="00B26EFF"/>
    <w:rsid w:val="00B26F0C"/>
    <w:rsid w:val="00B26FD0"/>
    <w:rsid w:val="00B26FE5"/>
    <w:rsid w:val="00B27062"/>
    <w:rsid w:val="00B27084"/>
    <w:rsid w:val="00B27099"/>
    <w:rsid w:val="00B271A9"/>
    <w:rsid w:val="00B2728E"/>
    <w:rsid w:val="00B272BB"/>
    <w:rsid w:val="00B272CC"/>
    <w:rsid w:val="00B273A7"/>
    <w:rsid w:val="00B274E4"/>
    <w:rsid w:val="00B274F9"/>
    <w:rsid w:val="00B27538"/>
    <w:rsid w:val="00B27551"/>
    <w:rsid w:val="00B2755D"/>
    <w:rsid w:val="00B2759F"/>
    <w:rsid w:val="00B27810"/>
    <w:rsid w:val="00B27877"/>
    <w:rsid w:val="00B27883"/>
    <w:rsid w:val="00B2789F"/>
    <w:rsid w:val="00B279C0"/>
    <w:rsid w:val="00B279DE"/>
    <w:rsid w:val="00B27A64"/>
    <w:rsid w:val="00B27A72"/>
    <w:rsid w:val="00B27AA8"/>
    <w:rsid w:val="00B27ADF"/>
    <w:rsid w:val="00B27B06"/>
    <w:rsid w:val="00B27B07"/>
    <w:rsid w:val="00B27CC0"/>
    <w:rsid w:val="00B27E3A"/>
    <w:rsid w:val="00B27F61"/>
    <w:rsid w:val="00B27FB7"/>
    <w:rsid w:val="00B30058"/>
    <w:rsid w:val="00B300E0"/>
    <w:rsid w:val="00B3041C"/>
    <w:rsid w:val="00B30472"/>
    <w:rsid w:val="00B3055C"/>
    <w:rsid w:val="00B3063A"/>
    <w:rsid w:val="00B306C7"/>
    <w:rsid w:val="00B306E9"/>
    <w:rsid w:val="00B3084A"/>
    <w:rsid w:val="00B309AD"/>
    <w:rsid w:val="00B309B0"/>
    <w:rsid w:val="00B30C6A"/>
    <w:rsid w:val="00B30CE5"/>
    <w:rsid w:val="00B30D3E"/>
    <w:rsid w:val="00B311B2"/>
    <w:rsid w:val="00B3128A"/>
    <w:rsid w:val="00B31375"/>
    <w:rsid w:val="00B31415"/>
    <w:rsid w:val="00B315CC"/>
    <w:rsid w:val="00B3160F"/>
    <w:rsid w:val="00B3181F"/>
    <w:rsid w:val="00B31969"/>
    <w:rsid w:val="00B31A33"/>
    <w:rsid w:val="00B31B84"/>
    <w:rsid w:val="00B31C46"/>
    <w:rsid w:val="00B31CA5"/>
    <w:rsid w:val="00B31E6A"/>
    <w:rsid w:val="00B31F2F"/>
    <w:rsid w:val="00B31F4A"/>
    <w:rsid w:val="00B32182"/>
    <w:rsid w:val="00B321EC"/>
    <w:rsid w:val="00B323DD"/>
    <w:rsid w:val="00B32411"/>
    <w:rsid w:val="00B3245A"/>
    <w:rsid w:val="00B32495"/>
    <w:rsid w:val="00B32509"/>
    <w:rsid w:val="00B3271E"/>
    <w:rsid w:val="00B3280B"/>
    <w:rsid w:val="00B32819"/>
    <w:rsid w:val="00B32889"/>
    <w:rsid w:val="00B32A62"/>
    <w:rsid w:val="00B32A87"/>
    <w:rsid w:val="00B32B0B"/>
    <w:rsid w:val="00B32B6A"/>
    <w:rsid w:val="00B32B73"/>
    <w:rsid w:val="00B32BC5"/>
    <w:rsid w:val="00B32BC7"/>
    <w:rsid w:val="00B32C2F"/>
    <w:rsid w:val="00B32C32"/>
    <w:rsid w:val="00B32C7C"/>
    <w:rsid w:val="00B32CF2"/>
    <w:rsid w:val="00B32E99"/>
    <w:rsid w:val="00B32EF5"/>
    <w:rsid w:val="00B32F07"/>
    <w:rsid w:val="00B33126"/>
    <w:rsid w:val="00B331B3"/>
    <w:rsid w:val="00B331B8"/>
    <w:rsid w:val="00B333FE"/>
    <w:rsid w:val="00B33401"/>
    <w:rsid w:val="00B33489"/>
    <w:rsid w:val="00B334A1"/>
    <w:rsid w:val="00B3363F"/>
    <w:rsid w:val="00B336F7"/>
    <w:rsid w:val="00B33762"/>
    <w:rsid w:val="00B3378C"/>
    <w:rsid w:val="00B337BE"/>
    <w:rsid w:val="00B337C5"/>
    <w:rsid w:val="00B338AF"/>
    <w:rsid w:val="00B3397D"/>
    <w:rsid w:val="00B33A12"/>
    <w:rsid w:val="00B33BB7"/>
    <w:rsid w:val="00B33C64"/>
    <w:rsid w:val="00B33D6D"/>
    <w:rsid w:val="00B33EDA"/>
    <w:rsid w:val="00B3400F"/>
    <w:rsid w:val="00B340A9"/>
    <w:rsid w:val="00B341C9"/>
    <w:rsid w:val="00B3436B"/>
    <w:rsid w:val="00B343ED"/>
    <w:rsid w:val="00B34577"/>
    <w:rsid w:val="00B3466B"/>
    <w:rsid w:val="00B346B2"/>
    <w:rsid w:val="00B34819"/>
    <w:rsid w:val="00B349E3"/>
    <w:rsid w:val="00B34A43"/>
    <w:rsid w:val="00B34BC6"/>
    <w:rsid w:val="00B34DBE"/>
    <w:rsid w:val="00B34E5B"/>
    <w:rsid w:val="00B34ECB"/>
    <w:rsid w:val="00B34FA4"/>
    <w:rsid w:val="00B350E7"/>
    <w:rsid w:val="00B35109"/>
    <w:rsid w:val="00B3511C"/>
    <w:rsid w:val="00B3536B"/>
    <w:rsid w:val="00B35452"/>
    <w:rsid w:val="00B3548C"/>
    <w:rsid w:val="00B35538"/>
    <w:rsid w:val="00B35556"/>
    <w:rsid w:val="00B35813"/>
    <w:rsid w:val="00B35850"/>
    <w:rsid w:val="00B358C5"/>
    <w:rsid w:val="00B35A5D"/>
    <w:rsid w:val="00B35A73"/>
    <w:rsid w:val="00B35A86"/>
    <w:rsid w:val="00B35ACB"/>
    <w:rsid w:val="00B35B5D"/>
    <w:rsid w:val="00B35BFD"/>
    <w:rsid w:val="00B35C6F"/>
    <w:rsid w:val="00B35D2F"/>
    <w:rsid w:val="00B35EEC"/>
    <w:rsid w:val="00B35F17"/>
    <w:rsid w:val="00B35F77"/>
    <w:rsid w:val="00B35FA8"/>
    <w:rsid w:val="00B35FC0"/>
    <w:rsid w:val="00B360BF"/>
    <w:rsid w:val="00B360DC"/>
    <w:rsid w:val="00B360EE"/>
    <w:rsid w:val="00B36344"/>
    <w:rsid w:val="00B36368"/>
    <w:rsid w:val="00B36485"/>
    <w:rsid w:val="00B365AD"/>
    <w:rsid w:val="00B365C7"/>
    <w:rsid w:val="00B3666E"/>
    <w:rsid w:val="00B367FE"/>
    <w:rsid w:val="00B368A0"/>
    <w:rsid w:val="00B368DB"/>
    <w:rsid w:val="00B36942"/>
    <w:rsid w:val="00B369B2"/>
    <w:rsid w:val="00B369DB"/>
    <w:rsid w:val="00B369DF"/>
    <w:rsid w:val="00B36D85"/>
    <w:rsid w:val="00B36EC4"/>
    <w:rsid w:val="00B37002"/>
    <w:rsid w:val="00B37178"/>
    <w:rsid w:val="00B371B1"/>
    <w:rsid w:val="00B371DB"/>
    <w:rsid w:val="00B37215"/>
    <w:rsid w:val="00B372DF"/>
    <w:rsid w:val="00B373D3"/>
    <w:rsid w:val="00B37532"/>
    <w:rsid w:val="00B3761B"/>
    <w:rsid w:val="00B376AF"/>
    <w:rsid w:val="00B37739"/>
    <w:rsid w:val="00B3774B"/>
    <w:rsid w:val="00B378CF"/>
    <w:rsid w:val="00B37A3A"/>
    <w:rsid w:val="00B37A4E"/>
    <w:rsid w:val="00B37CCB"/>
    <w:rsid w:val="00B40015"/>
    <w:rsid w:val="00B40179"/>
    <w:rsid w:val="00B40245"/>
    <w:rsid w:val="00B402E0"/>
    <w:rsid w:val="00B40328"/>
    <w:rsid w:val="00B40364"/>
    <w:rsid w:val="00B40610"/>
    <w:rsid w:val="00B4096D"/>
    <w:rsid w:val="00B4097C"/>
    <w:rsid w:val="00B40994"/>
    <w:rsid w:val="00B40AC8"/>
    <w:rsid w:val="00B40B0C"/>
    <w:rsid w:val="00B40CCD"/>
    <w:rsid w:val="00B40DE9"/>
    <w:rsid w:val="00B40E06"/>
    <w:rsid w:val="00B40E69"/>
    <w:rsid w:val="00B40EBE"/>
    <w:rsid w:val="00B40F14"/>
    <w:rsid w:val="00B40F41"/>
    <w:rsid w:val="00B41054"/>
    <w:rsid w:val="00B41086"/>
    <w:rsid w:val="00B4116F"/>
    <w:rsid w:val="00B41207"/>
    <w:rsid w:val="00B41315"/>
    <w:rsid w:val="00B41375"/>
    <w:rsid w:val="00B4158A"/>
    <w:rsid w:val="00B41843"/>
    <w:rsid w:val="00B41886"/>
    <w:rsid w:val="00B418D9"/>
    <w:rsid w:val="00B41A1C"/>
    <w:rsid w:val="00B41A65"/>
    <w:rsid w:val="00B41A92"/>
    <w:rsid w:val="00B41B30"/>
    <w:rsid w:val="00B41BBB"/>
    <w:rsid w:val="00B41C85"/>
    <w:rsid w:val="00B41DBC"/>
    <w:rsid w:val="00B41E20"/>
    <w:rsid w:val="00B41E37"/>
    <w:rsid w:val="00B4219A"/>
    <w:rsid w:val="00B4220E"/>
    <w:rsid w:val="00B42211"/>
    <w:rsid w:val="00B422D7"/>
    <w:rsid w:val="00B42424"/>
    <w:rsid w:val="00B42605"/>
    <w:rsid w:val="00B426AA"/>
    <w:rsid w:val="00B42860"/>
    <w:rsid w:val="00B42978"/>
    <w:rsid w:val="00B42A4C"/>
    <w:rsid w:val="00B42AD3"/>
    <w:rsid w:val="00B42D79"/>
    <w:rsid w:val="00B42FAC"/>
    <w:rsid w:val="00B43005"/>
    <w:rsid w:val="00B43046"/>
    <w:rsid w:val="00B4331D"/>
    <w:rsid w:val="00B4331F"/>
    <w:rsid w:val="00B43354"/>
    <w:rsid w:val="00B4339E"/>
    <w:rsid w:val="00B434D2"/>
    <w:rsid w:val="00B4356A"/>
    <w:rsid w:val="00B4361B"/>
    <w:rsid w:val="00B4367F"/>
    <w:rsid w:val="00B43696"/>
    <w:rsid w:val="00B436BD"/>
    <w:rsid w:val="00B43895"/>
    <w:rsid w:val="00B438C4"/>
    <w:rsid w:val="00B43A32"/>
    <w:rsid w:val="00B43ADB"/>
    <w:rsid w:val="00B43CD8"/>
    <w:rsid w:val="00B43D38"/>
    <w:rsid w:val="00B43ED2"/>
    <w:rsid w:val="00B43EE9"/>
    <w:rsid w:val="00B43EEB"/>
    <w:rsid w:val="00B4408A"/>
    <w:rsid w:val="00B44155"/>
    <w:rsid w:val="00B443C1"/>
    <w:rsid w:val="00B4440B"/>
    <w:rsid w:val="00B446C7"/>
    <w:rsid w:val="00B44939"/>
    <w:rsid w:val="00B44A44"/>
    <w:rsid w:val="00B44B9A"/>
    <w:rsid w:val="00B44CC7"/>
    <w:rsid w:val="00B44CED"/>
    <w:rsid w:val="00B44D2D"/>
    <w:rsid w:val="00B44D34"/>
    <w:rsid w:val="00B44D60"/>
    <w:rsid w:val="00B44E11"/>
    <w:rsid w:val="00B45147"/>
    <w:rsid w:val="00B45176"/>
    <w:rsid w:val="00B4518F"/>
    <w:rsid w:val="00B45237"/>
    <w:rsid w:val="00B45242"/>
    <w:rsid w:val="00B4534A"/>
    <w:rsid w:val="00B45354"/>
    <w:rsid w:val="00B4537B"/>
    <w:rsid w:val="00B45404"/>
    <w:rsid w:val="00B45465"/>
    <w:rsid w:val="00B45563"/>
    <w:rsid w:val="00B455C1"/>
    <w:rsid w:val="00B4560D"/>
    <w:rsid w:val="00B45654"/>
    <w:rsid w:val="00B457EE"/>
    <w:rsid w:val="00B4585A"/>
    <w:rsid w:val="00B45874"/>
    <w:rsid w:val="00B4589A"/>
    <w:rsid w:val="00B458C9"/>
    <w:rsid w:val="00B45A35"/>
    <w:rsid w:val="00B45A71"/>
    <w:rsid w:val="00B45B05"/>
    <w:rsid w:val="00B45B6A"/>
    <w:rsid w:val="00B45B79"/>
    <w:rsid w:val="00B45BFB"/>
    <w:rsid w:val="00B45C82"/>
    <w:rsid w:val="00B45D75"/>
    <w:rsid w:val="00B45E55"/>
    <w:rsid w:val="00B45E69"/>
    <w:rsid w:val="00B45EFA"/>
    <w:rsid w:val="00B45F12"/>
    <w:rsid w:val="00B45F25"/>
    <w:rsid w:val="00B45FBF"/>
    <w:rsid w:val="00B46059"/>
    <w:rsid w:val="00B4614F"/>
    <w:rsid w:val="00B4615B"/>
    <w:rsid w:val="00B4624C"/>
    <w:rsid w:val="00B4628B"/>
    <w:rsid w:val="00B463C4"/>
    <w:rsid w:val="00B46456"/>
    <w:rsid w:val="00B4659C"/>
    <w:rsid w:val="00B46745"/>
    <w:rsid w:val="00B46835"/>
    <w:rsid w:val="00B468FA"/>
    <w:rsid w:val="00B469C3"/>
    <w:rsid w:val="00B46AB1"/>
    <w:rsid w:val="00B46B31"/>
    <w:rsid w:val="00B46B34"/>
    <w:rsid w:val="00B46C0D"/>
    <w:rsid w:val="00B46C11"/>
    <w:rsid w:val="00B46C89"/>
    <w:rsid w:val="00B46E53"/>
    <w:rsid w:val="00B46EA5"/>
    <w:rsid w:val="00B46ECE"/>
    <w:rsid w:val="00B46F66"/>
    <w:rsid w:val="00B4704D"/>
    <w:rsid w:val="00B4707F"/>
    <w:rsid w:val="00B47114"/>
    <w:rsid w:val="00B47221"/>
    <w:rsid w:val="00B47247"/>
    <w:rsid w:val="00B47256"/>
    <w:rsid w:val="00B47265"/>
    <w:rsid w:val="00B472B4"/>
    <w:rsid w:val="00B473E9"/>
    <w:rsid w:val="00B474E6"/>
    <w:rsid w:val="00B4763D"/>
    <w:rsid w:val="00B4776E"/>
    <w:rsid w:val="00B47A30"/>
    <w:rsid w:val="00B47A39"/>
    <w:rsid w:val="00B47AD1"/>
    <w:rsid w:val="00B47B4A"/>
    <w:rsid w:val="00B47BB4"/>
    <w:rsid w:val="00B47C9D"/>
    <w:rsid w:val="00B47DC8"/>
    <w:rsid w:val="00B47E2F"/>
    <w:rsid w:val="00B47E54"/>
    <w:rsid w:val="00B47E57"/>
    <w:rsid w:val="00B47EA8"/>
    <w:rsid w:val="00B47F83"/>
    <w:rsid w:val="00B47F9E"/>
    <w:rsid w:val="00B500AE"/>
    <w:rsid w:val="00B500D0"/>
    <w:rsid w:val="00B500DC"/>
    <w:rsid w:val="00B5032F"/>
    <w:rsid w:val="00B5036B"/>
    <w:rsid w:val="00B50447"/>
    <w:rsid w:val="00B504AA"/>
    <w:rsid w:val="00B504D6"/>
    <w:rsid w:val="00B50504"/>
    <w:rsid w:val="00B5053A"/>
    <w:rsid w:val="00B5063B"/>
    <w:rsid w:val="00B50743"/>
    <w:rsid w:val="00B50746"/>
    <w:rsid w:val="00B507B3"/>
    <w:rsid w:val="00B507D3"/>
    <w:rsid w:val="00B50B16"/>
    <w:rsid w:val="00B50B20"/>
    <w:rsid w:val="00B50D9B"/>
    <w:rsid w:val="00B50DCE"/>
    <w:rsid w:val="00B50E22"/>
    <w:rsid w:val="00B50F3E"/>
    <w:rsid w:val="00B50F61"/>
    <w:rsid w:val="00B50FAA"/>
    <w:rsid w:val="00B5103A"/>
    <w:rsid w:val="00B51100"/>
    <w:rsid w:val="00B51277"/>
    <w:rsid w:val="00B512FF"/>
    <w:rsid w:val="00B51362"/>
    <w:rsid w:val="00B5144E"/>
    <w:rsid w:val="00B514DC"/>
    <w:rsid w:val="00B5153B"/>
    <w:rsid w:val="00B516A9"/>
    <w:rsid w:val="00B518ED"/>
    <w:rsid w:val="00B519DD"/>
    <w:rsid w:val="00B51A02"/>
    <w:rsid w:val="00B51C75"/>
    <w:rsid w:val="00B51CBB"/>
    <w:rsid w:val="00B51F1D"/>
    <w:rsid w:val="00B51F7A"/>
    <w:rsid w:val="00B5200D"/>
    <w:rsid w:val="00B5206F"/>
    <w:rsid w:val="00B520AD"/>
    <w:rsid w:val="00B5210A"/>
    <w:rsid w:val="00B5216D"/>
    <w:rsid w:val="00B521BC"/>
    <w:rsid w:val="00B521E2"/>
    <w:rsid w:val="00B522E6"/>
    <w:rsid w:val="00B522FC"/>
    <w:rsid w:val="00B52412"/>
    <w:rsid w:val="00B5245F"/>
    <w:rsid w:val="00B5255F"/>
    <w:rsid w:val="00B52626"/>
    <w:rsid w:val="00B52798"/>
    <w:rsid w:val="00B5283B"/>
    <w:rsid w:val="00B529C7"/>
    <w:rsid w:val="00B529F9"/>
    <w:rsid w:val="00B52A4F"/>
    <w:rsid w:val="00B52A5D"/>
    <w:rsid w:val="00B52AEB"/>
    <w:rsid w:val="00B52DBF"/>
    <w:rsid w:val="00B52DE3"/>
    <w:rsid w:val="00B52FAD"/>
    <w:rsid w:val="00B52FDB"/>
    <w:rsid w:val="00B53014"/>
    <w:rsid w:val="00B5301F"/>
    <w:rsid w:val="00B530EF"/>
    <w:rsid w:val="00B53213"/>
    <w:rsid w:val="00B5322B"/>
    <w:rsid w:val="00B53287"/>
    <w:rsid w:val="00B533D7"/>
    <w:rsid w:val="00B533FE"/>
    <w:rsid w:val="00B53404"/>
    <w:rsid w:val="00B534DA"/>
    <w:rsid w:val="00B534EB"/>
    <w:rsid w:val="00B535EF"/>
    <w:rsid w:val="00B53725"/>
    <w:rsid w:val="00B53764"/>
    <w:rsid w:val="00B538BA"/>
    <w:rsid w:val="00B538C8"/>
    <w:rsid w:val="00B53979"/>
    <w:rsid w:val="00B53A83"/>
    <w:rsid w:val="00B53C32"/>
    <w:rsid w:val="00B540B5"/>
    <w:rsid w:val="00B54221"/>
    <w:rsid w:val="00B54252"/>
    <w:rsid w:val="00B54304"/>
    <w:rsid w:val="00B54587"/>
    <w:rsid w:val="00B5460C"/>
    <w:rsid w:val="00B546DD"/>
    <w:rsid w:val="00B54813"/>
    <w:rsid w:val="00B54842"/>
    <w:rsid w:val="00B54909"/>
    <w:rsid w:val="00B54987"/>
    <w:rsid w:val="00B549A9"/>
    <w:rsid w:val="00B54ABB"/>
    <w:rsid w:val="00B54B4D"/>
    <w:rsid w:val="00B54B4F"/>
    <w:rsid w:val="00B54B6C"/>
    <w:rsid w:val="00B54B7E"/>
    <w:rsid w:val="00B54CB7"/>
    <w:rsid w:val="00B54CCF"/>
    <w:rsid w:val="00B54CF7"/>
    <w:rsid w:val="00B54D9D"/>
    <w:rsid w:val="00B54E12"/>
    <w:rsid w:val="00B54E78"/>
    <w:rsid w:val="00B54EB2"/>
    <w:rsid w:val="00B54F00"/>
    <w:rsid w:val="00B55128"/>
    <w:rsid w:val="00B55405"/>
    <w:rsid w:val="00B55574"/>
    <w:rsid w:val="00B555EB"/>
    <w:rsid w:val="00B5567F"/>
    <w:rsid w:val="00B556D6"/>
    <w:rsid w:val="00B557A6"/>
    <w:rsid w:val="00B55887"/>
    <w:rsid w:val="00B55969"/>
    <w:rsid w:val="00B55982"/>
    <w:rsid w:val="00B559BA"/>
    <w:rsid w:val="00B559BB"/>
    <w:rsid w:val="00B55A44"/>
    <w:rsid w:val="00B55AB2"/>
    <w:rsid w:val="00B55B10"/>
    <w:rsid w:val="00B55CCE"/>
    <w:rsid w:val="00B55DA3"/>
    <w:rsid w:val="00B55EE3"/>
    <w:rsid w:val="00B55F1F"/>
    <w:rsid w:val="00B55F76"/>
    <w:rsid w:val="00B56083"/>
    <w:rsid w:val="00B560E9"/>
    <w:rsid w:val="00B56117"/>
    <w:rsid w:val="00B5616A"/>
    <w:rsid w:val="00B562D3"/>
    <w:rsid w:val="00B56766"/>
    <w:rsid w:val="00B5698B"/>
    <w:rsid w:val="00B56998"/>
    <w:rsid w:val="00B569ED"/>
    <w:rsid w:val="00B56A52"/>
    <w:rsid w:val="00B56A9A"/>
    <w:rsid w:val="00B56CFB"/>
    <w:rsid w:val="00B56DB4"/>
    <w:rsid w:val="00B56E88"/>
    <w:rsid w:val="00B56F57"/>
    <w:rsid w:val="00B5717B"/>
    <w:rsid w:val="00B5719A"/>
    <w:rsid w:val="00B5721E"/>
    <w:rsid w:val="00B5721F"/>
    <w:rsid w:val="00B572F6"/>
    <w:rsid w:val="00B57321"/>
    <w:rsid w:val="00B5737C"/>
    <w:rsid w:val="00B573F7"/>
    <w:rsid w:val="00B57851"/>
    <w:rsid w:val="00B578DB"/>
    <w:rsid w:val="00B57988"/>
    <w:rsid w:val="00B57B2A"/>
    <w:rsid w:val="00B57C80"/>
    <w:rsid w:val="00B57D1A"/>
    <w:rsid w:val="00B57D36"/>
    <w:rsid w:val="00B57D69"/>
    <w:rsid w:val="00B57E5B"/>
    <w:rsid w:val="00B57E64"/>
    <w:rsid w:val="00B6003B"/>
    <w:rsid w:val="00B601FE"/>
    <w:rsid w:val="00B60263"/>
    <w:rsid w:val="00B60319"/>
    <w:rsid w:val="00B6037E"/>
    <w:rsid w:val="00B60423"/>
    <w:rsid w:val="00B60453"/>
    <w:rsid w:val="00B60537"/>
    <w:rsid w:val="00B6053D"/>
    <w:rsid w:val="00B60887"/>
    <w:rsid w:val="00B60A6A"/>
    <w:rsid w:val="00B60AB0"/>
    <w:rsid w:val="00B60C6F"/>
    <w:rsid w:val="00B60CB0"/>
    <w:rsid w:val="00B60E8F"/>
    <w:rsid w:val="00B60ED9"/>
    <w:rsid w:val="00B60FBD"/>
    <w:rsid w:val="00B610D0"/>
    <w:rsid w:val="00B61157"/>
    <w:rsid w:val="00B611A3"/>
    <w:rsid w:val="00B611A8"/>
    <w:rsid w:val="00B61274"/>
    <w:rsid w:val="00B61317"/>
    <w:rsid w:val="00B6133C"/>
    <w:rsid w:val="00B6141C"/>
    <w:rsid w:val="00B614C0"/>
    <w:rsid w:val="00B6150A"/>
    <w:rsid w:val="00B6156E"/>
    <w:rsid w:val="00B6162B"/>
    <w:rsid w:val="00B61687"/>
    <w:rsid w:val="00B617D8"/>
    <w:rsid w:val="00B61BB0"/>
    <w:rsid w:val="00B61C55"/>
    <w:rsid w:val="00B61C8D"/>
    <w:rsid w:val="00B61D94"/>
    <w:rsid w:val="00B61E8E"/>
    <w:rsid w:val="00B61EC9"/>
    <w:rsid w:val="00B61F36"/>
    <w:rsid w:val="00B61FFB"/>
    <w:rsid w:val="00B62012"/>
    <w:rsid w:val="00B621DC"/>
    <w:rsid w:val="00B621E6"/>
    <w:rsid w:val="00B621E8"/>
    <w:rsid w:val="00B62259"/>
    <w:rsid w:val="00B62271"/>
    <w:rsid w:val="00B62362"/>
    <w:rsid w:val="00B623EE"/>
    <w:rsid w:val="00B62471"/>
    <w:rsid w:val="00B624FD"/>
    <w:rsid w:val="00B62565"/>
    <w:rsid w:val="00B6260E"/>
    <w:rsid w:val="00B62719"/>
    <w:rsid w:val="00B62992"/>
    <w:rsid w:val="00B62993"/>
    <w:rsid w:val="00B62A00"/>
    <w:rsid w:val="00B62A3E"/>
    <w:rsid w:val="00B62A8F"/>
    <w:rsid w:val="00B62AE9"/>
    <w:rsid w:val="00B62B86"/>
    <w:rsid w:val="00B62BA5"/>
    <w:rsid w:val="00B62BC4"/>
    <w:rsid w:val="00B62C1A"/>
    <w:rsid w:val="00B62CDA"/>
    <w:rsid w:val="00B62D83"/>
    <w:rsid w:val="00B62DAE"/>
    <w:rsid w:val="00B62DBE"/>
    <w:rsid w:val="00B62F26"/>
    <w:rsid w:val="00B62F7D"/>
    <w:rsid w:val="00B6323D"/>
    <w:rsid w:val="00B63357"/>
    <w:rsid w:val="00B633A0"/>
    <w:rsid w:val="00B633C6"/>
    <w:rsid w:val="00B633D1"/>
    <w:rsid w:val="00B633ED"/>
    <w:rsid w:val="00B63419"/>
    <w:rsid w:val="00B63471"/>
    <w:rsid w:val="00B634C9"/>
    <w:rsid w:val="00B63524"/>
    <w:rsid w:val="00B635E6"/>
    <w:rsid w:val="00B636D0"/>
    <w:rsid w:val="00B637C2"/>
    <w:rsid w:val="00B63912"/>
    <w:rsid w:val="00B63A2A"/>
    <w:rsid w:val="00B63B78"/>
    <w:rsid w:val="00B63E80"/>
    <w:rsid w:val="00B64022"/>
    <w:rsid w:val="00B64055"/>
    <w:rsid w:val="00B6425C"/>
    <w:rsid w:val="00B64294"/>
    <w:rsid w:val="00B6434B"/>
    <w:rsid w:val="00B643A2"/>
    <w:rsid w:val="00B646FD"/>
    <w:rsid w:val="00B647EF"/>
    <w:rsid w:val="00B6491E"/>
    <w:rsid w:val="00B64953"/>
    <w:rsid w:val="00B64A78"/>
    <w:rsid w:val="00B64AE9"/>
    <w:rsid w:val="00B64B43"/>
    <w:rsid w:val="00B64CF6"/>
    <w:rsid w:val="00B64E07"/>
    <w:rsid w:val="00B64EB9"/>
    <w:rsid w:val="00B64EE6"/>
    <w:rsid w:val="00B64F7B"/>
    <w:rsid w:val="00B64FDB"/>
    <w:rsid w:val="00B6503E"/>
    <w:rsid w:val="00B650BA"/>
    <w:rsid w:val="00B650DB"/>
    <w:rsid w:val="00B6517E"/>
    <w:rsid w:val="00B65357"/>
    <w:rsid w:val="00B656A2"/>
    <w:rsid w:val="00B656A7"/>
    <w:rsid w:val="00B65709"/>
    <w:rsid w:val="00B6571F"/>
    <w:rsid w:val="00B65739"/>
    <w:rsid w:val="00B65749"/>
    <w:rsid w:val="00B65853"/>
    <w:rsid w:val="00B65A7D"/>
    <w:rsid w:val="00B65B93"/>
    <w:rsid w:val="00B65D88"/>
    <w:rsid w:val="00B65EFC"/>
    <w:rsid w:val="00B65F10"/>
    <w:rsid w:val="00B65F9E"/>
    <w:rsid w:val="00B6601F"/>
    <w:rsid w:val="00B66020"/>
    <w:rsid w:val="00B660EB"/>
    <w:rsid w:val="00B661C2"/>
    <w:rsid w:val="00B664BA"/>
    <w:rsid w:val="00B664FE"/>
    <w:rsid w:val="00B6665B"/>
    <w:rsid w:val="00B6675C"/>
    <w:rsid w:val="00B66779"/>
    <w:rsid w:val="00B667DC"/>
    <w:rsid w:val="00B66862"/>
    <w:rsid w:val="00B6695E"/>
    <w:rsid w:val="00B669B9"/>
    <w:rsid w:val="00B66A27"/>
    <w:rsid w:val="00B66A86"/>
    <w:rsid w:val="00B66A8B"/>
    <w:rsid w:val="00B66AD0"/>
    <w:rsid w:val="00B66BD8"/>
    <w:rsid w:val="00B66BE0"/>
    <w:rsid w:val="00B66DA6"/>
    <w:rsid w:val="00B66E7F"/>
    <w:rsid w:val="00B66F5B"/>
    <w:rsid w:val="00B66FA7"/>
    <w:rsid w:val="00B66FFF"/>
    <w:rsid w:val="00B672CE"/>
    <w:rsid w:val="00B67337"/>
    <w:rsid w:val="00B67350"/>
    <w:rsid w:val="00B6738C"/>
    <w:rsid w:val="00B67430"/>
    <w:rsid w:val="00B675AB"/>
    <w:rsid w:val="00B677D7"/>
    <w:rsid w:val="00B6783D"/>
    <w:rsid w:val="00B678BF"/>
    <w:rsid w:val="00B67B27"/>
    <w:rsid w:val="00B67B76"/>
    <w:rsid w:val="00B67C17"/>
    <w:rsid w:val="00B67C70"/>
    <w:rsid w:val="00B67C90"/>
    <w:rsid w:val="00B67D23"/>
    <w:rsid w:val="00B67DD4"/>
    <w:rsid w:val="00B67E0A"/>
    <w:rsid w:val="00B67FF8"/>
    <w:rsid w:val="00B700F2"/>
    <w:rsid w:val="00B70345"/>
    <w:rsid w:val="00B703CE"/>
    <w:rsid w:val="00B7040B"/>
    <w:rsid w:val="00B704CE"/>
    <w:rsid w:val="00B704F4"/>
    <w:rsid w:val="00B70590"/>
    <w:rsid w:val="00B70618"/>
    <w:rsid w:val="00B706AC"/>
    <w:rsid w:val="00B70815"/>
    <w:rsid w:val="00B70859"/>
    <w:rsid w:val="00B70863"/>
    <w:rsid w:val="00B7093C"/>
    <w:rsid w:val="00B709B5"/>
    <w:rsid w:val="00B70A00"/>
    <w:rsid w:val="00B70A62"/>
    <w:rsid w:val="00B70BA6"/>
    <w:rsid w:val="00B70C9E"/>
    <w:rsid w:val="00B70DB5"/>
    <w:rsid w:val="00B70E4F"/>
    <w:rsid w:val="00B711C9"/>
    <w:rsid w:val="00B7124A"/>
    <w:rsid w:val="00B712C9"/>
    <w:rsid w:val="00B712E0"/>
    <w:rsid w:val="00B7140C"/>
    <w:rsid w:val="00B7159C"/>
    <w:rsid w:val="00B7163A"/>
    <w:rsid w:val="00B716B0"/>
    <w:rsid w:val="00B716D7"/>
    <w:rsid w:val="00B71BAB"/>
    <w:rsid w:val="00B71BD3"/>
    <w:rsid w:val="00B71D2C"/>
    <w:rsid w:val="00B71E1B"/>
    <w:rsid w:val="00B71EA6"/>
    <w:rsid w:val="00B71EB2"/>
    <w:rsid w:val="00B71F36"/>
    <w:rsid w:val="00B71FA6"/>
    <w:rsid w:val="00B7201B"/>
    <w:rsid w:val="00B72026"/>
    <w:rsid w:val="00B720D8"/>
    <w:rsid w:val="00B720DE"/>
    <w:rsid w:val="00B720FD"/>
    <w:rsid w:val="00B72190"/>
    <w:rsid w:val="00B721AE"/>
    <w:rsid w:val="00B721C4"/>
    <w:rsid w:val="00B72275"/>
    <w:rsid w:val="00B722DA"/>
    <w:rsid w:val="00B72414"/>
    <w:rsid w:val="00B72467"/>
    <w:rsid w:val="00B724BB"/>
    <w:rsid w:val="00B72687"/>
    <w:rsid w:val="00B7271E"/>
    <w:rsid w:val="00B7272D"/>
    <w:rsid w:val="00B7283C"/>
    <w:rsid w:val="00B728B8"/>
    <w:rsid w:val="00B728BD"/>
    <w:rsid w:val="00B7290C"/>
    <w:rsid w:val="00B72A0E"/>
    <w:rsid w:val="00B72B61"/>
    <w:rsid w:val="00B72C1A"/>
    <w:rsid w:val="00B72D13"/>
    <w:rsid w:val="00B72DE5"/>
    <w:rsid w:val="00B72F3B"/>
    <w:rsid w:val="00B73033"/>
    <w:rsid w:val="00B73070"/>
    <w:rsid w:val="00B73087"/>
    <w:rsid w:val="00B73141"/>
    <w:rsid w:val="00B7333E"/>
    <w:rsid w:val="00B73382"/>
    <w:rsid w:val="00B7345B"/>
    <w:rsid w:val="00B73626"/>
    <w:rsid w:val="00B73679"/>
    <w:rsid w:val="00B7381E"/>
    <w:rsid w:val="00B73878"/>
    <w:rsid w:val="00B73AF1"/>
    <w:rsid w:val="00B73B46"/>
    <w:rsid w:val="00B73D47"/>
    <w:rsid w:val="00B73E08"/>
    <w:rsid w:val="00B73E5B"/>
    <w:rsid w:val="00B73E8B"/>
    <w:rsid w:val="00B73F51"/>
    <w:rsid w:val="00B73FD3"/>
    <w:rsid w:val="00B7401A"/>
    <w:rsid w:val="00B7411A"/>
    <w:rsid w:val="00B74599"/>
    <w:rsid w:val="00B745C0"/>
    <w:rsid w:val="00B74788"/>
    <w:rsid w:val="00B74810"/>
    <w:rsid w:val="00B74A11"/>
    <w:rsid w:val="00B74A3C"/>
    <w:rsid w:val="00B74A63"/>
    <w:rsid w:val="00B74AF0"/>
    <w:rsid w:val="00B74B2F"/>
    <w:rsid w:val="00B74B37"/>
    <w:rsid w:val="00B74CF6"/>
    <w:rsid w:val="00B74EFC"/>
    <w:rsid w:val="00B74FD9"/>
    <w:rsid w:val="00B7502E"/>
    <w:rsid w:val="00B750B8"/>
    <w:rsid w:val="00B75144"/>
    <w:rsid w:val="00B75205"/>
    <w:rsid w:val="00B7532B"/>
    <w:rsid w:val="00B7537A"/>
    <w:rsid w:val="00B753B4"/>
    <w:rsid w:val="00B754D1"/>
    <w:rsid w:val="00B754F0"/>
    <w:rsid w:val="00B755E5"/>
    <w:rsid w:val="00B75811"/>
    <w:rsid w:val="00B75895"/>
    <w:rsid w:val="00B758A8"/>
    <w:rsid w:val="00B758AC"/>
    <w:rsid w:val="00B758BD"/>
    <w:rsid w:val="00B758F8"/>
    <w:rsid w:val="00B759F0"/>
    <w:rsid w:val="00B75AFF"/>
    <w:rsid w:val="00B75B67"/>
    <w:rsid w:val="00B75B98"/>
    <w:rsid w:val="00B75BB2"/>
    <w:rsid w:val="00B75C19"/>
    <w:rsid w:val="00B75CB4"/>
    <w:rsid w:val="00B75CB7"/>
    <w:rsid w:val="00B75D89"/>
    <w:rsid w:val="00B75E5E"/>
    <w:rsid w:val="00B75EF2"/>
    <w:rsid w:val="00B75F57"/>
    <w:rsid w:val="00B76009"/>
    <w:rsid w:val="00B76035"/>
    <w:rsid w:val="00B7628F"/>
    <w:rsid w:val="00B762C2"/>
    <w:rsid w:val="00B76304"/>
    <w:rsid w:val="00B76551"/>
    <w:rsid w:val="00B7655B"/>
    <w:rsid w:val="00B76628"/>
    <w:rsid w:val="00B76671"/>
    <w:rsid w:val="00B766A5"/>
    <w:rsid w:val="00B76797"/>
    <w:rsid w:val="00B767E8"/>
    <w:rsid w:val="00B7687C"/>
    <w:rsid w:val="00B768FD"/>
    <w:rsid w:val="00B76988"/>
    <w:rsid w:val="00B76B05"/>
    <w:rsid w:val="00B76B12"/>
    <w:rsid w:val="00B76BFB"/>
    <w:rsid w:val="00B76C17"/>
    <w:rsid w:val="00B76CC6"/>
    <w:rsid w:val="00B76CF9"/>
    <w:rsid w:val="00B76D43"/>
    <w:rsid w:val="00B76D9A"/>
    <w:rsid w:val="00B76EA7"/>
    <w:rsid w:val="00B76F12"/>
    <w:rsid w:val="00B77033"/>
    <w:rsid w:val="00B77078"/>
    <w:rsid w:val="00B77377"/>
    <w:rsid w:val="00B774C2"/>
    <w:rsid w:val="00B77575"/>
    <w:rsid w:val="00B7758F"/>
    <w:rsid w:val="00B776D5"/>
    <w:rsid w:val="00B77705"/>
    <w:rsid w:val="00B77750"/>
    <w:rsid w:val="00B77919"/>
    <w:rsid w:val="00B77CE4"/>
    <w:rsid w:val="00B77EDA"/>
    <w:rsid w:val="00B77FB9"/>
    <w:rsid w:val="00B800B9"/>
    <w:rsid w:val="00B80117"/>
    <w:rsid w:val="00B801AC"/>
    <w:rsid w:val="00B801C4"/>
    <w:rsid w:val="00B80211"/>
    <w:rsid w:val="00B80233"/>
    <w:rsid w:val="00B8053C"/>
    <w:rsid w:val="00B8062E"/>
    <w:rsid w:val="00B80638"/>
    <w:rsid w:val="00B80772"/>
    <w:rsid w:val="00B807B4"/>
    <w:rsid w:val="00B8084E"/>
    <w:rsid w:val="00B8099B"/>
    <w:rsid w:val="00B80A0E"/>
    <w:rsid w:val="00B80A88"/>
    <w:rsid w:val="00B80AC8"/>
    <w:rsid w:val="00B80BA6"/>
    <w:rsid w:val="00B80C2E"/>
    <w:rsid w:val="00B80CF0"/>
    <w:rsid w:val="00B80D71"/>
    <w:rsid w:val="00B80D7F"/>
    <w:rsid w:val="00B8119C"/>
    <w:rsid w:val="00B811A6"/>
    <w:rsid w:val="00B8122D"/>
    <w:rsid w:val="00B812F1"/>
    <w:rsid w:val="00B813BD"/>
    <w:rsid w:val="00B813C9"/>
    <w:rsid w:val="00B814A0"/>
    <w:rsid w:val="00B815FB"/>
    <w:rsid w:val="00B8167B"/>
    <w:rsid w:val="00B81749"/>
    <w:rsid w:val="00B817D3"/>
    <w:rsid w:val="00B819F3"/>
    <w:rsid w:val="00B81A8B"/>
    <w:rsid w:val="00B81B02"/>
    <w:rsid w:val="00B81C02"/>
    <w:rsid w:val="00B81CCB"/>
    <w:rsid w:val="00B81CFC"/>
    <w:rsid w:val="00B81DC2"/>
    <w:rsid w:val="00B81E26"/>
    <w:rsid w:val="00B81E4C"/>
    <w:rsid w:val="00B81F3F"/>
    <w:rsid w:val="00B820A3"/>
    <w:rsid w:val="00B820BC"/>
    <w:rsid w:val="00B821DF"/>
    <w:rsid w:val="00B822B6"/>
    <w:rsid w:val="00B8230F"/>
    <w:rsid w:val="00B82358"/>
    <w:rsid w:val="00B8241C"/>
    <w:rsid w:val="00B8242D"/>
    <w:rsid w:val="00B825B5"/>
    <w:rsid w:val="00B82602"/>
    <w:rsid w:val="00B82749"/>
    <w:rsid w:val="00B82950"/>
    <w:rsid w:val="00B82A9D"/>
    <w:rsid w:val="00B82AC6"/>
    <w:rsid w:val="00B82D6F"/>
    <w:rsid w:val="00B82DAF"/>
    <w:rsid w:val="00B82E3C"/>
    <w:rsid w:val="00B82F17"/>
    <w:rsid w:val="00B82F3B"/>
    <w:rsid w:val="00B83047"/>
    <w:rsid w:val="00B830DE"/>
    <w:rsid w:val="00B8322C"/>
    <w:rsid w:val="00B83247"/>
    <w:rsid w:val="00B83300"/>
    <w:rsid w:val="00B8335E"/>
    <w:rsid w:val="00B83382"/>
    <w:rsid w:val="00B83436"/>
    <w:rsid w:val="00B834A7"/>
    <w:rsid w:val="00B83550"/>
    <w:rsid w:val="00B836B8"/>
    <w:rsid w:val="00B836D7"/>
    <w:rsid w:val="00B83714"/>
    <w:rsid w:val="00B8386A"/>
    <w:rsid w:val="00B83874"/>
    <w:rsid w:val="00B83AB0"/>
    <w:rsid w:val="00B83B07"/>
    <w:rsid w:val="00B83BDB"/>
    <w:rsid w:val="00B83CE2"/>
    <w:rsid w:val="00B83DC1"/>
    <w:rsid w:val="00B83EF8"/>
    <w:rsid w:val="00B83EFD"/>
    <w:rsid w:val="00B83F05"/>
    <w:rsid w:val="00B83FE1"/>
    <w:rsid w:val="00B840D8"/>
    <w:rsid w:val="00B841DD"/>
    <w:rsid w:val="00B8421E"/>
    <w:rsid w:val="00B8434A"/>
    <w:rsid w:val="00B84359"/>
    <w:rsid w:val="00B843A0"/>
    <w:rsid w:val="00B84684"/>
    <w:rsid w:val="00B8469D"/>
    <w:rsid w:val="00B846A3"/>
    <w:rsid w:val="00B846DE"/>
    <w:rsid w:val="00B846FA"/>
    <w:rsid w:val="00B84887"/>
    <w:rsid w:val="00B849F3"/>
    <w:rsid w:val="00B84A05"/>
    <w:rsid w:val="00B84B78"/>
    <w:rsid w:val="00B84BC1"/>
    <w:rsid w:val="00B84BEB"/>
    <w:rsid w:val="00B84E0D"/>
    <w:rsid w:val="00B84E51"/>
    <w:rsid w:val="00B84E59"/>
    <w:rsid w:val="00B84F16"/>
    <w:rsid w:val="00B84F83"/>
    <w:rsid w:val="00B84FC6"/>
    <w:rsid w:val="00B85047"/>
    <w:rsid w:val="00B85098"/>
    <w:rsid w:val="00B851CF"/>
    <w:rsid w:val="00B85227"/>
    <w:rsid w:val="00B85262"/>
    <w:rsid w:val="00B8527D"/>
    <w:rsid w:val="00B8544E"/>
    <w:rsid w:val="00B85451"/>
    <w:rsid w:val="00B854E4"/>
    <w:rsid w:val="00B85625"/>
    <w:rsid w:val="00B85673"/>
    <w:rsid w:val="00B85803"/>
    <w:rsid w:val="00B858B5"/>
    <w:rsid w:val="00B858C2"/>
    <w:rsid w:val="00B858E7"/>
    <w:rsid w:val="00B85A62"/>
    <w:rsid w:val="00B85B15"/>
    <w:rsid w:val="00B85B5B"/>
    <w:rsid w:val="00B86028"/>
    <w:rsid w:val="00B860CD"/>
    <w:rsid w:val="00B861A7"/>
    <w:rsid w:val="00B8632F"/>
    <w:rsid w:val="00B8657C"/>
    <w:rsid w:val="00B86637"/>
    <w:rsid w:val="00B86683"/>
    <w:rsid w:val="00B86797"/>
    <w:rsid w:val="00B867D2"/>
    <w:rsid w:val="00B869FB"/>
    <w:rsid w:val="00B86A45"/>
    <w:rsid w:val="00B86AFE"/>
    <w:rsid w:val="00B86C7C"/>
    <w:rsid w:val="00B86DA2"/>
    <w:rsid w:val="00B86F3A"/>
    <w:rsid w:val="00B87180"/>
    <w:rsid w:val="00B8724F"/>
    <w:rsid w:val="00B87492"/>
    <w:rsid w:val="00B8751A"/>
    <w:rsid w:val="00B87848"/>
    <w:rsid w:val="00B87869"/>
    <w:rsid w:val="00B878B9"/>
    <w:rsid w:val="00B879CC"/>
    <w:rsid w:val="00B87B28"/>
    <w:rsid w:val="00B87B51"/>
    <w:rsid w:val="00B87C1C"/>
    <w:rsid w:val="00B87C9B"/>
    <w:rsid w:val="00B87D62"/>
    <w:rsid w:val="00B87DBB"/>
    <w:rsid w:val="00B87DC8"/>
    <w:rsid w:val="00B87E4F"/>
    <w:rsid w:val="00B87FC7"/>
    <w:rsid w:val="00B900A4"/>
    <w:rsid w:val="00B90151"/>
    <w:rsid w:val="00B90296"/>
    <w:rsid w:val="00B903D5"/>
    <w:rsid w:val="00B9047D"/>
    <w:rsid w:val="00B9057C"/>
    <w:rsid w:val="00B905BE"/>
    <w:rsid w:val="00B905DA"/>
    <w:rsid w:val="00B906DF"/>
    <w:rsid w:val="00B90766"/>
    <w:rsid w:val="00B9077F"/>
    <w:rsid w:val="00B907DC"/>
    <w:rsid w:val="00B90805"/>
    <w:rsid w:val="00B908C6"/>
    <w:rsid w:val="00B90A63"/>
    <w:rsid w:val="00B90ADF"/>
    <w:rsid w:val="00B90AF1"/>
    <w:rsid w:val="00B90BB8"/>
    <w:rsid w:val="00B90FAC"/>
    <w:rsid w:val="00B9129A"/>
    <w:rsid w:val="00B9132C"/>
    <w:rsid w:val="00B914BE"/>
    <w:rsid w:val="00B91547"/>
    <w:rsid w:val="00B91659"/>
    <w:rsid w:val="00B9169F"/>
    <w:rsid w:val="00B9171B"/>
    <w:rsid w:val="00B91722"/>
    <w:rsid w:val="00B9191D"/>
    <w:rsid w:val="00B919E7"/>
    <w:rsid w:val="00B91A1D"/>
    <w:rsid w:val="00B91A94"/>
    <w:rsid w:val="00B91B62"/>
    <w:rsid w:val="00B91BFD"/>
    <w:rsid w:val="00B91C26"/>
    <w:rsid w:val="00B91DB6"/>
    <w:rsid w:val="00B91DE0"/>
    <w:rsid w:val="00B91E08"/>
    <w:rsid w:val="00B91E3E"/>
    <w:rsid w:val="00B9204A"/>
    <w:rsid w:val="00B920DE"/>
    <w:rsid w:val="00B92283"/>
    <w:rsid w:val="00B92308"/>
    <w:rsid w:val="00B9233D"/>
    <w:rsid w:val="00B92442"/>
    <w:rsid w:val="00B924B5"/>
    <w:rsid w:val="00B92502"/>
    <w:rsid w:val="00B92632"/>
    <w:rsid w:val="00B92638"/>
    <w:rsid w:val="00B9266E"/>
    <w:rsid w:val="00B9268F"/>
    <w:rsid w:val="00B92765"/>
    <w:rsid w:val="00B9283B"/>
    <w:rsid w:val="00B928B6"/>
    <w:rsid w:val="00B92A7F"/>
    <w:rsid w:val="00B92AD1"/>
    <w:rsid w:val="00B92B69"/>
    <w:rsid w:val="00B92D7A"/>
    <w:rsid w:val="00B92DE8"/>
    <w:rsid w:val="00B92FB7"/>
    <w:rsid w:val="00B9305E"/>
    <w:rsid w:val="00B93185"/>
    <w:rsid w:val="00B93288"/>
    <w:rsid w:val="00B93292"/>
    <w:rsid w:val="00B933A2"/>
    <w:rsid w:val="00B933EE"/>
    <w:rsid w:val="00B9347C"/>
    <w:rsid w:val="00B9360F"/>
    <w:rsid w:val="00B936C8"/>
    <w:rsid w:val="00B93742"/>
    <w:rsid w:val="00B937EB"/>
    <w:rsid w:val="00B9387C"/>
    <w:rsid w:val="00B93977"/>
    <w:rsid w:val="00B93A4C"/>
    <w:rsid w:val="00B93A89"/>
    <w:rsid w:val="00B93B17"/>
    <w:rsid w:val="00B93B25"/>
    <w:rsid w:val="00B93B91"/>
    <w:rsid w:val="00B93BCD"/>
    <w:rsid w:val="00B93BEA"/>
    <w:rsid w:val="00B93C2A"/>
    <w:rsid w:val="00B93E0F"/>
    <w:rsid w:val="00B93EDF"/>
    <w:rsid w:val="00B93F7C"/>
    <w:rsid w:val="00B94010"/>
    <w:rsid w:val="00B940D3"/>
    <w:rsid w:val="00B941D9"/>
    <w:rsid w:val="00B94236"/>
    <w:rsid w:val="00B94440"/>
    <w:rsid w:val="00B94554"/>
    <w:rsid w:val="00B9467F"/>
    <w:rsid w:val="00B946BF"/>
    <w:rsid w:val="00B94736"/>
    <w:rsid w:val="00B947AF"/>
    <w:rsid w:val="00B94907"/>
    <w:rsid w:val="00B949E9"/>
    <w:rsid w:val="00B94BA5"/>
    <w:rsid w:val="00B94BEE"/>
    <w:rsid w:val="00B94DDA"/>
    <w:rsid w:val="00B94FAA"/>
    <w:rsid w:val="00B94FC9"/>
    <w:rsid w:val="00B94FD2"/>
    <w:rsid w:val="00B95029"/>
    <w:rsid w:val="00B9505F"/>
    <w:rsid w:val="00B95083"/>
    <w:rsid w:val="00B95117"/>
    <w:rsid w:val="00B9519A"/>
    <w:rsid w:val="00B9538E"/>
    <w:rsid w:val="00B95417"/>
    <w:rsid w:val="00B954D5"/>
    <w:rsid w:val="00B95510"/>
    <w:rsid w:val="00B95563"/>
    <w:rsid w:val="00B95677"/>
    <w:rsid w:val="00B9575D"/>
    <w:rsid w:val="00B95782"/>
    <w:rsid w:val="00B95966"/>
    <w:rsid w:val="00B95991"/>
    <w:rsid w:val="00B959D9"/>
    <w:rsid w:val="00B95BA5"/>
    <w:rsid w:val="00B95C21"/>
    <w:rsid w:val="00B95D09"/>
    <w:rsid w:val="00B95D56"/>
    <w:rsid w:val="00B95D76"/>
    <w:rsid w:val="00B95DE7"/>
    <w:rsid w:val="00B95EA3"/>
    <w:rsid w:val="00B96052"/>
    <w:rsid w:val="00B96114"/>
    <w:rsid w:val="00B961BD"/>
    <w:rsid w:val="00B961BF"/>
    <w:rsid w:val="00B961F8"/>
    <w:rsid w:val="00B962B7"/>
    <w:rsid w:val="00B96514"/>
    <w:rsid w:val="00B96557"/>
    <w:rsid w:val="00B965C5"/>
    <w:rsid w:val="00B96754"/>
    <w:rsid w:val="00B967BC"/>
    <w:rsid w:val="00B96865"/>
    <w:rsid w:val="00B968A4"/>
    <w:rsid w:val="00B9697E"/>
    <w:rsid w:val="00B969A8"/>
    <w:rsid w:val="00B96AC7"/>
    <w:rsid w:val="00B96B6D"/>
    <w:rsid w:val="00B96B81"/>
    <w:rsid w:val="00B96BD3"/>
    <w:rsid w:val="00B96D45"/>
    <w:rsid w:val="00B96D8A"/>
    <w:rsid w:val="00B96E30"/>
    <w:rsid w:val="00B970CA"/>
    <w:rsid w:val="00B97329"/>
    <w:rsid w:val="00B973AE"/>
    <w:rsid w:val="00B978D5"/>
    <w:rsid w:val="00B978DF"/>
    <w:rsid w:val="00B97934"/>
    <w:rsid w:val="00B97981"/>
    <w:rsid w:val="00B97B26"/>
    <w:rsid w:val="00B97C2E"/>
    <w:rsid w:val="00B97D47"/>
    <w:rsid w:val="00B97D8E"/>
    <w:rsid w:val="00B97D9B"/>
    <w:rsid w:val="00B97F61"/>
    <w:rsid w:val="00BA0013"/>
    <w:rsid w:val="00BA005B"/>
    <w:rsid w:val="00BA0238"/>
    <w:rsid w:val="00BA050A"/>
    <w:rsid w:val="00BA05D5"/>
    <w:rsid w:val="00BA05DE"/>
    <w:rsid w:val="00BA065E"/>
    <w:rsid w:val="00BA066F"/>
    <w:rsid w:val="00BA08C5"/>
    <w:rsid w:val="00BA0A94"/>
    <w:rsid w:val="00BA0B16"/>
    <w:rsid w:val="00BA0B32"/>
    <w:rsid w:val="00BA0B3D"/>
    <w:rsid w:val="00BA0B4C"/>
    <w:rsid w:val="00BA0F15"/>
    <w:rsid w:val="00BA0F88"/>
    <w:rsid w:val="00BA12F2"/>
    <w:rsid w:val="00BA13C6"/>
    <w:rsid w:val="00BA13D2"/>
    <w:rsid w:val="00BA142E"/>
    <w:rsid w:val="00BA14EA"/>
    <w:rsid w:val="00BA1551"/>
    <w:rsid w:val="00BA1584"/>
    <w:rsid w:val="00BA162B"/>
    <w:rsid w:val="00BA16D6"/>
    <w:rsid w:val="00BA1726"/>
    <w:rsid w:val="00BA17D7"/>
    <w:rsid w:val="00BA1A06"/>
    <w:rsid w:val="00BA1A3B"/>
    <w:rsid w:val="00BA1A99"/>
    <w:rsid w:val="00BA1C10"/>
    <w:rsid w:val="00BA1C58"/>
    <w:rsid w:val="00BA1C80"/>
    <w:rsid w:val="00BA1CCF"/>
    <w:rsid w:val="00BA1DAA"/>
    <w:rsid w:val="00BA1E13"/>
    <w:rsid w:val="00BA1E5E"/>
    <w:rsid w:val="00BA20CA"/>
    <w:rsid w:val="00BA219A"/>
    <w:rsid w:val="00BA21EA"/>
    <w:rsid w:val="00BA220C"/>
    <w:rsid w:val="00BA224B"/>
    <w:rsid w:val="00BA2558"/>
    <w:rsid w:val="00BA25DD"/>
    <w:rsid w:val="00BA271B"/>
    <w:rsid w:val="00BA2796"/>
    <w:rsid w:val="00BA2979"/>
    <w:rsid w:val="00BA29B1"/>
    <w:rsid w:val="00BA2A12"/>
    <w:rsid w:val="00BA2A16"/>
    <w:rsid w:val="00BA2A7B"/>
    <w:rsid w:val="00BA2A97"/>
    <w:rsid w:val="00BA2C2D"/>
    <w:rsid w:val="00BA2D55"/>
    <w:rsid w:val="00BA2DBF"/>
    <w:rsid w:val="00BA2DE8"/>
    <w:rsid w:val="00BA2E3A"/>
    <w:rsid w:val="00BA2F13"/>
    <w:rsid w:val="00BA2FBA"/>
    <w:rsid w:val="00BA307C"/>
    <w:rsid w:val="00BA3088"/>
    <w:rsid w:val="00BA312F"/>
    <w:rsid w:val="00BA31C9"/>
    <w:rsid w:val="00BA33C2"/>
    <w:rsid w:val="00BA33F9"/>
    <w:rsid w:val="00BA3534"/>
    <w:rsid w:val="00BA35AF"/>
    <w:rsid w:val="00BA36A9"/>
    <w:rsid w:val="00BA37CC"/>
    <w:rsid w:val="00BA37E9"/>
    <w:rsid w:val="00BA385D"/>
    <w:rsid w:val="00BA38C5"/>
    <w:rsid w:val="00BA3AA4"/>
    <w:rsid w:val="00BA3F7B"/>
    <w:rsid w:val="00BA3FDC"/>
    <w:rsid w:val="00BA4176"/>
    <w:rsid w:val="00BA4192"/>
    <w:rsid w:val="00BA42EF"/>
    <w:rsid w:val="00BA4324"/>
    <w:rsid w:val="00BA43A3"/>
    <w:rsid w:val="00BA43B4"/>
    <w:rsid w:val="00BA4407"/>
    <w:rsid w:val="00BA4669"/>
    <w:rsid w:val="00BA4673"/>
    <w:rsid w:val="00BA46CF"/>
    <w:rsid w:val="00BA4718"/>
    <w:rsid w:val="00BA47C2"/>
    <w:rsid w:val="00BA4855"/>
    <w:rsid w:val="00BA4889"/>
    <w:rsid w:val="00BA48B9"/>
    <w:rsid w:val="00BA4A62"/>
    <w:rsid w:val="00BA4AB4"/>
    <w:rsid w:val="00BA4AD0"/>
    <w:rsid w:val="00BA4B39"/>
    <w:rsid w:val="00BA4BFD"/>
    <w:rsid w:val="00BA4C49"/>
    <w:rsid w:val="00BA4C4F"/>
    <w:rsid w:val="00BA4D54"/>
    <w:rsid w:val="00BA4DC3"/>
    <w:rsid w:val="00BA5215"/>
    <w:rsid w:val="00BA5336"/>
    <w:rsid w:val="00BA5351"/>
    <w:rsid w:val="00BA53B5"/>
    <w:rsid w:val="00BA54BE"/>
    <w:rsid w:val="00BA550E"/>
    <w:rsid w:val="00BA5650"/>
    <w:rsid w:val="00BA5711"/>
    <w:rsid w:val="00BA5776"/>
    <w:rsid w:val="00BA5A1A"/>
    <w:rsid w:val="00BA5A2A"/>
    <w:rsid w:val="00BA5AA7"/>
    <w:rsid w:val="00BA5AEB"/>
    <w:rsid w:val="00BA5B0F"/>
    <w:rsid w:val="00BA5B37"/>
    <w:rsid w:val="00BA5B69"/>
    <w:rsid w:val="00BA5B88"/>
    <w:rsid w:val="00BA5D3A"/>
    <w:rsid w:val="00BA5D71"/>
    <w:rsid w:val="00BA5EFB"/>
    <w:rsid w:val="00BA5FBA"/>
    <w:rsid w:val="00BA5FC9"/>
    <w:rsid w:val="00BA6158"/>
    <w:rsid w:val="00BA6272"/>
    <w:rsid w:val="00BA6292"/>
    <w:rsid w:val="00BA62F3"/>
    <w:rsid w:val="00BA62F4"/>
    <w:rsid w:val="00BA635B"/>
    <w:rsid w:val="00BA644C"/>
    <w:rsid w:val="00BA646C"/>
    <w:rsid w:val="00BA6549"/>
    <w:rsid w:val="00BA65CB"/>
    <w:rsid w:val="00BA65F6"/>
    <w:rsid w:val="00BA67A8"/>
    <w:rsid w:val="00BA691E"/>
    <w:rsid w:val="00BA694D"/>
    <w:rsid w:val="00BA69FA"/>
    <w:rsid w:val="00BA6A9A"/>
    <w:rsid w:val="00BA6B0F"/>
    <w:rsid w:val="00BA6D67"/>
    <w:rsid w:val="00BA6DCB"/>
    <w:rsid w:val="00BA6EEC"/>
    <w:rsid w:val="00BA6FEA"/>
    <w:rsid w:val="00BA7139"/>
    <w:rsid w:val="00BA71D6"/>
    <w:rsid w:val="00BA7246"/>
    <w:rsid w:val="00BA7290"/>
    <w:rsid w:val="00BA7366"/>
    <w:rsid w:val="00BA73D6"/>
    <w:rsid w:val="00BA7419"/>
    <w:rsid w:val="00BA7491"/>
    <w:rsid w:val="00BA750B"/>
    <w:rsid w:val="00BA760B"/>
    <w:rsid w:val="00BA76C7"/>
    <w:rsid w:val="00BA772F"/>
    <w:rsid w:val="00BA778A"/>
    <w:rsid w:val="00BA7873"/>
    <w:rsid w:val="00BA787D"/>
    <w:rsid w:val="00BA78EF"/>
    <w:rsid w:val="00BA7914"/>
    <w:rsid w:val="00BA796D"/>
    <w:rsid w:val="00BA7A3C"/>
    <w:rsid w:val="00BA7A4A"/>
    <w:rsid w:val="00BA7A5C"/>
    <w:rsid w:val="00BA7B71"/>
    <w:rsid w:val="00BA7C5B"/>
    <w:rsid w:val="00BA7CBB"/>
    <w:rsid w:val="00BA7D34"/>
    <w:rsid w:val="00BA7E4E"/>
    <w:rsid w:val="00BA7E5E"/>
    <w:rsid w:val="00BA7F6A"/>
    <w:rsid w:val="00BB00E7"/>
    <w:rsid w:val="00BB0179"/>
    <w:rsid w:val="00BB0199"/>
    <w:rsid w:val="00BB01AC"/>
    <w:rsid w:val="00BB0466"/>
    <w:rsid w:val="00BB0503"/>
    <w:rsid w:val="00BB051A"/>
    <w:rsid w:val="00BB0554"/>
    <w:rsid w:val="00BB06A0"/>
    <w:rsid w:val="00BB0737"/>
    <w:rsid w:val="00BB0896"/>
    <w:rsid w:val="00BB0991"/>
    <w:rsid w:val="00BB09AD"/>
    <w:rsid w:val="00BB09B4"/>
    <w:rsid w:val="00BB0AA5"/>
    <w:rsid w:val="00BB0AE6"/>
    <w:rsid w:val="00BB0C7A"/>
    <w:rsid w:val="00BB0DB7"/>
    <w:rsid w:val="00BB0E37"/>
    <w:rsid w:val="00BB0F79"/>
    <w:rsid w:val="00BB1251"/>
    <w:rsid w:val="00BB1267"/>
    <w:rsid w:val="00BB1292"/>
    <w:rsid w:val="00BB1321"/>
    <w:rsid w:val="00BB135A"/>
    <w:rsid w:val="00BB14AA"/>
    <w:rsid w:val="00BB159B"/>
    <w:rsid w:val="00BB16DA"/>
    <w:rsid w:val="00BB1846"/>
    <w:rsid w:val="00BB1A36"/>
    <w:rsid w:val="00BB1C14"/>
    <w:rsid w:val="00BB1DBF"/>
    <w:rsid w:val="00BB1DCE"/>
    <w:rsid w:val="00BB1ED9"/>
    <w:rsid w:val="00BB202F"/>
    <w:rsid w:val="00BB21AC"/>
    <w:rsid w:val="00BB21D5"/>
    <w:rsid w:val="00BB21E3"/>
    <w:rsid w:val="00BB22CF"/>
    <w:rsid w:val="00BB23F2"/>
    <w:rsid w:val="00BB242D"/>
    <w:rsid w:val="00BB24FF"/>
    <w:rsid w:val="00BB267E"/>
    <w:rsid w:val="00BB28A8"/>
    <w:rsid w:val="00BB28FC"/>
    <w:rsid w:val="00BB2A40"/>
    <w:rsid w:val="00BB2D52"/>
    <w:rsid w:val="00BB2E79"/>
    <w:rsid w:val="00BB2F57"/>
    <w:rsid w:val="00BB2FB4"/>
    <w:rsid w:val="00BB310A"/>
    <w:rsid w:val="00BB319F"/>
    <w:rsid w:val="00BB31B6"/>
    <w:rsid w:val="00BB320A"/>
    <w:rsid w:val="00BB32E6"/>
    <w:rsid w:val="00BB32ED"/>
    <w:rsid w:val="00BB34C1"/>
    <w:rsid w:val="00BB34C6"/>
    <w:rsid w:val="00BB34EC"/>
    <w:rsid w:val="00BB3572"/>
    <w:rsid w:val="00BB35D3"/>
    <w:rsid w:val="00BB365D"/>
    <w:rsid w:val="00BB371A"/>
    <w:rsid w:val="00BB3926"/>
    <w:rsid w:val="00BB39A9"/>
    <w:rsid w:val="00BB39DF"/>
    <w:rsid w:val="00BB3A26"/>
    <w:rsid w:val="00BB3A75"/>
    <w:rsid w:val="00BB3B31"/>
    <w:rsid w:val="00BB3C1F"/>
    <w:rsid w:val="00BB3CC0"/>
    <w:rsid w:val="00BB3D2A"/>
    <w:rsid w:val="00BB3D61"/>
    <w:rsid w:val="00BB3E06"/>
    <w:rsid w:val="00BB3E19"/>
    <w:rsid w:val="00BB3ED2"/>
    <w:rsid w:val="00BB40EF"/>
    <w:rsid w:val="00BB4394"/>
    <w:rsid w:val="00BB448D"/>
    <w:rsid w:val="00BB4507"/>
    <w:rsid w:val="00BB4536"/>
    <w:rsid w:val="00BB469C"/>
    <w:rsid w:val="00BB4718"/>
    <w:rsid w:val="00BB4928"/>
    <w:rsid w:val="00BB4997"/>
    <w:rsid w:val="00BB4A4C"/>
    <w:rsid w:val="00BB4A58"/>
    <w:rsid w:val="00BB4C16"/>
    <w:rsid w:val="00BB4DA8"/>
    <w:rsid w:val="00BB4EE2"/>
    <w:rsid w:val="00BB4EFA"/>
    <w:rsid w:val="00BB4F39"/>
    <w:rsid w:val="00BB50A1"/>
    <w:rsid w:val="00BB5120"/>
    <w:rsid w:val="00BB531F"/>
    <w:rsid w:val="00BB53D7"/>
    <w:rsid w:val="00BB549E"/>
    <w:rsid w:val="00BB54EE"/>
    <w:rsid w:val="00BB5696"/>
    <w:rsid w:val="00BB5749"/>
    <w:rsid w:val="00BB59AB"/>
    <w:rsid w:val="00BB5AFC"/>
    <w:rsid w:val="00BB5B49"/>
    <w:rsid w:val="00BB5B8F"/>
    <w:rsid w:val="00BB5C08"/>
    <w:rsid w:val="00BB5C45"/>
    <w:rsid w:val="00BB5C5F"/>
    <w:rsid w:val="00BB5E47"/>
    <w:rsid w:val="00BB5F99"/>
    <w:rsid w:val="00BB6017"/>
    <w:rsid w:val="00BB606F"/>
    <w:rsid w:val="00BB6099"/>
    <w:rsid w:val="00BB61AE"/>
    <w:rsid w:val="00BB62B2"/>
    <w:rsid w:val="00BB62CF"/>
    <w:rsid w:val="00BB64D6"/>
    <w:rsid w:val="00BB65A8"/>
    <w:rsid w:val="00BB6602"/>
    <w:rsid w:val="00BB670F"/>
    <w:rsid w:val="00BB674F"/>
    <w:rsid w:val="00BB677E"/>
    <w:rsid w:val="00BB6796"/>
    <w:rsid w:val="00BB6831"/>
    <w:rsid w:val="00BB686C"/>
    <w:rsid w:val="00BB69CA"/>
    <w:rsid w:val="00BB6D7E"/>
    <w:rsid w:val="00BB7017"/>
    <w:rsid w:val="00BB70AE"/>
    <w:rsid w:val="00BB716D"/>
    <w:rsid w:val="00BB71A5"/>
    <w:rsid w:val="00BB71F0"/>
    <w:rsid w:val="00BB7341"/>
    <w:rsid w:val="00BB739C"/>
    <w:rsid w:val="00BB7480"/>
    <w:rsid w:val="00BB7486"/>
    <w:rsid w:val="00BB7563"/>
    <w:rsid w:val="00BB762F"/>
    <w:rsid w:val="00BB7651"/>
    <w:rsid w:val="00BB7685"/>
    <w:rsid w:val="00BB778D"/>
    <w:rsid w:val="00BB7838"/>
    <w:rsid w:val="00BB78B5"/>
    <w:rsid w:val="00BB7A5A"/>
    <w:rsid w:val="00BB7ADB"/>
    <w:rsid w:val="00BB7B4F"/>
    <w:rsid w:val="00BB7C66"/>
    <w:rsid w:val="00BB7D91"/>
    <w:rsid w:val="00BB7DF5"/>
    <w:rsid w:val="00BB7E1A"/>
    <w:rsid w:val="00BB7EB1"/>
    <w:rsid w:val="00BB7FCC"/>
    <w:rsid w:val="00BC0057"/>
    <w:rsid w:val="00BC0163"/>
    <w:rsid w:val="00BC0290"/>
    <w:rsid w:val="00BC0291"/>
    <w:rsid w:val="00BC0293"/>
    <w:rsid w:val="00BC0351"/>
    <w:rsid w:val="00BC03FD"/>
    <w:rsid w:val="00BC04F5"/>
    <w:rsid w:val="00BC05A0"/>
    <w:rsid w:val="00BC05B4"/>
    <w:rsid w:val="00BC063E"/>
    <w:rsid w:val="00BC0689"/>
    <w:rsid w:val="00BC0735"/>
    <w:rsid w:val="00BC0791"/>
    <w:rsid w:val="00BC08C0"/>
    <w:rsid w:val="00BC0981"/>
    <w:rsid w:val="00BC0ADC"/>
    <w:rsid w:val="00BC0B14"/>
    <w:rsid w:val="00BC0B60"/>
    <w:rsid w:val="00BC0BA0"/>
    <w:rsid w:val="00BC0CF1"/>
    <w:rsid w:val="00BC0D01"/>
    <w:rsid w:val="00BC0E4C"/>
    <w:rsid w:val="00BC0F86"/>
    <w:rsid w:val="00BC0FE8"/>
    <w:rsid w:val="00BC10AB"/>
    <w:rsid w:val="00BC10F9"/>
    <w:rsid w:val="00BC120C"/>
    <w:rsid w:val="00BC123D"/>
    <w:rsid w:val="00BC1285"/>
    <w:rsid w:val="00BC1297"/>
    <w:rsid w:val="00BC1371"/>
    <w:rsid w:val="00BC13BA"/>
    <w:rsid w:val="00BC13EF"/>
    <w:rsid w:val="00BC14B0"/>
    <w:rsid w:val="00BC1698"/>
    <w:rsid w:val="00BC1822"/>
    <w:rsid w:val="00BC182A"/>
    <w:rsid w:val="00BC18E2"/>
    <w:rsid w:val="00BC1A35"/>
    <w:rsid w:val="00BC1A7F"/>
    <w:rsid w:val="00BC1A8C"/>
    <w:rsid w:val="00BC1B0E"/>
    <w:rsid w:val="00BC1B6B"/>
    <w:rsid w:val="00BC1B82"/>
    <w:rsid w:val="00BC1B8A"/>
    <w:rsid w:val="00BC1BE1"/>
    <w:rsid w:val="00BC1C58"/>
    <w:rsid w:val="00BC1DFC"/>
    <w:rsid w:val="00BC1E97"/>
    <w:rsid w:val="00BC1EA7"/>
    <w:rsid w:val="00BC1ECF"/>
    <w:rsid w:val="00BC23C9"/>
    <w:rsid w:val="00BC23F2"/>
    <w:rsid w:val="00BC2426"/>
    <w:rsid w:val="00BC25A2"/>
    <w:rsid w:val="00BC2848"/>
    <w:rsid w:val="00BC28FA"/>
    <w:rsid w:val="00BC294D"/>
    <w:rsid w:val="00BC2B35"/>
    <w:rsid w:val="00BC2BE7"/>
    <w:rsid w:val="00BC2C4D"/>
    <w:rsid w:val="00BC2EB3"/>
    <w:rsid w:val="00BC2F32"/>
    <w:rsid w:val="00BC3153"/>
    <w:rsid w:val="00BC3169"/>
    <w:rsid w:val="00BC31FE"/>
    <w:rsid w:val="00BC32D4"/>
    <w:rsid w:val="00BC3347"/>
    <w:rsid w:val="00BC33B3"/>
    <w:rsid w:val="00BC352B"/>
    <w:rsid w:val="00BC3540"/>
    <w:rsid w:val="00BC35B8"/>
    <w:rsid w:val="00BC35E1"/>
    <w:rsid w:val="00BC36A0"/>
    <w:rsid w:val="00BC37D7"/>
    <w:rsid w:val="00BC38A2"/>
    <w:rsid w:val="00BC3AB7"/>
    <w:rsid w:val="00BC3B48"/>
    <w:rsid w:val="00BC3CB3"/>
    <w:rsid w:val="00BC3E10"/>
    <w:rsid w:val="00BC3E8E"/>
    <w:rsid w:val="00BC3F6E"/>
    <w:rsid w:val="00BC3F86"/>
    <w:rsid w:val="00BC3FC0"/>
    <w:rsid w:val="00BC4081"/>
    <w:rsid w:val="00BC41F9"/>
    <w:rsid w:val="00BC41FB"/>
    <w:rsid w:val="00BC4326"/>
    <w:rsid w:val="00BC43AA"/>
    <w:rsid w:val="00BC43D3"/>
    <w:rsid w:val="00BC43F8"/>
    <w:rsid w:val="00BC4469"/>
    <w:rsid w:val="00BC4569"/>
    <w:rsid w:val="00BC463B"/>
    <w:rsid w:val="00BC4695"/>
    <w:rsid w:val="00BC4761"/>
    <w:rsid w:val="00BC47F1"/>
    <w:rsid w:val="00BC47F5"/>
    <w:rsid w:val="00BC4856"/>
    <w:rsid w:val="00BC4A63"/>
    <w:rsid w:val="00BC4A85"/>
    <w:rsid w:val="00BC4B4D"/>
    <w:rsid w:val="00BC4D26"/>
    <w:rsid w:val="00BC4F00"/>
    <w:rsid w:val="00BC4F0B"/>
    <w:rsid w:val="00BC4FA4"/>
    <w:rsid w:val="00BC5076"/>
    <w:rsid w:val="00BC50A7"/>
    <w:rsid w:val="00BC5204"/>
    <w:rsid w:val="00BC5213"/>
    <w:rsid w:val="00BC525B"/>
    <w:rsid w:val="00BC5280"/>
    <w:rsid w:val="00BC5312"/>
    <w:rsid w:val="00BC535B"/>
    <w:rsid w:val="00BC5383"/>
    <w:rsid w:val="00BC54AB"/>
    <w:rsid w:val="00BC562B"/>
    <w:rsid w:val="00BC576E"/>
    <w:rsid w:val="00BC592B"/>
    <w:rsid w:val="00BC59A4"/>
    <w:rsid w:val="00BC5AAB"/>
    <w:rsid w:val="00BC5ACB"/>
    <w:rsid w:val="00BC5B0E"/>
    <w:rsid w:val="00BC5C08"/>
    <w:rsid w:val="00BC5C6F"/>
    <w:rsid w:val="00BC5C79"/>
    <w:rsid w:val="00BC5D24"/>
    <w:rsid w:val="00BC5D7C"/>
    <w:rsid w:val="00BC5E52"/>
    <w:rsid w:val="00BC5E97"/>
    <w:rsid w:val="00BC5EC0"/>
    <w:rsid w:val="00BC5F1B"/>
    <w:rsid w:val="00BC5FBB"/>
    <w:rsid w:val="00BC600D"/>
    <w:rsid w:val="00BC6325"/>
    <w:rsid w:val="00BC632D"/>
    <w:rsid w:val="00BC6431"/>
    <w:rsid w:val="00BC64A4"/>
    <w:rsid w:val="00BC64E4"/>
    <w:rsid w:val="00BC6653"/>
    <w:rsid w:val="00BC66C9"/>
    <w:rsid w:val="00BC6713"/>
    <w:rsid w:val="00BC6714"/>
    <w:rsid w:val="00BC6716"/>
    <w:rsid w:val="00BC67AC"/>
    <w:rsid w:val="00BC6983"/>
    <w:rsid w:val="00BC6BA7"/>
    <w:rsid w:val="00BC6DAD"/>
    <w:rsid w:val="00BC703C"/>
    <w:rsid w:val="00BC710A"/>
    <w:rsid w:val="00BC739A"/>
    <w:rsid w:val="00BC75F5"/>
    <w:rsid w:val="00BC7681"/>
    <w:rsid w:val="00BC781D"/>
    <w:rsid w:val="00BC79BE"/>
    <w:rsid w:val="00BC7A48"/>
    <w:rsid w:val="00BC7A82"/>
    <w:rsid w:val="00BC7B8A"/>
    <w:rsid w:val="00BC7BF4"/>
    <w:rsid w:val="00BC7C83"/>
    <w:rsid w:val="00BC7CA2"/>
    <w:rsid w:val="00BC7D1E"/>
    <w:rsid w:val="00BC7DB8"/>
    <w:rsid w:val="00BC7DC8"/>
    <w:rsid w:val="00BC7E1C"/>
    <w:rsid w:val="00BD00AD"/>
    <w:rsid w:val="00BD0108"/>
    <w:rsid w:val="00BD0195"/>
    <w:rsid w:val="00BD0246"/>
    <w:rsid w:val="00BD03D5"/>
    <w:rsid w:val="00BD03DE"/>
    <w:rsid w:val="00BD03F6"/>
    <w:rsid w:val="00BD044B"/>
    <w:rsid w:val="00BD0476"/>
    <w:rsid w:val="00BD05AA"/>
    <w:rsid w:val="00BD06A3"/>
    <w:rsid w:val="00BD06F6"/>
    <w:rsid w:val="00BD0725"/>
    <w:rsid w:val="00BD0739"/>
    <w:rsid w:val="00BD07B5"/>
    <w:rsid w:val="00BD09CD"/>
    <w:rsid w:val="00BD09CF"/>
    <w:rsid w:val="00BD0ABA"/>
    <w:rsid w:val="00BD0AE1"/>
    <w:rsid w:val="00BD0AFC"/>
    <w:rsid w:val="00BD0B54"/>
    <w:rsid w:val="00BD0D0D"/>
    <w:rsid w:val="00BD0EFC"/>
    <w:rsid w:val="00BD0F37"/>
    <w:rsid w:val="00BD0FE8"/>
    <w:rsid w:val="00BD0FEA"/>
    <w:rsid w:val="00BD1153"/>
    <w:rsid w:val="00BD1169"/>
    <w:rsid w:val="00BD122A"/>
    <w:rsid w:val="00BD1255"/>
    <w:rsid w:val="00BD127A"/>
    <w:rsid w:val="00BD1287"/>
    <w:rsid w:val="00BD12C5"/>
    <w:rsid w:val="00BD13C0"/>
    <w:rsid w:val="00BD1539"/>
    <w:rsid w:val="00BD1667"/>
    <w:rsid w:val="00BD1675"/>
    <w:rsid w:val="00BD16ED"/>
    <w:rsid w:val="00BD1773"/>
    <w:rsid w:val="00BD179E"/>
    <w:rsid w:val="00BD1974"/>
    <w:rsid w:val="00BD19B0"/>
    <w:rsid w:val="00BD1AFD"/>
    <w:rsid w:val="00BD1C23"/>
    <w:rsid w:val="00BD1C31"/>
    <w:rsid w:val="00BD1C92"/>
    <w:rsid w:val="00BD1D0F"/>
    <w:rsid w:val="00BD1DB5"/>
    <w:rsid w:val="00BD1EFB"/>
    <w:rsid w:val="00BD216A"/>
    <w:rsid w:val="00BD2190"/>
    <w:rsid w:val="00BD23E6"/>
    <w:rsid w:val="00BD24A6"/>
    <w:rsid w:val="00BD2547"/>
    <w:rsid w:val="00BD25A4"/>
    <w:rsid w:val="00BD26D9"/>
    <w:rsid w:val="00BD27E2"/>
    <w:rsid w:val="00BD2817"/>
    <w:rsid w:val="00BD2AB3"/>
    <w:rsid w:val="00BD2AD0"/>
    <w:rsid w:val="00BD2C62"/>
    <w:rsid w:val="00BD2D48"/>
    <w:rsid w:val="00BD2F30"/>
    <w:rsid w:val="00BD2F5C"/>
    <w:rsid w:val="00BD3197"/>
    <w:rsid w:val="00BD3291"/>
    <w:rsid w:val="00BD32E8"/>
    <w:rsid w:val="00BD351B"/>
    <w:rsid w:val="00BD3613"/>
    <w:rsid w:val="00BD363F"/>
    <w:rsid w:val="00BD3664"/>
    <w:rsid w:val="00BD3725"/>
    <w:rsid w:val="00BD375A"/>
    <w:rsid w:val="00BD3911"/>
    <w:rsid w:val="00BD3BDE"/>
    <w:rsid w:val="00BD3D56"/>
    <w:rsid w:val="00BD3D5D"/>
    <w:rsid w:val="00BD3DA4"/>
    <w:rsid w:val="00BD3DAA"/>
    <w:rsid w:val="00BD3DD6"/>
    <w:rsid w:val="00BD3E78"/>
    <w:rsid w:val="00BD3EE2"/>
    <w:rsid w:val="00BD3EE7"/>
    <w:rsid w:val="00BD3F12"/>
    <w:rsid w:val="00BD3F1B"/>
    <w:rsid w:val="00BD3F32"/>
    <w:rsid w:val="00BD4138"/>
    <w:rsid w:val="00BD41D3"/>
    <w:rsid w:val="00BD41EF"/>
    <w:rsid w:val="00BD43F6"/>
    <w:rsid w:val="00BD44BA"/>
    <w:rsid w:val="00BD4513"/>
    <w:rsid w:val="00BD4591"/>
    <w:rsid w:val="00BD462D"/>
    <w:rsid w:val="00BD465B"/>
    <w:rsid w:val="00BD48A0"/>
    <w:rsid w:val="00BD48D3"/>
    <w:rsid w:val="00BD493B"/>
    <w:rsid w:val="00BD4982"/>
    <w:rsid w:val="00BD498C"/>
    <w:rsid w:val="00BD4BB4"/>
    <w:rsid w:val="00BD4CDD"/>
    <w:rsid w:val="00BD4D96"/>
    <w:rsid w:val="00BD4DE0"/>
    <w:rsid w:val="00BD4E83"/>
    <w:rsid w:val="00BD4EE2"/>
    <w:rsid w:val="00BD4F15"/>
    <w:rsid w:val="00BD4F31"/>
    <w:rsid w:val="00BD4F80"/>
    <w:rsid w:val="00BD4FB5"/>
    <w:rsid w:val="00BD4FE5"/>
    <w:rsid w:val="00BD5052"/>
    <w:rsid w:val="00BD50DB"/>
    <w:rsid w:val="00BD50F8"/>
    <w:rsid w:val="00BD50FD"/>
    <w:rsid w:val="00BD5115"/>
    <w:rsid w:val="00BD5141"/>
    <w:rsid w:val="00BD51F2"/>
    <w:rsid w:val="00BD52F6"/>
    <w:rsid w:val="00BD5397"/>
    <w:rsid w:val="00BD53A7"/>
    <w:rsid w:val="00BD5403"/>
    <w:rsid w:val="00BD5575"/>
    <w:rsid w:val="00BD578B"/>
    <w:rsid w:val="00BD588D"/>
    <w:rsid w:val="00BD588E"/>
    <w:rsid w:val="00BD5890"/>
    <w:rsid w:val="00BD58C9"/>
    <w:rsid w:val="00BD5933"/>
    <w:rsid w:val="00BD5B44"/>
    <w:rsid w:val="00BD5B5B"/>
    <w:rsid w:val="00BD5D41"/>
    <w:rsid w:val="00BD5D48"/>
    <w:rsid w:val="00BD5EC4"/>
    <w:rsid w:val="00BD5F5E"/>
    <w:rsid w:val="00BD5FBC"/>
    <w:rsid w:val="00BD5FCC"/>
    <w:rsid w:val="00BD60EF"/>
    <w:rsid w:val="00BD6250"/>
    <w:rsid w:val="00BD62DA"/>
    <w:rsid w:val="00BD62F1"/>
    <w:rsid w:val="00BD633F"/>
    <w:rsid w:val="00BD6385"/>
    <w:rsid w:val="00BD6394"/>
    <w:rsid w:val="00BD648D"/>
    <w:rsid w:val="00BD65CD"/>
    <w:rsid w:val="00BD663E"/>
    <w:rsid w:val="00BD6799"/>
    <w:rsid w:val="00BD67A7"/>
    <w:rsid w:val="00BD6860"/>
    <w:rsid w:val="00BD68AD"/>
    <w:rsid w:val="00BD68B7"/>
    <w:rsid w:val="00BD68F6"/>
    <w:rsid w:val="00BD6964"/>
    <w:rsid w:val="00BD6B44"/>
    <w:rsid w:val="00BD6B4E"/>
    <w:rsid w:val="00BD6C00"/>
    <w:rsid w:val="00BD6C12"/>
    <w:rsid w:val="00BD6DFB"/>
    <w:rsid w:val="00BD6E0D"/>
    <w:rsid w:val="00BD6E27"/>
    <w:rsid w:val="00BD6E64"/>
    <w:rsid w:val="00BD6E8C"/>
    <w:rsid w:val="00BD6F61"/>
    <w:rsid w:val="00BD704B"/>
    <w:rsid w:val="00BD7070"/>
    <w:rsid w:val="00BD70A1"/>
    <w:rsid w:val="00BD711E"/>
    <w:rsid w:val="00BD729C"/>
    <w:rsid w:val="00BD7336"/>
    <w:rsid w:val="00BD7559"/>
    <w:rsid w:val="00BD758E"/>
    <w:rsid w:val="00BD759A"/>
    <w:rsid w:val="00BD7609"/>
    <w:rsid w:val="00BD7BBE"/>
    <w:rsid w:val="00BD7DBD"/>
    <w:rsid w:val="00BD7DF4"/>
    <w:rsid w:val="00BD7E39"/>
    <w:rsid w:val="00BD7E90"/>
    <w:rsid w:val="00BD7EC7"/>
    <w:rsid w:val="00BE001D"/>
    <w:rsid w:val="00BE0057"/>
    <w:rsid w:val="00BE014D"/>
    <w:rsid w:val="00BE02A0"/>
    <w:rsid w:val="00BE03CA"/>
    <w:rsid w:val="00BE042B"/>
    <w:rsid w:val="00BE046A"/>
    <w:rsid w:val="00BE04B2"/>
    <w:rsid w:val="00BE058E"/>
    <w:rsid w:val="00BE063C"/>
    <w:rsid w:val="00BE08B1"/>
    <w:rsid w:val="00BE08FF"/>
    <w:rsid w:val="00BE0A2D"/>
    <w:rsid w:val="00BE0B5C"/>
    <w:rsid w:val="00BE0B65"/>
    <w:rsid w:val="00BE0BBA"/>
    <w:rsid w:val="00BE0BC3"/>
    <w:rsid w:val="00BE0C42"/>
    <w:rsid w:val="00BE0C6D"/>
    <w:rsid w:val="00BE0CAF"/>
    <w:rsid w:val="00BE0CDB"/>
    <w:rsid w:val="00BE0E77"/>
    <w:rsid w:val="00BE1050"/>
    <w:rsid w:val="00BE1169"/>
    <w:rsid w:val="00BE11E6"/>
    <w:rsid w:val="00BE12F3"/>
    <w:rsid w:val="00BE1332"/>
    <w:rsid w:val="00BE1459"/>
    <w:rsid w:val="00BE1502"/>
    <w:rsid w:val="00BE1556"/>
    <w:rsid w:val="00BE15E4"/>
    <w:rsid w:val="00BE164A"/>
    <w:rsid w:val="00BE1773"/>
    <w:rsid w:val="00BE1807"/>
    <w:rsid w:val="00BE19CF"/>
    <w:rsid w:val="00BE1A6F"/>
    <w:rsid w:val="00BE1AB0"/>
    <w:rsid w:val="00BE1BEA"/>
    <w:rsid w:val="00BE1CBE"/>
    <w:rsid w:val="00BE1D08"/>
    <w:rsid w:val="00BE1D7C"/>
    <w:rsid w:val="00BE1DE4"/>
    <w:rsid w:val="00BE1F07"/>
    <w:rsid w:val="00BE2006"/>
    <w:rsid w:val="00BE223F"/>
    <w:rsid w:val="00BE2274"/>
    <w:rsid w:val="00BE22B8"/>
    <w:rsid w:val="00BE24A6"/>
    <w:rsid w:val="00BE24F3"/>
    <w:rsid w:val="00BE24F8"/>
    <w:rsid w:val="00BE2524"/>
    <w:rsid w:val="00BE282E"/>
    <w:rsid w:val="00BE2B49"/>
    <w:rsid w:val="00BE2B7B"/>
    <w:rsid w:val="00BE2C7A"/>
    <w:rsid w:val="00BE2C85"/>
    <w:rsid w:val="00BE2D4D"/>
    <w:rsid w:val="00BE2ED5"/>
    <w:rsid w:val="00BE2F88"/>
    <w:rsid w:val="00BE2FE3"/>
    <w:rsid w:val="00BE3164"/>
    <w:rsid w:val="00BE3192"/>
    <w:rsid w:val="00BE31D2"/>
    <w:rsid w:val="00BE31EC"/>
    <w:rsid w:val="00BE34C7"/>
    <w:rsid w:val="00BE3660"/>
    <w:rsid w:val="00BE367B"/>
    <w:rsid w:val="00BE36A7"/>
    <w:rsid w:val="00BE373E"/>
    <w:rsid w:val="00BE3777"/>
    <w:rsid w:val="00BE37EA"/>
    <w:rsid w:val="00BE38E4"/>
    <w:rsid w:val="00BE3969"/>
    <w:rsid w:val="00BE3C0D"/>
    <w:rsid w:val="00BE3D40"/>
    <w:rsid w:val="00BE3D41"/>
    <w:rsid w:val="00BE3D6E"/>
    <w:rsid w:val="00BE3DA2"/>
    <w:rsid w:val="00BE3E95"/>
    <w:rsid w:val="00BE3FE1"/>
    <w:rsid w:val="00BE4027"/>
    <w:rsid w:val="00BE41EA"/>
    <w:rsid w:val="00BE4215"/>
    <w:rsid w:val="00BE42AD"/>
    <w:rsid w:val="00BE4385"/>
    <w:rsid w:val="00BE4535"/>
    <w:rsid w:val="00BE4556"/>
    <w:rsid w:val="00BE4642"/>
    <w:rsid w:val="00BE4792"/>
    <w:rsid w:val="00BE4806"/>
    <w:rsid w:val="00BE482A"/>
    <w:rsid w:val="00BE483C"/>
    <w:rsid w:val="00BE48AE"/>
    <w:rsid w:val="00BE49DB"/>
    <w:rsid w:val="00BE4B41"/>
    <w:rsid w:val="00BE4B69"/>
    <w:rsid w:val="00BE4BA0"/>
    <w:rsid w:val="00BE4CD7"/>
    <w:rsid w:val="00BE4E09"/>
    <w:rsid w:val="00BE4E90"/>
    <w:rsid w:val="00BE4EA1"/>
    <w:rsid w:val="00BE4F62"/>
    <w:rsid w:val="00BE5050"/>
    <w:rsid w:val="00BE5108"/>
    <w:rsid w:val="00BE527D"/>
    <w:rsid w:val="00BE5391"/>
    <w:rsid w:val="00BE5444"/>
    <w:rsid w:val="00BE547F"/>
    <w:rsid w:val="00BE5828"/>
    <w:rsid w:val="00BE58C9"/>
    <w:rsid w:val="00BE5967"/>
    <w:rsid w:val="00BE5AB5"/>
    <w:rsid w:val="00BE5B65"/>
    <w:rsid w:val="00BE5BDD"/>
    <w:rsid w:val="00BE5C9F"/>
    <w:rsid w:val="00BE5CED"/>
    <w:rsid w:val="00BE5DB0"/>
    <w:rsid w:val="00BE5EFA"/>
    <w:rsid w:val="00BE5F1A"/>
    <w:rsid w:val="00BE5FF0"/>
    <w:rsid w:val="00BE60F7"/>
    <w:rsid w:val="00BE62E7"/>
    <w:rsid w:val="00BE6314"/>
    <w:rsid w:val="00BE6433"/>
    <w:rsid w:val="00BE647D"/>
    <w:rsid w:val="00BE6489"/>
    <w:rsid w:val="00BE664C"/>
    <w:rsid w:val="00BE67AA"/>
    <w:rsid w:val="00BE69CF"/>
    <w:rsid w:val="00BE6A4B"/>
    <w:rsid w:val="00BE6AA1"/>
    <w:rsid w:val="00BE6B11"/>
    <w:rsid w:val="00BE6E02"/>
    <w:rsid w:val="00BE6F65"/>
    <w:rsid w:val="00BE701B"/>
    <w:rsid w:val="00BE70B6"/>
    <w:rsid w:val="00BE71CA"/>
    <w:rsid w:val="00BE7251"/>
    <w:rsid w:val="00BE7348"/>
    <w:rsid w:val="00BE737F"/>
    <w:rsid w:val="00BE7394"/>
    <w:rsid w:val="00BE752D"/>
    <w:rsid w:val="00BE764E"/>
    <w:rsid w:val="00BE76C1"/>
    <w:rsid w:val="00BE77E7"/>
    <w:rsid w:val="00BE78AB"/>
    <w:rsid w:val="00BE78AC"/>
    <w:rsid w:val="00BE7A0A"/>
    <w:rsid w:val="00BE7A77"/>
    <w:rsid w:val="00BE7A90"/>
    <w:rsid w:val="00BE7C49"/>
    <w:rsid w:val="00BE7C5D"/>
    <w:rsid w:val="00BE7CCC"/>
    <w:rsid w:val="00BE7CD6"/>
    <w:rsid w:val="00BE7D3E"/>
    <w:rsid w:val="00BE7D88"/>
    <w:rsid w:val="00BE7DCE"/>
    <w:rsid w:val="00BE7DE1"/>
    <w:rsid w:val="00BE7ED3"/>
    <w:rsid w:val="00BF0055"/>
    <w:rsid w:val="00BF0063"/>
    <w:rsid w:val="00BF01E9"/>
    <w:rsid w:val="00BF0205"/>
    <w:rsid w:val="00BF0297"/>
    <w:rsid w:val="00BF02F0"/>
    <w:rsid w:val="00BF034F"/>
    <w:rsid w:val="00BF040B"/>
    <w:rsid w:val="00BF0445"/>
    <w:rsid w:val="00BF06A5"/>
    <w:rsid w:val="00BF06C1"/>
    <w:rsid w:val="00BF06E2"/>
    <w:rsid w:val="00BF0705"/>
    <w:rsid w:val="00BF07E1"/>
    <w:rsid w:val="00BF0829"/>
    <w:rsid w:val="00BF0A03"/>
    <w:rsid w:val="00BF0B58"/>
    <w:rsid w:val="00BF0BAD"/>
    <w:rsid w:val="00BF0C1A"/>
    <w:rsid w:val="00BF0E76"/>
    <w:rsid w:val="00BF0F2E"/>
    <w:rsid w:val="00BF0F38"/>
    <w:rsid w:val="00BF0F72"/>
    <w:rsid w:val="00BF0FED"/>
    <w:rsid w:val="00BF1161"/>
    <w:rsid w:val="00BF11CD"/>
    <w:rsid w:val="00BF1262"/>
    <w:rsid w:val="00BF12C1"/>
    <w:rsid w:val="00BF1387"/>
    <w:rsid w:val="00BF13B3"/>
    <w:rsid w:val="00BF13B4"/>
    <w:rsid w:val="00BF154D"/>
    <w:rsid w:val="00BF1559"/>
    <w:rsid w:val="00BF1710"/>
    <w:rsid w:val="00BF182C"/>
    <w:rsid w:val="00BF188F"/>
    <w:rsid w:val="00BF18DC"/>
    <w:rsid w:val="00BF18E8"/>
    <w:rsid w:val="00BF1AE7"/>
    <w:rsid w:val="00BF1B43"/>
    <w:rsid w:val="00BF1B75"/>
    <w:rsid w:val="00BF1CDE"/>
    <w:rsid w:val="00BF1D7C"/>
    <w:rsid w:val="00BF1E09"/>
    <w:rsid w:val="00BF1F2B"/>
    <w:rsid w:val="00BF1F5A"/>
    <w:rsid w:val="00BF1F9B"/>
    <w:rsid w:val="00BF208B"/>
    <w:rsid w:val="00BF2277"/>
    <w:rsid w:val="00BF22BC"/>
    <w:rsid w:val="00BF238F"/>
    <w:rsid w:val="00BF23EF"/>
    <w:rsid w:val="00BF2457"/>
    <w:rsid w:val="00BF247C"/>
    <w:rsid w:val="00BF2587"/>
    <w:rsid w:val="00BF25BA"/>
    <w:rsid w:val="00BF2646"/>
    <w:rsid w:val="00BF26B4"/>
    <w:rsid w:val="00BF26D3"/>
    <w:rsid w:val="00BF26FE"/>
    <w:rsid w:val="00BF27A5"/>
    <w:rsid w:val="00BF2AB5"/>
    <w:rsid w:val="00BF2B8C"/>
    <w:rsid w:val="00BF2B95"/>
    <w:rsid w:val="00BF2BDE"/>
    <w:rsid w:val="00BF2D04"/>
    <w:rsid w:val="00BF2E3F"/>
    <w:rsid w:val="00BF2E58"/>
    <w:rsid w:val="00BF2EA6"/>
    <w:rsid w:val="00BF314F"/>
    <w:rsid w:val="00BF32FF"/>
    <w:rsid w:val="00BF34F6"/>
    <w:rsid w:val="00BF350C"/>
    <w:rsid w:val="00BF367F"/>
    <w:rsid w:val="00BF36FB"/>
    <w:rsid w:val="00BF3775"/>
    <w:rsid w:val="00BF37DA"/>
    <w:rsid w:val="00BF381F"/>
    <w:rsid w:val="00BF386F"/>
    <w:rsid w:val="00BF39E2"/>
    <w:rsid w:val="00BF39ED"/>
    <w:rsid w:val="00BF3A3F"/>
    <w:rsid w:val="00BF3A79"/>
    <w:rsid w:val="00BF3BD3"/>
    <w:rsid w:val="00BF3C64"/>
    <w:rsid w:val="00BF3D86"/>
    <w:rsid w:val="00BF4172"/>
    <w:rsid w:val="00BF41D3"/>
    <w:rsid w:val="00BF4216"/>
    <w:rsid w:val="00BF4218"/>
    <w:rsid w:val="00BF424B"/>
    <w:rsid w:val="00BF430A"/>
    <w:rsid w:val="00BF4455"/>
    <w:rsid w:val="00BF4542"/>
    <w:rsid w:val="00BF46B8"/>
    <w:rsid w:val="00BF47B1"/>
    <w:rsid w:val="00BF4812"/>
    <w:rsid w:val="00BF489E"/>
    <w:rsid w:val="00BF48BE"/>
    <w:rsid w:val="00BF48EB"/>
    <w:rsid w:val="00BF493F"/>
    <w:rsid w:val="00BF496C"/>
    <w:rsid w:val="00BF4A3E"/>
    <w:rsid w:val="00BF4A43"/>
    <w:rsid w:val="00BF4BAA"/>
    <w:rsid w:val="00BF4CE5"/>
    <w:rsid w:val="00BF4D63"/>
    <w:rsid w:val="00BF5016"/>
    <w:rsid w:val="00BF522A"/>
    <w:rsid w:val="00BF5304"/>
    <w:rsid w:val="00BF5378"/>
    <w:rsid w:val="00BF54E8"/>
    <w:rsid w:val="00BF57A6"/>
    <w:rsid w:val="00BF57C7"/>
    <w:rsid w:val="00BF57E7"/>
    <w:rsid w:val="00BF5A43"/>
    <w:rsid w:val="00BF5ACD"/>
    <w:rsid w:val="00BF5BCB"/>
    <w:rsid w:val="00BF5C14"/>
    <w:rsid w:val="00BF5C75"/>
    <w:rsid w:val="00BF5CEC"/>
    <w:rsid w:val="00BF5DDC"/>
    <w:rsid w:val="00BF5E12"/>
    <w:rsid w:val="00BF5EB2"/>
    <w:rsid w:val="00BF5F0C"/>
    <w:rsid w:val="00BF5F52"/>
    <w:rsid w:val="00BF5F9D"/>
    <w:rsid w:val="00BF6104"/>
    <w:rsid w:val="00BF6112"/>
    <w:rsid w:val="00BF612E"/>
    <w:rsid w:val="00BF620E"/>
    <w:rsid w:val="00BF625E"/>
    <w:rsid w:val="00BF63A7"/>
    <w:rsid w:val="00BF649D"/>
    <w:rsid w:val="00BF6937"/>
    <w:rsid w:val="00BF6A81"/>
    <w:rsid w:val="00BF6BFF"/>
    <w:rsid w:val="00BF6C21"/>
    <w:rsid w:val="00BF6C76"/>
    <w:rsid w:val="00BF6CBA"/>
    <w:rsid w:val="00BF6DA1"/>
    <w:rsid w:val="00BF6E1A"/>
    <w:rsid w:val="00BF6E61"/>
    <w:rsid w:val="00BF7016"/>
    <w:rsid w:val="00BF703A"/>
    <w:rsid w:val="00BF705F"/>
    <w:rsid w:val="00BF70EC"/>
    <w:rsid w:val="00BF70F6"/>
    <w:rsid w:val="00BF715E"/>
    <w:rsid w:val="00BF738C"/>
    <w:rsid w:val="00BF7415"/>
    <w:rsid w:val="00BF741F"/>
    <w:rsid w:val="00BF74B1"/>
    <w:rsid w:val="00BF750A"/>
    <w:rsid w:val="00BF7532"/>
    <w:rsid w:val="00BF75C5"/>
    <w:rsid w:val="00BF76F4"/>
    <w:rsid w:val="00BF7728"/>
    <w:rsid w:val="00BF7767"/>
    <w:rsid w:val="00BF7773"/>
    <w:rsid w:val="00BF7946"/>
    <w:rsid w:val="00BF7961"/>
    <w:rsid w:val="00BF7968"/>
    <w:rsid w:val="00BF7A2B"/>
    <w:rsid w:val="00BF7ACF"/>
    <w:rsid w:val="00BF7B19"/>
    <w:rsid w:val="00BF7B1F"/>
    <w:rsid w:val="00BF7C50"/>
    <w:rsid w:val="00BF7E17"/>
    <w:rsid w:val="00BF7EA1"/>
    <w:rsid w:val="00BF7F77"/>
    <w:rsid w:val="00C0011C"/>
    <w:rsid w:val="00C00135"/>
    <w:rsid w:val="00C00156"/>
    <w:rsid w:val="00C00321"/>
    <w:rsid w:val="00C003AD"/>
    <w:rsid w:val="00C0055F"/>
    <w:rsid w:val="00C005CD"/>
    <w:rsid w:val="00C006A7"/>
    <w:rsid w:val="00C006D5"/>
    <w:rsid w:val="00C007C1"/>
    <w:rsid w:val="00C008C6"/>
    <w:rsid w:val="00C00987"/>
    <w:rsid w:val="00C00998"/>
    <w:rsid w:val="00C009A7"/>
    <w:rsid w:val="00C009AA"/>
    <w:rsid w:val="00C00A3C"/>
    <w:rsid w:val="00C00A99"/>
    <w:rsid w:val="00C00B5C"/>
    <w:rsid w:val="00C00D44"/>
    <w:rsid w:val="00C00EF8"/>
    <w:rsid w:val="00C00F91"/>
    <w:rsid w:val="00C00FA1"/>
    <w:rsid w:val="00C01225"/>
    <w:rsid w:val="00C012B8"/>
    <w:rsid w:val="00C01337"/>
    <w:rsid w:val="00C01364"/>
    <w:rsid w:val="00C01370"/>
    <w:rsid w:val="00C01377"/>
    <w:rsid w:val="00C013C8"/>
    <w:rsid w:val="00C0142C"/>
    <w:rsid w:val="00C014E9"/>
    <w:rsid w:val="00C016DE"/>
    <w:rsid w:val="00C0180C"/>
    <w:rsid w:val="00C018C8"/>
    <w:rsid w:val="00C0190E"/>
    <w:rsid w:val="00C0197A"/>
    <w:rsid w:val="00C01A50"/>
    <w:rsid w:val="00C01AC2"/>
    <w:rsid w:val="00C01D6C"/>
    <w:rsid w:val="00C01DC7"/>
    <w:rsid w:val="00C020FD"/>
    <w:rsid w:val="00C021A5"/>
    <w:rsid w:val="00C02233"/>
    <w:rsid w:val="00C0223D"/>
    <w:rsid w:val="00C02317"/>
    <w:rsid w:val="00C0235B"/>
    <w:rsid w:val="00C0237C"/>
    <w:rsid w:val="00C0238E"/>
    <w:rsid w:val="00C02505"/>
    <w:rsid w:val="00C025BB"/>
    <w:rsid w:val="00C02692"/>
    <w:rsid w:val="00C02765"/>
    <w:rsid w:val="00C02809"/>
    <w:rsid w:val="00C02824"/>
    <w:rsid w:val="00C02925"/>
    <w:rsid w:val="00C0292D"/>
    <w:rsid w:val="00C02A07"/>
    <w:rsid w:val="00C02A1B"/>
    <w:rsid w:val="00C02A8B"/>
    <w:rsid w:val="00C02AB0"/>
    <w:rsid w:val="00C02AB1"/>
    <w:rsid w:val="00C02B63"/>
    <w:rsid w:val="00C02BE4"/>
    <w:rsid w:val="00C02D50"/>
    <w:rsid w:val="00C02D76"/>
    <w:rsid w:val="00C02DC5"/>
    <w:rsid w:val="00C02E1B"/>
    <w:rsid w:val="00C02F08"/>
    <w:rsid w:val="00C02F1B"/>
    <w:rsid w:val="00C02F97"/>
    <w:rsid w:val="00C03081"/>
    <w:rsid w:val="00C030B2"/>
    <w:rsid w:val="00C030D9"/>
    <w:rsid w:val="00C030E9"/>
    <w:rsid w:val="00C031B1"/>
    <w:rsid w:val="00C032B5"/>
    <w:rsid w:val="00C033FE"/>
    <w:rsid w:val="00C036B2"/>
    <w:rsid w:val="00C036CC"/>
    <w:rsid w:val="00C0372C"/>
    <w:rsid w:val="00C037AB"/>
    <w:rsid w:val="00C037B9"/>
    <w:rsid w:val="00C037DF"/>
    <w:rsid w:val="00C0384E"/>
    <w:rsid w:val="00C038C4"/>
    <w:rsid w:val="00C039A2"/>
    <w:rsid w:val="00C039F6"/>
    <w:rsid w:val="00C03A33"/>
    <w:rsid w:val="00C03AF9"/>
    <w:rsid w:val="00C03C57"/>
    <w:rsid w:val="00C03CD4"/>
    <w:rsid w:val="00C03ECB"/>
    <w:rsid w:val="00C03F70"/>
    <w:rsid w:val="00C03FB3"/>
    <w:rsid w:val="00C0403E"/>
    <w:rsid w:val="00C0404C"/>
    <w:rsid w:val="00C04092"/>
    <w:rsid w:val="00C040B3"/>
    <w:rsid w:val="00C040CC"/>
    <w:rsid w:val="00C04162"/>
    <w:rsid w:val="00C04252"/>
    <w:rsid w:val="00C042A1"/>
    <w:rsid w:val="00C042CA"/>
    <w:rsid w:val="00C04453"/>
    <w:rsid w:val="00C045D2"/>
    <w:rsid w:val="00C047A8"/>
    <w:rsid w:val="00C047D5"/>
    <w:rsid w:val="00C04914"/>
    <w:rsid w:val="00C0494B"/>
    <w:rsid w:val="00C049D4"/>
    <w:rsid w:val="00C04AAF"/>
    <w:rsid w:val="00C04B48"/>
    <w:rsid w:val="00C04D2E"/>
    <w:rsid w:val="00C04F20"/>
    <w:rsid w:val="00C04F7C"/>
    <w:rsid w:val="00C05042"/>
    <w:rsid w:val="00C05094"/>
    <w:rsid w:val="00C051B5"/>
    <w:rsid w:val="00C0535B"/>
    <w:rsid w:val="00C054F9"/>
    <w:rsid w:val="00C05572"/>
    <w:rsid w:val="00C055A7"/>
    <w:rsid w:val="00C055BD"/>
    <w:rsid w:val="00C056F8"/>
    <w:rsid w:val="00C057C2"/>
    <w:rsid w:val="00C0590C"/>
    <w:rsid w:val="00C05C41"/>
    <w:rsid w:val="00C05CDF"/>
    <w:rsid w:val="00C0606A"/>
    <w:rsid w:val="00C06170"/>
    <w:rsid w:val="00C061BD"/>
    <w:rsid w:val="00C061BE"/>
    <w:rsid w:val="00C06269"/>
    <w:rsid w:val="00C0629D"/>
    <w:rsid w:val="00C062EF"/>
    <w:rsid w:val="00C06346"/>
    <w:rsid w:val="00C06448"/>
    <w:rsid w:val="00C064F5"/>
    <w:rsid w:val="00C06510"/>
    <w:rsid w:val="00C06687"/>
    <w:rsid w:val="00C06740"/>
    <w:rsid w:val="00C06772"/>
    <w:rsid w:val="00C0677E"/>
    <w:rsid w:val="00C067EE"/>
    <w:rsid w:val="00C068A7"/>
    <w:rsid w:val="00C06977"/>
    <w:rsid w:val="00C0697E"/>
    <w:rsid w:val="00C06989"/>
    <w:rsid w:val="00C0699D"/>
    <w:rsid w:val="00C06D9B"/>
    <w:rsid w:val="00C06F40"/>
    <w:rsid w:val="00C070F7"/>
    <w:rsid w:val="00C071C2"/>
    <w:rsid w:val="00C071E9"/>
    <w:rsid w:val="00C07397"/>
    <w:rsid w:val="00C0742C"/>
    <w:rsid w:val="00C07535"/>
    <w:rsid w:val="00C07667"/>
    <w:rsid w:val="00C07669"/>
    <w:rsid w:val="00C0781D"/>
    <w:rsid w:val="00C078CB"/>
    <w:rsid w:val="00C0792A"/>
    <w:rsid w:val="00C07995"/>
    <w:rsid w:val="00C07C5D"/>
    <w:rsid w:val="00C07D3C"/>
    <w:rsid w:val="00C07EA3"/>
    <w:rsid w:val="00C07EFE"/>
    <w:rsid w:val="00C07F09"/>
    <w:rsid w:val="00C1009C"/>
    <w:rsid w:val="00C100CC"/>
    <w:rsid w:val="00C10109"/>
    <w:rsid w:val="00C10298"/>
    <w:rsid w:val="00C104A4"/>
    <w:rsid w:val="00C104B7"/>
    <w:rsid w:val="00C10519"/>
    <w:rsid w:val="00C10592"/>
    <w:rsid w:val="00C107B5"/>
    <w:rsid w:val="00C10809"/>
    <w:rsid w:val="00C10982"/>
    <w:rsid w:val="00C10A16"/>
    <w:rsid w:val="00C10B6B"/>
    <w:rsid w:val="00C10D2D"/>
    <w:rsid w:val="00C10D2F"/>
    <w:rsid w:val="00C10EBA"/>
    <w:rsid w:val="00C10EFD"/>
    <w:rsid w:val="00C11070"/>
    <w:rsid w:val="00C11153"/>
    <w:rsid w:val="00C11184"/>
    <w:rsid w:val="00C11269"/>
    <w:rsid w:val="00C11284"/>
    <w:rsid w:val="00C112DA"/>
    <w:rsid w:val="00C112F6"/>
    <w:rsid w:val="00C114E9"/>
    <w:rsid w:val="00C11751"/>
    <w:rsid w:val="00C1179A"/>
    <w:rsid w:val="00C11824"/>
    <w:rsid w:val="00C119E3"/>
    <w:rsid w:val="00C11B23"/>
    <w:rsid w:val="00C11CDB"/>
    <w:rsid w:val="00C11E17"/>
    <w:rsid w:val="00C11EEA"/>
    <w:rsid w:val="00C11EF3"/>
    <w:rsid w:val="00C12123"/>
    <w:rsid w:val="00C12165"/>
    <w:rsid w:val="00C121D8"/>
    <w:rsid w:val="00C12246"/>
    <w:rsid w:val="00C1226D"/>
    <w:rsid w:val="00C12310"/>
    <w:rsid w:val="00C1240C"/>
    <w:rsid w:val="00C12576"/>
    <w:rsid w:val="00C125CC"/>
    <w:rsid w:val="00C1283D"/>
    <w:rsid w:val="00C12866"/>
    <w:rsid w:val="00C128B3"/>
    <w:rsid w:val="00C128B5"/>
    <w:rsid w:val="00C1290B"/>
    <w:rsid w:val="00C12B2E"/>
    <w:rsid w:val="00C12B6E"/>
    <w:rsid w:val="00C12C27"/>
    <w:rsid w:val="00C12D67"/>
    <w:rsid w:val="00C12E49"/>
    <w:rsid w:val="00C12EC1"/>
    <w:rsid w:val="00C12ECF"/>
    <w:rsid w:val="00C12ED1"/>
    <w:rsid w:val="00C13059"/>
    <w:rsid w:val="00C1310A"/>
    <w:rsid w:val="00C13167"/>
    <w:rsid w:val="00C131F4"/>
    <w:rsid w:val="00C132A9"/>
    <w:rsid w:val="00C133FE"/>
    <w:rsid w:val="00C13450"/>
    <w:rsid w:val="00C13697"/>
    <w:rsid w:val="00C1372E"/>
    <w:rsid w:val="00C13747"/>
    <w:rsid w:val="00C1376E"/>
    <w:rsid w:val="00C13811"/>
    <w:rsid w:val="00C138F3"/>
    <w:rsid w:val="00C139A4"/>
    <w:rsid w:val="00C139BA"/>
    <w:rsid w:val="00C13A54"/>
    <w:rsid w:val="00C13B7C"/>
    <w:rsid w:val="00C13BB7"/>
    <w:rsid w:val="00C13BDD"/>
    <w:rsid w:val="00C13C76"/>
    <w:rsid w:val="00C13D0D"/>
    <w:rsid w:val="00C13D3B"/>
    <w:rsid w:val="00C13DFA"/>
    <w:rsid w:val="00C1417A"/>
    <w:rsid w:val="00C141CA"/>
    <w:rsid w:val="00C1428D"/>
    <w:rsid w:val="00C144A8"/>
    <w:rsid w:val="00C144B9"/>
    <w:rsid w:val="00C14568"/>
    <w:rsid w:val="00C145DF"/>
    <w:rsid w:val="00C146AB"/>
    <w:rsid w:val="00C146BC"/>
    <w:rsid w:val="00C147C5"/>
    <w:rsid w:val="00C147D9"/>
    <w:rsid w:val="00C148AE"/>
    <w:rsid w:val="00C148F4"/>
    <w:rsid w:val="00C14ACF"/>
    <w:rsid w:val="00C14BE5"/>
    <w:rsid w:val="00C14C16"/>
    <w:rsid w:val="00C14D9F"/>
    <w:rsid w:val="00C1520E"/>
    <w:rsid w:val="00C152A0"/>
    <w:rsid w:val="00C152CC"/>
    <w:rsid w:val="00C1545F"/>
    <w:rsid w:val="00C154EE"/>
    <w:rsid w:val="00C15679"/>
    <w:rsid w:val="00C15738"/>
    <w:rsid w:val="00C1582B"/>
    <w:rsid w:val="00C159B4"/>
    <w:rsid w:val="00C15BE4"/>
    <w:rsid w:val="00C15CD7"/>
    <w:rsid w:val="00C15D0D"/>
    <w:rsid w:val="00C15DF9"/>
    <w:rsid w:val="00C15FCA"/>
    <w:rsid w:val="00C1602A"/>
    <w:rsid w:val="00C1602F"/>
    <w:rsid w:val="00C1624E"/>
    <w:rsid w:val="00C162A3"/>
    <w:rsid w:val="00C1637C"/>
    <w:rsid w:val="00C164C6"/>
    <w:rsid w:val="00C164F5"/>
    <w:rsid w:val="00C16580"/>
    <w:rsid w:val="00C165B1"/>
    <w:rsid w:val="00C16627"/>
    <w:rsid w:val="00C1665C"/>
    <w:rsid w:val="00C167B5"/>
    <w:rsid w:val="00C167CD"/>
    <w:rsid w:val="00C167D5"/>
    <w:rsid w:val="00C167FA"/>
    <w:rsid w:val="00C16873"/>
    <w:rsid w:val="00C1687E"/>
    <w:rsid w:val="00C1691F"/>
    <w:rsid w:val="00C1694F"/>
    <w:rsid w:val="00C169F7"/>
    <w:rsid w:val="00C16BB7"/>
    <w:rsid w:val="00C16C65"/>
    <w:rsid w:val="00C16D03"/>
    <w:rsid w:val="00C16D3D"/>
    <w:rsid w:val="00C170F5"/>
    <w:rsid w:val="00C17166"/>
    <w:rsid w:val="00C1722B"/>
    <w:rsid w:val="00C172F8"/>
    <w:rsid w:val="00C172FB"/>
    <w:rsid w:val="00C173AD"/>
    <w:rsid w:val="00C173F0"/>
    <w:rsid w:val="00C1747E"/>
    <w:rsid w:val="00C17525"/>
    <w:rsid w:val="00C175BB"/>
    <w:rsid w:val="00C17634"/>
    <w:rsid w:val="00C17641"/>
    <w:rsid w:val="00C17714"/>
    <w:rsid w:val="00C17730"/>
    <w:rsid w:val="00C17865"/>
    <w:rsid w:val="00C17B3D"/>
    <w:rsid w:val="00C17B62"/>
    <w:rsid w:val="00C17B8C"/>
    <w:rsid w:val="00C17E52"/>
    <w:rsid w:val="00C17E99"/>
    <w:rsid w:val="00C20132"/>
    <w:rsid w:val="00C2049F"/>
    <w:rsid w:val="00C204AF"/>
    <w:rsid w:val="00C20524"/>
    <w:rsid w:val="00C20685"/>
    <w:rsid w:val="00C206A7"/>
    <w:rsid w:val="00C206F3"/>
    <w:rsid w:val="00C20768"/>
    <w:rsid w:val="00C20818"/>
    <w:rsid w:val="00C2088F"/>
    <w:rsid w:val="00C20907"/>
    <w:rsid w:val="00C2095B"/>
    <w:rsid w:val="00C20B05"/>
    <w:rsid w:val="00C20BC7"/>
    <w:rsid w:val="00C20E79"/>
    <w:rsid w:val="00C20EE3"/>
    <w:rsid w:val="00C20F26"/>
    <w:rsid w:val="00C2104B"/>
    <w:rsid w:val="00C210A8"/>
    <w:rsid w:val="00C21111"/>
    <w:rsid w:val="00C212DD"/>
    <w:rsid w:val="00C21383"/>
    <w:rsid w:val="00C213BD"/>
    <w:rsid w:val="00C21727"/>
    <w:rsid w:val="00C21860"/>
    <w:rsid w:val="00C21A37"/>
    <w:rsid w:val="00C21A77"/>
    <w:rsid w:val="00C21B3A"/>
    <w:rsid w:val="00C21C1F"/>
    <w:rsid w:val="00C21C37"/>
    <w:rsid w:val="00C21CDA"/>
    <w:rsid w:val="00C21D4F"/>
    <w:rsid w:val="00C21DB1"/>
    <w:rsid w:val="00C21E55"/>
    <w:rsid w:val="00C21E74"/>
    <w:rsid w:val="00C21EA6"/>
    <w:rsid w:val="00C21EBC"/>
    <w:rsid w:val="00C21EC7"/>
    <w:rsid w:val="00C21F4B"/>
    <w:rsid w:val="00C21F71"/>
    <w:rsid w:val="00C220FB"/>
    <w:rsid w:val="00C224A1"/>
    <w:rsid w:val="00C224B2"/>
    <w:rsid w:val="00C225AB"/>
    <w:rsid w:val="00C22618"/>
    <w:rsid w:val="00C22647"/>
    <w:rsid w:val="00C2269C"/>
    <w:rsid w:val="00C227B2"/>
    <w:rsid w:val="00C227DD"/>
    <w:rsid w:val="00C227F0"/>
    <w:rsid w:val="00C2283B"/>
    <w:rsid w:val="00C22941"/>
    <w:rsid w:val="00C2297B"/>
    <w:rsid w:val="00C229C4"/>
    <w:rsid w:val="00C22AB2"/>
    <w:rsid w:val="00C22B30"/>
    <w:rsid w:val="00C22B6E"/>
    <w:rsid w:val="00C22BF3"/>
    <w:rsid w:val="00C22C97"/>
    <w:rsid w:val="00C22D5C"/>
    <w:rsid w:val="00C22D8F"/>
    <w:rsid w:val="00C22E1F"/>
    <w:rsid w:val="00C22E52"/>
    <w:rsid w:val="00C22F46"/>
    <w:rsid w:val="00C22F92"/>
    <w:rsid w:val="00C22FD1"/>
    <w:rsid w:val="00C2306E"/>
    <w:rsid w:val="00C230D8"/>
    <w:rsid w:val="00C230F0"/>
    <w:rsid w:val="00C232F0"/>
    <w:rsid w:val="00C233AF"/>
    <w:rsid w:val="00C23579"/>
    <w:rsid w:val="00C2362B"/>
    <w:rsid w:val="00C236DA"/>
    <w:rsid w:val="00C23789"/>
    <w:rsid w:val="00C23834"/>
    <w:rsid w:val="00C2385F"/>
    <w:rsid w:val="00C238DA"/>
    <w:rsid w:val="00C239C7"/>
    <w:rsid w:val="00C23A61"/>
    <w:rsid w:val="00C23B7E"/>
    <w:rsid w:val="00C23C46"/>
    <w:rsid w:val="00C23C8F"/>
    <w:rsid w:val="00C23CE5"/>
    <w:rsid w:val="00C23DCA"/>
    <w:rsid w:val="00C23FA4"/>
    <w:rsid w:val="00C23FE5"/>
    <w:rsid w:val="00C24185"/>
    <w:rsid w:val="00C2426C"/>
    <w:rsid w:val="00C24287"/>
    <w:rsid w:val="00C242C8"/>
    <w:rsid w:val="00C242FF"/>
    <w:rsid w:val="00C24342"/>
    <w:rsid w:val="00C2434E"/>
    <w:rsid w:val="00C2445E"/>
    <w:rsid w:val="00C244A6"/>
    <w:rsid w:val="00C2488E"/>
    <w:rsid w:val="00C24A4D"/>
    <w:rsid w:val="00C24A76"/>
    <w:rsid w:val="00C24C90"/>
    <w:rsid w:val="00C24E9C"/>
    <w:rsid w:val="00C24F9B"/>
    <w:rsid w:val="00C24FA6"/>
    <w:rsid w:val="00C24FC9"/>
    <w:rsid w:val="00C25030"/>
    <w:rsid w:val="00C2510A"/>
    <w:rsid w:val="00C251A5"/>
    <w:rsid w:val="00C251F1"/>
    <w:rsid w:val="00C25296"/>
    <w:rsid w:val="00C2536E"/>
    <w:rsid w:val="00C25586"/>
    <w:rsid w:val="00C257CC"/>
    <w:rsid w:val="00C257F8"/>
    <w:rsid w:val="00C258BA"/>
    <w:rsid w:val="00C259D3"/>
    <w:rsid w:val="00C259D7"/>
    <w:rsid w:val="00C259F7"/>
    <w:rsid w:val="00C25AD8"/>
    <w:rsid w:val="00C25ADA"/>
    <w:rsid w:val="00C25B6B"/>
    <w:rsid w:val="00C25C20"/>
    <w:rsid w:val="00C25CA8"/>
    <w:rsid w:val="00C25D50"/>
    <w:rsid w:val="00C25D60"/>
    <w:rsid w:val="00C25D76"/>
    <w:rsid w:val="00C25E66"/>
    <w:rsid w:val="00C25EDC"/>
    <w:rsid w:val="00C25FDE"/>
    <w:rsid w:val="00C2603F"/>
    <w:rsid w:val="00C2607B"/>
    <w:rsid w:val="00C260BD"/>
    <w:rsid w:val="00C2610D"/>
    <w:rsid w:val="00C2612A"/>
    <w:rsid w:val="00C26307"/>
    <w:rsid w:val="00C26366"/>
    <w:rsid w:val="00C2649C"/>
    <w:rsid w:val="00C2650C"/>
    <w:rsid w:val="00C2676A"/>
    <w:rsid w:val="00C2682E"/>
    <w:rsid w:val="00C2686E"/>
    <w:rsid w:val="00C268C6"/>
    <w:rsid w:val="00C26993"/>
    <w:rsid w:val="00C269ED"/>
    <w:rsid w:val="00C269F2"/>
    <w:rsid w:val="00C26A0F"/>
    <w:rsid w:val="00C26C16"/>
    <w:rsid w:val="00C26C4D"/>
    <w:rsid w:val="00C26D1C"/>
    <w:rsid w:val="00C26DDA"/>
    <w:rsid w:val="00C26E0C"/>
    <w:rsid w:val="00C26ED6"/>
    <w:rsid w:val="00C26FE4"/>
    <w:rsid w:val="00C270C0"/>
    <w:rsid w:val="00C27174"/>
    <w:rsid w:val="00C271B3"/>
    <w:rsid w:val="00C272C3"/>
    <w:rsid w:val="00C272D0"/>
    <w:rsid w:val="00C27385"/>
    <w:rsid w:val="00C273B3"/>
    <w:rsid w:val="00C27429"/>
    <w:rsid w:val="00C2747C"/>
    <w:rsid w:val="00C275C7"/>
    <w:rsid w:val="00C275FF"/>
    <w:rsid w:val="00C27613"/>
    <w:rsid w:val="00C27639"/>
    <w:rsid w:val="00C276D2"/>
    <w:rsid w:val="00C2780E"/>
    <w:rsid w:val="00C27857"/>
    <w:rsid w:val="00C27957"/>
    <w:rsid w:val="00C2795A"/>
    <w:rsid w:val="00C27A5C"/>
    <w:rsid w:val="00C27A62"/>
    <w:rsid w:val="00C27C6E"/>
    <w:rsid w:val="00C27CBD"/>
    <w:rsid w:val="00C27CD0"/>
    <w:rsid w:val="00C27DC0"/>
    <w:rsid w:val="00C27ECC"/>
    <w:rsid w:val="00C27EF6"/>
    <w:rsid w:val="00C27F69"/>
    <w:rsid w:val="00C300B4"/>
    <w:rsid w:val="00C301E3"/>
    <w:rsid w:val="00C30336"/>
    <w:rsid w:val="00C3033C"/>
    <w:rsid w:val="00C30386"/>
    <w:rsid w:val="00C30499"/>
    <w:rsid w:val="00C304CF"/>
    <w:rsid w:val="00C30719"/>
    <w:rsid w:val="00C307E8"/>
    <w:rsid w:val="00C3084F"/>
    <w:rsid w:val="00C3092A"/>
    <w:rsid w:val="00C30A2E"/>
    <w:rsid w:val="00C30A91"/>
    <w:rsid w:val="00C30AB4"/>
    <w:rsid w:val="00C30BA7"/>
    <w:rsid w:val="00C30C2F"/>
    <w:rsid w:val="00C30C3A"/>
    <w:rsid w:val="00C30DD8"/>
    <w:rsid w:val="00C30FC9"/>
    <w:rsid w:val="00C30FFE"/>
    <w:rsid w:val="00C3120D"/>
    <w:rsid w:val="00C31211"/>
    <w:rsid w:val="00C3123D"/>
    <w:rsid w:val="00C312CF"/>
    <w:rsid w:val="00C3163B"/>
    <w:rsid w:val="00C3181D"/>
    <w:rsid w:val="00C3188E"/>
    <w:rsid w:val="00C318D9"/>
    <w:rsid w:val="00C31902"/>
    <w:rsid w:val="00C31910"/>
    <w:rsid w:val="00C319C2"/>
    <w:rsid w:val="00C31A2B"/>
    <w:rsid w:val="00C31B5D"/>
    <w:rsid w:val="00C31BA7"/>
    <w:rsid w:val="00C31BCF"/>
    <w:rsid w:val="00C31C1C"/>
    <w:rsid w:val="00C31C9D"/>
    <w:rsid w:val="00C31D87"/>
    <w:rsid w:val="00C31DF3"/>
    <w:rsid w:val="00C31E99"/>
    <w:rsid w:val="00C31F12"/>
    <w:rsid w:val="00C31F1F"/>
    <w:rsid w:val="00C3203A"/>
    <w:rsid w:val="00C3208E"/>
    <w:rsid w:val="00C320F4"/>
    <w:rsid w:val="00C32260"/>
    <w:rsid w:val="00C3234A"/>
    <w:rsid w:val="00C3241A"/>
    <w:rsid w:val="00C3249F"/>
    <w:rsid w:val="00C324C4"/>
    <w:rsid w:val="00C32505"/>
    <w:rsid w:val="00C32508"/>
    <w:rsid w:val="00C32528"/>
    <w:rsid w:val="00C3259A"/>
    <w:rsid w:val="00C32683"/>
    <w:rsid w:val="00C3268D"/>
    <w:rsid w:val="00C32698"/>
    <w:rsid w:val="00C3290E"/>
    <w:rsid w:val="00C329D2"/>
    <w:rsid w:val="00C32A82"/>
    <w:rsid w:val="00C32BB9"/>
    <w:rsid w:val="00C32D2B"/>
    <w:rsid w:val="00C32D9F"/>
    <w:rsid w:val="00C32DFF"/>
    <w:rsid w:val="00C32E31"/>
    <w:rsid w:val="00C331B1"/>
    <w:rsid w:val="00C331E8"/>
    <w:rsid w:val="00C334E7"/>
    <w:rsid w:val="00C3353E"/>
    <w:rsid w:val="00C3353F"/>
    <w:rsid w:val="00C336B5"/>
    <w:rsid w:val="00C336E4"/>
    <w:rsid w:val="00C3374D"/>
    <w:rsid w:val="00C33953"/>
    <w:rsid w:val="00C3397F"/>
    <w:rsid w:val="00C33A35"/>
    <w:rsid w:val="00C33BF3"/>
    <w:rsid w:val="00C33C69"/>
    <w:rsid w:val="00C33F06"/>
    <w:rsid w:val="00C34023"/>
    <w:rsid w:val="00C340BA"/>
    <w:rsid w:val="00C3418D"/>
    <w:rsid w:val="00C341EA"/>
    <w:rsid w:val="00C3443B"/>
    <w:rsid w:val="00C344C6"/>
    <w:rsid w:val="00C344ED"/>
    <w:rsid w:val="00C34620"/>
    <w:rsid w:val="00C346E9"/>
    <w:rsid w:val="00C3478A"/>
    <w:rsid w:val="00C3485B"/>
    <w:rsid w:val="00C3491C"/>
    <w:rsid w:val="00C3492B"/>
    <w:rsid w:val="00C3498E"/>
    <w:rsid w:val="00C34993"/>
    <w:rsid w:val="00C34B54"/>
    <w:rsid w:val="00C34B90"/>
    <w:rsid w:val="00C34E03"/>
    <w:rsid w:val="00C34F51"/>
    <w:rsid w:val="00C34FAE"/>
    <w:rsid w:val="00C35015"/>
    <w:rsid w:val="00C3510C"/>
    <w:rsid w:val="00C3512D"/>
    <w:rsid w:val="00C3513C"/>
    <w:rsid w:val="00C3518B"/>
    <w:rsid w:val="00C351F6"/>
    <w:rsid w:val="00C3521B"/>
    <w:rsid w:val="00C35223"/>
    <w:rsid w:val="00C35239"/>
    <w:rsid w:val="00C3533D"/>
    <w:rsid w:val="00C35359"/>
    <w:rsid w:val="00C35399"/>
    <w:rsid w:val="00C3545E"/>
    <w:rsid w:val="00C35507"/>
    <w:rsid w:val="00C355BC"/>
    <w:rsid w:val="00C35687"/>
    <w:rsid w:val="00C35751"/>
    <w:rsid w:val="00C3581B"/>
    <w:rsid w:val="00C358CB"/>
    <w:rsid w:val="00C3593B"/>
    <w:rsid w:val="00C35963"/>
    <w:rsid w:val="00C35A07"/>
    <w:rsid w:val="00C35AA2"/>
    <w:rsid w:val="00C35AAA"/>
    <w:rsid w:val="00C35AFB"/>
    <w:rsid w:val="00C35BE1"/>
    <w:rsid w:val="00C35C4C"/>
    <w:rsid w:val="00C35D66"/>
    <w:rsid w:val="00C35DC9"/>
    <w:rsid w:val="00C35E95"/>
    <w:rsid w:val="00C35EC1"/>
    <w:rsid w:val="00C36049"/>
    <w:rsid w:val="00C36564"/>
    <w:rsid w:val="00C366BC"/>
    <w:rsid w:val="00C36740"/>
    <w:rsid w:val="00C36848"/>
    <w:rsid w:val="00C369A0"/>
    <w:rsid w:val="00C369E2"/>
    <w:rsid w:val="00C36BAC"/>
    <w:rsid w:val="00C36C26"/>
    <w:rsid w:val="00C36D85"/>
    <w:rsid w:val="00C36ECC"/>
    <w:rsid w:val="00C37050"/>
    <w:rsid w:val="00C37134"/>
    <w:rsid w:val="00C37189"/>
    <w:rsid w:val="00C371A8"/>
    <w:rsid w:val="00C3722D"/>
    <w:rsid w:val="00C37338"/>
    <w:rsid w:val="00C373D2"/>
    <w:rsid w:val="00C37487"/>
    <w:rsid w:val="00C37626"/>
    <w:rsid w:val="00C37669"/>
    <w:rsid w:val="00C376D0"/>
    <w:rsid w:val="00C3788A"/>
    <w:rsid w:val="00C378A0"/>
    <w:rsid w:val="00C3799D"/>
    <w:rsid w:val="00C37B92"/>
    <w:rsid w:val="00C37B98"/>
    <w:rsid w:val="00C37C06"/>
    <w:rsid w:val="00C37EA8"/>
    <w:rsid w:val="00C37FD8"/>
    <w:rsid w:val="00C40071"/>
    <w:rsid w:val="00C40169"/>
    <w:rsid w:val="00C40185"/>
    <w:rsid w:val="00C401F5"/>
    <w:rsid w:val="00C40278"/>
    <w:rsid w:val="00C40344"/>
    <w:rsid w:val="00C4036F"/>
    <w:rsid w:val="00C403B2"/>
    <w:rsid w:val="00C4044C"/>
    <w:rsid w:val="00C4049C"/>
    <w:rsid w:val="00C40519"/>
    <w:rsid w:val="00C40572"/>
    <w:rsid w:val="00C4062E"/>
    <w:rsid w:val="00C40668"/>
    <w:rsid w:val="00C407E4"/>
    <w:rsid w:val="00C40830"/>
    <w:rsid w:val="00C40A3C"/>
    <w:rsid w:val="00C40B59"/>
    <w:rsid w:val="00C40BA8"/>
    <w:rsid w:val="00C40C9E"/>
    <w:rsid w:val="00C40D93"/>
    <w:rsid w:val="00C40E19"/>
    <w:rsid w:val="00C40EA0"/>
    <w:rsid w:val="00C41023"/>
    <w:rsid w:val="00C41029"/>
    <w:rsid w:val="00C41077"/>
    <w:rsid w:val="00C410AE"/>
    <w:rsid w:val="00C4131C"/>
    <w:rsid w:val="00C41472"/>
    <w:rsid w:val="00C414F9"/>
    <w:rsid w:val="00C414FD"/>
    <w:rsid w:val="00C4157A"/>
    <w:rsid w:val="00C41621"/>
    <w:rsid w:val="00C41644"/>
    <w:rsid w:val="00C41704"/>
    <w:rsid w:val="00C41854"/>
    <w:rsid w:val="00C418A9"/>
    <w:rsid w:val="00C419DE"/>
    <w:rsid w:val="00C419FE"/>
    <w:rsid w:val="00C41AF1"/>
    <w:rsid w:val="00C41B97"/>
    <w:rsid w:val="00C41BEF"/>
    <w:rsid w:val="00C41BFA"/>
    <w:rsid w:val="00C41EBE"/>
    <w:rsid w:val="00C41F9D"/>
    <w:rsid w:val="00C41FB7"/>
    <w:rsid w:val="00C42076"/>
    <w:rsid w:val="00C4227C"/>
    <w:rsid w:val="00C42353"/>
    <w:rsid w:val="00C423DB"/>
    <w:rsid w:val="00C4246A"/>
    <w:rsid w:val="00C424FE"/>
    <w:rsid w:val="00C427C1"/>
    <w:rsid w:val="00C4295F"/>
    <w:rsid w:val="00C42C6E"/>
    <w:rsid w:val="00C42E11"/>
    <w:rsid w:val="00C42F29"/>
    <w:rsid w:val="00C430C3"/>
    <w:rsid w:val="00C430CA"/>
    <w:rsid w:val="00C432BA"/>
    <w:rsid w:val="00C4332C"/>
    <w:rsid w:val="00C4354B"/>
    <w:rsid w:val="00C4355D"/>
    <w:rsid w:val="00C43A69"/>
    <w:rsid w:val="00C43B31"/>
    <w:rsid w:val="00C43C4C"/>
    <w:rsid w:val="00C43EE7"/>
    <w:rsid w:val="00C43F33"/>
    <w:rsid w:val="00C43FF8"/>
    <w:rsid w:val="00C4403E"/>
    <w:rsid w:val="00C4405F"/>
    <w:rsid w:val="00C440D8"/>
    <w:rsid w:val="00C4410D"/>
    <w:rsid w:val="00C44145"/>
    <w:rsid w:val="00C44151"/>
    <w:rsid w:val="00C44177"/>
    <w:rsid w:val="00C441B8"/>
    <w:rsid w:val="00C443AF"/>
    <w:rsid w:val="00C443DC"/>
    <w:rsid w:val="00C44637"/>
    <w:rsid w:val="00C446D8"/>
    <w:rsid w:val="00C44813"/>
    <w:rsid w:val="00C44939"/>
    <w:rsid w:val="00C4498E"/>
    <w:rsid w:val="00C44993"/>
    <w:rsid w:val="00C44B9F"/>
    <w:rsid w:val="00C44CC0"/>
    <w:rsid w:val="00C44CFF"/>
    <w:rsid w:val="00C44E5E"/>
    <w:rsid w:val="00C44FE7"/>
    <w:rsid w:val="00C450A1"/>
    <w:rsid w:val="00C4514D"/>
    <w:rsid w:val="00C4516B"/>
    <w:rsid w:val="00C45172"/>
    <w:rsid w:val="00C45287"/>
    <w:rsid w:val="00C45298"/>
    <w:rsid w:val="00C4537D"/>
    <w:rsid w:val="00C45394"/>
    <w:rsid w:val="00C453DE"/>
    <w:rsid w:val="00C4541A"/>
    <w:rsid w:val="00C45513"/>
    <w:rsid w:val="00C455DB"/>
    <w:rsid w:val="00C4572D"/>
    <w:rsid w:val="00C45739"/>
    <w:rsid w:val="00C45742"/>
    <w:rsid w:val="00C457DF"/>
    <w:rsid w:val="00C45950"/>
    <w:rsid w:val="00C459A0"/>
    <w:rsid w:val="00C45B14"/>
    <w:rsid w:val="00C45B86"/>
    <w:rsid w:val="00C45DCF"/>
    <w:rsid w:val="00C45E72"/>
    <w:rsid w:val="00C45FED"/>
    <w:rsid w:val="00C4604B"/>
    <w:rsid w:val="00C46193"/>
    <w:rsid w:val="00C461BC"/>
    <w:rsid w:val="00C462BC"/>
    <w:rsid w:val="00C46360"/>
    <w:rsid w:val="00C46379"/>
    <w:rsid w:val="00C464E6"/>
    <w:rsid w:val="00C46560"/>
    <w:rsid w:val="00C465EA"/>
    <w:rsid w:val="00C465FD"/>
    <w:rsid w:val="00C4666A"/>
    <w:rsid w:val="00C46897"/>
    <w:rsid w:val="00C4694A"/>
    <w:rsid w:val="00C46AB0"/>
    <w:rsid w:val="00C46C1F"/>
    <w:rsid w:val="00C46D16"/>
    <w:rsid w:val="00C46DB3"/>
    <w:rsid w:val="00C46E2E"/>
    <w:rsid w:val="00C46F5D"/>
    <w:rsid w:val="00C46F61"/>
    <w:rsid w:val="00C47002"/>
    <w:rsid w:val="00C47045"/>
    <w:rsid w:val="00C470DF"/>
    <w:rsid w:val="00C470EA"/>
    <w:rsid w:val="00C470F4"/>
    <w:rsid w:val="00C4714A"/>
    <w:rsid w:val="00C47197"/>
    <w:rsid w:val="00C471B4"/>
    <w:rsid w:val="00C471EE"/>
    <w:rsid w:val="00C47291"/>
    <w:rsid w:val="00C473B4"/>
    <w:rsid w:val="00C4748D"/>
    <w:rsid w:val="00C47501"/>
    <w:rsid w:val="00C47663"/>
    <w:rsid w:val="00C476A7"/>
    <w:rsid w:val="00C477F8"/>
    <w:rsid w:val="00C4785D"/>
    <w:rsid w:val="00C478C9"/>
    <w:rsid w:val="00C4797E"/>
    <w:rsid w:val="00C47992"/>
    <w:rsid w:val="00C47A70"/>
    <w:rsid w:val="00C47B1E"/>
    <w:rsid w:val="00C47B75"/>
    <w:rsid w:val="00C47C15"/>
    <w:rsid w:val="00C47DD2"/>
    <w:rsid w:val="00C47E5D"/>
    <w:rsid w:val="00C47F23"/>
    <w:rsid w:val="00C47FE8"/>
    <w:rsid w:val="00C50033"/>
    <w:rsid w:val="00C50089"/>
    <w:rsid w:val="00C500CC"/>
    <w:rsid w:val="00C50140"/>
    <w:rsid w:val="00C5015A"/>
    <w:rsid w:val="00C501D4"/>
    <w:rsid w:val="00C50322"/>
    <w:rsid w:val="00C50348"/>
    <w:rsid w:val="00C5034A"/>
    <w:rsid w:val="00C503A4"/>
    <w:rsid w:val="00C503A8"/>
    <w:rsid w:val="00C503C3"/>
    <w:rsid w:val="00C5054D"/>
    <w:rsid w:val="00C505A0"/>
    <w:rsid w:val="00C50729"/>
    <w:rsid w:val="00C508FB"/>
    <w:rsid w:val="00C50A28"/>
    <w:rsid w:val="00C50AC9"/>
    <w:rsid w:val="00C50B85"/>
    <w:rsid w:val="00C50BB3"/>
    <w:rsid w:val="00C50C52"/>
    <w:rsid w:val="00C50D11"/>
    <w:rsid w:val="00C50D8B"/>
    <w:rsid w:val="00C50E56"/>
    <w:rsid w:val="00C50E60"/>
    <w:rsid w:val="00C50E8E"/>
    <w:rsid w:val="00C50F51"/>
    <w:rsid w:val="00C5114C"/>
    <w:rsid w:val="00C511C1"/>
    <w:rsid w:val="00C512E6"/>
    <w:rsid w:val="00C5131F"/>
    <w:rsid w:val="00C516F9"/>
    <w:rsid w:val="00C5175D"/>
    <w:rsid w:val="00C51B66"/>
    <w:rsid w:val="00C51B69"/>
    <w:rsid w:val="00C51D2A"/>
    <w:rsid w:val="00C51DE7"/>
    <w:rsid w:val="00C51F90"/>
    <w:rsid w:val="00C52110"/>
    <w:rsid w:val="00C52234"/>
    <w:rsid w:val="00C52293"/>
    <w:rsid w:val="00C522BA"/>
    <w:rsid w:val="00C5233F"/>
    <w:rsid w:val="00C52382"/>
    <w:rsid w:val="00C5241C"/>
    <w:rsid w:val="00C52525"/>
    <w:rsid w:val="00C52535"/>
    <w:rsid w:val="00C5255B"/>
    <w:rsid w:val="00C52683"/>
    <w:rsid w:val="00C5273B"/>
    <w:rsid w:val="00C5278B"/>
    <w:rsid w:val="00C527D8"/>
    <w:rsid w:val="00C52825"/>
    <w:rsid w:val="00C52A49"/>
    <w:rsid w:val="00C52B6C"/>
    <w:rsid w:val="00C52D2B"/>
    <w:rsid w:val="00C52D49"/>
    <w:rsid w:val="00C52D94"/>
    <w:rsid w:val="00C52DA0"/>
    <w:rsid w:val="00C52E03"/>
    <w:rsid w:val="00C52E3B"/>
    <w:rsid w:val="00C52E4A"/>
    <w:rsid w:val="00C52E52"/>
    <w:rsid w:val="00C52E7A"/>
    <w:rsid w:val="00C52EF6"/>
    <w:rsid w:val="00C53142"/>
    <w:rsid w:val="00C53172"/>
    <w:rsid w:val="00C531C2"/>
    <w:rsid w:val="00C531E4"/>
    <w:rsid w:val="00C531EB"/>
    <w:rsid w:val="00C532FB"/>
    <w:rsid w:val="00C5332A"/>
    <w:rsid w:val="00C5335C"/>
    <w:rsid w:val="00C533ED"/>
    <w:rsid w:val="00C53462"/>
    <w:rsid w:val="00C53541"/>
    <w:rsid w:val="00C53612"/>
    <w:rsid w:val="00C5386C"/>
    <w:rsid w:val="00C538DA"/>
    <w:rsid w:val="00C539C7"/>
    <w:rsid w:val="00C53A4C"/>
    <w:rsid w:val="00C53B08"/>
    <w:rsid w:val="00C53DD1"/>
    <w:rsid w:val="00C53E12"/>
    <w:rsid w:val="00C53E5F"/>
    <w:rsid w:val="00C53EF2"/>
    <w:rsid w:val="00C53F12"/>
    <w:rsid w:val="00C54215"/>
    <w:rsid w:val="00C543FB"/>
    <w:rsid w:val="00C544E7"/>
    <w:rsid w:val="00C54607"/>
    <w:rsid w:val="00C5488B"/>
    <w:rsid w:val="00C548E5"/>
    <w:rsid w:val="00C54979"/>
    <w:rsid w:val="00C54A23"/>
    <w:rsid w:val="00C54B4E"/>
    <w:rsid w:val="00C54C46"/>
    <w:rsid w:val="00C54CE9"/>
    <w:rsid w:val="00C54E8D"/>
    <w:rsid w:val="00C54F9A"/>
    <w:rsid w:val="00C5504C"/>
    <w:rsid w:val="00C55105"/>
    <w:rsid w:val="00C55180"/>
    <w:rsid w:val="00C551D6"/>
    <w:rsid w:val="00C55389"/>
    <w:rsid w:val="00C5545E"/>
    <w:rsid w:val="00C557C7"/>
    <w:rsid w:val="00C558D5"/>
    <w:rsid w:val="00C55900"/>
    <w:rsid w:val="00C55988"/>
    <w:rsid w:val="00C55A69"/>
    <w:rsid w:val="00C55AF9"/>
    <w:rsid w:val="00C55B3D"/>
    <w:rsid w:val="00C55B8E"/>
    <w:rsid w:val="00C55BD5"/>
    <w:rsid w:val="00C55C9B"/>
    <w:rsid w:val="00C55E54"/>
    <w:rsid w:val="00C55E56"/>
    <w:rsid w:val="00C55FF3"/>
    <w:rsid w:val="00C560D0"/>
    <w:rsid w:val="00C5612A"/>
    <w:rsid w:val="00C561B0"/>
    <w:rsid w:val="00C562D8"/>
    <w:rsid w:val="00C562F5"/>
    <w:rsid w:val="00C56585"/>
    <w:rsid w:val="00C565A9"/>
    <w:rsid w:val="00C56608"/>
    <w:rsid w:val="00C56665"/>
    <w:rsid w:val="00C566A8"/>
    <w:rsid w:val="00C566EB"/>
    <w:rsid w:val="00C56749"/>
    <w:rsid w:val="00C567E0"/>
    <w:rsid w:val="00C567E9"/>
    <w:rsid w:val="00C567F9"/>
    <w:rsid w:val="00C5697B"/>
    <w:rsid w:val="00C569B9"/>
    <w:rsid w:val="00C56A44"/>
    <w:rsid w:val="00C56C68"/>
    <w:rsid w:val="00C56C92"/>
    <w:rsid w:val="00C56D0D"/>
    <w:rsid w:val="00C56D9B"/>
    <w:rsid w:val="00C56DDB"/>
    <w:rsid w:val="00C57061"/>
    <w:rsid w:val="00C5708D"/>
    <w:rsid w:val="00C57135"/>
    <w:rsid w:val="00C571A5"/>
    <w:rsid w:val="00C57294"/>
    <w:rsid w:val="00C572C8"/>
    <w:rsid w:val="00C57307"/>
    <w:rsid w:val="00C573DA"/>
    <w:rsid w:val="00C574E3"/>
    <w:rsid w:val="00C5758D"/>
    <w:rsid w:val="00C5786C"/>
    <w:rsid w:val="00C578F7"/>
    <w:rsid w:val="00C57A4E"/>
    <w:rsid w:val="00C57A61"/>
    <w:rsid w:val="00C57AA1"/>
    <w:rsid w:val="00C57AAA"/>
    <w:rsid w:val="00C57C96"/>
    <w:rsid w:val="00C57CB1"/>
    <w:rsid w:val="00C57D4C"/>
    <w:rsid w:val="00C57D56"/>
    <w:rsid w:val="00C57DA2"/>
    <w:rsid w:val="00C57DC1"/>
    <w:rsid w:val="00C57E05"/>
    <w:rsid w:val="00C57E2E"/>
    <w:rsid w:val="00C57ECA"/>
    <w:rsid w:val="00C57F2C"/>
    <w:rsid w:val="00C6009A"/>
    <w:rsid w:val="00C600A7"/>
    <w:rsid w:val="00C6012B"/>
    <w:rsid w:val="00C601AA"/>
    <w:rsid w:val="00C60468"/>
    <w:rsid w:val="00C604DB"/>
    <w:rsid w:val="00C604F3"/>
    <w:rsid w:val="00C605C6"/>
    <w:rsid w:val="00C6062C"/>
    <w:rsid w:val="00C606FB"/>
    <w:rsid w:val="00C60733"/>
    <w:rsid w:val="00C6086B"/>
    <w:rsid w:val="00C608C8"/>
    <w:rsid w:val="00C60927"/>
    <w:rsid w:val="00C60950"/>
    <w:rsid w:val="00C609C9"/>
    <w:rsid w:val="00C60D58"/>
    <w:rsid w:val="00C60E29"/>
    <w:rsid w:val="00C611FD"/>
    <w:rsid w:val="00C61288"/>
    <w:rsid w:val="00C61303"/>
    <w:rsid w:val="00C61524"/>
    <w:rsid w:val="00C615EA"/>
    <w:rsid w:val="00C61626"/>
    <w:rsid w:val="00C61631"/>
    <w:rsid w:val="00C61634"/>
    <w:rsid w:val="00C6167E"/>
    <w:rsid w:val="00C6173A"/>
    <w:rsid w:val="00C6174E"/>
    <w:rsid w:val="00C618E7"/>
    <w:rsid w:val="00C619B2"/>
    <w:rsid w:val="00C61A47"/>
    <w:rsid w:val="00C61BF0"/>
    <w:rsid w:val="00C61DC8"/>
    <w:rsid w:val="00C61EF3"/>
    <w:rsid w:val="00C61FA6"/>
    <w:rsid w:val="00C62104"/>
    <w:rsid w:val="00C6210D"/>
    <w:rsid w:val="00C62224"/>
    <w:rsid w:val="00C6222F"/>
    <w:rsid w:val="00C62247"/>
    <w:rsid w:val="00C623A6"/>
    <w:rsid w:val="00C623AB"/>
    <w:rsid w:val="00C62496"/>
    <w:rsid w:val="00C62559"/>
    <w:rsid w:val="00C626A4"/>
    <w:rsid w:val="00C6280C"/>
    <w:rsid w:val="00C628D5"/>
    <w:rsid w:val="00C62907"/>
    <w:rsid w:val="00C6294D"/>
    <w:rsid w:val="00C62B13"/>
    <w:rsid w:val="00C62B73"/>
    <w:rsid w:val="00C62BB3"/>
    <w:rsid w:val="00C62CD1"/>
    <w:rsid w:val="00C62D11"/>
    <w:rsid w:val="00C62DE6"/>
    <w:rsid w:val="00C62E5A"/>
    <w:rsid w:val="00C62EB7"/>
    <w:rsid w:val="00C63194"/>
    <w:rsid w:val="00C63203"/>
    <w:rsid w:val="00C6322F"/>
    <w:rsid w:val="00C632A3"/>
    <w:rsid w:val="00C63308"/>
    <w:rsid w:val="00C633EE"/>
    <w:rsid w:val="00C63431"/>
    <w:rsid w:val="00C634D5"/>
    <w:rsid w:val="00C634FF"/>
    <w:rsid w:val="00C63616"/>
    <w:rsid w:val="00C63786"/>
    <w:rsid w:val="00C63821"/>
    <w:rsid w:val="00C6393F"/>
    <w:rsid w:val="00C63A2D"/>
    <w:rsid w:val="00C63ABE"/>
    <w:rsid w:val="00C63AF1"/>
    <w:rsid w:val="00C63C4B"/>
    <w:rsid w:val="00C63D41"/>
    <w:rsid w:val="00C63DBC"/>
    <w:rsid w:val="00C63EDC"/>
    <w:rsid w:val="00C63F19"/>
    <w:rsid w:val="00C63F44"/>
    <w:rsid w:val="00C63F9D"/>
    <w:rsid w:val="00C6416A"/>
    <w:rsid w:val="00C64405"/>
    <w:rsid w:val="00C644B0"/>
    <w:rsid w:val="00C6450E"/>
    <w:rsid w:val="00C645AE"/>
    <w:rsid w:val="00C647D0"/>
    <w:rsid w:val="00C6494E"/>
    <w:rsid w:val="00C64AA3"/>
    <w:rsid w:val="00C64AB3"/>
    <w:rsid w:val="00C64AB9"/>
    <w:rsid w:val="00C64AE2"/>
    <w:rsid w:val="00C64AF6"/>
    <w:rsid w:val="00C64C1E"/>
    <w:rsid w:val="00C64CAF"/>
    <w:rsid w:val="00C64D31"/>
    <w:rsid w:val="00C64ED7"/>
    <w:rsid w:val="00C64F53"/>
    <w:rsid w:val="00C64FB4"/>
    <w:rsid w:val="00C651BF"/>
    <w:rsid w:val="00C651DC"/>
    <w:rsid w:val="00C65251"/>
    <w:rsid w:val="00C65286"/>
    <w:rsid w:val="00C652EB"/>
    <w:rsid w:val="00C6537E"/>
    <w:rsid w:val="00C6539C"/>
    <w:rsid w:val="00C65495"/>
    <w:rsid w:val="00C654EC"/>
    <w:rsid w:val="00C654F6"/>
    <w:rsid w:val="00C65512"/>
    <w:rsid w:val="00C655AA"/>
    <w:rsid w:val="00C656A8"/>
    <w:rsid w:val="00C6570E"/>
    <w:rsid w:val="00C65810"/>
    <w:rsid w:val="00C658BF"/>
    <w:rsid w:val="00C658F9"/>
    <w:rsid w:val="00C65AA1"/>
    <w:rsid w:val="00C65AD5"/>
    <w:rsid w:val="00C65C89"/>
    <w:rsid w:val="00C65CFD"/>
    <w:rsid w:val="00C65DF7"/>
    <w:rsid w:val="00C65F43"/>
    <w:rsid w:val="00C66110"/>
    <w:rsid w:val="00C6627A"/>
    <w:rsid w:val="00C662E0"/>
    <w:rsid w:val="00C662EC"/>
    <w:rsid w:val="00C663D0"/>
    <w:rsid w:val="00C66418"/>
    <w:rsid w:val="00C6642F"/>
    <w:rsid w:val="00C66468"/>
    <w:rsid w:val="00C66524"/>
    <w:rsid w:val="00C66672"/>
    <w:rsid w:val="00C66893"/>
    <w:rsid w:val="00C668EF"/>
    <w:rsid w:val="00C66926"/>
    <w:rsid w:val="00C6693E"/>
    <w:rsid w:val="00C6695D"/>
    <w:rsid w:val="00C66A68"/>
    <w:rsid w:val="00C66B3E"/>
    <w:rsid w:val="00C66D16"/>
    <w:rsid w:val="00C66D29"/>
    <w:rsid w:val="00C66E1C"/>
    <w:rsid w:val="00C66EA6"/>
    <w:rsid w:val="00C66EBB"/>
    <w:rsid w:val="00C66F62"/>
    <w:rsid w:val="00C66F8D"/>
    <w:rsid w:val="00C670D1"/>
    <w:rsid w:val="00C670D3"/>
    <w:rsid w:val="00C67212"/>
    <w:rsid w:val="00C6727E"/>
    <w:rsid w:val="00C6738B"/>
    <w:rsid w:val="00C67448"/>
    <w:rsid w:val="00C67459"/>
    <w:rsid w:val="00C67465"/>
    <w:rsid w:val="00C674D2"/>
    <w:rsid w:val="00C6750B"/>
    <w:rsid w:val="00C6763C"/>
    <w:rsid w:val="00C67694"/>
    <w:rsid w:val="00C676BF"/>
    <w:rsid w:val="00C676CB"/>
    <w:rsid w:val="00C678E4"/>
    <w:rsid w:val="00C679A4"/>
    <w:rsid w:val="00C679F4"/>
    <w:rsid w:val="00C67A70"/>
    <w:rsid w:val="00C67B77"/>
    <w:rsid w:val="00C67C5D"/>
    <w:rsid w:val="00C67DA4"/>
    <w:rsid w:val="00C67ED0"/>
    <w:rsid w:val="00C67FDD"/>
    <w:rsid w:val="00C70000"/>
    <w:rsid w:val="00C700E8"/>
    <w:rsid w:val="00C700FC"/>
    <w:rsid w:val="00C70234"/>
    <w:rsid w:val="00C702E4"/>
    <w:rsid w:val="00C70307"/>
    <w:rsid w:val="00C70361"/>
    <w:rsid w:val="00C7038E"/>
    <w:rsid w:val="00C703B8"/>
    <w:rsid w:val="00C705E6"/>
    <w:rsid w:val="00C709F0"/>
    <w:rsid w:val="00C70AF7"/>
    <w:rsid w:val="00C70B4A"/>
    <w:rsid w:val="00C70D16"/>
    <w:rsid w:val="00C70D1C"/>
    <w:rsid w:val="00C70D22"/>
    <w:rsid w:val="00C70D4C"/>
    <w:rsid w:val="00C70DE2"/>
    <w:rsid w:val="00C71100"/>
    <w:rsid w:val="00C711BE"/>
    <w:rsid w:val="00C7122F"/>
    <w:rsid w:val="00C71546"/>
    <w:rsid w:val="00C71593"/>
    <w:rsid w:val="00C715C8"/>
    <w:rsid w:val="00C71699"/>
    <w:rsid w:val="00C716B9"/>
    <w:rsid w:val="00C7179C"/>
    <w:rsid w:val="00C717E5"/>
    <w:rsid w:val="00C717F1"/>
    <w:rsid w:val="00C71829"/>
    <w:rsid w:val="00C718BD"/>
    <w:rsid w:val="00C71942"/>
    <w:rsid w:val="00C719CC"/>
    <w:rsid w:val="00C719FB"/>
    <w:rsid w:val="00C71A00"/>
    <w:rsid w:val="00C71A93"/>
    <w:rsid w:val="00C71AC5"/>
    <w:rsid w:val="00C71AD0"/>
    <w:rsid w:val="00C71DC4"/>
    <w:rsid w:val="00C71F04"/>
    <w:rsid w:val="00C71F57"/>
    <w:rsid w:val="00C71FC6"/>
    <w:rsid w:val="00C72021"/>
    <w:rsid w:val="00C7204E"/>
    <w:rsid w:val="00C72112"/>
    <w:rsid w:val="00C7220C"/>
    <w:rsid w:val="00C723D6"/>
    <w:rsid w:val="00C72479"/>
    <w:rsid w:val="00C725C5"/>
    <w:rsid w:val="00C725D8"/>
    <w:rsid w:val="00C7262F"/>
    <w:rsid w:val="00C72895"/>
    <w:rsid w:val="00C72B61"/>
    <w:rsid w:val="00C72B74"/>
    <w:rsid w:val="00C72BF6"/>
    <w:rsid w:val="00C72C30"/>
    <w:rsid w:val="00C72CB5"/>
    <w:rsid w:val="00C72D58"/>
    <w:rsid w:val="00C72D64"/>
    <w:rsid w:val="00C72F31"/>
    <w:rsid w:val="00C72F89"/>
    <w:rsid w:val="00C72F9F"/>
    <w:rsid w:val="00C72FC3"/>
    <w:rsid w:val="00C73050"/>
    <w:rsid w:val="00C73059"/>
    <w:rsid w:val="00C73077"/>
    <w:rsid w:val="00C73096"/>
    <w:rsid w:val="00C73137"/>
    <w:rsid w:val="00C7313A"/>
    <w:rsid w:val="00C733F1"/>
    <w:rsid w:val="00C734B3"/>
    <w:rsid w:val="00C73703"/>
    <w:rsid w:val="00C73718"/>
    <w:rsid w:val="00C73780"/>
    <w:rsid w:val="00C73835"/>
    <w:rsid w:val="00C739F5"/>
    <w:rsid w:val="00C73A8B"/>
    <w:rsid w:val="00C73C34"/>
    <w:rsid w:val="00C73C64"/>
    <w:rsid w:val="00C73C86"/>
    <w:rsid w:val="00C73C95"/>
    <w:rsid w:val="00C73CC4"/>
    <w:rsid w:val="00C73CE7"/>
    <w:rsid w:val="00C73CF8"/>
    <w:rsid w:val="00C73F04"/>
    <w:rsid w:val="00C73F66"/>
    <w:rsid w:val="00C73F9F"/>
    <w:rsid w:val="00C740D5"/>
    <w:rsid w:val="00C742A7"/>
    <w:rsid w:val="00C742CB"/>
    <w:rsid w:val="00C742E4"/>
    <w:rsid w:val="00C74350"/>
    <w:rsid w:val="00C743EB"/>
    <w:rsid w:val="00C74583"/>
    <w:rsid w:val="00C74632"/>
    <w:rsid w:val="00C74663"/>
    <w:rsid w:val="00C74749"/>
    <w:rsid w:val="00C74792"/>
    <w:rsid w:val="00C7479E"/>
    <w:rsid w:val="00C747B6"/>
    <w:rsid w:val="00C748B6"/>
    <w:rsid w:val="00C74977"/>
    <w:rsid w:val="00C749B4"/>
    <w:rsid w:val="00C74AF6"/>
    <w:rsid w:val="00C74C66"/>
    <w:rsid w:val="00C74CD5"/>
    <w:rsid w:val="00C74E20"/>
    <w:rsid w:val="00C74EA9"/>
    <w:rsid w:val="00C74F23"/>
    <w:rsid w:val="00C74F6B"/>
    <w:rsid w:val="00C7517B"/>
    <w:rsid w:val="00C752B1"/>
    <w:rsid w:val="00C752B7"/>
    <w:rsid w:val="00C75301"/>
    <w:rsid w:val="00C753C8"/>
    <w:rsid w:val="00C7556B"/>
    <w:rsid w:val="00C75620"/>
    <w:rsid w:val="00C756B3"/>
    <w:rsid w:val="00C75787"/>
    <w:rsid w:val="00C75812"/>
    <w:rsid w:val="00C7587B"/>
    <w:rsid w:val="00C75988"/>
    <w:rsid w:val="00C75B19"/>
    <w:rsid w:val="00C75C09"/>
    <w:rsid w:val="00C75CE3"/>
    <w:rsid w:val="00C75E41"/>
    <w:rsid w:val="00C75E6F"/>
    <w:rsid w:val="00C75FEC"/>
    <w:rsid w:val="00C763A6"/>
    <w:rsid w:val="00C763BE"/>
    <w:rsid w:val="00C763E4"/>
    <w:rsid w:val="00C76540"/>
    <w:rsid w:val="00C7654B"/>
    <w:rsid w:val="00C76580"/>
    <w:rsid w:val="00C765AA"/>
    <w:rsid w:val="00C7663E"/>
    <w:rsid w:val="00C766CD"/>
    <w:rsid w:val="00C76725"/>
    <w:rsid w:val="00C76734"/>
    <w:rsid w:val="00C768E4"/>
    <w:rsid w:val="00C76938"/>
    <w:rsid w:val="00C76AD9"/>
    <w:rsid w:val="00C76B1F"/>
    <w:rsid w:val="00C76F95"/>
    <w:rsid w:val="00C77011"/>
    <w:rsid w:val="00C77065"/>
    <w:rsid w:val="00C7708C"/>
    <w:rsid w:val="00C771E5"/>
    <w:rsid w:val="00C77236"/>
    <w:rsid w:val="00C775FD"/>
    <w:rsid w:val="00C77726"/>
    <w:rsid w:val="00C77782"/>
    <w:rsid w:val="00C77849"/>
    <w:rsid w:val="00C77925"/>
    <w:rsid w:val="00C77952"/>
    <w:rsid w:val="00C77984"/>
    <w:rsid w:val="00C77A11"/>
    <w:rsid w:val="00C77A34"/>
    <w:rsid w:val="00C77A5E"/>
    <w:rsid w:val="00C77B37"/>
    <w:rsid w:val="00C77BBA"/>
    <w:rsid w:val="00C77BE8"/>
    <w:rsid w:val="00C77C0E"/>
    <w:rsid w:val="00C77C24"/>
    <w:rsid w:val="00C77C3A"/>
    <w:rsid w:val="00C77CA5"/>
    <w:rsid w:val="00C801AC"/>
    <w:rsid w:val="00C802EE"/>
    <w:rsid w:val="00C80322"/>
    <w:rsid w:val="00C803EE"/>
    <w:rsid w:val="00C805A7"/>
    <w:rsid w:val="00C8069C"/>
    <w:rsid w:val="00C80787"/>
    <w:rsid w:val="00C80796"/>
    <w:rsid w:val="00C808D5"/>
    <w:rsid w:val="00C80CF5"/>
    <w:rsid w:val="00C80FA3"/>
    <w:rsid w:val="00C81077"/>
    <w:rsid w:val="00C8114B"/>
    <w:rsid w:val="00C812D0"/>
    <w:rsid w:val="00C812DA"/>
    <w:rsid w:val="00C8135F"/>
    <w:rsid w:val="00C8139F"/>
    <w:rsid w:val="00C81446"/>
    <w:rsid w:val="00C81449"/>
    <w:rsid w:val="00C8147D"/>
    <w:rsid w:val="00C814A9"/>
    <w:rsid w:val="00C8158B"/>
    <w:rsid w:val="00C815B0"/>
    <w:rsid w:val="00C815C2"/>
    <w:rsid w:val="00C8168F"/>
    <w:rsid w:val="00C81698"/>
    <w:rsid w:val="00C81906"/>
    <w:rsid w:val="00C81981"/>
    <w:rsid w:val="00C819D5"/>
    <w:rsid w:val="00C819FF"/>
    <w:rsid w:val="00C81B97"/>
    <w:rsid w:val="00C81BA9"/>
    <w:rsid w:val="00C81F8C"/>
    <w:rsid w:val="00C8211C"/>
    <w:rsid w:val="00C8228D"/>
    <w:rsid w:val="00C8235E"/>
    <w:rsid w:val="00C8236F"/>
    <w:rsid w:val="00C82419"/>
    <w:rsid w:val="00C82540"/>
    <w:rsid w:val="00C8263D"/>
    <w:rsid w:val="00C82789"/>
    <w:rsid w:val="00C8286C"/>
    <w:rsid w:val="00C829E1"/>
    <w:rsid w:val="00C82BCB"/>
    <w:rsid w:val="00C82C57"/>
    <w:rsid w:val="00C82D3C"/>
    <w:rsid w:val="00C82E82"/>
    <w:rsid w:val="00C82F42"/>
    <w:rsid w:val="00C82F90"/>
    <w:rsid w:val="00C8305C"/>
    <w:rsid w:val="00C832A0"/>
    <w:rsid w:val="00C8339A"/>
    <w:rsid w:val="00C834EC"/>
    <w:rsid w:val="00C835CA"/>
    <w:rsid w:val="00C835D6"/>
    <w:rsid w:val="00C836CC"/>
    <w:rsid w:val="00C836D4"/>
    <w:rsid w:val="00C836E2"/>
    <w:rsid w:val="00C8376C"/>
    <w:rsid w:val="00C8387A"/>
    <w:rsid w:val="00C83AD5"/>
    <w:rsid w:val="00C83B43"/>
    <w:rsid w:val="00C83C55"/>
    <w:rsid w:val="00C83D00"/>
    <w:rsid w:val="00C83D04"/>
    <w:rsid w:val="00C83D6E"/>
    <w:rsid w:val="00C83D74"/>
    <w:rsid w:val="00C83DCD"/>
    <w:rsid w:val="00C83E8A"/>
    <w:rsid w:val="00C84056"/>
    <w:rsid w:val="00C842A4"/>
    <w:rsid w:val="00C842DC"/>
    <w:rsid w:val="00C84394"/>
    <w:rsid w:val="00C84439"/>
    <w:rsid w:val="00C844C2"/>
    <w:rsid w:val="00C84593"/>
    <w:rsid w:val="00C84624"/>
    <w:rsid w:val="00C8469A"/>
    <w:rsid w:val="00C84757"/>
    <w:rsid w:val="00C847EA"/>
    <w:rsid w:val="00C84900"/>
    <w:rsid w:val="00C84902"/>
    <w:rsid w:val="00C84AAE"/>
    <w:rsid w:val="00C84AB0"/>
    <w:rsid w:val="00C84B94"/>
    <w:rsid w:val="00C84EF5"/>
    <w:rsid w:val="00C84F01"/>
    <w:rsid w:val="00C84F20"/>
    <w:rsid w:val="00C84F39"/>
    <w:rsid w:val="00C84FB8"/>
    <w:rsid w:val="00C84FFC"/>
    <w:rsid w:val="00C85098"/>
    <w:rsid w:val="00C8510C"/>
    <w:rsid w:val="00C851C2"/>
    <w:rsid w:val="00C851E5"/>
    <w:rsid w:val="00C85233"/>
    <w:rsid w:val="00C85422"/>
    <w:rsid w:val="00C854B6"/>
    <w:rsid w:val="00C85632"/>
    <w:rsid w:val="00C85656"/>
    <w:rsid w:val="00C857EE"/>
    <w:rsid w:val="00C85845"/>
    <w:rsid w:val="00C85926"/>
    <w:rsid w:val="00C859FD"/>
    <w:rsid w:val="00C85A0B"/>
    <w:rsid w:val="00C85B6C"/>
    <w:rsid w:val="00C85BB1"/>
    <w:rsid w:val="00C85D15"/>
    <w:rsid w:val="00C85E10"/>
    <w:rsid w:val="00C85E14"/>
    <w:rsid w:val="00C8604C"/>
    <w:rsid w:val="00C8609D"/>
    <w:rsid w:val="00C863CB"/>
    <w:rsid w:val="00C86698"/>
    <w:rsid w:val="00C866C6"/>
    <w:rsid w:val="00C866DA"/>
    <w:rsid w:val="00C86801"/>
    <w:rsid w:val="00C86826"/>
    <w:rsid w:val="00C8687F"/>
    <w:rsid w:val="00C86CC7"/>
    <w:rsid w:val="00C86DAD"/>
    <w:rsid w:val="00C86DB5"/>
    <w:rsid w:val="00C86E45"/>
    <w:rsid w:val="00C86EA7"/>
    <w:rsid w:val="00C86FB3"/>
    <w:rsid w:val="00C87159"/>
    <w:rsid w:val="00C87200"/>
    <w:rsid w:val="00C872AB"/>
    <w:rsid w:val="00C873AC"/>
    <w:rsid w:val="00C873B2"/>
    <w:rsid w:val="00C874B3"/>
    <w:rsid w:val="00C874DB"/>
    <w:rsid w:val="00C874E1"/>
    <w:rsid w:val="00C874F9"/>
    <w:rsid w:val="00C87571"/>
    <w:rsid w:val="00C87685"/>
    <w:rsid w:val="00C87687"/>
    <w:rsid w:val="00C8773C"/>
    <w:rsid w:val="00C87773"/>
    <w:rsid w:val="00C8778B"/>
    <w:rsid w:val="00C87821"/>
    <w:rsid w:val="00C879ED"/>
    <w:rsid w:val="00C87D0F"/>
    <w:rsid w:val="00C87D73"/>
    <w:rsid w:val="00C87DB2"/>
    <w:rsid w:val="00C87E01"/>
    <w:rsid w:val="00C87F2F"/>
    <w:rsid w:val="00C87F7F"/>
    <w:rsid w:val="00C87F8B"/>
    <w:rsid w:val="00C9050B"/>
    <w:rsid w:val="00C90516"/>
    <w:rsid w:val="00C906AF"/>
    <w:rsid w:val="00C906E4"/>
    <w:rsid w:val="00C90745"/>
    <w:rsid w:val="00C90777"/>
    <w:rsid w:val="00C90814"/>
    <w:rsid w:val="00C90A9E"/>
    <w:rsid w:val="00C90BF3"/>
    <w:rsid w:val="00C90E5B"/>
    <w:rsid w:val="00C90E6C"/>
    <w:rsid w:val="00C90E8D"/>
    <w:rsid w:val="00C90F34"/>
    <w:rsid w:val="00C90F88"/>
    <w:rsid w:val="00C91023"/>
    <w:rsid w:val="00C91087"/>
    <w:rsid w:val="00C910A5"/>
    <w:rsid w:val="00C91106"/>
    <w:rsid w:val="00C911A7"/>
    <w:rsid w:val="00C911E6"/>
    <w:rsid w:val="00C912E2"/>
    <w:rsid w:val="00C9137E"/>
    <w:rsid w:val="00C9148E"/>
    <w:rsid w:val="00C91554"/>
    <w:rsid w:val="00C9159F"/>
    <w:rsid w:val="00C915EC"/>
    <w:rsid w:val="00C91628"/>
    <w:rsid w:val="00C916F1"/>
    <w:rsid w:val="00C9171D"/>
    <w:rsid w:val="00C91775"/>
    <w:rsid w:val="00C9177A"/>
    <w:rsid w:val="00C917A5"/>
    <w:rsid w:val="00C91866"/>
    <w:rsid w:val="00C918EF"/>
    <w:rsid w:val="00C9193D"/>
    <w:rsid w:val="00C91944"/>
    <w:rsid w:val="00C91991"/>
    <w:rsid w:val="00C919BC"/>
    <w:rsid w:val="00C91BD7"/>
    <w:rsid w:val="00C91D5E"/>
    <w:rsid w:val="00C91D9B"/>
    <w:rsid w:val="00C91F91"/>
    <w:rsid w:val="00C92039"/>
    <w:rsid w:val="00C9216A"/>
    <w:rsid w:val="00C922EA"/>
    <w:rsid w:val="00C92332"/>
    <w:rsid w:val="00C9242A"/>
    <w:rsid w:val="00C925D3"/>
    <w:rsid w:val="00C925FA"/>
    <w:rsid w:val="00C9266A"/>
    <w:rsid w:val="00C927B8"/>
    <w:rsid w:val="00C928A1"/>
    <w:rsid w:val="00C92A00"/>
    <w:rsid w:val="00C92B5B"/>
    <w:rsid w:val="00C92B75"/>
    <w:rsid w:val="00C92D01"/>
    <w:rsid w:val="00C92E1A"/>
    <w:rsid w:val="00C93106"/>
    <w:rsid w:val="00C931BF"/>
    <w:rsid w:val="00C93209"/>
    <w:rsid w:val="00C93271"/>
    <w:rsid w:val="00C933D3"/>
    <w:rsid w:val="00C9343F"/>
    <w:rsid w:val="00C935CF"/>
    <w:rsid w:val="00C935E5"/>
    <w:rsid w:val="00C936DE"/>
    <w:rsid w:val="00C9372B"/>
    <w:rsid w:val="00C9377B"/>
    <w:rsid w:val="00C937F3"/>
    <w:rsid w:val="00C93B09"/>
    <w:rsid w:val="00C93B15"/>
    <w:rsid w:val="00C93B16"/>
    <w:rsid w:val="00C93D05"/>
    <w:rsid w:val="00C93D29"/>
    <w:rsid w:val="00C93D3E"/>
    <w:rsid w:val="00C93E94"/>
    <w:rsid w:val="00C93ED3"/>
    <w:rsid w:val="00C93F46"/>
    <w:rsid w:val="00C93F4A"/>
    <w:rsid w:val="00C93FFB"/>
    <w:rsid w:val="00C940E7"/>
    <w:rsid w:val="00C94105"/>
    <w:rsid w:val="00C9419D"/>
    <w:rsid w:val="00C943A4"/>
    <w:rsid w:val="00C943BC"/>
    <w:rsid w:val="00C943FD"/>
    <w:rsid w:val="00C94419"/>
    <w:rsid w:val="00C94547"/>
    <w:rsid w:val="00C9456A"/>
    <w:rsid w:val="00C94573"/>
    <w:rsid w:val="00C947BE"/>
    <w:rsid w:val="00C9486F"/>
    <w:rsid w:val="00C949D6"/>
    <w:rsid w:val="00C94A5B"/>
    <w:rsid w:val="00C94AEB"/>
    <w:rsid w:val="00C94BD6"/>
    <w:rsid w:val="00C94DC7"/>
    <w:rsid w:val="00C94EFA"/>
    <w:rsid w:val="00C94FEB"/>
    <w:rsid w:val="00C9502E"/>
    <w:rsid w:val="00C9507C"/>
    <w:rsid w:val="00C9509E"/>
    <w:rsid w:val="00C9510F"/>
    <w:rsid w:val="00C9524D"/>
    <w:rsid w:val="00C9525A"/>
    <w:rsid w:val="00C95295"/>
    <w:rsid w:val="00C9529C"/>
    <w:rsid w:val="00C9539C"/>
    <w:rsid w:val="00C954A2"/>
    <w:rsid w:val="00C954EE"/>
    <w:rsid w:val="00C955CE"/>
    <w:rsid w:val="00C9570B"/>
    <w:rsid w:val="00C95713"/>
    <w:rsid w:val="00C9584E"/>
    <w:rsid w:val="00C95866"/>
    <w:rsid w:val="00C95886"/>
    <w:rsid w:val="00C95A21"/>
    <w:rsid w:val="00C95AED"/>
    <w:rsid w:val="00C95B02"/>
    <w:rsid w:val="00C95B82"/>
    <w:rsid w:val="00C95C77"/>
    <w:rsid w:val="00C95D97"/>
    <w:rsid w:val="00C95DAE"/>
    <w:rsid w:val="00C95F3C"/>
    <w:rsid w:val="00C95FB7"/>
    <w:rsid w:val="00C960F4"/>
    <w:rsid w:val="00C96138"/>
    <w:rsid w:val="00C96170"/>
    <w:rsid w:val="00C96372"/>
    <w:rsid w:val="00C963E5"/>
    <w:rsid w:val="00C96524"/>
    <w:rsid w:val="00C9657D"/>
    <w:rsid w:val="00C965A3"/>
    <w:rsid w:val="00C966AA"/>
    <w:rsid w:val="00C967AB"/>
    <w:rsid w:val="00C96812"/>
    <w:rsid w:val="00C96933"/>
    <w:rsid w:val="00C96AEA"/>
    <w:rsid w:val="00C96BF0"/>
    <w:rsid w:val="00C96CB0"/>
    <w:rsid w:val="00C96D63"/>
    <w:rsid w:val="00C96D6D"/>
    <w:rsid w:val="00C96DA9"/>
    <w:rsid w:val="00C96DF6"/>
    <w:rsid w:val="00C96E9F"/>
    <w:rsid w:val="00C96F45"/>
    <w:rsid w:val="00C96F5B"/>
    <w:rsid w:val="00C97023"/>
    <w:rsid w:val="00C970D2"/>
    <w:rsid w:val="00C97177"/>
    <w:rsid w:val="00C973CB"/>
    <w:rsid w:val="00C973D0"/>
    <w:rsid w:val="00C97430"/>
    <w:rsid w:val="00C975D1"/>
    <w:rsid w:val="00C9769D"/>
    <w:rsid w:val="00C976C4"/>
    <w:rsid w:val="00C9782B"/>
    <w:rsid w:val="00C978E2"/>
    <w:rsid w:val="00C9797A"/>
    <w:rsid w:val="00C97A2F"/>
    <w:rsid w:val="00C97A88"/>
    <w:rsid w:val="00C97AD5"/>
    <w:rsid w:val="00C97B02"/>
    <w:rsid w:val="00C97BF9"/>
    <w:rsid w:val="00C97C44"/>
    <w:rsid w:val="00C97CDC"/>
    <w:rsid w:val="00C97E31"/>
    <w:rsid w:val="00C97E82"/>
    <w:rsid w:val="00C97E93"/>
    <w:rsid w:val="00C97EB5"/>
    <w:rsid w:val="00C97FAD"/>
    <w:rsid w:val="00C97FFA"/>
    <w:rsid w:val="00C9CB1F"/>
    <w:rsid w:val="00CA00DA"/>
    <w:rsid w:val="00CA0141"/>
    <w:rsid w:val="00CA01BC"/>
    <w:rsid w:val="00CA046F"/>
    <w:rsid w:val="00CA0478"/>
    <w:rsid w:val="00CA05DC"/>
    <w:rsid w:val="00CA0698"/>
    <w:rsid w:val="00CA06D3"/>
    <w:rsid w:val="00CA078B"/>
    <w:rsid w:val="00CA0965"/>
    <w:rsid w:val="00CA09FC"/>
    <w:rsid w:val="00CA0A00"/>
    <w:rsid w:val="00CA0ADC"/>
    <w:rsid w:val="00CA0F14"/>
    <w:rsid w:val="00CA1038"/>
    <w:rsid w:val="00CA1068"/>
    <w:rsid w:val="00CA118E"/>
    <w:rsid w:val="00CA11BC"/>
    <w:rsid w:val="00CA1221"/>
    <w:rsid w:val="00CA12B7"/>
    <w:rsid w:val="00CA1378"/>
    <w:rsid w:val="00CA14DC"/>
    <w:rsid w:val="00CA15CA"/>
    <w:rsid w:val="00CA161C"/>
    <w:rsid w:val="00CA162B"/>
    <w:rsid w:val="00CA1678"/>
    <w:rsid w:val="00CA16D8"/>
    <w:rsid w:val="00CA1825"/>
    <w:rsid w:val="00CA189E"/>
    <w:rsid w:val="00CA18FC"/>
    <w:rsid w:val="00CA1AC9"/>
    <w:rsid w:val="00CA1BAE"/>
    <w:rsid w:val="00CA1C40"/>
    <w:rsid w:val="00CA1CC4"/>
    <w:rsid w:val="00CA1D06"/>
    <w:rsid w:val="00CA1D1F"/>
    <w:rsid w:val="00CA1D95"/>
    <w:rsid w:val="00CA1D9C"/>
    <w:rsid w:val="00CA1E4C"/>
    <w:rsid w:val="00CA1E5D"/>
    <w:rsid w:val="00CA1E90"/>
    <w:rsid w:val="00CA1EA0"/>
    <w:rsid w:val="00CA1F81"/>
    <w:rsid w:val="00CA204E"/>
    <w:rsid w:val="00CA2098"/>
    <w:rsid w:val="00CA20CF"/>
    <w:rsid w:val="00CA20E4"/>
    <w:rsid w:val="00CA20FA"/>
    <w:rsid w:val="00CA21B9"/>
    <w:rsid w:val="00CA2262"/>
    <w:rsid w:val="00CA233D"/>
    <w:rsid w:val="00CA2441"/>
    <w:rsid w:val="00CA26DF"/>
    <w:rsid w:val="00CA28F9"/>
    <w:rsid w:val="00CA2946"/>
    <w:rsid w:val="00CA2AF0"/>
    <w:rsid w:val="00CA2CCC"/>
    <w:rsid w:val="00CA2CD3"/>
    <w:rsid w:val="00CA2F8C"/>
    <w:rsid w:val="00CA2FFB"/>
    <w:rsid w:val="00CA304D"/>
    <w:rsid w:val="00CA3075"/>
    <w:rsid w:val="00CA307E"/>
    <w:rsid w:val="00CA309A"/>
    <w:rsid w:val="00CA3111"/>
    <w:rsid w:val="00CA337A"/>
    <w:rsid w:val="00CA33B0"/>
    <w:rsid w:val="00CA33D4"/>
    <w:rsid w:val="00CA3456"/>
    <w:rsid w:val="00CA3630"/>
    <w:rsid w:val="00CA3636"/>
    <w:rsid w:val="00CA3700"/>
    <w:rsid w:val="00CA3774"/>
    <w:rsid w:val="00CA37F6"/>
    <w:rsid w:val="00CA3928"/>
    <w:rsid w:val="00CA39E0"/>
    <w:rsid w:val="00CA3AC8"/>
    <w:rsid w:val="00CA3C80"/>
    <w:rsid w:val="00CA3CC1"/>
    <w:rsid w:val="00CA3D80"/>
    <w:rsid w:val="00CA3E39"/>
    <w:rsid w:val="00CA3E8A"/>
    <w:rsid w:val="00CA3F08"/>
    <w:rsid w:val="00CA3FAE"/>
    <w:rsid w:val="00CA3FBF"/>
    <w:rsid w:val="00CA4101"/>
    <w:rsid w:val="00CA4109"/>
    <w:rsid w:val="00CA414F"/>
    <w:rsid w:val="00CA4160"/>
    <w:rsid w:val="00CA41DF"/>
    <w:rsid w:val="00CA4364"/>
    <w:rsid w:val="00CA4381"/>
    <w:rsid w:val="00CA4430"/>
    <w:rsid w:val="00CA446B"/>
    <w:rsid w:val="00CA44BB"/>
    <w:rsid w:val="00CA455D"/>
    <w:rsid w:val="00CA4566"/>
    <w:rsid w:val="00CA45E4"/>
    <w:rsid w:val="00CA474E"/>
    <w:rsid w:val="00CA47C0"/>
    <w:rsid w:val="00CA4898"/>
    <w:rsid w:val="00CA48A8"/>
    <w:rsid w:val="00CA48B5"/>
    <w:rsid w:val="00CA4952"/>
    <w:rsid w:val="00CA4A21"/>
    <w:rsid w:val="00CA4A2C"/>
    <w:rsid w:val="00CA4BA5"/>
    <w:rsid w:val="00CA4CB6"/>
    <w:rsid w:val="00CA4D6A"/>
    <w:rsid w:val="00CA4D76"/>
    <w:rsid w:val="00CA4E0E"/>
    <w:rsid w:val="00CA4ED4"/>
    <w:rsid w:val="00CA4F30"/>
    <w:rsid w:val="00CA5010"/>
    <w:rsid w:val="00CA51D2"/>
    <w:rsid w:val="00CA5311"/>
    <w:rsid w:val="00CA5424"/>
    <w:rsid w:val="00CA54DF"/>
    <w:rsid w:val="00CA5530"/>
    <w:rsid w:val="00CA557A"/>
    <w:rsid w:val="00CA5621"/>
    <w:rsid w:val="00CA577C"/>
    <w:rsid w:val="00CA5782"/>
    <w:rsid w:val="00CA5910"/>
    <w:rsid w:val="00CA594D"/>
    <w:rsid w:val="00CA5969"/>
    <w:rsid w:val="00CA597E"/>
    <w:rsid w:val="00CA5A27"/>
    <w:rsid w:val="00CA5B3C"/>
    <w:rsid w:val="00CA5B4F"/>
    <w:rsid w:val="00CA5BB3"/>
    <w:rsid w:val="00CA5DEB"/>
    <w:rsid w:val="00CA5ED1"/>
    <w:rsid w:val="00CA5F23"/>
    <w:rsid w:val="00CA6142"/>
    <w:rsid w:val="00CA6162"/>
    <w:rsid w:val="00CA6178"/>
    <w:rsid w:val="00CA629B"/>
    <w:rsid w:val="00CA6581"/>
    <w:rsid w:val="00CA65A5"/>
    <w:rsid w:val="00CA6912"/>
    <w:rsid w:val="00CA6919"/>
    <w:rsid w:val="00CA697F"/>
    <w:rsid w:val="00CA6982"/>
    <w:rsid w:val="00CA6A3D"/>
    <w:rsid w:val="00CA6B5B"/>
    <w:rsid w:val="00CA6C70"/>
    <w:rsid w:val="00CA6C92"/>
    <w:rsid w:val="00CA6D08"/>
    <w:rsid w:val="00CA6D69"/>
    <w:rsid w:val="00CA6DC7"/>
    <w:rsid w:val="00CA6E72"/>
    <w:rsid w:val="00CA6EE4"/>
    <w:rsid w:val="00CA6F54"/>
    <w:rsid w:val="00CA6FD9"/>
    <w:rsid w:val="00CA714A"/>
    <w:rsid w:val="00CA727E"/>
    <w:rsid w:val="00CA73FC"/>
    <w:rsid w:val="00CA741C"/>
    <w:rsid w:val="00CA74A1"/>
    <w:rsid w:val="00CA752F"/>
    <w:rsid w:val="00CA75AE"/>
    <w:rsid w:val="00CA7644"/>
    <w:rsid w:val="00CA76C9"/>
    <w:rsid w:val="00CA7831"/>
    <w:rsid w:val="00CA7927"/>
    <w:rsid w:val="00CA799C"/>
    <w:rsid w:val="00CA7A99"/>
    <w:rsid w:val="00CA7B3D"/>
    <w:rsid w:val="00CA7B65"/>
    <w:rsid w:val="00CA7C1E"/>
    <w:rsid w:val="00CA7EEC"/>
    <w:rsid w:val="00CA7EF5"/>
    <w:rsid w:val="00CA7F4D"/>
    <w:rsid w:val="00CA7F87"/>
    <w:rsid w:val="00CB005E"/>
    <w:rsid w:val="00CB00C3"/>
    <w:rsid w:val="00CB00CD"/>
    <w:rsid w:val="00CB0446"/>
    <w:rsid w:val="00CB0670"/>
    <w:rsid w:val="00CB06C5"/>
    <w:rsid w:val="00CB0863"/>
    <w:rsid w:val="00CB08FB"/>
    <w:rsid w:val="00CB090F"/>
    <w:rsid w:val="00CB0915"/>
    <w:rsid w:val="00CB0963"/>
    <w:rsid w:val="00CB09A6"/>
    <w:rsid w:val="00CB09B7"/>
    <w:rsid w:val="00CB0AA2"/>
    <w:rsid w:val="00CB0C15"/>
    <w:rsid w:val="00CB0C4A"/>
    <w:rsid w:val="00CB0C8E"/>
    <w:rsid w:val="00CB0D19"/>
    <w:rsid w:val="00CB0DAF"/>
    <w:rsid w:val="00CB0DEA"/>
    <w:rsid w:val="00CB0E22"/>
    <w:rsid w:val="00CB0E49"/>
    <w:rsid w:val="00CB0F97"/>
    <w:rsid w:val="00CB11E7"/>
    <w:rsid w:val="00CB12AC"/>
    <w:rsid w:val="00CB130C"/>
    <w:rsid w:val="00CB133E"/>
    <w:rsid w:val="00CB13AF"/>
    <w:rsid w:val="00CB1495"/>
    <w:rsid w:val="00CB14FA"/>
    <w:rsid w:val="00CB154A"/>
    <w:rsid w:val="00CB1675"/>
    <w:rsid w:val="00CB16D6"/>
    <w:rsid w:val="00CB1704"/>
    <w:rsid w:val="00CB177E"/>
    <w:rsid w:val="00CB17F7"/>
    <w:rsid w:val="00CB180C"/>
    <w:rsid w:val="00CB1825"/>
    <w:rsid w:val="00CB198E"/>
    <w:rsid w:val="00CB19B0"/>
    <w:rsid w:val="00CB1B54"/>
    <w:rsid w:val="00CB1C8A"/>
    <w:rsid w:val="00CB1DEC"/>
    <w:rsid w:val="00CB1E18"/>
    <w:rsid w:val="00CB1ED8"/>
    <w:rsid w:val="00CB1F80"/>
    <w:rsid w:val="00CB1FDB"/>
    <w:rsid w:val="00CB223F"/>
    <w:rsid w:val="00CB22AB"/>
    <w:rsid w:val="00CB22CE"/>
    <w:rsid w:val="00CB2422"/>
    <w:rsid w:val="00CB24B0"/>
    <w:rsid w:val="00CB250E"/>
    <w:rsid w:val="00CB25FF"/>
    <w:rsid w:val="00CB2653"/>
    <w:rsid w:val="00CB276B"/>
    <w:rsid w:val="00CB27F4"/>
    <w:rsid w:val="00CB28D4"/>
    <w:rsid w:val="00CB29BE"/>
    <w:rsid w:val="00CB29D2"/>
    <w:rsid w:val="00CB2A0E"/>
    <w:rsid w:val="00CB2B92"/>
    <w:rsid w:val="00CB2CA1"/>
    <w:rsid w:val="00CB2E9B"/>
    <w:rsid w:val="00CB3030"/>
    <w:rsid w:val="00CB3083"/>
    <w:rsid w:val="00CB30C0"/>
    <w:rsid w:val="00CB30CF"/>
    <w:rsid w:val="00CB31DB"/>
    <w:rsid w:val="00CB31ED"/>
    <w:rsid w:val="00CB323D"/>
    <w:rsid w:val="00CB3382"/>
    <w:rsid w:val="00CB33B9"/>
    <w:rsid w:val="00CB344F"/>
    <w:rsid w:val="00CB369C"/>
    <w:rsid w:val="00CB36CB"/>
    <w:rsid w:val="00CB3728"/>
    <w:rsid w:val="00CB376A"/>
    <w:rsid w:val="00CB385A"/>
    <w:rsid w:val="00CB38C5"/>
    <w:rsid w:val="00CB38CE"/>
    <w:rsid w:val="00CB3902"/>
    <w:rsid w:val="00CB3A37"/>
    <w:rsid w:val="00CB3B4D"/>
    <w:rsid w:val="00CB3B5B"/>
    <w:rsid w:val="00CB3CBB"/>
    <w:rsid w:val="00CB3D7B"/>
    <w:rsid w:val="00CB3DA4"/>
    <w:rsid w:val="00CB3E40"/>
    <w:rsid w:val="00CB3F13"/>
    <w:rsid w:val="00CB3F25"/>
    <w:rsid w:val="00CB3FA6"/>
    <w:rsid w:val="00CB41EE"/>
    <w:rsid w:val="00CB420A"/>
    <w:rsid w:val="00CB42E5"/>
    <w:rsid w:val="00CB43ED"/>
    <w:rsid w:val="00CB43F4"/>
    <w:rsid w:val="00CB44FB"/>
    <w:rsid w:val="00CB4538"/>
    <w:rsid w:val="00CB45DB"/>
    <w:rsid w:val="00CB46CE"/>
    <w:rsid w:val="00CB46FE"/>
    <w:rsid w:val="00CB4726"/>
    <w:rsid w:val="00CB481A"/>
    <w:rsid w:val="00CB4832"/>
    <w:rsid w:val="00CB4971"/>
    <w:rsid w:val="00CB49D8"/>
    <w:rsid w:val="00CB4A82"/>
    <w:rsid w:val="00CB4B1D"/>
    <w:rsid w:val="00CB4B1E"/>
    <w:rsid w:val="00CB4B94"/>
    <w:rsid w:val="00CB4CEB"/>
    <w:rsid w:val="00CB4F40"/>
    <w:rsid w:val="00CB4FE3"/>
    <w:rsid w:val="00CB4FFF"/>
    <w:rsid w:val="00CB508C"/>
    <w:rsid w:val="00CB5138"/>
    <w:rsid w:val="00CB5255"/>
    <w:rsid w:val="00CB536A"/>
    <w:rsid w:val="00CB5386"/>
    <w:rsid w:val="00CB554E"/>
    <w:rsid w:val="00CB5723"/>
    <w:rsid w:val="00CB572F"/>
    <w:rsid w:val="00CB58B9"/>
    <w:rsid w:val="00CB5A72"/>
    <w:rsid w:val="00CB5BB8"/>
    <w:rsid w:val="00CB5BCD"/>
    <w:rsid w:val="00CB5D09"/>
    <w:rsid w:val="00CB5F65"/>
    <w:rsid w:val="00CB6067"/>
    <w:rsid w:val="00CB618E"/>
    <w:rsid w:val="00CB624E"/>
    <w:rsid w:val="00CB624F"/>
    <w:rsid w:val="00CB62C6"/>
    <w:rsid w:val="00CB6389"/>
    <w:rsid w:val="00CB6558"/>
    <w:rsid w:val="00CB65B7"/>
    <w:rsid w:val="00CB66CF"/>
    <w:rsid w:val="00CB66E1"/>
    <w:rsid w:val="00CB66F7"/>
    <w:rsid w:val="00CB67AF"/>
    <w:rsid w:val="00CB6898"/>
    <w:rsid w:val="00CB6909"/>
    <w:rsid w:val="00CB6940"/>
    <w:rsid w:val="00CB6957"/>
    <w:rsid w:val="00CB69FE"/>
    <w:rsid w:val="00CB6A83"/>
    <w:rsid w:val="00CB6ADD"/>
    <w:rsid w:val="00CB6BF4"/>
    <w:rsid w:val="00CB6CBE"/>
    <w:rsid w:val="00CB6CDD"/>
    <w:rsid w:val="00CB6CE4"/>
    <w:rsid w:val="00CB6D27"/>
    <w:rsid w:val="00CB70EC"/>
    <w:rsid w:val="00CB710E"/>
    <w:rsid w:val="00CB72FE"/>
    <w:rsid w:val="00CB7513"/>
    <w:rsid w:val="00CB75D3"/>
    <w:rsid w:val="00CB762E"/>
    <w:rsid w:val="00CB763D"/>
    <w:rsid w:val="00CB76E8"/>
    <w:rsid w:val="00CB7708"/>
    <w:rsid w:val="00CB7821"/>
    <w:rsid w:val="00CB78C9"/>
    <w:rsid w:val="00CB7916"/>
    <w:rsid w:val="00CB79A0"/>
    <w:rsid w:val="00CB7B8F"/>
    <w:rsid w:val="00CB7BDD"/>
    <w:rsid w:val="00CB7BF0"/>
    <w:rsid w:val="00CB7C21"/>
    <w:rsid w:val="00CB7E5D"/>
    <w:rsid w:val="00CB7E83"/>
    <w:rsid w:val="00CB7EB6"/>
    <w:rsid w:val="00CB7F18"/>
    <w:rsid w:val="00CB7FEA"/>
    <w:rsid w:val="00CC000A"/>
    <w:rsid w:val="00CC001F"/>
    <w:rsid w:val="00CC016C"/>
    <w:rsid w:val="00CC01D6"/>
    <w:rsid w:val="00CC0322"/>
    <w:rsid w:val="00CC03AD"/>
    <w:rsid w:val="00CC03E9"/>
    <w:rsid w:val="00CC046F"/>
    <w:rsid w:val="00CC04BD"/>
    <w:rsid w:val="00CC0597"/>
    <w:rsid w:val="00CC05AA"/>
    <w:rsid w:val="00CC0605"/>
    <w:rsid w:val="00CC0740"/>
    <w:rsid w:val="00CC08C2"/>
    <w:rsid w:val="00CC09E6"/>
    <w:rsid w:val="00CC0B0B"/>
    <w:rsid w:val="00CC0BDF"/>
    <w:rsid w:val="00CC0D8B"/>
    <w:rsid w:val="00CC0E0A"/>
    <w:rsid w:val="00CC11C8"/>
    <w:rsid w:val="00CC133F"/>
    <w:rsid w:val="00CC139A"/>
    <w:rsid w:val="00CC13B8"/>
    <w:rsid w:val="00CC1448"/>
    <w:rsid w:val="00CC146D"/>
    <w:rsid w:val="00CC169C"/>
    <w:rsid w:val="00CC1732"/>
    <w:rsid w:val="00CC1766"/>
    <w:rsid w:val="00CC1835"/>
    <w:rsid w:val="00CC1862"/>
    <w:rsid w:val="00CC1920"/>
    <w:rsid w:val="00CC1AED"/>
    <w:rsid w:val="00CC1B64"/>
    <w:rsid w:val="00CC1B79"/>
    <w:rsid w:val="00CC1BAB"/>
    <w:rsid w:val="00CC1C97"/>
    <w:rsid w:val="00CC1E07"/>
    <w:rsid w:val="00CC1EC7"/>
    <w:rsid w:val="00CC1F1F"/>
    <w:rsid w:val="00CC1F87"/>
    <w:rsid w:val="00CC20C6"/>
    <w:rsid w:val="00CC2295"/>
    <w:rsid w:val="00CC2540"/>
    <w:rsid w:val="00CC2545"/>
    <w:rsid w:val="00CC2707"/>
    <w:rsid w:val="00CC2810"/>
    <w:rsid w:val="00CC287D"/>
    <w:rsid w:val="00CC292B"/>
    <w:rsid w:val="00CC29FD"/>
    <w:rsid w:val="00CC2A5D"/>
    <w:rsid w:val="00CC2B0B"/>
    <w:rsid w:val="00CC2C90"/>
    <w:rsid w:val="00CC2D99"/>
    <w:rsid w:val="00CC2EF0"/>
    <w:rsid w:val="00CC3006"/>
    <w:rsid w:val="00CC3179"/>
    <w:rsid w:val="00CC31BA"/>
    <w:rsid w:val="00CC339A"/>
    <w:rsid w:val="00CC372D"/>
    <w:rsid w:val="00CC37F2"/>
    <w:rsid w:val="00CC3A1B"/>
    <w:rsid w:val="00CC3B1E"/>
    <w:rsid w:val="00CC3B56"/>
    <w:rsid w:val="00CC3C8B"/>
    <w:rsid w:val="00CC3D26"/>
    <w:rsid w:val="00CC3E09"/>
    <w:rsid w:val="00CC4044"/>
    <w:rsid w:val="00CC404A"/>
    <w:rsid w:val="00CC42FC"/>
    <w:rsid w:val="00CC4353"/>
    <w:rsid w:val="00CC4374"/>
    <w:rsid w:val="00CC43E1"/>
    <w:rsid w:val="00CC46A7"/>
    <w:rsid w:val="00CC472C"/>
    <w:rsid w:val="00CC47A6"/>
    <w:rsid w:val="00CC49D2"/>
    <w:rsid w:val="00CC4B4A"/>
    <w:rsid w:val="00CC4B6F"/>
    <w:rsid w:val="00CC4BEA"/>
    <w:rsid w:val="00CC4DC1"/>
    <w:rsid w:val="00CC4F53"/>
    <w:rsid w:val="00CC4FFC"/>
    <w:rsid w:val="00CC5047"/>
    <w:rsid w:val="00CC5063"/>
    <w:rsid w:val="00CC5081"/>
    <w:rsid w:val="00CC50C9"/>
    <w:rsid w:val="00CC523A"/>
    <w:rsid w:val="00CC52DE"/>
    <w:rsid w:val="00CC542D"/>
    <w:rsid w:val="00CC5599"/>
    <w:rsid w:val="00CC5634"/>
    <w:rsid w:val="00CC567F"/>
    <w:rsid w:val="00CC56D8"/>
    <w:rsid w:val="00CC5700"/>
    <w:rsid w:val="00CC5A0F"/>
    <w:rsid w:val="00CC5B62"/>
    <w:rsid w:val="00CC5C6B"/>
    <w:rsid w:val="00CC5CA9"/>
    <w:rsid w:val="00CC5D96"/>
    <w:rsid w:val="00CC5DAD"/>
    <w:rsid w:val="00CC5E46"/>
    <w:rsid w:val="00CC5EA3"/>
    <w:rsid w:val="00CC5F02"/>
    <w:rsid w:val="00CC601C"/>
    <w:rsid w:val="00CC6056"/>
    <w:rsid w:val="00CC611D"/>
    <w:rsid w:val="00CC6120"/>
    <w:rsid w:val="00CC6149"/>
    <w:rsid w:val="00CC61F2"/>
    <w:rsid w:val="00CC644D"/>
    <w:rsid w:val="00CC6532"/>
    <w:rsid w:val="00CC6576"/>
    <w:rsid w:val="00CC65AC"/>
    <w:rsid w:val="00CC65CE"/>
    <w:rsid w:val="00CC6766"/>
    <w:rsid w:val="00CC6831"/>
    <w:rsid w:val="00CC6867"/>
    <w:rsid w:val="00CC68BE"/>
    <w:rsid w:val="00CC68D4"/>
    <w:rsid w:val="00CC699C"/>
    <w:rsid w:val="00CC69B8"/>
    <w:rsid w:val="00CC6A45"/>
    <w:rsid w:val="00CC6B84"/>
    <w:rsid w:val="00CC6B9B"/>
    <w:rsid w:val="00CC6C3A"/>
    <w:rsid w:val="00CC6CD9"/>
    <w:rsid w:val="00CC6D4F"/>
    <w:rsid w:val="00CC6D5E"/>
    <w:rsid w:val="00CC6DD1"/>
    <w:rsid w:val="00CC6E22"/>
    <w:rsid w:val="00CC6EF9"/>
    <w:rsid w:val="00CC6FF2"/>
    <w:rsid w:val="00CC7031"/>
    <w:rsid w:val="00CC70CA"/>
    <w:rsid w:val="00CC7179"/>
    <w:rsid w:val="00CC71AD"/>
    <w:rsid w:val="00CC729A"/>
    <w:rsid w:val="00CC72DB"/>
    <w:rsid w:val="00CC742D"/>
    <w:rsid w:val="00CC7464"/>
    <w:rsid w:val="00CC74AF"/>
    <w:rsid w:val="00CC7509"/>
    <w:rsid w:val="00CC7598"/>
    <w:rsid w:val="00CC762D"/>
    <w:rsid w:val="00CC767A"/>
    <w:rsid w:val="00CC7683"/>
    <w:rsid w:val="00CC7828"/>
    <w:rsid w:val="00CC7840"/>
    <w:rsid w:val="00CC796A"/>
    <w:rsid w:val="00CC79D2"/>
    <w:rsid w:val="00CC7B02"/>
    <w:rsid w:val="00CC7C37"/>
    <w:rsid w:val="00CC7CBA"/>
    <w:rsid w:val="00CC7D62"/>
    <w:rsid w:val="00CC7D73"/>
    <w:rsid w:val="00CC7DF6"/>
    <w:rsid w:val="00CC7EF1"/>
    <w:rsid w:val="00CD001D"/>
    <w:rsid w:val="00CD0047"/>
    <w:rsid w:val="00CD039C"/>
    <w:rsid w:val="00CD0494"/>
    <w:rsid w:val="00CD082F"/>
    <w:rsid w:val="00CD08AC"/>
    <w:rsid w:val="00CD09D9"/>
    <w:rsid w:val="00CD09EF"/>
    <w:rsid w:val="00CD0AF2"/>
    <w:rsid w:val="00CD0B98"/>
    <w:rsid w:val="00CD0C14"/>
    <w:rsid w:val="00CD0CD8"/>
    <w:rsid w:val="00CD0D84"/>
    <w:rsid w:val="00CD0E1B"/>
    <w:rsid w:val="00CD0E43"/>
    <w:rsid w:val="00CD0F42"/>
    <w:rsid w:val="00CD108B"/>
    <w:rsid w:val="00CD108D"/>
    <w:rsid w:val="00CD11A8"/>
    <w:rsid w:val="00CD11B8"/>
    <w:rsid w:val="00CD1473"/>
    <w:rsid w:val="00CD1577"/>
    <w:rsid w:val="00CD1603"/>
    <w:rsid w:val="00CD1649"/>
    <w:rsid w:val="00CD1662"/>
    <w:rsid w:val="00CD1711"/>
    <w:rsid w:val="00CD17AC"/>
    <w:rsid w:val="00CD1829"/>
    <w:rsid w:val="00CD182F"/>
    <w:rsid w:val="00CD1A16"/>
    <w:rsid w:val="00CD1A6D"/>
    <w:rsid w:val="00CD1A7B"/>
    <w:rsid w:val="00CD1D63"/>
    <w:rsid w:val="00CD1D70"/>
    <w:rsid w:val="00CD1E10"/>
    <w:rsid w:val="00CD1EB7"/>
    <w:rsid w:val="00CD1EE0"/>
    <w:rsid w:val="00CD1EE1"/>
    <w:rsid w:val="00CD1F8E"/>
    <w:rsid w:val="00CD1F99"/>
    <w:rsid w:val="00CD1FD0"/>
    <w:rsid w:val="00CD20F6"/>
    <w:rsid w:val="00CD21EE"/>
    <w:rsid w:val="00CD23CD"/>
    <w:rsid w:val="00CD2403"/>
    <w:rsid w:val="00CD24E5"/>
    <w:rsid w:val="00CD251F"/>
    <w:rsid w:val="00CD25DB"/>
    <w:rsid w:val="00CD27B9"/>
    <w:rsid w:val="00CD2806"/>
    <w:rsid w:val="00CD282A"/>
    <w:rsid w:val="00CD297A"/>
    <w:rsid w:val="00CD29F8"/>
    <w:rsid w:val="00CD2AE2"/>
    <w:rsid w:val="00CD2AF3"/>
    <w:rsid w:val="00CD2B13"/>
    <w:rsid w:val="00CD2BCC"/>
    <w:rsid w:val="00CD2C38"/>
    <w:rsid w:val="00CD2CA5"/>
    <w:rsid w:val="00CD2DF9"/>
    <w:rsid w:val="00CD2E44"/>
    <w:rsid w:val="00CD2E5F"/>
    <w:rsid w:val="00CD2E67"/>
    <w:rsid w:val="00CD2EA1"/>
    <w:rsid w:val="00CD2EF4"/>
    <w:rsid w:val="00CD2FD0"/>
    <w:rsid w:val="00CD300F"/>
    <w:rsid w:val="00CD30C3"/>
    <w:rsid w:val="00CD3194"/>
    <w:rsid w:val="00CD324F"/>
    <w:rsid w:val="00CD32FD"/>
    <w:rsid w:val="00CD330C"/>
    <w:rsid w:val="00CD33BC"/>
    <w:rsid w:val="00CD33DE"/>
    <w:rsid w:val="00CD33F8"/>
    <w:rsid w:val="00CD3480"/>
    <w:rsid w:val="00CD3646"/>
    <w:rsid w:val="00CD3696"/>
    <w:rsid w:val="00CD37D9"/>
    <w:rsid w:val="00CD391C"/>
    <w:rsid w:val="00CD3A89"/>
    <w:rsid w:val="00CD3D85"/>
    <w:rsid w:val="00CD403E"/>
    <w:rsid w:val="00CD4048"/>
    <w:rsid w:val="00CD412D"/>
    <w:rsid w:val="00CD4249"/>
    <w:rsid w:val="00CD4257"/>
    <w:rsid w:val="00CD4659"/>
    <w:rsid w:val="00CD469B"/>
    <w:rsid w:val="00CD479A"/>
    <w:rsid w:val="00CD4883"/>
    <w:rsid w:val="00CD48C5"/>
    <w:rsid w:val="00CD4A37"/>
    <w:rsid w:val="00CD4A53"/>
    <w:rsid w:val="00CD4D58"/>
    <w:rsid w:val="00CD4DA7"/>
    <w:rsid w:val="00CD4E13"/>
    <w:rsid w:val="00CD4E88"/>
    <w:rsid w:val="00CD4E8E"/>
    <w:rsid w:val="00CD5048"/>
    <w:rsid w:val="00CD504C"/>
    <w:rsid w:val="00CD50B7"/>
    <w:rsid w:val="00CD5202"/>
    <w:rsid w:val="00CD5286"/>
    <w:rsid w:val="00CD5326"/>
    <w:rsid w:val="00CD53B7"/>
    <w:rsid w:val="00CD53F4"/>
    <w:rsid w:val="00CD5419"/>
    <w:rsid w:val="00CD5493"/>
    <w:rsid w:val="00CD54AE"/>
    <w:rsid w:val="00CD5515"/>
    <w:rsid w:val="00CD5556"/>
    <w:rsid w:val="00CD56C4"/>
    <w:rsid w:val="00CD579A"/>
    <w:rsid w:val="00CD57C5"/>
    <w:rsid w:val="00CD5A02"/>
    <w:rsid w:val="00CD5A58"/>
    <w:rsid w:val="00CD5B92"/>
    <w:rsid w:val="00CD5BEC"/>
    <w:rsid w:val="00CD5E36"/>
    <w:rsid w:val="00CD5F1B"/>
    <w:rsid w:val="00CD5F5E"/>
    <w:rsid w:val="00CD5FE0"/>
    <w:rsid w:val="00CD608D"/>
    <w:rsid w:val="00CD60A7"/>
    <w:rsid w:val="00CD60AD"/>
    <w:rsid w:val="00CD610A"/>
    <w:rsid w:val="00CD6353"/>
    <w:rsid w:val="00CD647D"/>
    <w:rsid w:val="00CD6500"/>
    <w:rsid w:val="00CD65DA"/>
    <w:rsid w:val="00CD6630"/>
    <w:rsid w:val="00CD681F"/>
    <w:rsid w:val="00CD689D"/>
    <w:rsid w:val="00CD6A49"/>
    <w:rsid w:val="00CD6AE8"/>
    <w:rsid w:val="00CD6B0D"/>
    <w:rsid w:val="00CD6CF3"/>
    <w:rsid w:val="00CD6D5A"/>
    <w:rsid w:val="00CD6DCC"/>
    <w:rsid w:val="00CD6E51"/>
    <w:rsid w:val="00CD6F3A"/>
    <w:rsid w:val="00CD7139"/>
    <w:rsid w:val="00CD71A4"/>
    <w:rsid w:val="00CD7342"/>
    <w:rsid w:val="00CD74ED"/>
    <w:rsid w:val="00CD754F"/>
    <w:rsid w:val="00CD75A6"/>
    <w:rsid w:val="00CD75AF"/>
    <w:rsid w:val="00CD75C1"/>
    <w:rsid w:val="00CD7713"/>
    <w:rsid w:val="00CD78B0"/>
    <w:rsid w:val="00CD7983"/>
    <w:rsid w:val="00CD7A07"/>
    <w:rsid w:val="00CD7A4D"/>
    <w:rsid w:val="00CD7BA6"/>
    <w:rsid w:val="00CD7C0D"/>
    <w:rsid w:val="00CD7F3F"/>
    <w:rsid w:val="00CD7FCD"/>
    <w:rsid w:val="00CE0008"/>
    <w:rsid w:val="00CE009E"/>
    <w:rsid w:val="00CE0126"/>
    <w:rsid w:val="00CE03F4"/>
    <w:rsid w:val="00CE064F"/>
    <w:rsid w:val="00CE06D0"/>
    <w:rsid w:val="00CE085E"/>
    <w:rsid w:val="00CE0873"/>
    <w:rsid w:val="00CE09A1"/>
    <w:rsid w:val="00CE0C6D"/>
    <w:rsid w:val="00CE0E8A"/>
    <w:rsid w:val="00CE117F"/>
    <w:rsid w:val="00CE11C7"/>
    <w:rsid w:val="00CE12E1"/>
    <w:rsid w:val="00CE14A6"/>
    <w:rsid w:val="00CE156B"/>
    <w:rsid w:val="00CE158F"/>
    <w:rsid w:val="00CE172B"/>
    <w:rsid w:val="00CE186D"/>
    <w:rsid w:val="00CE19F7"/>
    <w:rsid w:val="00CE1A3B"/>
    <w:rsid w:val="00CE1A5C"/>
    <w:rsid w:val="00CE1A72"/>
    <w:rsid w:val="00CE1A7F"/>
    <w:rsid w:val="00CE1AA9"/>
    <w:rsid w:val="00CE1AEE"/>
    <w:rsid w:val="00CE1B87"/>
    <w:rsid w:val="00CE1DD4"/>
    <w:rsid w:val="00CE1E0C"/>
    <w:rsid w:val="00CE1E1F"/>
    <w:rsid w:val="00CE2089"/>
    <w:rsid w:val="00CE212D"/>
    <w:rsid w:val="00CE21AB"/>
    <w:rsid w:val="00CE2205"/>
    <w:rsid w:val="00CE225A"/>
    <w:rsid w:val="00CE2335"/>
    <w:rsid w:val="00CE2433"/>
    <w:rsid w:val="00CE247E"/>
    <w:rsid w:val="00CE25EB"/>
    <w:rsid w:val="00CE2687"/>
    <w:rsid w:val="00CE2729"/>
    <w:rsid w:val="00CE2A50"/>
    <w:rsid w:val="00CE2A6B"/>
    <w:rsid w:val="00CE2AD9"/>
    <w:rsid w:val="00CE2B7F"/>
    <w:rsid w:val="00CE2C76"/>
    <w:rsid w:val="00CE2D25"/>
    <w:rsid w:val="00CE2D55"/>
    <w:rsid w:val="00CE2DC3"/>
    <w:rsid w:val="00CE2EF4"/>
    <w:rsid w:val="00CE3080"/>
    <w:rsid w:val="00CE30BE"/>
    <w:rsid w:val="00CE31F0"/>
    <w:rsid w:val="00CE324E"/>
    <w:rsid w:val="00CE328C"/>
    <w:rsid w:val="00CE32E2"/>
    <w:rsid w:val="00CE32E4"/>
    <w:rsid w:val="00CE33A7"/>
    <w:rsid w:val="00CE33C3"/>
    <w:rsid w:val="00CE3627"/>
    <w:rsid w:val="00CE3655"/>
    <w:rsid w:val="00CE36EA"/>
    <w:rsid w:val="00CE3710"/>
    <w:rsid w:val="00CE37F4"/>
    <w:rsid w:val="00CE38D5"/>
    <w:rsid w:val="00CE38FF"/>
    <w:rsid w:val="00CE391F"/>
    <w:rsid w:val="00CE3B9C"/>
    <w:rsid w:val="00CE3C23"/>
    <w:rsid w:val="00CE3CAD"/>
    <w:rsid w:val="00CE3DFE"/>
    <w:rsid w:val="00CE3EA7"/>
    <w:rsid w:val="00CE3FD3"/>
    <w:rsid w:val="00CE4079"/>
    <w:rsid w:val="00CE4100"/>
    <w:rsid w:val="00CE4179"/>
    <w:rsid w:val="00CE427B"/>
    <w:rsid w:val="00CE431E"/>
    <w:rsid w:val="00CE442E"/>
    <w:rsid w:val="00CE444E"/>
    <w:rsid w:val="00CE459D"/>
    <w:rsid w:val="00CE4604"/>
    <w:rsid w:val="00CE4777"/>
    <w:rsid w:val="00CE4798"/>
    <w:rsid w:val="00CE4839"/>
    <w:rsid w:val="00CE487C"/>
    <w:rsid w:val="00CE48FD"/>
    <w:rsid w:val="00CE4926"/>
    <w:rsid w:val="00CE4AA7"/>
    <w:rsid w:val="00CE4AF0"/>
    <w:rsid w:val="00CE4B52"/>
    <w:rsid w:val="00CE4B8E"/>
    <w:rsid w:val="00CE4BEB"/>
    <w:rsid w:val="00CE4CE4"/>
    <w:rsid w:val="00CE4DE5"/>
    <w:rsid w:val="00CE4F68"/>
    <w:rsid w:val="00CE4FCA"/>
    <w:rsid w:val="00CE4FDA"/>
    <w:rsid w:val="00CE5025"/>
    <w:rsid w:val="00CE5040"/>
    <w:rsid w:val="00CE509F"/>
    <w:rsid w:val="00CE50CD"/>
    <w:rsid w:val="00CE52E0"/>
    <w:rsid w:val="00CE54E4"/>
    <w:rsid w:val="00CE56D8"/>
    <w:rsid w:val="00CE582D"/>
    <w:rsid w:val="00CE58D6"/>
    <w:rsid w:val="00CE5928"/>
    <w:rsid w:val="00CE59A0"/>
    <w:rsid w:val="00CE5A0C"/>
    <w:rsid w:val="00CE5B52"/>
    <w:rsid w:val="00CE5D6B"/>
    <w:rsid w:val="00CE5DC6"/>
    <w:rsid w:val="00CE5DC7"/>
    <w:rsid w:val="00CE5ED7"/>
    <w:rsid w:val="00CE5F73"/>
    <w:rsid w:val="00CE6087"/>
    <w:rsid w:val="00CE6171"/>
    <w:rsid w:val="00CE61F2"/>
    <w:rsid w:val="00CE61FC"/>
    <w:rsid w:val="00CE620D"/>
    <w:rsid w:val="00CE65EE"/>
    <w:rsid w:val="00CE6614"/>
    <w:rsid w:val="00CE66DA"/>
    <w:rsid w:val="00CE6735"/>
    <w:rsid w:val="00CE6884"/>
    <w:rsid w:val="00CE68C3"/>
    <w:rsid w:val="00CE6949"/>
    <w:rsid w:val="00CE69B2"/>
    <w:rsid w:val="00CE6A12"/>
    <w:rsid w:val="00CE6A33"/>
    <w:rsid w:val="00CE6AA8"/>
    <w:rsid w:val="00CE6AEA"/>
    <w:rsid w:val="00CE6CF8"/>
    <w:rsid w:val="00CE6F18"/>
    <w:rsid w:val="00CE7037"/>
    <w:rsid w:val="00CE7071"/>
    <w:rsid w:val="00CE71DA"/>
    <w:rsid w:val="00CE74D4"/>
    <w:rsid w:val="00CE7534"/>
    <w:rsid w:val="00CE7639"/>
    <w:rsid w:val="00CE7856"/>
    <w:rsid w:val="00CE7943"/>
    <w:rsid w:val="00CE7AC0"/>
    <w:rsid w:val="00CE7BC4"/>
    <w:rsid w:val="00CE7BFF"/>
    <w:rsid w:val="00CE7D40"/>
    <w:rsid w:val="00CE7D50"/>
    <w:rsid w:val="00CE7F75"/>
    <w:rsid w:val="00CF001D"/>
    <w:rsid w:val="00CF0226"/>
    <w:rsid w:val="00CF03F7"/>
    <w:rsid w:val="00CF044F"/>
    <w:rsid w:val="00CF057E"/>
    <w:rsid w:val="00CF0680"/>
    <w:rsid w:val="00CF07BC"/>
    <w:rsid w:val="00CF07F9"/>
    <w:rsid w:val="00CF0808"/>
    <w:rsid w:val="00CF080D"/>
    <w:rsid w:val="00CF0833"/>
    <w:rsid w:val="00CF0937"/>
    <w:rsid w:val="00CF096D"/>
    <w:rsid w:val="00CF0A5F"/>
    <w:rsid w:val="00CF0BC2"/>
    <w:rsid w:val="00CF0BF5"/>
    <w:rsid w:val="00CF0C7A"/>
    <w:rsid w:val="00CF0CE8"/>
    <w:rsid w:val="00CF0E93"/>
    <w:rsid w:val="00CF0F1A"/>
    <w:rsid w:val="00CF1041"/>
    <w:rsid w:val="00CF1122"/>
    <w:rsid w:val="00CF117D"/>
    <w:rsid w:val="00CF11E4"/>
    <w:rsid w:val="00CF1230"/>
    <w:rsid w:val="00CF124C"/>
    <w:rsid w:val="00CF12B7"/>
    <w:rsid w:val="00CF1306"/>
    <w:rsid w:val="00CF1327"/>
    <w:rsid w:val="00CF138A"/>
    <w:rsid w:val="00CF13B5"/>
    <w:rsid w:val="00CF13B6"/>
    <w:rsid w:val="00CF1457"/>
    <w:rsid w:val="00CF14A1"/>
    <w:rsid w:val="00CF1503"/>
    <w:rsid w:val="00CF15AE"/>
    <w:rsid w:val="00CF1731"/>
    <w:rsid w:val="00CF17EB"/>
    <w:rsid w:val="00CF185E"/>
    <w:rsid w:val="00CF1922"/>
    <w:rsid w:val="00CF1ADC"/>
    <w:rsid w:val="00CF1E24"/>
    <w:rsid w:val="00CF1EF4"/>
    <w:rsid w:val="00CF1F7A"/>
    <w:rsid w:val="00CF2024"/>
    <w:rsid w:val="00CF20A1"/>
    <w:rsid w:val="00CF2136"/>
    <w:rsid w:val="00CF21FD"/>
    <w:rsid w:val="00CF2344"/>
    <w:rsid w:val="00CF2363"/>
    <w:rsid w:val="00CF2444"/>
    <w:rsid w:val="00CF28BE"/>
    <w:rsid w:val="00CF293F"/>
    <w:rsid w:val="00CF2952"/>
    <w:rsid w:val="00CF2AAC"/>
    <w:rsid w:val="00CF2AD3"/>
    <w:rsid w:val="00CF2BA4"/>
    <w:rsid w:val="00CF2DB0"/>
    <w:rsid w:val="00CF2DC5"/>
    <w:rsid w:val="00CF2F11"/>
    <w:rsid w:val="00CF2FA3"/>
    <w:rsid w:val="00CF3152"/>
    <w:rsid w:val="00CF3187"/>
    <w:rsid w:val="00CF33B0"/>
    <w:rsid w:val="00CF341F"/>
    <w:rsid w:val="00CF3435"/>
    <w:rsid w:val="00CF34C1"/>
    <w:rsid w:val="00CF3608"/>
    <w:rsid w:val="00CF368D"/>
    <w:rsid w:val="00CF368E"/>
    <w:rsid w:val="00CF38D9"/>
    <w:rsid w:val="00CF38E0"/>
    <w:rsid w:val="00CF3909"/>
    <w:rsid w:val="00CF3917"/>
    <w:rsid w:val="00CF3928"/>
    <w:rsid w:val="00CF39B3"/>
    <w:rsid w:val="00CF3AD9"/>
    <w:rsid w:val="00CF3B04"/>
    <w:rsid w:val="00CF3BE2"/>
    <w:rsid w:val="00CF40C4"/>
    <w:rsid w:val="00CF40DE"/>
    <w:rsid w:val="00CF422C"/>
    <w:rsid w:val="00CF4234"/>
    <w:rsid w:val="00CF4322"/>
    <w:rsid w:val="00CF43A4"/>
    <w:rsid w:val="00CF440D"/>
    <w:rsid w:val="00CF4566"/>
    <w:rsid w:val="00CF4956"/>
    <w:rsid w:val="00CF4A0A"/>
    <w:rsid w:val="00CF4A96"/>
    <w:rsid w:val="00CF4B1D"/>
    <w:rsid w:val="00CF50B7"/>
    <w:rsid w:val="00CF51EC"/>
    <w:rsid w:val="00CF524B"/>
    <w:rsid w:val="00CF5394"/>
    <w:rsid w:val="00CF53F9"/>
    <w:rsid w:val="00CF5433"/>
    <w:rsid w:val="00CF5651"/>
    <w:rsid w:val="00CF5838"/>
    <w:rsid w:val="00CF5923"/>
    <w:rsid w:val="00CF594D"/>
    <w:rsid w:val="00CF5A33"/>
    <w:rsid w:val="00CF5A9F"/>
    <w:rsid w:val="00CF5AD6"/>
    <w:rsid w:val="00CF5AD7"/>
    <w:rsid w:val="00CF5B19"/>
    <w:rsid w:val="00CF5B61"/>
    <w:rsid w:val="00CF5CF9"/>
    <w:rsid w:val="00CF5D83"/>
    <w:rsid w:val="00CF5E3C"/>
    <w:rsid w:val="00CF5E8E"/>
    <w:rsid w:val="00CF5FE2"/>
    <w:rsid w:val="00CF6062"/>
    <w:rsid w:val="00CF612C"/>
    <w:rsid w:val="00CF615F"/>
    <w:rsid w:val="00CF61E3"/>
    <w:rsid w:val="00CF623F"/>
    <w:rsid w:val="00CF6266"/>
    <w:rsid w:val="00CF6268"/>
    <w:rsid w:val="00CF634B"/>
    <w:rsid w:val="00CF6358"/>
    <w:rsid w:val="00CF6381"/>
    <w:rsid w:val="00CF63A2"/>
    <w:rsid w:val="00CF647B"/>
    <w:rsid w:val="00CF6532"/>
    <w:rsid w:val="00CF656F"/>
    <w:rsid w:val="00CF6712"/>
    <w:rsid w:val="00CF678B"/>
    <w:rsid w:val="00CF679E"/>
    <w:rsid w:val="00CF680A"/>
    <w:rsid w:val="00CF6828"/>
    <w:rsid w:val="00CF69C4"/>
    <w:rsid w:val="00CF6BA2"/>
    <w:rsid w:val="00CF6BB5"/>
    <w:rsid w:val="00CF6C8B"/>
    <w:rsid w:val="00CF6D4E"/>
    <w:rsid w:val="00CF6D9F"/>
    <w:rsid w:val="00CF6DA2"/>
    <w:rsid w:val="00CF6EA2"/>
    <w:rsid w:val="00CF6F5E"/>
    <w:rsid w:val="00CF7010"/>
    <w:rsid w:val="00CF705D"/>
    <w:rsid w:val="00CF73E0"/>
    <w:rsid w:val="00CF7570"/>
    <w:rsid w:val="00CF75F8"/>
    <w:rsid w:val="00CF76C7"/>
    <w:rsid w:val="00CF77C3"/>
    <w:rsid w:val="00CF7862"/>
    <w:rsid w:val="00CF78CB"/>
    <w:rsid w:val="00CF791F"/>
    <w:rsid w:val="00CF7A7C"/>
    <w:rsid w:val="00CF7B80"/>
    <w:rsid w:val="00CF7BD2"/>
    <w:rsid w:val="00CF7C58"/>
    <w:rsid w:val="00CF7D05"/>
    <w:rsid w:val="00CF7D29"/>
    <w:rsid w:val="00CF7D8D"/>
    <w:rsid w:val="00CF7E65"/>
    <w:rsid w:val="00CF7EA7"/>
    <w:rsid w:val="00CF7F82"/>
    <w:rsid w:val="00CF7FF6"/>
    <w:rsid w:val="00D000A5"/>
    <w:rsid w:val="00D00105"/>
    <w:rsid w:val="00D001DD"/>
    <w:rsid w:val="00D002EA"/>
    <w:rsid w:val="00D00459"/>
    <w:rsid w:val="00D00543"/>
    <w:rsid w:val="00D00596"/>
    <w:rsid w:val="00D006E8"/>
    <w:rsid w:val="00D0078D"/>
    <w:rsid w:val="00D00825"/>
    <w:rsid w:val="00D0087D"/>
    <w:rsid w:val="00D00920"/>
    <w:rsid w:val="00D00A65"/>
    <w:rsid w:val="00D00A98"/>
    <w:rsid w:val="00D00B4D"/>
    <w:rsid w:val="00D00CBC"/>
    <w:rsid w:val="00D00D61"/>
    <w:rsid w:val="00D00DE7"/>
    <w:rsid w:val="00D00EFC"/>
    <w:rsid w:val="00D00F3D"/>
    <w:rsid w:val="00D00F44"/>
    <w:rsid w:val="00D00FF7"/>
    <w:rsid w:val="00D010AC"/>
    <w:rsid w:val="00D010C6"/>
    <w:rsid w:val="00D011DF"/>
    <w:rsid w:val="00D0124E"/>
    <w:rsid w:val="00D01367"/>
    <w:rsid w:val="00D013F0"/>
    <w:rsid w:val="00D0144C"/>
    <w:rsid w:val="00D01575"/>
    <w:rsid w:val="00D015A8"/>
    <w:rsid w:val="00D01794"/>
    <w:rsid w:val="00D01821"/>
    <w:rsid w:val="00D0184D"/>
    <w:rsid w:val="00D0196A"/>
    <w:rsid w:val="00D01B89"/>
    <w:rsid w:val="00D01D43"/>
    <w:rsid w:val="00D01E09"/>
    <w:rsid w:val="00D01EB5"/>
    <w:rsid w:val="00D02035"/>
    <w:rsid w:val="00D020EB"/>
    <w:rsid w:val="00D0245B"/>
    <w:rsid w:val="00D02500"/>
    <w:rsid w:val="00D025BB"/>
    <w:rsid w:val="00D026B1"/>
    <w:rsid w:val="00D026D0"/>
    <w:rsid w:val="00D029F8"/>
    <w:rsid w:val="00D02A3C"/>
    <w:rsid w:val="00D02AEC"/>
    <w:rsid w:val="00D02B06"/>
    <w:rsid w:val="00D02B9F"/>
    <w:rsid w:val="00D02C0E"/>
    <w:rsid w:val="00D02C87"/>
    <w:rsid w:val="00D02E36"/>
    <w:rsid w:val="00D02E87"/>
    <w:rsid w:val="00D02FC2"/>
    <w:rsid w:val="00D03238"/>
    <w:rsid w:val="00D0327B"/>
    <w:rsid w:val="00D032CB"/>
    <w:rsid w:val="00D0331C"/>
    <w:rsid w:val="00D03358"/>
    <w:rsid w:val="00D03468"/>
    <w:rsid w:val="00D034B5"/>
    <w:rsid w:val="00D034ED"/>
    <w:rsid w:val="00D03554"/>
    <w:rsid w:val="00D0360D"/>
    <w:rsid w:val="00D03646"/>
    <w:rsid w:val="00D036C5"/>
    <w:rsid w:val="00D03753"/>
    <w:rsid w:val="00D03772"/>
    <w:rsid w:val="00D038ED"/>
    <w:rsid w:val="00D03A3A"/>
    <w:rsid w:val="00D03ADA"/>
    <w:rsid w:val="00D03B17"/>
    <w:rsid w:val="00D03C14"/>
    <w:rsid w:val="00D03D74"/>
    <w:rsid w:val="00D03DBF"/>
    <w:rsid w:val="00D03E1F"/>
    <w:rsid w:val="00D03E7F"/>
    <w:rsid w:val="00D03FB6"/>
    <w:rsid w:val="00D04078"/>
    <w:rsid w:val="00D0407F"/>
    <w:rsid w:val="00D0424A"/>
    <w:rsid w:val="00D042D1"/>
    <w:rsid w:val="00D04355"/>
    <w:rsid w:val="00D0437C"/>
    <w:rsid w:val="00D043D1"/>
    <w:rsid w:val="00D04408"/>
    <w:rsid w:val="00D0440B"/>
    <w:rsid w:val="00D044B4"/>
    <w:rsid w:val="00D046F6"/>
    <w:rsid w:val="00D0480B"/>
    <w:rsid w:val="00D04883"/>
    <w:rsid w:val="00D048B6"/>
    <w:rsid w:val="00D04956"/>
    <w:rsid w:val="00D04A40"/>
    <w:rsid w:val="00D04B9C"/>
    <w:rsid w:val="00D04BA0"/>
    <w:rsid w:val="00D05431"/>
    <w:rsid w:val="00D054C1"/>
    <w:rsid w:val="00D05558"/>
    <w:rsid w:val="00D0560A"/>
    <w:rsid w:val="00D05677"/>
    <w:rsid w:val="00D0571A"/>
    <w:rsid w:val="00D05776"/>
    <w:rsid w:val="00D0578A"/>
    <w:rsid w:val="00D05804"/>
    <w:rsid w:val="00D05826"/>
    <w:rsid w:val="00D058E9"/>
    <w:rsid w:val="00D059FC"/>
    <w:rsid w:val="00D05B17"/>
    <w:rsid w:val="00D05B2E"/>
    <w:rsid w:val="00D05B98"/>
    <w:rsid w:val="00D05C7B"/>
    <w:rsid w:val="00D05C91"/>
    <w:rsid w:val="00D05CFA"/>
    <w:rsid w:val="00D05DA2"/>
    <w:rsid w:val="00D05EB5"/>
    <w:rsid w:val="00D05EC9"/>
    <w:rsid w:val="00D05F2B"/>
    <w:rsid w:val="00D05F74"/>
    <w:rsid w:val="00D0602E"/>
    <w:rsid w:val="00D0607A"/>
    <w:rsid w:val="00D0616C"/>
    <w:rsid w:val="00D06282"/>
    <w:rsid w:val="00D06494"/>
    <w:rsid w:val="00D0662D"/>
    <w:rsid w:val="00D066F7"/>
    <w:rsid w:val="00D067BE"/>
    <w:rsid w:val="00D06A3F"/>
    <w:rsid w:val="00D06AFE"/>
    <w:rsid w:val="00D06C6F"/>
    <w:rsid w:val="00D06CE7"/>
    <w:rsid w:val="00D06DF4"/>
    <w:rsid w:val="00D06E5F"/>
    <w:rsid w:val="00D06EC4"/>
    <w:rsid w:val="00D06F05"/>
    <w:rsid w:val="00D06F59"/>
    <w:rsid w:val="00D0733E"/>
    <w:rsid w:val="00D077FE"/>
    <w:rsid w:val="00D07848"/>
    <w:rsid w:val="00D0786A"/>
    <w:rsid w:val="00D0789F"/>
    <w:rsid w:val="00D078D7"/>
    <w:rsid w:val="00D078E6"/>
    <w:rsid w:val="00D078F5"/>
    <w:rsid w:val="00D0792C"/>
    <w:rsid w:val="00D07B12"/>
    <w:rsid w:val="00D07BBB"/>
    <w:rsid w:val="00D07C28"/>
    <w:rsid w:val="00D07C3A"/>
    <w:rsid w:val="00D07D46"/>
    <w:rsid w:val="00D07E0F"/>
    <w:rsid w:val="00D07ED9"/>
    <w:rsid w:val="00D07F00"/>
    <w:rsid w:val="00D07F81"/>
    <w:rsid w:val="00D10037"/>
    <w:rsid w:val="00D1010B"/>
    <w:rsid w:val="00D1013A"/>
    <w:rsid w:val="00D10550"/>
    <w:rsid w:val="00D1055F"/>
    <w:rsid w:val="00D10622"/>
    <w:rsid w:val="00D10675"/>
    <w:rsid w:val="00D10746"/>
    <w:rsid w:val="00D107E8"/>
    <w:rsid w:val="00D107EE"/>
    <w:rsid w:val="00D108C7"/>
    <w:rsid w:val="00D1093B"/>
    <w:rsid w:val="00D10AB7"/>
    <w:rsid w:val="00D10ADA"/>
    <w:rsid w:val="00D10C8F"/>
    <w:rsid w:val="00D10DEE"/>
    <w:rsid w:val="00D10E44"/>
    <w:rsid w:val="00D10EC0"/>
    <w:rsid w:val="00D10F91"/>
    <w:rsid w:val="00D11035"/>
    <w:rsid w:val="00D110A7"/>
    <w:rsid w:val="00D11140"/>
    <w:rsid w:val="00D11195"/>
    <w:rsid w:val="00D111A7"/>
    <w:rsid w:val="00D111CB"/>
    <w:rsid w:val="00D1131E"/>
    <w:rsid w:val="00D1131F"/>
    <w:rsid w:val="00D1134C"/>
    <w:rsid w:val="00D1159A"/>
    <w:rsid w:val="00D116B4"/>
    <w:rsid w:val="00D116E9"/>
    <w:rsid w:val="00D11730"/>
    <w:rsid w:val="00D117C2"/>
    <w:rsid w:val="00D119B2"/>
    <w:rsid w:val="00D119F5"/>
    <w:rsid w:val="00D11B0F"/>
    <w:rsid w:val="00D11B75"/>
    <w:rsid w:val="00D11C57"/>
    <w:rsid w:val="00D11D02"/>
    <w:rsid w:val="00D11D7A"/>
    <w:rsid w:val="00D11DE7"/>
    <w:rsid w:val="00D11E2D"/>
    <w:rsid w:val="00D11E86"/>
    <w:rsid w:val="00D11EAB"/>
    <w:rsid w:val="00D11EE7"/>
    <w:rsid w:val="00D11F1A"/>
    <w:rsid w:val="00D11F6F"/>
    <w:rsid w:val="00D1210B"/>
    <w:rsid w:val="00D121BA"/>
    <w:rsid w:val="00D12208"/>
    <w:rsid w:val="00D124B0"/>
    <w:rsid w:val="00D124DC"/>
    <w:rsid w:val="00D12740"/>
    <w:rsid w:val="00D12970"/>
    <w:rsid w:val="00D12977"/>
    <w:rsid w:val="00D12AC0"/>
    <w:rsid w:val="00D12C9A"/>
    <w:rsid w:val="00D12D50"/>
    <w:rsid w:val="00D12D61"/>
    <w:rsid w:val="00D12D63"/>
    <w:rsid w:val="00D12D7C"/>
    <w:rsid w:val="00D12DC0"/>
    <w:rsid w:val="00D12DCB"/>
    <w:rsid w:val="00D12DE8"/>
    <w:rsid w:val="00D12E9E"/>
    <w:rsid w:val="00D1304E"/>
    <w:rsid w:val="00D13123"/>
    <w:rsid w:val="00D13136"/>
    <w:rsid w:val="00D1332E"/>
    <w:rsid w:val="00D13459"/>
    <w:rsid w:val="00D134C7"/>
    <w:rsid w:val="00D134E8"/>
    <w:rsid w:val="00D13580"/>
    <w:rsid w:val="00D136BD"/>
    <w:rsid w:val="00D13772"/>
    <w:rsid w:val="00D13ADD"/>
    <w:rsid w:val="00D13C7E"/>
    <w:rsid w:val="00D13DE7"/>
    <w:rsid w:val="00D13E97"/>
    <w:rsid w:val="00D13EC8"/>
    <w:rsid w:val="00D13F9D"/>
    <w:rsid w:val="00D13FA2"/>
    <w:rsid w:val="00D13FDA"/>
    <w:rsid w:val="00D1417D"/>
    <w:rsid w:val="00D1418C"/>
    <w:rsid w:val="00D141E0"/>
    <w:rsid w:val="00D141E9"/>
    <w:rsid w:val="00D14358"/>
    <w:rsid w:val="00D14376"/>
    <w:rsid w:val="00D143DE"/>
    <w:rsid w:val="00D14428"/>
    <w:rsid w:val="00D1451E"/>
    <w:rsid w:val="00D14562"/>
    <w:rsid w:val="00D14631"/>
    <w:rsid w:val="00D146A0"/>
    <w:rsid w:val="00D1489C"/>
    <w:rsid w:val="00D148FB"/>
    <w:rsid w:val="00D14963"/>
    <w:rsid w:val="00D14991"/>
    <w:rsid w:val="00D14A33"/>
    <w:rsid w:val="00D14AA3"/>
    <w:rsid w:val="00D14CC8"/>
    <w:rsid w:val="00D14D90"/>
    <w:rsid w:val="00D14DCE"/>
    <w:rsid w:val="00D14E2B"/>
    <w:rsid w:val="00D14E33"/>
    <w:rsid w:val="00D14ECB"/>
    <w:rsid w:val="00D150CA"/>
    <w:rsid w:val="00D15185"/>
    <w:rsid w:val="00D15191"/>
    <w:rsid w:val="00D151B0"/>
    <w:rsid w:val="00D15311"/>
    <w:rsid w:val="00D15333"/>
    <w:rsid w:val="00D155B7"/>
    <w:rsid w:val="00D15615"/>
    <w:rsid w:val="00D15687"/>
    <w:rsid w:val="00D1574F"/>
    <w:rsid w:val="00D158C5"/>
    <w:rsid w:val="00D15950"/>
    <w:rsid w:val="00D15962"/>
    <w:rsid w:val="00D15AF2"/>
    <w:rsid w:val="00D15C8A"/>
    <w:rsid w:val="00D15D6C"/>
    <w:rsid w:val="00D15E0B"/>
    <w:rsid w:val="00D15EB4"/>
    <w:rsid w:val="00D1622D"/>
    <w:rsid w:val="00D16316"/>
    <w:rsid w:val="00D163B8"/>
    <w:rsid w:val="00D16632"/>
    <w:rsid w:val="00D166FE"/>
    <w:rsid w:val="00D1683D"/>
    <w:rsid w:val="00D169E8"/>
    <w:rsid w:val="00D16B80"/>
    <w:rsid w:val="00D16D08"/>
    <w:rsid w:val="00D16D4A"/>
    <w:rsid w:val="00D16D77"/>
    <w:rsid w:val="00D16F76"/>
    <w:rsid w:val="00D171DD"/>
    <w:rsid w:val="00D1724C"/>
    <w:rsid w:val="00D1728E"/>
    <w:rsid w:val="00D172F4"/>
    <w:rsid w:val="00D17317"/>
    <w:rsid w:val="00D173F0"/>
    <w:rsid w:val="00D1749D"/>
    <w:rsid w:val="00D174D4"/>
    <w:rsid w:val="00D17594"/>
    <w:rsid w:val="00D17746"/>
    <w:rsid w:val="00D17754"/>
    <w:rsid w:val="00D1778B"/>
    <w:rsid w:val="00D17834"/>
    <w:rsid w:val="00D178EE"/>
    <w:rsid w:val="00D178F0"/>
    <w:rsid w:val="00D17978"/>
    <w:rsid w:val="00D179C6"/>
    <w:rsid w:val="00D17ADB"/>
    <w:rsid w:val="00D17B4C"/>
    <w:rsid w:val="00D17B4D"/>
    <w:rsid w:val="00D17B9D"/>
    <w:rsid w:val="00D17D94"/>
    <w:rsid w:val="00D17E4A"/>
    <w:rsid w:val="00D17F62"/>
    <w:rsid w:val="00D17F73"/>
    <w:rsid w:val="00D20062"/>
    <w:rsid w:val="00D200FD"/>
    <w:rsid w:val="00D201EC"/>
    <w:rsid w:val="00D20294"/>
    <w:rsid w:val="00D2036D"/>
    <w:rsid w:val="00D2037F"/>
    <w:rsid w:val="00D206AB"/>
    <w:rsid w:val="00D2078B"/>
    <w:rsid w:val="00D20867"/>
    <w:rsid w:val="00D2086C"/>
    <w:rsid w:val="00D2088A"/>
    <w:rsid w:val="00D2089B"/>
    <w:rsid w:val="00D2093F"/>
    <w:rsid w:val="00D20B10"/>
    <w:rsid w:val="00D20B63"/>
    <w:rsid w:val="00D20C1E"/>
    <w:rsid w:val="00D20C39"/>
    <w:rsid w:val="00D20CDA"/>
    <w:rsid w:val="00D20D14"/>
    <w:rsid w:val="00D20D29"/>
    <w:rsid w:val="00D20F0C"/>
    <w:rsid w:val="00D20F68"/>
    <w:rsid w:val="00D20FC6"/>
    <w:rsid w:val="00D21088"/>
    <w:rsid w:val="00D2123C"/>
    <w:rsid w:val="00D2123D"/>
    <w:rsid w:val="00D2125E"/>
    <w:rsid w:val="00D21328"/>
    <w:rsid w:val="00D213F4"/>
    <w:rsid w:val="00D21555"/>
    <w:rsid w:val="00D21654"/>
    <w:rsid w:val="00D2166B"/>
    <w:rsid w:val="00D21699"/>
    <w:rsid w:val="00D2176E"/>
    <w:rsid w:val="00D217C6"/>
    <w:rsid w:val="00D21843"/>
    <w:rsid w:val="00D218DD"/>
    <w:rsid w:val="00D21951"/>
    <w:rsid w:val="00D219DD"/>
    <w:rsid w:val="00D21B68"/>
    <w:rsid w:val="00D21C9F"/>
    <w:rsid w:val="00D21E54"/>
    <w:rsid w:val="00D21EB1"/>
    <w:rsid w:val="00D21EC9"/>
    <w:rsid w:val="00D221A0"/>
    <w:rsid w:val="00D22271"/>
    <w:rsid w:val="00D2241D"/>
    <w:rsid w:val="00D224DB"/>
    <w:rsid w:val="00D22697"/>
    <w:rsid w:val="00D226B1"/>
    <w:rsid w:val="00D226E8"/>
    <w:rsid w:val="00D2288E"/>
    <w:rsid w:val="00D229E2"/>
    <w:rsid w:val="00D22D7C"/>
    <w:rsid w:val="00D22E0F"/>
    <w:rsid w:val="00D22E59"/>
    <w:rsid w:val="00D22F68"/>
    <w:rsid w:val="00D23148"/>
    <w:rsid w:val="00D23198"/>
    <w:rsid w:val="00D23295"/>
    <w:rsid w:val="00D232CD"/>
    <w:rsid w:val="00D23337"/>
    <w:rsid w:val="00D23392"/>
    <w:rsid w:val="00D234E1"/>
    <w:rsid w:val="00D234E5"/>
    <w:rsid w:val="00D234E6"/>
    <w:rsid w:val="00D235F0"/>
    <w:rsid w:val="00D2363C"/>
    <w:rsid w:val="00D236AC"/>
    <w:rsid w:val="00D2371C"/>
    <w:rsid w:val="00D237C0"/>
    <w:rsid w:val="00D23839"/>
    <w:rsid w:val="00D2397B"/>
    <w:rsid w:val="00D23A2F"/>
    <w:rsid w:val="00D23AE5"/>
    <w:rsid w:val="00D23AEF"/>
    <w:rsid w:val="00D23B8A"/>
    <w:rsid w:val="00D23BB0"/>
    <w:rsid w:val="00D23CB6"/>
    <w:rsid w:val="00D23D1B"/>
    <w:rsid w:val="00D23DA8"/>
    <w:rsid w:val="00D23EAA"/>
    <w:rsid w:val="00D23F3F"/>
    <w:rsid w:val="00D23F75"/>
    <w:rsid w:val="00D24019"/>
    <w:rsid w:val="00D240B7"/>
    <w:rsid w:val="00D240FD"/>
    <w:rsid w:val="00D24107"/>
    <w:rsid w:val="00D241A2"/>
    <w:rsid w:val="00D241A7"/>
    <w:rsid w:val="00D242BD"/>
    <w:rsid w:val="00D24348"/>
    <w:rsid w:val="00D243EC"/>
    <w:rsid w:val="00D24630"/>
    <w:rsid w:val="00D24633"/>
    <w:rsid w:val="00D24687"/>
    <w:rsid w:val="00D247CA"/>
    <w:rsid w:val="00D2484F"/>
    <w:rsid w:val="00D24861"/>
    <w:rsid w:val="00D248E3"/>
    <w:rsid w:val="00D24A4F"/>
    <w:rsid w:val="00D24A8A"/>
    <w:rsid w:val="00D24B15"/>
    <w:rsid w:val="00D24C99"/>
    <w:rsid w:val="00D24DC7"/>
    <w:rsid w:val="00D24E33"/>
    <w:rsid w:val="00D24F67"/>
    <w:rsid w:val="00D25025"/>
    <w:rsid w:val="00D2502C"/>
    <w:rsid w:val="00D251C9"/>
    <w:rsid w:val="00D25233"/>
    <w:rsid w:val="00D2523B"/>
    <w:rsid w:val="00D25280"/>
    <w:rsid w:val="00D2529C"/>
    <w:rsid w:val="00D253F6"/>
    <w:rsid w:val="00D25526"/>
    <w:rsid w:val="00D25576"/>
    <w:rsid w:val="00D25670"/>
    <w:rsid w:val="00D25826"/>
    <w:rsid w:val="00D258BC"/>
    <w:rsid w:val="00D2593C"/>
    <w:rsid w:val="00D25AD6"/>
    <w:rsid w:val="00D25DA2"/>
    <w:rsid w:val="00D25F82"/>
    <w:rsid w:val="00D25FA4"/>
    <w:rsid w:val="00D260CF"/>
    <w:rsid w:val="00D26140"/>
    <w:rsid w:val="00D26300"/>
    <w:rsid w:val="00D2675D"/>
    <w:rsid w:val="00D2678E"/>
    <w:rsid w:val="00D26854"/>
    <w:rsid w:val="00D2692A"/>
    <w:rsid w:val="00D26A13"/>
    <w:rsid w:val="00D26B39"/>
    <w:rsid w:val="00D26B62"/>
    <w:rsid w:val="00D26DCE"/>
    <w:rsid w:val="00D27051"/>
    <w:rsid w:val="00D27067"/>
    <w:rsid w:val="00D27105"/>
    <w:rsid w:val="00D271B0"/>
    <w:rsid w:val="00D271CB"/>
    <w:rsid w:val="00D2723C"/>
    <w:rsid w:val="00D27244"/>
    <w:rsid w:val="00D27414"/>
    <w:rsid w:val="00D27519"/>
    <w:rsid w:val="00D27545"/>
    <w:rsid w:val="00D275C5"/>
    <w:rsid w:val="00D275CC"/>
    <w:rsid w:val="00D27644"/>
    <w:rsid w:val="00D27749"/>
    <w:rsid w:val="00D2775D"/>
    <w:rsid w:val="00D278C5"/>
    <w:rsid w:val="00D27948"/>
    <w:rsid w:val="00D27952"/>
    <w:rsid w:val="00D279D7"/>
    <w:rsid w:val="00D27B63"/>
    <w:rsid w:val="00D27C27"/>
    <w:rsid w:val="00D27EB2"/>
    <w:rsid w:val="00D27EC4"/>
    <w:rsid w:val="00D27F30"/>
    <w:rsid w:val="00D30001"/>
    <w:rsid w:val="00D30006"/>
    <w:rsid w:val="00D30336"/>
    <w:rsid w:val="00D3039F"/>
    <w:rsid w:val="00D304AF"/>
    <w:rsid w:val="00D305C2"/>
    <w:rsid w:val="00D305CF"/>
    <w:rsid w:val="00D306E9"/>
    <w:rsid w:val="00D3072C"/>
    <w:rsid w:val="00D307F6"/>
    <w:rsid w:val="00D309B1"/>
    <w:rsid w:val="00D30A54"/>
    <w:rsid w:val="00D30B36"/>
    <w:rsid w:val="00D30B3A"/>
    <w:rsid w:val="00D30BBC"/>
    <w:rsid w:val="00D30C52"/>
    <w:rsid w:val="00D30CF8"/>
    <w:rsid w:val="00D30CFF"/>
    <w:rsid w:val="00D30D8F"/>
    <w:rsid w:val="00D30E20"/>
    <w:rsid w:val="00D30E5F"/>
    <w:rsid w:val="00D30F32"/>
    <w:rsid w:val="00D3101E"/>
    <w:rsid w:val="00D3102D"/>
    <w:rsid w:val="00D3115A"/>
    <w:rsid w:val="00D31207"/>
    <w:rsid w:val="00D313C8"/>
    <w:rsid w:val="00D31471"/>
    <w:rsid w:val="00D314DD"/>
    <w:rsid w:val="00D31629"/>
    <w:rsid w:val="00D31691"/>
    <w:rsid w:val="00D31853"/>
    <w:rsid w:val="00D31899"/>
    <w:rsid w:val="00D318D3"/>
    <w:rsid w:val="00D3196B"/>
    <w:rsid w:val="00D31AF6"/>
    <w:rsid w:val="00D31BC0"/>
    <w:rsid w:val="00D31C88"/>
    <w:rsid w:val="00D31D17"/>
    <w:rsid w:val="00D31D50"/>
    <w:rsid w:val="00D31DCD"/>
    <w:rsid w:val="00D32003"/>
    <w:rsid w:val="00D321D4"/>
    <w:rsid w:val="00D321F6"/>
    <w:rsid w:val="00D323C2"/>
    <w:rsid w:val="00D3244F"/>
    <w:rsid w:val="00D3253B"/>
    <w:rsid w:val="00D32601"/>
    <w:rsid w:val="00D32613"/>
    <w:rsid w:val="00D326C3"/>
    <w:rsid w:val="00D32734"/>
    <w:rsid w:val="00D32868"/>
    <w:rsid w:val="00D329C8"/>
    <w:rsid w:val="00D32DCA"/>
    <w:rsid w:val="00D32DED"/>
    <w:rsid w:val="00D32E7E"/>
    <w:rsid w:val="00D32EF5"/>
    <w:rsid w:val="00D32F01"/>
    <w:rsid w:val="00D32FE7"/>
    <w:rsid w:val="00D330C8"/>
    <w:rsid w:val="00D33291"/>
    <w:rsid w:val="00D33458"/>
    <w:rsid w:val="00D335A7"/>
    <w:rsid w:val="00D33657"/>
    <w:rsid w:val="00D338DA"/>
    <w:rsid w:val="00D33919"/>
    <w:rsid w:val="00D33946"/>
    <w:rsid w:val="00D33B48"/>
    <w:rsid w:val="00D33B69"/>
    <w:rsid w:val="00D33EFA"/>
    <w:rsid w:val="00D33F78"/>
    <w:rsid w:val="00D33FF3"/>
    <w:rsid w:val="00D341F0"/>
    <w:rsid w:val="00D34213"/>
    <w:rsid w:val="00D3427A"/>
    <w:rsid w:val="00D34289"/>
    <w:rsid w:val="00D342B7"/>
    <w:rsid w:val="00D3435A"/>
    <w:rsid w:val="00D343D2"/>
    <w:rsid w:val="00D3448E"/>
    <w:rsid w:val="00D346CA"/>
    <w:rsid w:val="00D3475A"/>
    <w:rsid w:val="00D348C2"/>
    <w:rsid w:val="00D34903"/>
    <w:rsid w:val="00D34925"/>
    <w:rsid w:val="00D34AD5"/>
    <w:rsid w:val="00D34B3A"/>
    <w:rsid w:val="00D34B3F"/>
    <w:rsid w:val="00D34BC1"/>
    <w:rsid w:val="00D34D16"/>
    <w:rsid w:val="00D34F43"/>
    <w:rsid w:val="00D34F5A"/>
    <w:rsid w:val="00D34F5F"/>
    <w:rsid w:val="00D35025"/>
    <w:rsid w:val="00D35109"/>
    <w:rsid w:val="00D351ED"/>
    <w:rsid w:val="00D352CC"/>
    <w:rsid w:val="00D3530A"/>
    <w:rsid w:val="00D35473"/>
    <w:rsid w:val="00D3549B"/>
    <w:rsid w:val="00D3550C"/>
    <w:rsid w:val="00D355CC"/>
    <w:rsid w:val="00D3560E"/>
    <w:rsid w:val="00D356D4"/>
    <w:rsid w:val="00D35CEE"/>
    <w:rsid w:val="00D35DC8"/>
    <w:rsid w:val="00D35E7A"/>
    <w:rsid w:val="00D35E8C"/>
    <w:rsid w:val="00D35F59"/>
    <w:rsid w:val="00D35FBA"/>
    <w:rsid w:val="00D35FFB"/>
    <w:rsid w:val="00D36438"/>
    <w:rsid w:val="00D364D9"/>
    <w:rsid w:val="00D36570"/>
    <w:rsid w:val="00D366D4"/>
    <w:rsid w:val="00D366F1"/>
    <w:rsid w:val="00D36AC1"/>
    <w:rsid w:val="00D36B93"/>
    <w:rsid w:val="00D36BA2"/>
    <w:rsid w:val="00D36BE5"/>
    <w:rsid w:val="00D36CCD"/>
    <w:rsid w:val="00D36F76"/>
    <w:rsid w:val="00D36F92"/>
    <w:rsid w:val="00D37024"/>
    <w:rsid w:val="00D370EB"/>
    <w:rsid w:val="00D37233"/>
    <w:rsid w:val="00D3727B"/>
    <w:rsid w:val="00D37365"/>
    <w:rsid w:val="00D375C7"/>
    <w:rsid w:val="00D3778F"/>
    <w:rsid w:val="00D377FD"/>
    <w:rsid w:val="00D37854"/>
    <w:rsid w:val="00D37883"/>
    <w:rsid w:val="00D3791F"/>
    <w:rsid w:val="00D3797B"/>
    <w:rsid w:val="00D379E8"/>
    <w:rsid w:val="00D37A93"/>
    <w:rsid w:val="00D37BA1"/>
    <w:rsid w:val="00D37CA4"/>
    <w:rsid w:val="00D37EC8"/>
    <w:rsid w:val="00D4016F"/>
    <w:rsid w:val="00D401FD"/>
    <w:rsid w:val="00D4020D"/>
    <w:rsid w:val="00D40310"/>
    <w:rsid w:val="00D40321"/>
    <w:rsid w:val="00D4035E"/>
    <w:rsid w:val="00D40424"/>
    <w:rsid w:val="00D40431"/>
    <w:rsid w:val="00D4043B"/>
    <w:rsid w:val="00D40460"/>
    <w:rsid w:val="00D40480"/>
    <w:rsid w:val="00D404C1"/>
    <w:rsid w:val="00D40548"/>
    <w:rsid w:val="00D4054C"/>
    <w:rsid w:val="00D40692"/>
    <w:rsid w:val="00D406A6"/>
    <w:rsid w:val="00D406ED"/>
    <w:rsid w:val="00D4073F"/>
    <w:rsid w:val="00D407FC"/>
    <w:rsid w:val="00D40A15"/>
    <w:rsid w:val="00D40A71"/>
    <w:rsid w:val="00D40AF6"/>
    <w:rsid w:val="00D40E07"/>
    <w:rsid w:val="00D40F0D"/>
    <w:rsid w:val="00D40FCA"/>
    <w:rsid w:val="00D40FF1"/>
    <w:rsid w:val="00D4118B"/>
    <w:rsid w:val="00D41300"/>
    <w:rsid w:val="00D413BD"/>
    <w:rsid w:val="00D41482"/>
    <w:rsid w:val="00D41553"/>
    <w:rsid w:val="00D419A7"/>
    <w:rsid w:val="00D419BA"/>
    <w:rsid w:val="00D41ACE"/>
    <w:rsid w:val="00D41C45"/>
    <w:rsid w:val="00D41C88"/>
    <w:rsid w:val="00D41D2A"/>
    <w:rsid w:val="00D41DC3"/>
    <w:rsid w:val="00D41E64"/>
    <w:rsid w:val="00D422C8"/>
    <w:rsid w:val="00D4230A"/>
    <w:rsid w:val="00D4231E"/>
    <w:rsid w:val="00D4232B"/>
    <w:rsid w:val="00D4234A"/>
    <w:rsid w:val="00D423EF"/>
    <w:rsid w:val="00D42426"/>
    <w:rsid w:val="00D42561"/>
    <w:rsid w:val="00D42597"/>
    <w:rsid w:val="00D42760"/>
    <w:rsid w:val="00D427A5"/>
    <w:rsid w:val="00D427AA"/>
    <w:rsid w:val="00D427BB"/>
    <w:rsid w:val="00D4285F"/>
    <w:rsid w:val="00D428E4"/>
    <w:rsid w:val="00D42905"/>
    <w:rsid w:val="00D42B37"/>
    <w:rsid w:val="00D42C8D"/>
    <w:rsid w:val="00D42D4A"/>
    <w:rsid w:val="00D43066"/>
    <w:rsid w:val="00D43125"/>
    <w:rsid w:val="00D43147"/>
    <w:rsid w:val="00D4322F"/>
    <w:rsid w:val="00D432C0"/>
    <w:rsid w:val="00D433FE"/>
    <w:rsid w:val="00D43481"/>
    <w:rsid w:val="00D43568"/>
    <w:rsid w:val="00D43597"/>
    <w:rsid w:val="00D437ED"/>
    <w:rsid w:val="00D43913"/>
    <w:rsid w:val="00D43AE1"/>
    <w:rsid w:val="00D43D29"/>
    <w:rsid w:val="00D43D89"/>
    <w:rsid w:val="00D4407D"/>
    <w:rsid w:val="00D44177"/>
    <w:rsid w:val="00D4418E"/>
    <w:rsid w:val="00D44379"/>
    <w:rsid w:val="00D443DE"/>
    <w:rsid w:val="00D443FC"/>
    <w:rsid w:val="00D44478"/>
    <w:rsid w:val="00D44487"/>
    <w:rsid w:val="00D445D2"/>
    <w:rsid w:val="00D445FE"/>
    <w:rsid w:val="00D4467F"/>
    <w:rsid w:val="00D447F9"/>
    <w:rsid w:val="00D449E1"/>
    <w:rsid w:val="00D44A0D"/>
    <w:rsid w:val="00D44A63"/>
    <w:rsid w:val="00D44A99"/>
    <w:rsid w:val="00D44AEC"/>
    <w:rsid w:val="00D44AFE"/>
    <w:rsid w:val="00D44B3C"/>
    <w:rsid w:val="00D44C0A"/>
    <w:rsid w:val="00D44CEB"/>
    <w:rsid w:val="00D44D48"/>
    <w:rsid w:val="00D44ECB"/>
    <w:rsid w:val="00D44F6B"/>
    <w:rsid w:val="00D45027"/>
    <w:rsid w:val="00D4522F"/>
    <w:rsid w:val="00D452DB"/>
    <w:rsid w:val="00D45304"/>
    <w:rsid w:val="00D4539B"/>
    <w:rsid w:val="00D453F8"/>
    <w:rsid w:val="00D45413"/>
    <w:rsid w:val="00D45477"/>
    <w:rsid w:val="00D45481"/>
    <w:rsid w:val="00D45503"/>
    <w:rsid w:val="00D455E6"/>
    <w:rsid w:val="00D457B6"/>
    <w:rsid w:val="00D45890"/>
    <w:rsid w:val="00D45907"/>
    <w:rsid w:val="00D459F3"/>
    <w:rsid w:val="00D45A65"/>
    <w:rsid w:val="00D45A87"/>
    <w:rsid w:val="00D45A94"/>
    <w:rsid w:val="00D45ABB"/>
    <w:rsid w:val="00D45BB9"/>
    <w:rsid w:val="00D45CD2"/>
    <w:rsid w:val="00D45D14"/>
    <w:rsid w:val="00D45D71"/>
    <w:rsid w:val="00D45ED9"/>
    <w:rsid w:val="00D45FDF"/>
    <w:rsid w:val="00D45FFA"/>
    <w:rsid w:val="00D4600D"/>
    <w:rsid w:val="00D462B7"/>
    <w:rsid w:val="00D46319"/>
    <w:rsid w:val="00D4633E"/>
    <w:rsid w:val="00D46340"/>
    <w:rsid w:val="00D464A2"/>
    <w:rsid w:val="00D46576"/>
    <w:rsid w:val="00D465A8"/>
    <w:rsid w:val="00D465BD"/>
    <w:rsid w:val="00D4661B"/>
    <w:rsid w:val="00D467CD"/>
    <w:rsid w:val="00D46841"/>
    <w:rsid w:val="00D46AC4"/>
    <w:rsid w:val="00D46B5B"/>
    <w:rsid w:val="00D46BAE"/>
    <w:rsid w:val="00D46DB0"/>
    <w:rsid w:val="00D46E58"/>
    <w:rsid w:val="00D46EC4"/>
    <w:rsid w:val="00D46FAD"/>
    <w:rsid w:val="00D474EF"/>
    <w:rsid w:val="00D47572"/>
    <w:rsid w:val="00D475EA"/>
    <w:rsid w:val="00D47645"/>
    <w:rsid w:val="00D47666"/>
    <w:rsid w:val="00D47818"/>
    <w:rsid w:val="00D4788C"/>
    <w:rsid w:val="00D478AB"/>
    <w:rsid w:val="00D479E9"/>
    <w:rsid w:val="00D47AEA"/>
    <w:rsid w:val="00D47B3D"/>
    <w:rsid w:val="00D47BA6"/>
    <w:rsid w:val="00D47C19"/>
    <w:rsid w:val="00D47C37"/>
    <w:rsid w:val="00D47C59"/>
    <w:rsid w:val="00D47C75"/>
    <w:rsid w:val="00D47CA0"/>
    <w:rsid w:val="00D47D39"/>
    <w:rsid w:val="00D47D70"/>
    <w:rsid w:val="00D47D7A"/>
    <w:rsid w:val="00D47DD9"/>
    <w:rsid w:val="00D47DDE"/>
    <w:rsid w:val="00D50401"/>
    <w:rsid w:val="00D5049E"/>
    <w:rsid w:val="00D505C9"/>
    <w:rsid w:val="00D50764"/>
    <w:rsid w:val="00D50A81"/>
    <w:rsid w:val="00D50BBF"/>
    <w:rsid w:val="00D50CE5"/>
    <w:rsid w:val="00D50E57"/>
    <w:rsid w:val="00D50E92"/>
    <w:rsid w:val="00D50ED9"/>
    <w:rsid w:val="00D50EF7"/>
    <w:rsid w:val="00D50F05"/>
    <w:rsid w:val="00D50F97"/>
    <w:rsid w:val="00D50FAB"/>
    <w:rsid w:val="00D50FBB"/>
    <w:rsid w:val="00D510C4"/>
    <w:rsid w:val="00D511A8"/>
    <w:rsid w:val="00D512A4"/>
    <w:rsid w:val="00D51607"/>
    <w:rsid w:val="00D517AB"/>
    <w:rsid w:val="00D517D1"/>
    <w:rsid w:val="00D51834"/>
    <w:rsid w:val="00D518C4"/>
    <w:rsid w:val="00D518F6"/>
    <w:rsid w:val="00D51CAA"/>
    <w:rsid w:val="00D51E1D"/>
    <w:rsid w:val="00D51E3E"/>
    <w:rsid w:val="00D51F7F"/>
    <w:rsid w:val="00D5201C"/>
    <w:rsid w:val="00D521C3"/>
    <w:rsid w:val="00D521F6"/>
    <w:rsid w:val="00D522BC"/>
    <w:rsid w:val="00D5235B"/>
    <w:rsid w:val="00D523A2"/>
    <w:rsid w:val="00D524D1"/>
    <w:rsid w:val="00D52634"/>
    <w:rsid w:val="00D527D5"/>
    <w:rsid w:val="00D528E7"/>
    <w:rsid w:val="00D52958"/>
    <w:rsid w:val="00D52A47"/>
    <w:rsid w:val="00D52A9E"/>
    <w:rsid w:val="00D52BDC"/>
    <w:rsid w:val="00D52C3B"/>
    <w:rsid w:val="00D52C52"/>
    <w:rsid w:val="00D52C5B"/>
    <w:rsid w:val="00D52CC7"/>
    <w:rsid w:val="00D52DC7"/>
    <w:rsid w:val="00D52E37"/>
    <w:rsid w:val="00D52E4A"/>
    <w:rsid w:val="00D52E60"/>
    <w:rsid w:val="00D5300E"/>
    <w:rsid w:val="00D53099"/>
    <w:rsid w:val="00D53152"/>
    <w:rsid w:val="00D53333"/>
    <w:rsid w:val="00D53346"/>
    <w:rsid w:val="00D534A1"/>
    <w:rsid w:val="00D534F9"/>
    <w:rsid w:val="00D535F1"/>
    <w:rsid w:val="00D53675"/>
    <w:rsid w:val="00D53834"/>
    <w:rsid w:val="00D538E3"/>
    <w:rsid w:val="00D53BFA"/>
    <w:rsid w:val="00D53CFA"/>
    <w:rsid w:val="00D53F02"/>
    <w:rsid w:val="00D53F21"/>
    <w:rsid w:val="00D54014"/>
    <w:rsid w:val="00D541CF"/>
    <w:rsid w:val="00D54251"/>
    <w:rsid w:val="00D54282"/>
    <w:rsid w:val="00D542BB"/>
    <w:rsid w:val="00D5446C"/>
    <w:rsid w:val="00D5456A"/>
    <w:rsid w:val="00D546B3"/>
    <w:rsid w:val="00D546E7"/>
    <w:rsid w:val="00D5478F"/>
    <w:rsid w:val="00D548EC"/>
    <w:rsid w:val="00D5493D"/>
    <w:rsid w:val="00D54946"/>
    <w:rsid w:val="00D54996"/>
    <w:rsid w:val="00D5499D"/>
    <w:rsid w:val="00D54A22"/>
    <w:rsid w:val="00D54AB8"/>
    <w:rsid w:val="00D54BA3"/>
    <w:rsid w:val="00D54E43"/>
    <w:rsid w:val="00D54F3A"/>
    <w:rsid w:val="00D5502A"/>
    <w:rsid w:val="00D550C0"/>
    <w:rsid w:val="00D55227"/>
    <w:rsid w:val="00D55303"/>
    <w:rsid w:val="00D553FC"/>
    <w:rsid w:val="00D5554B"/>
    <w:rsid w:val="00D555CB"/>
    <w:rsid w:val="00D5562A"/>
    <w:rsid w:val="00D556A8"/>
    <w:rsid w:val="00D556DF"/>
    <w:rsid w:val="00D557C6"/>
    <w:rsid w:val="00D558B2"/>
    <w:rsid w:val="00D558F2"/>
    <w:rsid w:val="00D55B30"/>
    <w:rsid w:val="00D55B34"/>
    <w:rsid w:val="00D55B77"/>
    <w:rsid w:val="00D55B89"/>
    <w:rsid w:val="00D55CD0"/>
    <w:rsid w:val="00D55CDD"/>
    <w:rsid w:val="00D55CF1"/>
    <w:rsid w:val="00D55E0A"/>
    <w:rsid w:val="00D55EBF"/>
    <w:rsid w:val="00D55F27"/>
    <w:rsid w:val="00D56035"/>
    <w:rsid w:val="00D5615F"/>
    <w:rsid w:val="00D5619E"/>
    <w:rsid w:val="00D56261"/>
    <w:rsid w:val="00D5628D"/>
    <w:rsid w:val="00D562D1"/>
    <w:rsid w:val="00D563C8"/>
    <w:rsid w:val="00D56535"/>
    <w:rsid w:val="00D56565"/>
    <w:rsid w:val="00D565B3"/>
    <w:rsid w:val="00D565B6"/>
    <w:rsid w:val="00D568A4"/>
    <w:rsid w:val="00D56A24"/>
    <w:rsid w:val="00D56A78"/>
    <w:rsid w:val="00D56B45"/>
    <w:rsid w:val="00D56C6F"/>
    <w:rsid w:val="00D56D9C"/>
    <w:rsid w:val="00D56DEC"/>
    <w:rsid w:val="00D56EAD"/>
    <w:rsid w:val="00D56EC0"/>
    <w:rsid w:val="00D56F0D"/>
    <w:rsid w:val="00D56F22"/>
    <w:rsid w:val="00D570FA"/>
    <w:rsid w:val="00D571B8"/>
    <w:rsid w:val="00D572D6"/>
    <w:rsid w:val="00D57303"/>
    <w:rsid w:val="00D57416"/>
    <w:rsid w:val="00D575AF"/>
    <w:rsid w:val="00D5773D"/>
    <w:rsid w:val="00D57C97"/>
    <w:rsid w:val="00D57C98"/>
    <w:rsid w:val="00D57E64"/>
    <w:rsid w:val="00D60020"/>
    <w:rsid w:val="00D600BC"/>
    <w:rsid w:val="00D60149"/>
    <w:rsid w:val="00D60266"/>
    <w:rsid w:val="00D60274"/>
    <w:rsid w:val="00D602D1"/>
    <w:rsid w:val="00D6032F"/>
    <w:rsid w:val="00D603BC"/>
    <w:rsid w:val="00D60451"/>
    <w:rsid w:val="00D6046B"/>
    <w:rsid w:val="00D60540"/>
    <w:rsid w:val="00D6057B"/>
    <w:rsid w:val="00D60945"/>
    <w:rsid w:val="00D609C4"/>
    <w:rsid w:val="00D609F6"/>
    <w:rsid w:val="00D60B38"/>
    <w:rsid w:val="00D60B5D"/>
    <w:rsid w:val="00D60CB3"/>
    <w:rsid w:val="00D60D33"/>
    <w:rsid w:val="00D60D53"/>
    <w:rsid w:val="00D60DC3"/>
    <w:rsid w:val="00D60F55"/>
    <w:rsid w:val="00D60FD5"/>
    <w:rsid w:val="00D60FFA"/>
    <w:rsid w:val="00D6105D"/>
    <w:rsid w:val="00D612A4"/>
    <w:rsid w:val="00D612BB"/>
    <w:rsid w:val="00D61461"/>
    <w:rsid w:val="00D614A6"/>
    <w:rsid w:val="00D61537"/>
    <w:rsid w:val="00D61592"/>
    <w:rsid w:val="00D61672"/>
    <w:rsid w:val="00D616E2"/>
    <w:rsid w:val="00D61875"/>
    <w:rsid w:val="00D6193A"/>
    <w:rsid w:val="00D6197C"/>
    <w:rsid w:val="00D61A37"/>
    <w:rsid w:val="00D61A39"/>
    <w:rsid w:val="00D61A4C"/>
    <w:rsid w:val="00D61A59"/>
    <w:rsid w:val="00D61C0C"/>
    <w:rsid w:val="00D61C12"/>
    <w:rsid w:val="00D61C51"/>
    <w:rsid w:val="00D61C83"/>
    <w:rsid w:val="00D61D0E"/>
    <w:rsid w:val="00D62043"/>
    <w:rsid w:val="00D6206D"/>
    <w:rsid w:val="00D62070"/>
    <w:rsid w:val="00D6207E"/>
    <w:rsid w:val="00D6213D"/>
    <w:rsid w:val="00D621AE"/>
    <w:rsid w:val="00D621F9"/>
    <w:rsid w:val="00D62304"/>
    <w:rsid w:val="00D6232A"/>
    <w:rsid w:val="00D62468"/>
    <w:rsid w:val="00D625C4"/>
    <w:rsid w:val="00D62645"/>
    <w:rsid w:val="00D626D0"/>
    <w:rsid w:val="00D62702"/>
    <w:rsid w:val="00D627C2"/>
    <w:rsid w:val="00D62875"/>
    <w:rsid w:val="00D629A7"/>
    <w:rsid w:val="00D629EE"/>
    <w:rsid w:val="00D62CE7"/>
    <w:rsid w:val="00D62CF4"/>
    <w:rsid w:val="00D62E0F"/>
    <w:rsid w:val="00D62E6F"/>
    <w:rsid w:val="00D62ED2"/>
    <w:rsid w:val="00D62F58"/>
    <w:rsid w:val="00D6307A"/>
    <w:rsid w:val="00D63085"/>
    <w:rsid w:val="00D632CD"/>
    <w:rsid w:val="00D633A8"/>
    <w:rsid w:val="00D634B0"/>
    <w:rsid w:val="00D63536"/>
    <w:rsid w:val="00D63654"/>
    <w:rsid w:val="00D636B3"/>
    <w:rsid w:val="00D63748"/>
    <w:rsid w:val="00D637FA"/>
    <w:rsid w:val="00D63805"/>
    <w:rsid w:val="00D63826"/>
    <w:rsid w:val="00D6392F"/>
    <w:rsid w:val="00D639B0"/>
    <w:rsid w:val="00D639DE"/>
    <w:rsid w:val="00D63A8D"/>
    <w:rsid w:val="00D63ABD"/>
    <w:rsid w:val="00D63B66"/>
    <w:rsid w:val="00D63BCF"/>
    <w:rsid w:val="00D63C35"/>
    <w:rsid w:val="00D63C5C"/>
    <w:rsid w:val="00D63CA1"/>
    <w:rsid w:val="00D63DA8"/>
    <w:rsid w:val="00D63DE3"/>
    <w:rsid w:val="00D63E43"/>
    <w:rsid w:val="00D63E44"/>
    <w:rsid w:val="00D63E6B"/>
    <w:rsid w:val="00D63EF5"/>
    <w:rsid w:val="00D63F55"/>
    <w:rsid w:val="00D63F7C"/>
    <w:rsid w:val="00D6419D"/>
    <w:rsid w:val="00D641C4"/>
    <w:rsid w:val="00D64318"/>
    <w:rsid w:val="00D64350"/>
    <w:rsid w:val="00D64630"/>
    <w:rsid w:val="00D64637"/>
    <w:rsid w:val="00D646D6"/>
    <w:rsid w:val="00D64711"/>
    <w:rsid w:val="00D64734"/>
    <w:rsid w:val="00D64774"/>
    <w:rsid w:val="00D647C5"/>
    <w:rsid w:val="00D648BF"/>
    <w:rsid w:val="00D6490C"/>
    <w:rsid w:val="00D6499E"/>
    <w:rsid w:val="00D649FA"/>
    <w:rsid w:val="00D64B3B"/>
    <w:rsid w:val="00D64CFF"/>
    <w:rsid w:val="00D64D9A"/>
    <w:rsid w:val="00D64E48"/>
    <w:rsid w:val="00D65301"/>
    <w:rsid w:val="00D653D4"/>
    <w:rsid w:val="00D65492"/>
    <w:rsid w:val="00D6555B"/>
    <w:rsid w:val="00D65646"/>
    <w:rsid w:val="00D65752"/>
    <w:rsid w:val="00D65832"/>
    <w:rsid w:val="00D658B9"/>
    <w:rsid w:val="00D659B4"/>
    <w:rsid w:val="00D65AAA"/>
    <w:rsid w:val="00D65AAC"/>
    <w:rsid w:val="00D65B1D"/>
    <w:rsid w:val="00D65B8A"/>
    <w:rsid w:val="00D65BF2"/>
    <w:rsid w:val="00D65D7E"/>
    <w:rsid w:val="00D65EA3"/>
    <w:rsid w:val="00D6600C"/>
    <w:rsid w:val="00D6609A"/>
    <w:rsid w:val="00D66304"/>
    <w:rsid w:val="00D6638E"/>
    <w:rsid w:val="00D66503"/>
    <w:rsid w:val="00D66668"/>
    <w:rsid w:val="00D666B9"/>
    <w:rsid w:val="00D66747"/>
    <w:rsid w:val="00D6686B"/>
    <w:rsid w:val="00D668B6"/>
    <w:rsid w:val="00D668DB"/>
    <w:rsid w:val="00D6690B"/>
    <w:rsid w:val="00D6693A"/>
    <w:rsid w:val="00D66969"/>
    <w:rsid w:val="00D669F3"/>
    <w:rsid w:val="00D66A91"/>
    <w:rsid w:val="00D66B75"/>
    <w:rsid w:val="00D66BC6"/>
    <w:rsid w:val="00D66C69"/>
    <w:rsid w:val="00D66D72"/>
    <w:rsid w:val="00D66D7C"/>
    <w:rsid w:val="00D66FB3"/>
    <w:rsid w:val="00D6701D"/>
    <w:rsid w:val="00D670BD"/>
    <w:rsid w:val="00D6710E"/>
    <w:rsid w:val="00D671BB"/>
    <w:rsid w:val="00D67299"/>
    <w:rsid w:val="00D67302"/>
    <w:rsid w:val="00D6747F"/>
    <w:rsid w:val="00D6748D"/>
    <w:rsid w:val="00D67559"/>
    <w:rsid w:val="00D675A0"/>
    <w:rsid w:val="00D676B9"/>
    <w:rsid w:val="00D676D1"/>
    <w:rsid w:val="00D677E6"/>
    <w:rsid w:val="00D6782B"/>
    <w:rsid w:val="00D6788D"/>
    <w:rsid w:val="00D67932"/>
    <w:rsid w:val="00D679B2"/>
    <w:rsid w:val="00D67A4B"/>
    <w:rsid w:val="00D67ACC"/>
    <w:rsid w:val="00D67BC4"/>
    <w:rsid w:val="00D67BD6"/>
    <w:rsid w:val="00D67C88"/>
    <w:rsid w:val="00D67CC1"/>
    <w:rsid w:val="00D67D01"/>
    <w:rsid w:val="00D67D6D"/>
    <w:rsid w:val="00D67EA3"/>
    <w:rsid w:val="00D67F4A"/>
    <w:rsid w:val="00D67FDF"/>
    <w:rsid w:val="00D70080"/>
    <w:rsid w:val="00D70245"/>
    <w:rsid w:val="00D70269"/>
    <w:rsid w:val="00D705CE"/>
    <w:rsid w:val="00D70989"/>
    <w:rsid w:val="00D70C4A"/>
    <w:rsid w:val="00D70D30"/>
    <w:rsid w:val="00D70D7B"/>
    <w:rsid w:val="00D70EE6"/>
    <w:rsid w:val="00D70FB8"/>
    <w:rsid w:val="00D70FEA"/>
    <w:rsid w:val="00D71058"/>
    <w:rsid w:val="00D7105B"/>
    <w:rsid w:val="00D71061"/>
    <w:rsid w:val="00D710D4"/>
    <w:rsid w:val="00D71114"/>
    <w:rsid w:val="00D71190"/>
    <w:rsid w:val="00D71258"/>
    <w:rsid w:val="00D713C2"/>
    <w:rsid w:val="00D7152A"/>
    <w:rsid w:val="00D7157C"/>
    <w:rsid w:val="00D715F9"/>
    <w:rsid w:val="00D7186D"/>
    <w:rsid w:val="00D71A80"/>
    <w:rsid w:val="00D71C2A"/>
    <w:rsid w:val="00D71C99"/>
    <w:rsid w:val="00D71D36"/>
    <w:rsid w:val="00D71D58"/>
    <w:rsid w:val="00D71E16"/>
    <w:rsid w:val="00D71FA6"/>
    <w:rsid w:val="00D71FBA"/>
    <w:rsid w:val="00D71FCB"/>
    <w:rsid w:val="00D71FD1"/>
    <w:rsid w:val="00D7205B"/>
    <w:rsid w:val="00D72132"/>
    <w:rsid w:val="00D72146"/>
    <w:rsid w:val="00D7226E"/>
    <w:rsid w:val="00D72291"/>
    <w:rsid w:val="00D7235D"/>
    <w:rsid w:val="00D723DB"/>
    <w:rsid w:val="00D72443"/>
    <w:rsid w:val="00D7249C"/>
    <w:rsid w:val="00D724AA"/>
    <w:rsid w:val="00D72546"/>
    <w:rsid w:val="00D72549"/>
    <w:rsid w:val="00D72597"/>
    <w:rsid w:val="00D725F3"/>
    <w:rsid w:val="00D7272E"/>
    <w:rsid w:val="00D72747"/>
    <w:rsid w:val="00D72772"/>
    <w:rsid w:val="00D728D1"/>
    <w:rsid w:val="00D72903"/>
    <w:rsid w:val="00D72977"/>
    <w:rsid w:val="00D72B78"/>
    <w:rsid w:val="00D72BF7"/>
    <w:rsid w:val="00D72C34"/>
    <w:rsid w:val="00D72D69"/>
    <w:rsid w:val="00D72E6A"/>
    <w:rsid w:val="00D72EA7"/>
    <w:rsid w:val="00D72EF7"/>
    <w:rsid w:val="00D731BB"/>
    <w:rsid w:val="00D73201"/>
    <w:rsid w:val="00D73243"/>
    <w:rsid w:val="00D73303"/>
    <w:rsid w:val="00D7343E"/>
    <w:rsid w:val="00D7351E"/>
    <w:rsid w:val="00D73549"/>
    <w:rsid w:val="00D737D6"/>
    <w:rsid w:val="00D73870"/>
    <w:rsid w:val="00D739C5"/>
    <w:rsid w:val="00D73A36"/>
    <w:rsid w:val="00D73A4D"/>
    <w:rsid w:val="00D73A9A"/>
    <w:rsid w:val="00D73ACE"/>
    <w:rsid w:val="00D73C6D"/>
    <w:rsid w:val="00D73D0C"/>
    <w:rsid w:val="00D73D7C"/>
    <w:rsid w:val="00D73E85"/>
    <w:rsid w:val="00D73F93"/>
    <w:rsid w:val="00D73FCD"/>
    <w:rsid w:val="00D7405F"/>
    <w:rsid w:val="00D74099"/>
    <w:rsid w:val="00D740AA"/>
    <w:rsid w:val="00D741D7"/>
    <w:rsid w:val="00D742F8"/>
    <w:rsid w:val="00D743BE"/>
    <w:rsid w:val="00D745BE"/>
    <w:rsid w:val="00D745DA"/>
    <w:rsid w:val="00D7481B"/>
    <w:rsid w:val="00D74843"/>
    <w:rsid w:val="00D7484B"/>
    <w:rsid w:val="00D7492A"/>
    <w:rsid w:val="00D7492C"/>
    <w:rsid w:val="00D749C2"/>
    <w:rsid w:val="00D74A58"/>
    <w:rsid w:val="00D74B56"/>
    <w:rsid w:val="00D74B57"/>
    <w:rsid w:val="00D74B65"/>
    <w:rsid w:val="00D74BE0"/>
    <w:rsid w:val="00D74BE5"/>
    <w:rsid w:val="00D74CA5"/>
    <w:rsid w:val="00D74D9F"/>
    <w:rsid w:val="00D74DB5"/>
    <w:rsid w:val="00D74EED"/>
    <w:rsid w:val="00D75026"/>
    <w:rsid w:val="00D75050"/>
    <w:rsid w:val="00D750EB"/>
    <w:rsid w:val="00D751B5"/>
    <w:rsid w:val="00D751FD"/>
    <w:rsid w:val="00D75307"/>
    <w:rsid w:val="00D75748"/>
    <w:rsid w:val="00D75913"/>
    <w:rsid w:val="00D7595F"/>
    <w:rsid w:val="00D75965"/>
    <w:rsid w:val="00D759CD"/>
    <w:rsid w:val="00D75A09"/>
    <w:rsid w:val="00D75B92"/>
    <w:rsid w:val="00D75C0D"/>
    <w:rsid w:val="00D75D85"/>
    <w:rsid w:val="00D75F42"/>
    <w:rsid w:val="00D75F77"/>
    <w:rsid w:val="00D76030"/>
    <w:rsid w:val="00D76125"/>
    <w:rsid w:val="00D76220"/>
    <w:rsid w:val="00D7633C"/>
    <w:rsid w:val="00D76364"/>
    <w:rsid w:val="00D764AF"/>
    <w:rsid w:val="00D76669"/>
    <w:rsid w:val="00D76879"/>
    <w:rsid w:val="00D768EB"/>
    <w:rsid w:val="00D76A73"/>
    <w:rsid w:val="00D76BD6"/>
    <w:rsid w:val="00D76D43"/>
    <w:rsid w:val="00D76DC9"/>
    <w:rsid w:val="00D76E31"/>
    <w:rsid w:val="00D77055"/>
    <w:rsid w:val="00D770DF"/>
    <w:rsid w:val="00D770F9"/>
    <w:rsid w:val="00D774D5"/>
    <w:rsid w:val="00D77501"/>
    <w:rsid w:val="00D778A4"/>
    <w:rsid w:val="00D77941"/>
    <w:rsid w:val="00D779C5"/>
    <w:rsid w:val="00D77AEC"/>
    <w:rsid w:val="00D77B7C"/>
    <w:rsid w:val="00D77BEB"/>
    <w:rsid w:val="00D77BF1"/>
    <w:rsid w:val="00D77C3C"/>
    <w:rsid w:val="00D77CDF"/>
    <w:rsid w:val="00D77CEB"/>
    <w:rsid w:val="00D77DE0"/>
    <w:rsid w:val="00D77EFD"/>
    <w:rsid w:val="00D801B1"/>
    <w:rsid w:val="00D801EF"/>
    <w:rsid w:val="00D8041B"/>
    <w:rsid w:val="00D8044E"/>
    <w:rsid w:val="00D80568"/>
    <w:rsid w:val="00D805F9"/>
    <w:rsid w:val="00D80625"/>
    <w:rsid w:val="00D8068A"/>
    <w:rsid w:val="00D8071C"/>
    <w:rsid w:val="00D80781"/>
    <w:rsid w:val="00D807FA"/>
    <w:rsid w:val="00D808F9"/>
    <w:rsid w:val="00D8099B"/>
    <w:rsid w:val="00D809DD"/>
    <w:rsid w:val="00D80A57"/>
    <w:rsid w:val="00D80A6B"/>
    <w:rsid w:val="00D80A7A"/>
    <w:rsid w:val="00D80B53"/>
    <w:rsid w:val="00D80BC9"/>
    <w:rsid w:val="00D80C4A"/>
    <w:rsid w:val="00D80CCB"/>
    <w:rsid w:val="00D80F55"/>
    <w:rsid w:val="00D810D7"/>
    <w:rsid w:val="00D81276"/>
    <w:rsid w:val="00D81310"/>
    <w:rsid w:val="00D81330"/>
    <w:rsid w:val="00D813A0"/>
    <w:rsid w:val="00D816CB"/>
    <w:rsid w:val="00D817CD"/>
    <w:rsid w:val="00D81861"/>
    <w:rsid w:val="00D81879"/>
    <w:rsid w:val="00D818CB"/>
    <w:rsid w:val="00D81C93"/>
    <w:rsid w:val="00D81EA2"/>
    <w:rsid w:val="00D81EC1"/>
    <w:rsid w:val="00D81F47"/>
    <w:rsid w:val="00D82207"/>
    <w:rsid w:val="00D82261"/>
    <w:rsid w:val="00D822BA"/>
    <w:rsid w:val="00D82456"/>
    <w:rsid w:val="00D82465"/>
    <w:rsid w:val="00D824A2"/>
    <w:rsid w:val="00D824BE"/>
    <w:rsid w:val="00D824F1"/>
    <w:rsid w:val="00D82674"/>
    <w:rsid w:val="00D8276F"/>
    <w:rsid w:val="00D82774"/>
    <w:rsid w:val="00D827A6"/>
    <w:rsid w:val="00D827C4"/>
    <w:rsid w:val="00D828CB"/>
    <w:rsid w:val="00D82980"/>
    <w:rsid w:val="00D829A4"/>
    <w:rsid w:val="00D82A6E"/>
    <w:rsid w:val="00D82A73"/>
    <w:rsid w:val="00D82C43"/>
    <w:rsid w:val="00D82C4F"/>
    <w:rsid w:val="00D82EA9"/>
    <w:rsid w:val="00D82F5C"/>
    <w:rsid w:val="00D82F67"/>
    <w:rsid w:val="00D830A7"/>
    <w:rsid w:val="00D8311E"/>
    <w:rsid w:val="00D8333A"/>
    <w:rsid w:val="00D8336C"/>
    <w:rsid w:val="00D83389"/>
    <w:rsid w:val="00D83487"/>
    <w:rsid w:val="00D8355B"/>
    <w:rsid w:val="00D83641"/>
    <w:rsid w:val="00D83648"/>
    <w:rsid w:val="00D836D2"/>
    <w:rsid w:val="00D83715"/>
    <w:rsid w:val="00D83A3F"/>
    <w:rsid w:val="00D83AFB"/>
    <w:rsid w:val="00D83B5B"/>
    <w:rsid w:val="00D83CE2"/>
    <w:rsid w:val="00D83E0C"/>
    <w:rsid w:val="00D840A8"/>
    <w:rsid w:val="00D840D9"/>
    <w:rsid w:val="00D84159"/>
    <w:rsid w:val="00D8454A"/>
    <w:rsid w:val="00D846C2"/>
    <w:rsid w:val="00D84712"/>
    <w:rsid w:val="00D84743"/>
    <w:rsid w:val="00D849CA"/>
    <w:rsid w:val="00D84B0A"/>
    <w:rsid w:val="00D84DDA"/>
    <w:rsid w:val="00D84F1F"/>
    <w:rsid w:val="00D84FD5"/>
    <w:rsid w:val="00D851AC"/>
    <w:rsid w:val="00D853BB"/>
    <w:rsid w:val="00D85473"/>
    <w:rsid w:val="00D8553B"/>
    <w:rsid w:val="00D855DF"/>
    <w:rsid w:val="00D85667"/>
    <w:rsid w:val="00D856EE"/>
    <w:rsid w:val="00D85808"/>
    <w:rsid w:val="00D85866"/>
    <w:rsid w:val="00D8596B"/>
    <w:rsid w:val="00D85B52"/>
    <w:rsid w:val="00D85C70"/>
    <w:rsid w:val="00D85C87"/>
    <w:rsid w:val="00D85D7F"/>
    <w:rsid w:val="00D85F4D"/>
    <w:rsid w:val="00D860B0"/>
    <w:rsid w:val="00D8614B"/>
    <w:rsid w:val="00D86443"/>
    <w:rsid w:val="00D8660D"/>
    <w:rsid w:val="00D8665B"/>
    <w:rsid w:val="00D86673"/>
    <w:rsid w:val="00D866EC"/>
    <w:rsid w:val="00D8672E"/>
    <w:rsid w:val="00D86764"/>
    <w:rsid w:val="00D86A35"/>
    <w:rsid w:val="00D86ACE"/>
    <w:rsid w:val="00D86BE0"/>
    <w:rsid w:val="00D86C23"/>
    <w:rsid w:val="00D86C88"/>
    <w:rsid w:val="00D86D78"/>
    <w:rsid w:val="00D86E71"/>
    <w:rsid w:val="00D86FAF"/>
    <w:rsid w:val="00D87050"/>
    <w:rsid w:val="00D87102"/>
    <w:rsid w:val="00D87113"/>
    <w:rsid w:val="00D8722C"/>
    <w:rsid w:val="00D8729B"/>
    <w:rsid w:val="00D8737B"/>
    <w:rsid w:val="00D873C4"/>
    <w:rsid w:val="00D8741E"/>
    <w:rsid w:val="00D879A2"/>
    <w:rsid w:val="00D87A0D"/>
    <w:rsid w:val="00D87BCD"/>
    <w:rsid w:val="00D87BEE"/>
    <w:rsid w:val="00D87D14"/>
    <w:rsid w:val="00D87D77"/>
    <w:rsid w:val="00D87E5F"/>
    <w:rsid w:val="00D87E9A"/>
    <w:rsid w:val="00D87EAE"/>
    <w:rsid w:val="00D87EDA"/>
    <w:rsid w:val="00D87EEC"/>
    <w:rsid w:val="00D9005E"/>
    <w:rsid w:val="00D90129"/>
    <w:rsid w:val="00D9031F"/>
    <w:rsid w:val="00D903A9"/>
    <w:rsid w:val="00D90534"/>
    <w:rsid w:val="00D90557"/>
    <w:rsid w:val="00D905D5"/>
    <w:rsid w:val="00D9089D"/>
    <w:rsid w:val="00D908BB"/>
    <w:rsid w:val="00D9090B"/>
    <w:rsid w:val="00D9091C"/>
    <w:rsid w:val="00D9099B"/>
    <w:rsid w:val="00D90CD0"/>
    <w:rsid w:val="00D90D13"/>
    <w:rsid w:val="00D90FA8"/>
    <w:rsid w:val="00D91013"/>
    <w:rsid w:val="00D9105B"/>
    <w:rsid w:val="00D910EE"/>
    <w:rsid w:val="00D9114A"/>
    <w:rsid w:val="00D9118E"/>
    <w:rsid w:val="00D91205"/>
    <w:rsid w:val="00D9124D"/>
    <w:rsid w:val="00D912B2"/>
    <w:rsid w:val="00D91394"/>
    <w:rsid w:val="00D91486"/>
    <w:rsid w:val="00D91589"/>
    <w:rsid w:val="00D915A8"/>
    <w:rsid w:val="00D915B2"/>
    <w:rsid w:val="00D9160B"/>
    <w:rsid w:val="00D91629"/>
    <w:rsid w:val="00D916BC"/>
    <w:rsid w:val="00D9183E"/>
    <w:rsid w:val="00D919F5"/>
    <w:rsid w:val="00D91AAE"/>
    <w:rsid w:val="00D91AC9"/>
    <w:rsid w:val="00D91AE8"/>
    <w:rsid w:val="00D91C15"/>
    <w:rsid w:val="00D91C1D"/>
    <w:rsid w:val="00D91D40"/>
    <w:rsid w:val="00D91EAD"/>
    <w:rsid w:val="00D91EC0"/>
    <w:rsid w:val="00D920C9"/>
    <w:rsid w:val="00D9212C"/>
    <w:rsid w:val="00D921C0"/>
    <w:rsid w:val="00D922E7"/>
    <w:rsid w:val="00D924AF"/>
    <w:rsid w:val="00D926D9"/>
    <w:rsid w:val="00D9275B"/>
    <w:rsid w:val="00D9277A"/>
    <w:rsid w:val="00D927C7"/>
    <w:rsid w:val="00D92834"/>
    <w:rsid w:val="00D9284C"/>
    <w:rsid w:val="00D92853"/>
    <w:rsid w:val="00D9287C"/>
    <w:rsid w:val="00D92E1F"/>
    <w:rsid w:val="00D92E5E"/>
    <w:rsid w:val="00D92E94"/>
    <w:rsid w:val="00D92EA6"/>
    <w:rsid w:val="00D92ED5"/>
    <w:rsid w:val="00D932A7"/>
    <w:rsid w:val="00D932DA"/>
    <w:rsid w:val="00D93331"/>
    <w:rsid w:val="00D9333F"/>
    <w:rsid w:val="00D93549"/>
    <w:rsid w:val="00D93786"/>
    <w:rsid w:val="00D937EE"/>
    <w:rsid w:val="00D93835"/>
    <w:rsid w:val="00D9383D"/>
    <w:rsid w:val="00D93B55"/>
    <w:rsid w:val="00D93C38"/>
    <w:rsid w:val="00D93EAD"/>
    <w:rsid w:val="00D94074"/>
    <w:rsid w:val="00D9437A"/>
    <w:rsid w:val="00D943FF"/>
    <w:rsid w:val="00D944B8"/>
    <w:rsid w:val="00D94536"/>
    <w:rsid w:val="00D94694"/>
    <w:rsid w:val="00D9477D"/>
    <w:rsid w:val="00D947D3"/>
    <w:rsid w:val="00D94801"/>
    <w:rsid w:val="00D9480C"/>
    <w:rsid w:val="00D94867"/>
    <w:rsid w:val="00D94883"/>
    <w:rsid w:val="00D948F4"/>
    <w:rsid w:val="00D94A17"/>
    <w:rsid w:val="00D94A6A"/>
    <w:rsid w:val="00D94B83"/>
    <w:rsid w:val="00D94DA9"/>
    <w:rsid w:val="00D94FB8"/>
    <w:rsid w:val="00D951A8"/>
    <w:rsid w:val="00D95490"/>
    <w:rsid w:val="00D9570A"/>
    <w:rsid w:val="00D95720"/>
    <w:rsid w:val="00D9578D"/>
    <w:rsid w:val="00D95826"/>
    <w:rsid w:val="00D958DB"/>
    <w:rsid w:val="00D95953"/>
    <w:rsid w:val="00D95ACF"/>
    <w:rsid w:val="00D95B07"/>
    <w:rsid w:val="00D95D7C"/>
    <w:rsid w:val="00D95E88"/>
    <w:rsid w:val="00D95E8A"/>
    <w:rsid w:val="00D95F7C"/>
    <w:rsid w:val="00D95FC8"/>
    <w:rsid w:val="00D9609E"/>
    <w:rsid w:val="00D96259"/>
    <w:rsid w:val="00D962B4"/>
    <w:rsid w:val="00D962D0"/>
    <w:rsid w:val="00D962FE"/>
    <w:rsid w:val="00D96322"/>
    <w:rsid w:val="00D9636F"/>
    <w:rsid w:val="00D963E9"/>
    <w:rsid w:val="00D964E1"/>
    <w:rsid w:val="00D96515"/>
    <w:rsid w:val="00D965C2"/>
    <w:rsid w:val="00D965EB"/>
    <w:rsid w:val="00D966D4"/>
    <w:rsid w:val="00D96724"/>
    <w:rsid w:val="00D9683E"/>
    <w:rsid w:val="00D96A19"/>
    <w:rsid w:val="00D96A90"/>
    <w:rsid w:val="00D96AD0"/>
    <w:rsid w:val="00D96B7B"/>
    <w:rsid w:val="00D96CDE"/>
    <w:rsid w:val="00D96D3B"/>
    <w:rsid w:val="00D96EC8"/>
    <w:rsid w:val="00D97062"/>
    <w:rsid w:val="00D97168"/>
    <w:rsid w:val="00D972B0"/>
    <w:rsid w:val="00D9746E"/>
    <w:rsid w:val="00D97504"/>
    <w:rsid w:val="00D975FF"/>
    <w:rsid w:val="00D97606"/>
    <w:rsid w:val="00D976B2"/>
    <w:rsid w:val="00D977D5"/>
    <w:rsid w:val="00D97818"/>
    <w:rsid w:val="00D97841"/>
    <w:rsid w:val="00D9785C"/>
    <w:rsid w:val="00D978B9"/>
    <w:rsid w:val="00D9792B"/>
    <w:rsid w:val="00D97A4B"/>
    <w:rsid w:val="00D97AC5"/>
    <w:rsid w:val="00D97B0C"/>
    <w:rsid w:val="00D97C2C"/>
    <w:rsid w:val="00D97EC1"/>
    <w:rsid w:val="00DA00E2"/>
    <w:rsid w:val="00DA01ED"/>
    <w:rsid w:val="00DA0242"/>
    <w:rsid w:val="00DA0253"/>
    <w:rsid w:val="00DA02AA"/>
    <w:rsid w:val="00DA0323"/>
    <w:rsid w:val="00DA03C9"/>
    <w:rsid w:val="00DA03FD"/>
    <w:rsid w:val="00DA0562"/>
    <w:rsid w:val="00DA0656"/>
    <w:rsid w:val="00DA075E"/>
    <w:rsid w:val="00DA08A9"/>
    <w:rsid w:val="00DA0922"/>
    <w:rsid w:val="00DA0935"/>
    <w:rsid w:val="00DA0A2B"/>
    <w:rsid w:val="00DA0AE6"/>
    <w:rsid w:val="00DA0B80"/>
    <w:rsid w:val="00DA0D21"/>
    <w:rsid w:val="00DA101E"/>
    <w:rsid w:val="00DA103A"/>
    <w:rsid w:val="00DA108A"/>
    <w:rsid w:val="00DA11A0"/>
    <w:rsid w:val="00DA1248"/>
    <w:rsid w:val="00DA129D"/>
    <w:rsid w:val="00DA147C"/>
    <w:rsid w:val="00DA1616"/>
    <w:rsid w:val="00DA1912"/>
    <w:rsid w:val="00DA192C"/>
    <w:rsid w:val="00DA19BD"/>
    <w:rsid w:val="00DA1B07"/>
    <w:rsid w:val="00DA1C3A"/>
    <w:rsid w:val="00DA1C60"/>
    <w:rsid w:val="00DA1E3E"/>
    <w:rsid w:val="00DA1E8A"/>
    <w:rsid w:val="00DA1E8C"/>
    <w:rsid w:val="00DA2292"/>
    <w:rsid w:val="00DA24BE"/>
    <w:rsid w:val="00DA255F"/>
    <w:rsid w:val="00DA25B3"/>
    <w:rsid w:val="00DA25DC"/>
    <w:rsid w:val="00DA26CA"/>
    <w:rsid w:val="00DA26F3"/>
    <w:rsid w:val="00DA2794"/>
    <w:rsid w:val="00DA2838"/>
    <w:rsid w:val="00DA284F"/>
    <w:rsid w:val="00DA288C"/>
    <w:rsid w:val="00DA2B72"/>
    <w:rsid w:val="00DA2B7F"/>
    <w:rsid w:val="00DA2DD1"/>
    <w:rsid w:val="00DA2E7C"/>
    <w:rsid w:val="00DA30CD"/>
    <w:rsid w:val="00DA30EF"/>
    <w:rsid w:val="00DA3128"/>
    <w:rsid w:val="00DA33D8"/>
    <w:rsid w:val="00DA3405"/>
    <w:rsid w:val="00DA34C4"/>
    <w:rsid w:val="00DA3870"/>
    <w:rsid w:val="00DA3A32"/>
    <w:rsid w:val="00DA3AA0"/>
    <w:rsid w:val="00DA3B6A"/>
    <w:rsid w:val="00DA3B82"/>
    <w:rsid w:val="00DA3D03"/>
    <w:rsid w:val="00DA3E19"/>
    <w:rsid w:val="00DA405B"/>
    <w:rsid w:val="00DA409C"/>
    <w:rsid w:val="00DA40B9"/>
    <w:rsid w:val="00DA4100"/>
    <w:rsid w:val="00DA4273"/>
    <w:rsid w:val="00DA4548"/>
    <w:rsid w:val="00DA4625"/>
    <w:rsid w:val="00DA480A"/>
    <w:rsid w:val="00DA491E"/>
    <w:rsid w:val="00DA4A25"/>
    <w:rsid w:val="00DA4A8C"/>
    <w:rsid w:val="00DA4B82"/>
    <w:rsid w:val="00DA4BFA"/>
    <w:rsid w:val="00DA4C10"/>
    <w:rsid w:val="00DA4CEF"/>
    <w:rsid w:val="00DA4D0F"/>
    <w:rsid w:val="00DA4D72"/>
    <w:rsid w:val="00DA4D80"/>
    <w:rsid w:val="00DA4DA2"/>
    <w:rsid w:val="00DA4DD7"/>
    <w:rsid w:val="00DA4E3A"/>
    <w:rsid w:val="00DA4F17"/>
    <w:rsid w:val="00DA4F78"/>
    <w:rsid w:val="00DA4FE4"/>
    <w:rsid w:val="00DA5009"/>
    <w:rsid w:val="00DA50A3"/>
    <w:rsid w:val="00DA50E3"/>
    <w:rsid w:val="00DA521E"/>
    <w:rsid w:val="00DA5298"/>
    <w:rsid w:val="00DA52A5"/>
    <w:rsid w:val="00DA5388"/>
    <w:rsid w:val="00DA53DE"/>
    <w:rsid w:val="00DA5415"/>
    <w:rsid w:val="00DA54DC"/>
    <w:rsid w:val="00DA54F6"/>
    <w:rsid w:val="00DA5600"/>
    <w:rsid w:val="00DA5647"/>
    <w:rsid w:val="00DA56D4"/>
    <w:rsid w:val="00DA576B"/>
    <w:rsid w:val="00DA5843"/>
    <w:rsid w:val="00DA58AA"/>
    <w:rsid w:val="00DA58EE"/>
    <w:rsid w:val="00DA596D"/>
    <w:rsid w:val="00DA59B9"/>
    <w:rsid w:val="00DA5A7C"/>
    <w:rsid w:val="00DA5A99"/>
    <w:rsid w:val="00DA5BF5"/>
    <w:rsid w:val="00DA5C2C"/>
    <w:rsid w:val="00DA5CF9"/>
    <w:rsid w:val="00DA5E19"/>
    <w:rsid w:val="00DA602C"/>
    <w:rsid w:val="00DA6037"/>
    <w:rsid w:val="00DA6039"/>
    <w:rsid w:val="00DA6040"/>
    <w:rsid w:val="00DA6117"/>
    <w:rsid w:val="00DA6132"/>
    <w:rsid w:val="00DA626A"/>
    <w:rsid w:val="00DA62A7"/>
    <w:rsid w:val="00DA63CF"/>
    <w:rsid w:val="00DA66C7"/>
    <w:rsid w:val="00DA6762"/>
    <w:rsid w:val="00DA6779"/>
    <w:rsid w:val="00DA6789"/>
    <w:rsid w:val="00DA67A5"/>
    <w:rsid w:val="00DA67B7"/>
    <w:rsid w:val="00DA67C7"/>
    <w:rsid w:val="00DA682A"/>
    <w:rsid w:val="00DA689B"/>
    <w:rsid w:val="00DA68BD"/>
    <w:rsid w:val="00DA68F2"/>
    <w:rsid w:val="00DA6913"/>
    <w:rsid w:val="00DA69E3"/>
    <w:rsid w:val="00DA6A2D"/>
    <w:rsid w:val="00DA6A79"/>
    <w:rsid w:val="00DA6AEE"/>
    <w:rsid w:val="00DA6D85"/>
    <w:rsid w:val="00DA6E21"/>
    <w:rsid w:val="00DA6E57"/>
    <w:rsid w:val="00DA6F84"/>
    <w:rsid w:val="00DA7006"/>
    <w:rsid w:val="00DA70AA"/>
    <w:rsid w:val="00DA719D"/>
    <w:rsid w:val="00DA7274"/>
    <w:rsid w:val="00DA7313"/>
    <w:rsid w:val="00DA7474"/>
    <w:rsid w:val="00DA748F"/>
    <w:rsid w:val="00DA74E3"/>
    <w:rsid w:val="00DA758A"/>
    <w:rsid w:val="00DA759F"/>
    <w:rsid w:val="00DA75BF"/>
    <w:rsid w:val="00DA76C2"/>
    <w:rsid w:val="00DA77C4"/>
    <w:rsid w:val="00DA7A43"/>
    <w:rsid w:val="00DA7C5B"/>
    <w:rsid w:val="00DA7C73"/>
    <w:rsid w:val="00DA7DCE"/>
    <w:rsid w:val="00DB0016"/>
    <w:rsid w:val="00DB001B"/>
    <w:rsid w:val="00DB0065"/>
    <w:rsid w:val="00DB00F5"/>
    <w:rsid w:val="00DB0115"/>
    <w:rsid w:val="00DB01F7"/>
    <w:rsid w:val="00DB0730"/>
    <w:rsid w:val="00DB08B0"/>
    <w:rsid w:val="00DB08D4"/>
    <w:rsid w:val="00DB09FC"/>
    <w:rsid w:val="00DB0B50"/>
    <w:rsid w:val="00DB0BBA"/>
    <w:rsid w:val="00DB0CB6"/>
    <w:rsid w:val="00DB0CE8"/>
    <w:rsid w:val="00DB0D6A"/>
    <w:rsid w:val="00DB0EEE"/>
    <w:rsid w:val="00DB1256"/>
    <w:rsid w:val="00DB13F7"/>
    <w:rsid w:val="00DB1420"/>
    <w:rsid w:val="00DB14FB"/>
    <w:rsid w:val="00DB17B7"/>
    <w:rsid w:val="00DB1918"/>
    <w:rsid w:val="00DB191C"/>
    <w:rsid w:val="00DB1AA0"/>
    <w:rsid w:val="00DB1C55"/>
    <w:rsid w:val="00DB1C79"/>
    <w:rsid w:val="00DB1D39"/>
    <w:rsid w:val="00DB1D5D"/>
    <w:rsid w:val="00DB1EB5"/>
    <w:rsid w:val="00DB1EF6"/>
    <w:rsid w:val="00DB2129"/>
    <w:rsid w:val="00DB242B"/>
    <w:rsid w:val="00DB242C"/>
    <w:rsid w:val="00DB2443"/>
    <w:rsid w:val="00DB2483"/>
    <w:rsid w:val="00DB2598"/>
    <w:rsid w:val="00DB26DD"/>
    <w:rsid w:val="00DB27BC"/>
    <w:rsid w:val="00DB285D"/>
    <w:rsid w:val="00DB2931"/>
    <w:rsid w:val="00DB2BB8"/>
    <w:rsid w:val="00DB2C68"/>
    <w:rsid w:val="00DB2CB8"/>
    <w:rsid w:val="00DB2E03"/>
    <w:rsid w:val="00DB2F45"/>
    <w:rsid w:val="00DB2FCD"/>
    <w:rsid w:val="00DB32B7"/>
    <w:rsid w:val="00DB32C1"/>
    <w:rsid w:val="00DB32FE"/>
    <w:rsid w:val="00DB3402"/>
    <w:rsid w:val="00DB3419"/>
    <w:rsid w:val="00DB35F2"/>
    <w:rsid w:val="00DB3600"/>
    <w:rsid w:val="00DB3674"/>
    <w:rsid w:val="00DB3759"/>
    <w:rsid w:val="00DB381C"/>
    <w:rsid w:val="00DB390F"/>
    <w:rsid w:val="00DB3A4F"/>
    <w:rsid w:val="00DB3BE6"/>
    <w:rsid w:val="00DB3C86"/>
    <w:rsid w:val="00DB3D55"/>
    <w:rsid w:val="00DB3D7F"/>
    <w:rsid w:val="00DB4034"/>
    <w:rsid w:val="00DB4036"/>
    <w:rsid w:val="00DB42C3"/>
    <w:rsid w:val="00DB4368"/>
    <w:rsid w:val="00DB4617"/>
    <w:rsid w:val="00DB46BF"/>
    <w:rsid w:val="00DB4989"/>
    <w:rsid w:val="00DB4999"/>
    <w:rsid w:val="00DB49D2"/>
    <w:rsid w:val="00DB49F2"/>
    <w:rsid w:val="00DB4A7F"/>
    <w:rsid w:val="00DB4B4E"/>
    <w:rsid w:val="00DB4C4E"/>
    <w:rsid w:val="00DB4CBE"/>
    <w:rsid w:val="00DB4F93"/>
    <w:rsid w:val="00DB5194"/>
    <w:rsid w:val="00DB5214"/>
    <w:rsid w:val="00DB5259"/>
    <w:rsid w:val="00DB52A5"/>
    <w:rsid w:val="00DB52B4"/>
    <w:rsid w:val="00DB52E5"/>
    <w:rsid w:val="00DB538A"/>
    <w:rsid w:val="00DB53C2"/>
    <w:rsid w:val="00DB5496"/>
    <w:rsid w:val="00DB54C6"/>
    <w:rsid w:val="00DB54E3"/>
    <w:rsid w:val="00DB55E0"/>
    <w:rsid w:val="00DB56B1"/>
    <w:rsid w:val="00DB56C1"/>
    <w:rsid w:val="00DB5763"/>
    <w:rsid w:val="00DB5998"/>
    <w:rsid w:val="00DB5A9B"/>
    <w:rsid w:val="00DB5AC8"/>
    <w:rsid w:val="00DB5AF4"/>
    <w:rsid w:val="00DB5B19"/>
    <w:rsid w:val="00DB5C89"/>
    <w:rsid w:val="00DB5C96"/>
    <w:rsid w:val="00DB5EB6"/>
    <w:rsid w:val="00DB5F86"/>
    <w:rsid w:val="00DB6092"/>
    <w:rsid w:val="00DB60D5"/>
    <w:rsid w:val="00DB6149"/>
    <w:rsid w:val="00DB616F"/>
    <w:rsid w:val="00DB617B"/>
    <w:rsid w:val="00DB631C"/>
    <w:rsid w:val="00DB6471"/>
    <w:rsid w:val="00DB649E"/>
    <w:rsid w:val="00DB64F2"/>
    <w:rsid w:val="00DB6628"/>
    <w:rsid w:val="00DB66DD"/>
    <w:rsid w:val="00DB67FD"/>
    <w:rsid w:val="00DB6AE5"/>
    <w:rsid w:val="00DB6BFF"/>
    <w:rsid w:val="00DB6D14"/>
    <w:rsid w:val="00DB6F57"/>
    <w:rsid w:val="00DB6F8F"/>
    <w:rsid w:val="00DB6FD4"/>
    <w:rsid w:val="00DB6FD5"/>
    <w:rsid w:val="00DB70B5"/>
    <w:rsid w:val="00DB70CA"/>
    <w:rsid w:val="00DB710D"/>
    <w:rsid w:val="00DB714A"/>
    <w:rsid w:val="00DB718B"/>
    <w:rsid w:val="00DB71D4"/>
    <w:rsid w:val="00DB72D4"/>
    <w:rsid w:val="00DB73EA"/>
    <w:rsid w:val="00DB74D6"/>
    <w:rsid w:val="00DB74F5"/>
    <w:rsid w:val="00DB750C"/>
    <w:rsid w:val="00DB7618"/>
    <w:rsid w:val="00DB763C"/>
    <w:rsid w:val="00DB77BE"/>
    <w:rsid w:val="00DB780B"/>
    <w:rsid w:val="00DB7929"/>
    <w:rsid w:val="00DB794E"/>
    <w:rsid w:val="00DB7AB0"/>
    <w:rsid w:val="00DB7BAD"/>
    <w:rsid w:val="00DB7BCD"/>
    <w:rsid w:val="00DB7BD8"/>
    <w:rsid w:val="00DB7C47"/>
    <w:rsid w:val="00DB7C51"/>
    <w:rsid w:val="00DB7E5D"/>
    <w:rsid w:val="00DB7EAC"/>
    <w:rsid w:val="00DB7F8E"/>
    <w:rsid w:val="00DC01CB"/>
    <w:rsid w:val="00DC022A"/>
    <w:rsid w:val="00DC0296"/>
    <w:rsid w:val="00DC03B8"/>
    <w:rsid w:val="00DC0463"/>
    <w:rsid w:val="00DC048A"/>
    <w:rsid w:val="00DC04F2"/>
    <w:rsid w:val="00DC05B1"/>
    <w:rsid w:val="00DC0734"/>
    <w:rsid w:val="00DC0779"/>
    <w:rsid w:val="00DC08AD"/>
    <w:rsid w:val="00DC0AEC"/>
    <w:rsid w:val="00DC0B7D"/>
    <w:rsid w:val="00DC0C55"/>
    <w:rsid w:val="00DC0D04"/>
    <w:rsid w:val="00DC0D1C"/>
    <w:rsid w:val="00DC0E99"/>
    <w:rsid w:val="00DC101C"/>
    <w:rsid w:val="00DC1042"/>
    <w:rsid w:val="00DC11A9"/>
    <w:rsid w:val="00DC1218"/>
    <w:rsid w:val="00DC1259"/>
    <w:rsid w:val="00DC126C"/>
    <w:rsid w:val="00DC1328"/>
    <w:rsid w:val="00DC1522"/>
    <w:rsid w:val="00DC193B"/>
    <w:rsid w:val="00DC1A96"/>
    <w:rsid w:val="00DC1B13"/>
    <w:rsid w:val="00DC1BAC"/>
    <w:rsid w:val="00DC1CE8"/>
    <w:rsid w:val="00DC1D6C"/>
    <w:rsid w:val="00DC1E25"/>
    <w:rsid w:val="00DC1E82"/>
    <w:rsid w:val="00DC1F47"/>
    <w:rsid w:val="00DC1FB2"/>
    <w:rsid w:val="00DC1FF1"/>
    <w:rsid w:val="00DC205E"/>
    <w:rsid w:val="00DC2195"/>
    <w:rsid w:val="00DC21DA"/>
    <w:rsid w:val="00DC22D1"/>
    <w:rsid w:val="00DC233A"/>
    <w:rsid w:val="00DC24C0"/>
    <w:rsid w:val="00DC24E7"/>
    <w:rsid w:val="00DC24FD"/>
    <w:rsid w:val="00DC2528"/>
    <w:rsid w:val="00DC261C"/>
    <w:rsid w:val="00DC2687"/>
    <w:rsid w:val="00DC293A"/>
    <w:rsid w:val="00DC2970"/>
    <w:rsid w:val="00DC2A6E"/>
    <w:rsid w:val="00DC2AF1"/>
    <w:rsid w:val="00DC2B25"/>
    <w:rsid w:val="00DC2B76"/>
    <w:rsid w:val="00DC2C65"/>
    <w:rsid w:val="00DC2CA7"/>
    <w:rsid w:val="00DC2CD2"/>
    <w:rsid w:val="00DC2CF6"/>
    <w:rsid w:val="00DC2DDA"/>
    <w:rsid w:val="00DC306C"/>
    <w:rsid w:val="00DC30F0"/>
    <w:rsid w:val="00DC31C8"/>
    <w:rsid w:val="00DC3374"/>
    <w:rsid w:val="00DC33F0"/>
    <w:rsid w:val="00DC34DF"/>
    <w:rsid w:val="00DC3716"/>
    <w:rsid w:val="00DC37CD"/>
    <w:rsid w:val="00DC391C"/>
    <w:rsid w:val="00DC3A50"/>
    <w:rsid w:val="00DC3AC3"/>
    <w:rsid w:val="00DC3BD7"/>
    <w:rsid w:val="00DC3BE0"/>
    <w:rsid w:val="00DC3DDB"/>
    <w:rsid w:val="00DC3E33"/>
    <w:rsid w:val="00DC4164"/>
    <w:rsid w:val="00DC41DE"/>
    <w:rsid w:val="00DC430C"/>
    <w:rsid w:val="00DC4314"/>
    <w:rsid w:val="00DC43E2"/>
    <w:rsid w:val="00DC4461"/>
    <w:rsid w:val="00DC44FC"/>
    <w:rsid w:val="00DC4545"/>
    <w:rsid w:val="00DC462B"/>
    <w:rsid w:val="00DC476D"/>
    <w:rsid w:val="00DC4958"/>
    <w:rsid w:val="00DC4A47"/>
    <w:rsid w:val="00DC4C23"/>
    <w:rsid w:val="00DC4D20"/>
    <w:rsid w:val="00DC4DDB"/>
    <w:rsid w:val="00DC4F53"/>
    <w:rsid w:val="00DC4FA9"/>
    <w:rsid w:val="00DC4FB5"/>
    <w:rsid w:val="00DC501C"/>
    <w:rsid w:val="00DC503D"/>
    <w:rsid w:val="00DC5063"/>
    <w:rsid w:val="00DC5226"/>
    <w:rsid w:val="00DC526F"/>
    <w:rsid w:val="00DC5442"/>
    <w:rsid w:val="00DC54B7"/>
    <w:rsid w:val="00DC54EB"/>
    <w:rsid w:val="00DC556D"/>
    <w:rsid w:val="00DC556F"/>
    <w:rsid w:val="00DC55BF"/>
    <w:rsid w:val="00DC5679"/>
    <w:rsid w:val="00DC5699"/>
    <w:rsid w:val="00DC5974"/>
    <w:rsid w:val="00DC5A56"/>
    <w:rsid w:val="00DC5B35"/>
    <w:rsid w:val="00DC5BAE"/>
    <w:rsid w:val="00DC5C05"/>
    <w:rsid w:val="00DC5C87"/>
    <w:rsid w:val="00DC5C9D"/>
    <w:rsid w:val="00DC5D9A"/>
    <w:rsid w:val="00DC5EBA"/>
    <w:rsid w:val="00DC5F6B"/>
    <w:rsid w:val="00DC5FDB"/>
    <w:rsid w:val="00DC60F7"/>
    <w:rsid w:val="00DC611A"/>
    <w:rsid w:val="00DC634C"/>
    <w:rsid w:val="00DC6357"/>
    <w:rsid w:val="00DC643C"/>
    <w:rsid w:val="00DC6603"/>
    <w:rsid w:val="00DC66E2"/>
    <w:rsid w:val="00DC686B"/>
    <w:rsid w:val="00DC6A01"/>
    <w:rsid w:val="00DC6A52"/>
    <w:rsid w:val="00DC6ACF"/>
    <w:rsid w:val="00DC6B4B"/>
    <w:rsid w:val="00DC6C53"/>
    <w:rsid w:val="00DC6C92"/>
    <w:rsid w:val="00DC6CB8"/>
    <w:rsid w:val="00DC6CF3"/>
    <w:rsid w:val="00DC6FD6"/>
    <w:rsid w:val="00DC70D0"/>
    <w:rsid w:val="00DC7177"/>
    <w:rsid w:val="00DC722A"/>
    <w:rsid w:val="00DC727D"/>
    <w:rsid w:val="00DC731C"/>
    <w:rsid w:val="00DC73F5"/>
    <w:rsid w:val="00DC740A"/>
    <w:rsid w:val="00DC759F"/>
    <w:rsid w:val="00DC7623"/>
    <w:rsid w:val="00DC77F4"/>
    <w:rsid w:val="00DC784F"/>
    <w:rsid w:val="00DC7A54"/>
    <w:rsid w:val="00DC7AC7"/>
    <w:rsid w:val="00DC7B1F"/>
    <w:rsid w:val="00DC7C56"/>
    <w:rsid w:val="00DC7D3F"/>
    <w:rsid w:val="00DC7E54"/>
    <w:rsid w:val="00DC7EB6"/>
    <w:rsid w:val="00DC7F9E"/>
    <w:rsid w:val="00DC7FAB"/>
    <w:rsid w:val="00DD0033"/>
    <w:rsid w:val="00DD0090"/>
    <w:rsid w:val="00DD00FA"/>
    <w:rsid w:val="00DD0106"/>
    <w:rsid w:val="00DD0236"/>
    <w:rsid w:val="00DD02EF"/>
    <w:rsid w:val="00DD03E8"/>
    <w:rsid w:val="00DD0467"/>
    <w:rsid w:val="00DD04AF"/>
    <w:rsid w:val="00DD04E3"/>
    <w:rsid w:val="00DD05A0"/>
    <w:rsid w:val="00DD05B7"/>
    <w:rsid w:val="00DD0632"/>
    <w:rsid w:val="00DD06D2"/>
    <w:rsid w:val="00DD06E3"/>
    <w:rsid w:val="00DD076D"/>
    <w:rsid w:val="00DD0791"/>
    <w:rsid w:val="00DD080E"/>
    <w:rsid w:val="00DD08DB"/>
    <w:rsid w:val="00DD0951"/>
    <w:rsid w:val="00DD0C00"/>
    <w:rsid w:val="00DD0C46"/>
    <w:rsid w:val="00DD0E07"/>
    <w:rsid w:val="00DD0FB7"/>
    <w:rsid w:val="00DD11A3"/>
    <w:rsid w:val="00DD11F2"/>
    <w:rsid w:val="00DD1277"/>
    <w:rsid w:val="00DD12E3"/>
    <w:rsid w:val="00DD1305"/>
    <w:rsid w:val="00DD138B"/>
    <w:rsid w:val="00DD13C2"/>
    <w:rsid w:val="00DD1437"/>
    <w:rsid w:val="00DD145D"/>
    <w:rsid w:val="00DD14CB"/>
    <w:rsid w:val="00DD15F9"/>
    <w:rsid w:val="00DD16DC"/>
    <w:rsid w:val="00DD1791"/>
    <w:rsid w:val="00DD17CB"/>
    <w:rsid w:val="00DD17DE"/>
    <w:rsid w:val="00DD1895"/>
    <w:rsid w:val="00DD1896"/>
    <w:rsid w:val="00DD1928"/>
    <w:rsid w:val="00DD1994"/>
    <w:rsid w:val="00DD19D5"/>
    <w:rsid w:val="00DD1B65"/>
    <w:rsid w:val="00DD1B99"/>
    <w:rsid w:val="00DD1D2F"/>
    <w:rsid w:val="00DD1E99"/>
    <w:rsid w:val="00DD1EE7"/>
    <w:rsid w:val="00DD21D9"/>
    <w:rsid w:val="00DD22B5"/>
    <w:rsid w:val="00DD22DE"/>
    <w:rsid w:val="00DD23B1"/>
    <w:rsid w:val="00DD251D"/>
    <w:rsid w:val="00DD2549"/>
    <w:rsid w:val="00DD2634"/>
    <w:rsid w:val="00DD264C"/>
    <w:rsid w:val="00DD2718"/>
    <w:rsid w:val="00DD2742"/>
    <w:rsid w:val="00DD2861"/>
    <w:rsid w:val="00DD292D"/>
    <w:rsid w:val="00DD29A2"/>
    <w:rsid w:val="00DD29A3"/>
    <w:rsid w:val="00DD2AE3"/>
    <w:rsid w:val="00DD2B39"/>
    <w:rsid w:val="00DD2C0B"/>
    <w:rsid w:val="00DD2C65"/>
    <w:rsid w:val="00DD2E84"/>
    <w:rsid w:val="00DD2FA7"/>
    <w:rsid w:val="00DD2FB2"/>
    <w:rsid w:val="00DD3194"/>
    <w:rsid w:val="00DD31A2"/>
    <w:rsid w:val="00DD31E5"/>
    <w:rsid w:val="00DD3222"/>
    <w:rsid w:val="00DD3239"/>
    <w:rsid w:val="00DD327F"/>
    <w:rsid w:val="00DD3451"/>
    <w:rsid w:val="00DD3589"/>
    <w:rsid w:val="00DD362E"/>
    <w:rsid w:val="00DD365E"/>
    <w:rsid w:val="00DD36BF"/>
    <w:rsid w:val="00DD374B"/>
    <w:rsid w:val="00DD3790"/>
    <w:rsid w:val="00DD379C"/>
    <w:rsid w:val="00DD37B5"/>
    <w:rsid w:val="00DD3839"/>
    <w:rsid w:val="00DD3A8B"/>
    <w:rsid w:val="00DD3B01"/>
    <w:rsid w:val="00DD3BD0"/>
    <w:rsid w:val="00DD3C6A"/>
    <w:rsid w:val="00DD3D50"/>
    <w:rsid w:val="00DD3D65"/>
    <w:rsid w:val="00DD3E63"/>
    <w:rsid w:val="00DD3FFD"/>
    <w:rsid w:val="00DD41DA"/>
    <w:rsid w:val="00DD42A4"/>
    <w:rsid w:val="00DD4460"/>
    <w:rsid w:val="00DD44DC"/>
    <w:rsid w:val="00DD44DD"/>
    <w:rsid w:val="00DD457E"/>
    <w:rsid w:val="00DD460E"/>
    <w:rsid w:val="00DD461B"/>
    <w:rsid w:val="00DD4726"/>
    <w:rsid w:val="00DD4846"/>
    <w:rsid w:val="00DD4927"/>
    <w:rsid w:val="00DD4B6D"/>
    <w:rsid w:val="00DD4DAA"/>
    <w:rsid w:val="00DD4F11"/>
    <w:rsid w:val="00DD4FB9"/>
    <w:rsid w:val="00DD504F"/>
    <w:rsid w:val="00DD5117"/>
    <w:rsid w:val="00DD514E"/>
    <w:rsid w:val="00DD519E"/>
    <w:rsid w:val="00DD51D5"/>
    <w:rsid w:val="00DD5331"/>
    <w:rsid w:val="00DD5440"/>
    <w:rsid w:val="00DD5648"/>
    <w:rsid w:val="00DD581D"/>
    <w:rsid w:val="00DD588E"/>
    <w:rsid w:val="00DD58FB"/>
    <w:rsid w:val="00DD595C"/>
    <w:rsid w:val="00DD5BD7"/>
    <w:rsid w:val="00DD5D49"/>
    <w:rsid w:val="00DD5DB7"/>
    <w:rsid w:val="00DD5E01"/>
    <w:rsid w:val="00DD5E50"/>
    <w:rsid w:val="00DD5F46"/>
    <w:rsid w:val="00DD5FE3"/>
    <w:rsid w:val="00DD6108"/>
    <w:rsid w:val="00DD6168"/>
    <w:rsid w:val="00DD61A4"/>
    <w:rsid w:val="00DD61D3"/>
    <w:rsid w:val="00DD6203"/>
    <w:rsid w:val="00DD62E9"/>
    <w:rsid w:val="00DD6367"/>
    <w:rsid w:val="00DD6370"/>
    <w:rsid w:val="00DD63C7"/>
    <w:rsid w:val="00DD643F"/>
    <w:rsid w:val="00DD645C"/>
    <w:rsid w:val="00DD652C"/>
    <w:rsid w:val="00DD6636"/>
    <w:rsid w:val="00DD66AC"/>
    <w:rsid w:val="00DD68A1"/>
    <w:rsid w:val="00DD6A0A"/>
    <w:rsid w:val="00DD6A0E"/>
    <w:rsid w:val="00DD6A77"/>
    <w:rsid w:val="00DD6A84"/>
    <w:rsid w:val="00DD6A9C"/>
    <w:rsid w:val="00DD6C43"/>
    <w:rsid w:val="00DD6C67"/>
    <w:rsid w:val="00DD6D06"/>
    <w:rsid w:val="00DD6FF8"/>
    <w:rsid w:val="00DD7006"/>
    <w:rsid w:val="00DD70BD"/>
    <w:rsid w:val="00DD7327"/>
    <w:rsid w:val="00DD738D"/>
    <w:rsid w:val="00DD743A"/>
    <w:rsid w:val="00DD7485"/>
    <w:rsid w:val="00DD7557"/>
    <w:rsid w:val="00DD7617"/>
    <w:rsid w:val="00DD7812"/>
    <w:rsid w:val="00DD7A5E"/>
    <w:rsid w:val="00DD7C64"/>
    <w:rsid w:val="00DD7CAA"/>
    <w:rsid w:val="00DD7CE9"/>
    <w:rsid w:val="00DD7D3F"/>
    <w:rsid w:val="00DD7D72"/>
    <w:rsid w:val="00DD7D8A"/>
    <w:rsid w:val="00DD7EA9"/>
    <w:rsid w:val="00DE0021"/>
    <w:rsid w:val="00DE006E"/>
    <w:rsid w:val="00DE00DA"/>
    <w:rsid w:val="00DE025E"/>
    <w:rsid w:val="00DE028C"/>
    <w:rsid w:val="00DE0538"/>
    <w:rsid w:val="00DE0569"/>
    <w:rsid w:val="00DE05A6"/>
    <w:rsid w:val="00DE063F"/>
    <w:rsid w:val="00DE0752"/>
    <w:rsid w:val="00DE07C3"/>
    <w:rsid w:val="00DE08BE"/>
    <w:rsid w:val="00DE0970"/>
    <w:rsid w:val="00DE0A12"/>
    <w:rsid w:val="00DE0A31"/>
    <w:rsid w:val="00DE0A87"/>
    <w:rsid w:val="00DE0AA4"/>
    <w:rsid w:val="00DE0BBC"/>
    <w:rsid w:val="00DE0BE1"/>
    <w:rsid w:val="00DE0C93"/>
    <w:rsid w:val="00DE0D1A"/>
    <w:rsid w:val="00DE0DF9"/>
    <w:rsid w:val="00DE0E08"/>
    <w:rsid w:val="00DE0E58"/>
    <w:rsid w:val="00DE0F88"/>
    <w:rsid w:val="00DE11D8"/>
    <w:rsid w:val="00DE1221"/>
    <w:rsid w:val="00DE123E"/>
    <w:rsid w:val="00DE12BC"/>
    <w:rsid w:val="00DE1309"/>
    <w:rsid w:val="00DE13ED"/>
    <w:rsid w:val="00DE13F3"/>
    <w:rsid w:val="00DE145F"/>
    <w:rsid w:val="00DE15DF"/>
    <w:rsid w:val="00DE16E6"/>
    <w:rsid w:val="00DE1891"/>
    <w:rsid w:val="00DE192D"/>
    <w:rsid w:val="00DE1A0A"/>
    <w:rsid w:val="00DE1B30"/>
    <w:rsid w:val="00DE1C49"/>
    <w:rsid w:val="00DE1D67"/>
    <w:rsid w:val="00DE1E2B"/>
    <w:rsid w:val="00DE1EE5"/>
    <w:rsid w:val="00DE21AC"/>
    <w:rsid w:val="00DE22C2"/>
    <w:rsid w:val="00DE2304"/>
    <w:rsid w:val="00DE23CE"/>
    <w:rsid w:val="00DE24B2"/>
    <w:rsid w:val="00DE2568"/>
    <w:rsid w:val="00DE26DE"/>
    <w:rsid w:val="00DE28B4"/>
    <w:rsid w:val="00DE28CD"/>
    <w:rsid w:val="00DE2982"/>
    <w:rsid w:val="00DE29BE"/>
    <w:rsid w:val="00DE2D6A"/>
    <w:rsid w:val="00DE30AF"/>
    <w:rsid w:val="00DE31FE"/>
    <w:rsid w:val="00DE3207"/>
    <w:rsid w:val="00DE32BF"/>
    <w:rsid w:val="00DE3391"/>
    <w:rsid w:val="00DE33A2"/>
    <w:rsid w:val="00DE34C4"/>
    <w:rsid w:val="00DE3579"/>
    <w:rsid w:val="00DE36AB"/>
    <w:rsid w:val="00DE373B"/>
    <w:rsid w:val="00DE37D5"/>
    <w:rsid w:val="00DE3813"/>
    <w:rsid w:val="00DE3841"/>
    <w:rsid w:val="00DE3929"/>
    <w:rsid w:val="00DE3AC0"/>
    <w:rsid w:val="00DE3AF9"/>
    <w:rsid w:val="00DE3BAD"/>
    <w:rsid w:val="00DE3C73"/>
    <w:rsid w:val="00DE3CCB"/>
    <w:rsid w:val="00DE3CE4"/>
    <w:rsid w:val="00DE3D34"/>
    <w:rsid w:val="00DE3E25"/>
    <w:rsid w:val="00DE3EFF"/>
    <w:rsid w:val="00DE3F05"/>
    <w:rsid w:val="00DE40BD"/>
    <w:rsid w:val="00DE422F"/>
    <w:rsid w:val="00DE42BF"/>
    <w:rsid w:val="00DE42D6"/>
    <w:rsid w:val="00DE4404"/>
    <w:rsid w:val="00DE4462"/>
    <w:rsid w:val="00DE4559"/>
    <w:rsid w:val="00DE45AD"/>
    <w:rsid w:val="00DE47A8"/>
    <w:rsid w:val="00DE48DD"/>
    <w:rsid w:val="00DE49B3"/>
    <w:rsid w:val="00DE4A7F"/>
    <w:rsid w:val="00DE4C19"/>
    <w:rsid w:val="00DE4E75"/>
    <w:rsid w:val="00DE4F2A"/>
    <w:rsid w:val="00DE5158"/>
    <w:rsid w:val="00DE5295"/>
    <w:rsid w:val="00DE5331"/>
    <w:rsid w:val="00DE5518"/>
    <w:rsid w:val="00DE559A"/>
    <w:rsid w:val="00DE55CD"/>
    <w:rsid w:val="00DE5612"/>
    <w:rsid w:val="00DE5715"/>
    <w:rsid w:val="00DE5876"/>
    <w:rsid w:val="00DE5AFB"/>
    <w:rsid w:val="00DE5B01"/>
    <w:rsid w:val="00DE5B36"/>
    <w:rsid w:val="00DE5B69"/>
    <w:rsid w:val="00DE5B73"/>
    <w:rsid w:val="00DE5C11"/>
    <w:rsid w:val="00DE5C1F"/>
    <w:rsid w:val="00DE5DC8"/>
    <w:rsid w:val="00DE5DEB"/>
    <w:rsid w:val="00DE5F37"/>
    <w:rsid w:val="00DE5F74"/>
    <w:rsid w:val="00DE62FD"/>
    <w:rsid w:val="00DE63D8"/>
    <w:rsid w:val="00DE6457"/>
    <w:rsid w:val="00DE659E"/>
    <w:rsid w:val="00DE665A"/>
    <w:rsid w:val="00DE66A2"/>
    <w:rsid w:val="00DE67C6"/>
    <w:rsid w:val="00DE680D"/>
    <w:rsid w:val="00DE6814"/>
    <w:rsid w:val="00DE69B6"/>
    <w:rsid w:val="00DE69B8"/>
    <w:rsid w:val="00DE6A88"/>
    <w:rsid w:val="00DE6ACE"/>
    <w:rsid w:val="00DE6BB9"/>
    <w:rsid w:val="00DE6DE5"/>
    <w:rsid w:val="00DE6E45"/>
    <w:rsid w:val="00DE6ED1"/>
    <w:rsid w:val="00DE7033"/>
    <w:rsid w:val="00DE707A"/>
    <w:rsid w:val="00DE7146"/>
    <w:rsid w:val="00DE725A"/>
    <w:rsid w:val="00DE72FD"/>
    <w:rsid w:val="00DE733A"/>
    <w:rsid w:val="00DE7373"/>
    <w:rsid w:val="00DE74F0"/>
    <w:rsid w:val="00DE74F3"/>
    <w:rsid w:val="00DE75A6"/>
    <w:rsid w:val="00DE7762"/>
    <w:rsid w:val="00DE792E"/>
    <w:rsid w:val="00DE79D2"/>
    <w:rsid w:val="00DE79E6"/>
    <w:rsid w:val="00DE7A0C"/>
    <w:rsid w:val="00DE7BE9"/>
    <w:rsid w:val="00DE7CBB"/>
    <w:rsid w:val="00DE7D44"/>
    <w:rsid w:val="00DE7E9B"/>
    <w:rsid w:val="00DE7F49"/>
    <w:rsid w:val="00DE7FB1"/>
    <w:rsid w:val="00DE7FF0"/>
    <w:rsid w:val="00DF0073"/>
    <w:rsid w:val="00DF0176"/>
    <w:rsid w:val="00DF01D3"/>
    <w:rsid w:val="00DF03D4"/>
    <w:rsid w:val="00DF059E"/>
    <w:rsid w:val="00DF070C"/>
    <w:rsid w:val="00DF0727"/>
    <w:rsid w:val="00DF0906"/>
    <w:rsid w:val="00DF094A"/>
    <w:rsid w:val="00DF09C8"/>
    <w:rsid w:val="00DF0A4B"/>
    <w:rsid w:val="00DF0AFA"/>
    <w:rsid w:val="00DF0B5B"/>
    <w:rsid w:val="00DF0C00"/>
    <w:rsid w:val="00DF0C32"/>
    <w:rsid w:val="00DF0CCA"/>
    <w:rsid w:val="00DF0CF1"/>
    <w:rsid w:val="00DF0D05"/>
    <w:rsid w:val="00DF1102"/>
    <w:rsid w:val="00DF11AA"/>
    <w:rsid w:val="00DF14DA"/>
    <w:rsid w:val="00DF1516"/>
    <w:rsid w:val="00DF1693"/>
    <w:rsid w:val="00DF16CA"/>
    <w:rsid w:val="00DF1879"/>
    <w:rsid w:val="00DF19D7"/>
    <w:rsid w:val="00DF19E5"/>
    <w:rsid w:val="00DF1A0E"/>
    <w:rsid w:val="00DF1ADC"/>
    <w:rsid w:val="00DF1C06"/>
    <w:rsid w:val="00DF1C79"/>
    <w:rsid w:val="00DF1CF4"/>
    <w:rsid w:val="00DF1D19"/>
    <w:rsid w:val="00DF1D9E"/>
    <w:rsid w:val="00DF1DEC"/>
    <w:rsid w:val="00DF2046"/>
    <w:rsid w:val="00DF20FD"/>
    <w:rsid w:val="00DF23C8"/>
    <w:rsid w:val="00DF243A"/>
    <w:rsid w:val="00DF249A"/>
    <w:rsid w:val="00DF24F2"/>
    <w:rsid w:val="00DF2509"/>
    <w:rsid w:val="00DF253E"/>
    <w:rsid w:val="00DF25EA"/>
    <w:rsid w:val="00DF2834"/>
    <w:rsid w:val="00DF294C"/>
    <w:rsid w:val="00DF294E"/>
    <w:rsid w:val="00DF2A72"/>
    <w:rsid w:val="00DF2DA2"/>
    <w:rsid w:val="00DF2DC5"/>
    <w:rsid w:val="00DF2E25"/>
    <w:rsid w:val="00DF2EA5"/>
    <w:rsid w:val="00DF2EB2"/>
    <w:rsid w:val="00DF2F2B"/>
    <w:rsid w:val="00DF2F39"/>
    <w:rsid w:val="00DF31AB"/>
    <w:rsid w:val="00DF3259"/>
    <w:rsid w:val="00DF3278"/>
    <w:rsid w:val="00DF335A"/>
    <w:rsid w:val="00DF35EF"/>
    <w:rsid w:val="00DF376F"/>
    <w:rsid w:val="00DF385D"/>
    <w:rsid w:val="00DF38C9"/>
    <w:rsid w:val="00DF3A51"/>
    <w:rsid w:val="00DF3B18"/>
    <w:rsid w:val="00DF3B7A"/>
    <w:rsid w:val="00DF3BCF"/>
    <w:rsid w:val="00DF3BEA"/>
    <w:rsid w:val="00DF3D0F"/>
    <w:rsid w:val="00DF3D69"/>
    <w:rsid w:val="00DF3DB7"/>
    <w:rsid w:val="00DF3F48"/>
    <w:rsid w:val="00DF3F71"/>
    <w:rsid w:val="00DF403E"/>
    <w:rsid w:val="00DF4087"/>
    <w:rsid w:val="00DF4101"/>
    <w:rsid w:val="00DF4148"/>
    <w:rsid w:val="00DF419E"/>
    <w:rsid w:val="00DF42CE"/>
    <w:rsid w:val="00DF4328"/>
    <w:rsid w:val="00DF4383"/>
    <w:rsid w:val="00DF44A0"/>
    <w:rsid w:val="00DF45BB"/>
    <w:rsid w:val="00DF4615"/>
    <w:rsid w:val="00DF46B4"/>
    <w:rsid w:val="00DF4755"/>
    <w:rsid w:val="00DF47E4"/>
    <w:rsid w:val="00DF4850"/>
    <w:rsid w:val="00DF48ED"/>
    <w:rsid w:val="00DF492A"/>
    <w:rsid w:val="00DF4A18"/>
    <w:rsid w:val="00DF4B35"/>
    <w:rsid w:val="00DF4B5E"/>
    <w:rsid w:val="00DF4C08"/>
    <w:rsid w:val="00DF4CA1"/>
    <w:rsid w:val="00DF4D00"/>
    <w:rsid w:val="00DF4D49"/>
    <w:rsid w:val="00DF4D59"/>
    <w:rsid w:val="00DF4E38"/>
    <w:rsid w:val="00DF4ED9"/>
    <w:rsid w:val="00DF4F32"/>
    <w:rsid w:val="00DF4F88"/>
    <w:rsid w:val="00DF4FB8"/>
    <w:rsid w:val="00DF5162"/>
    <w:rsid w:val="00DF51AE"/>
    <w:rsid w:val="00DF521F"/>
    <w:rsid w:val="00DF5222"/>
    <w:rsid w:val="00DF537D"/>
    <w:rsid w:val="00DF53CA"/>
    <w:rsid w:val="00DF557C"/>
    <w:rsid w:val="00DF5665"/>
    <w:rsid w:val="00DF5692"/>
    <w:rsid w:val="00DF56B9"/>
    <w:rsid w:val="00DF57BB"/>
    <w:rsid w:val="00DF589D"/>
    <w:rsid w:val="00DF59E7"/>
    <w:rsid w:val="00DF5AEC"/>
    <w:rsid w:val="00DF5B65"/>
    <w:rsid w:val="00DF5B66"/>
    <w:rsid w:val="00DF5B9F"/>
    <w:rsid w:val="00DF5E24"/>
    <w:rsid w:val="00DF5E4C"/>
    <w:rsid w:val="00DF5EED"/>
    <w:rsid w:val="00DF5F57"/>
    <w:rsid w:val="00DF5FFB"/>
    <w:rsid w:val="00DF60B9"/>
    <w:rsid w:val="00DF610B"/>
    <w:rsid w:val="00DF619F"/>
    <w:rsid w:val="00DF61E6"/>
    <w:rsid w:val="00DF62E6"/>
    <w:rsid w:val="00DF63E3"/>
    <w:rsid w:val="00DF640A"/>
    <w:rsid w:val="00DF643D"/>
    <w:rsid w:val="00DF644F"/>
    <w:rsid w:val="00DF64A2"/>
    <w:rsid w:val="00DF6540"/>
    <w:rsid w:val="00DF659C"/>
    <w:rsid w:val="00DF662C"/>
    <w:rsid w:val="00DF6668"/>
    <w:rsid w:val="00DF6915"/>
    <w:rsid w:val="00DF6AFD"/>
    <w:rsid w:val="00DF6DA3"/>
    <w:rsid w:val="00DF6F94"/>
    <w:rsid w:val="00DF71A3"/>
    <w:rsid w:val="00DF72BF"/>
    <w:rsid w:val="00DF72FA"/>
    <w:rsid w:val="00DF7341"/>
    <w:rsid w:val="00DF745B"/>
    <w:rsid w:val="00DF758C"/>
    <w:rsid w:val="00DF775E"/>
    <w:rsid w:val="00DF77AC"/>
    <w:rsid w:val="00DF77D6"/>
    <w:rsid w:val="00DF787C"/>
    <w:rsid w:val="00DF78CF"/>
    <w:rsid w:val="00DF78EA"/>
    <w:rsid w:val="00DF7987"/>
    <w:rsid w:val="00DF7A13"/>
    <w:rsid w:val="00DF7A4F"/>
    <w:rsid w:val="00DF7BCC"/>
    <w:rsid w:val="00DF7C05"/>
    <w:rsid w:val="00DF7C28"/>
    <w:rsid w:val="00DF7CA1"/>
    <w:rsid w:val="00DF7CC8"/>
    <w:rsid w:val="00DF7D44"/>
    <w:rsid w:val="00DF7FC7"/>
    <w:rsid w:val="00E00005"/>
    <w:rsid w:val="00E001E9"/>
    <w:rsid w:val="00E00381"/>
    <w:rsid w:val="00E004E5"/>
    <w:rsid w:val="00E00595"/>
    <w:rsid w:val="00E00608"/>
    <w:rsid w:val="00E00886"/>
    <w:rsid w:val="00E009D2"/>
    <w:rsid w:val="00E009F9"/>
    <w:rsid w:val="00E00A1C"/>
    <w:rsid w:val="00E00AFC"/>
    <w:rsid w:val="00E00B4C"/>
    <w:rsid w:val="00E00C20"/>
    <w:rsid w:val="00E00C56"/>
    <w:rsid w:val="00E00C5B"/>
    <w:rsid w:val="00E00C87"/>
    <w:rsid w:val="00E00DAD"/>
    <w:rsid w:val="00E00EB3"/>
    <w:rsid w:val="00E00F1F"/>
    <w:rsid w:val="00E00F6D"/>
    <w:rsid w:val="00E01082"/>
    <w:rsid w:val="00E01128"/>
    <w:rsid w:val="00E0137C"/>
    <w:rsid w:val="00E013FC"/>
    <w:rsid w:val="00E01460"/>
    <w:rsid w:val="00E015A8"/>
    <w:rsid w:val="00E0168C"/>
    <w:rsid w:val="00E0169D"/>
    <w:rsid w:val="00E016EA"/>
    <w:rsid w:val="00E01878"/>
    <w:rsid w:val="00E018AA"/>
    <w:rsid w:val="00E01905"/>
    <w:rsid w:val="00E01ACF"/>
    <w:rsid w:val="00E01B5D"/>
    <w:rsid w:val="00E01B6C"/>
    <w:rsid w:val="00E01C14"/>
    <w:rsid w:val="00E01CD4"/>
    <w:rsid w:val="00E01CF4"/>
    <w:rsid w:val="00E01D67"/>
    <w:rsid w:val="00E01D68"/>
    <w:rsid w:val="00E01D85"/>
    <w:rsid w:val="00E02039"/>
    <w:rsid w:val="00E02068"/>
    <w:rsid w:val="00E021F4"/>
    <w:rsid w:val="00E02250"/>
    <w:rsid w:val="00E02276"/>
    <w:rsid w:val="00E022D8"/>
    <w:rsid w:val="00E024EC"/>
    <w:rsid w:val="00E0255F"/>
    <w:rsid w:val="00E02634"/>
    <w:rsid w:val="00E027E2"/>
    <w:rsid w:val="00E0284F"/>
    <w:rsid w:val="00E02908"/>
    <w:rsid w:val="00E02C3D"/>
    <w:rsid w:val="00E02CF4"/>
    <w:rsid w:val="00E02ED6"/>
    <w:rsid w:val="00E02FE7"/>
    <w:rsid w:val="00E03161"/>
    <w:rsid w:val="00E0318B"/>
    <w:rsid w:val="00E03206"/>
    <w:rsid w:val="00E03256"/>
    <w:rsid w:val="00E033FD"/>
    <w:rsid w:val="00E03435"/>
    <w:rsid w:val="00E0344D"/>
    <w:rsid w:val="00E03504"/>
    <w:rsid w:val="00E03588"/>
    <w:rsid w:val="00E0360E"/>
    <w:rsid w:val="00E037AB"/>
    <w:rsid w:val="00E03B3D"/>
    <w:rsid w:val="00E03B76"/>
    <w:rsid w:val="00E03CE7"/>
    <w:rsid w:val="00E03D18"/>
    <w:rsid w:val="00E03D8D"/>
    <w:rsid w:val="00E03D9B"/>
    <w:rsid w:val="00E03DCA"/>
    <w:rsid w:val="00E03E35"/>
    <w:rsid w:val="00E03EAC"/>
    <w:rsid w:val="00E03F37"/>
    <w:rsid w:val="00E03F3C"/>
    <w:rsid w:val="00E0401A"/>
    <w:rsid w:val="00E040A0"/>
    <w:rsid w:val="00E041DA"/>
    <w:rsid w:val="00E04256"/>
    <w:rsid w:val="00E04301"/>
    <w:rsid w:val="00E04468"/>
    <w:rsid w:val="00E045B8"/>
    <w:rsid w:val="00E046D1"/>
    <w:rsid w:val="00E04735"/>
    <w:rsid w:val="00E0473E"/>
    <w:rsid w:val="00E047AD"/>
    <w:rsid w:val="00E047AF"/>
    <w:rsid w:val="00E048AD"/>
    <w:rsid w:val="00E048E2"/>
    <w:rsid w:val="00E0494C"/>
    <w:rsid w:val="00E049D3"/>
    <w:rsid w:val="00E049F1"/>
    <w:rsid w:val="00E04A33"/>
    <w:rsid w:val="00E04B2A"/>
    <w:rsid w:val="00E04C94"/>
    <w:rsid w:val="00E04D41"/>
    <w:rsid w:val="00E04E8E"/>
    <w:rsid w:val="00E0524E"/>
    <w:rsid w:val="00E0527F"/>
    <w:rsid w:val="00E05558"/>
    <w:rsid w:val="00E0573C"/>
    <w:rsid w:val="00E05849"/>
    <w:rsid w:val="00E05877"/>
    <w:rsid w:val="00E0591D"/>
    <w:rsid w:val="00E05A88"/>
    <w:rsid w:val="00E05C57"/>
    <w:rsid w:val="00E05DC6"/>
    <w:rsid w:val="00E05F67"/>
    <w:rsid w:val="00E06003"/>
    <w:rsid w:val="00E06088"/>
    <w:rsid w:val="00E062E0"/>
    <w:rsid w:val="00E0636B"/>
    <w:rsid w:val="00E0643B"/>
    <w:rsid w:val="00E0645E"/>
    <w:rsid w:val="00E06525"/>
    <w:rsid w:val="00E065FB"/>
    <w:rsid w:val="00E066CE"/>
    <w:rsid w:val="00E068DA"/>
    <w:rsid w:val="00E068F2"/>
    <w:rsid w:val="00E06995"/>
    <w:rsid w:val="00E06A00"/>
    <w:rsid w:val="00E06A8F"/>
    <w:rsid w:val="00E06AF8"/>
    <w:rsid w:val="00E06C32"/>
    <w:rsid w:val="00E06EF8"/>
    <w:rsid w:val="00E06F0A"/>
    <w:rsid w:val="00E07030"/>
    <w:rsid w:val="00E070BE"/>
    <w:rsid w:val="00E071E1"/>
    <w:rsid w:val="00E072ED"/>
    <w:rsid w:val="00E07422"/>
    <w:rsid w:val="00E074C1"/>
    <w:rsid w:val="00E075D2"/>
    <w:rsid w:val="00E0763F"/>
    <w:rsid w:val="00E076D7"/>
    <w:rsid w:val="00E0774F"/>
    <w:rsid w:val="00E07864"/>
    <w:rsid w:val="00E07938"/>
    <w:rsid w:val="00E079E0"/>
    <w:rsid w:val="00E07B23"/>
    <w:rsid w:val="00E07B24"/>
    <w:rsid w:val="00E07B97"/>
    <w:rsid w:val="00E07C3C"/>
    <w:rsid w:val="00E07EEB"/>
    <w:rsid w:val="00E07FA5"/>
    <w:rsid w:val="00E07FF2"/>
    <w:rsid w:val="00E101CB"/>
    <w:rsid w:val="00E1034D"/>
    <w:rsid w:val="00E103A4"/>
    <w:rsid w:val="00E10442"/>
    <w:rsid w:val="00E1046E"/>
    <w:rsid w:val="00E10686"/>
    <w:rsid w:val="00E1078F"/>
    <w:rsid w:val="00E107AF"/>
    <w:rsid w:val="00E108D1"/>
    <w:rsid w:val="00E1095B"/>
    <w:rsid w:val="00E10BC6"/>
    <w:rsid w:val="00E10C04"/>
    <w:rsid w:val="00E10C3C"/>
    <w:rsid w:val="00E10C44"/>
    <w:rsid w:val="00E10E54"/>
    <w:rsid w:val="00E10E5F"/>
    <w:rsid w:val="00E10E65"/>
    <w:rsid w:val="00E1100D"/>
    <w:rsid w:val="00E11048"/>
    <w:rsid w:val="00E110BA"/>
    <w:rsid w:val="00E1116D"/>
    <w:rsid w:val="00E111D3"/>
    <w:rsid w:val="00E11336"/>
    <w:rsid w:val="00E114C9"/>
    <w:rsid w:val="00E114D2"/>
    <w:rsid w:val="00E115A3"/>
    <w:rsid w:val="00E115C2"/>
    <w:rsid w:val="00E1160C"/>
    <w:rsid w:val="00E116FA"/>
    <w:rsid w:val="00E1171B"/>
    <w:rsid w:val="00E118F6"/>
    <w:rsid w:val="00E11946"/>
    <w:rsid w:val="00E119D7"/>
    <w:rsid w:val="00E119E6"/>
    <w:rsid w:val="00E11A6B"/>
    <w:rsid w:val="00E11B36"/>
    <w:rsid w:val="00E11D7F"/>
    <w:rsid w:val="00E11D91"/>
    <w:rsid w:val="00E11DC4"/>
    <w:rsid w:val="00E11EA5"/>
    <w:rsid w:val="00E11EF1"/>
    <w:rsid w:val="00E11F22"/>
    <w:rsid w:val="00E11F70"/>
    <w:rsid w:val="00E1200D"/>
    <w:rsid w:val="00E1232F"/>
    <w:rsid w:val="00E12369"/>
    <w:rsid w:val="00E123E0"/>
    <w:rsid w:val="00E1247F"/>
    <w:rsid w:val="00E1265B"/>
    <w:rsid w:val="00E12A58"/>
    <w:rsid w:val="00E12AF5"/>
    <w:rsid w:val="00E12B1B"/>
    <w:rsid w:val="00E12B33"/>
    <w:rsid w:val="00E12B4C"/>
    <w:rsid w:val="00E12C9A"/>
    <w:rsid w:val="00E12FC9"/>
    <w:rsid w:val="00E13018"/>
    <w:rsid w:val="00E130C3"/>
    <w:rsid w:val="00E130FF"/>
    <w:rsid w:val="00E13184"/>
    <w:rsid w:val="00E1328B"/>
    <w:rsid w:val="00E133F7"/>
    <w:rsid w:val="00E13417"/>
    <w:rsid w:val="00E13439"/>
    <w:rsid w:val="00E13479"/>
    <w:rsid w:val="00E134D5"/>
    <w:rsid w:val="00E1355B"/>
    <w:rsid w:val="00E13606"/>
    <w:rsid w:val="00E1362D"/>
    <w:rsid w:val="00E1372B"/>
    <w:rsid w:val="00E13751"/>
    <w:rsid w:val="00E137E4"/>
    <w:rsid w:val="00E13908"/>
    <w:rsid w:val="00E1397A"/>
    <w:rsid w:val="00E13A24"/>
    <w:rsid w:val="00E13B79"/>
    <w:rsid w:val="00E13B93"/>
    <w:rsid w:val="00E13BE7"/>
    <w:rsid w:val="00E13C3E"/>
    <w:rsid w:val="00E13D81"/>
    <w:rsid w:val="00E1409B"/>
    <w:rsid w:val="00E140EC"/>
    <w:rsid w:val="00E14175"/>
    <w:rsid w:val="00E141B7"/>
    <w:rsid w:val="00E1442A"/>
    <w:rsid w:val="00E144C9"/>
    <w:rsid w:val="00E14617"/>
    <w:rsid w:val="00E14632"/>
    <w:rsid w:val="00E14675"/>
    <w:rsid w:val="00E14773"/>
    <w:rsid w:val="00E14777"/>
    <w:rsid w:val="00E14841"/>
    <w:rsid w:val="00E14973"/>
    <w:rsid w:val="00E14988"/>
    <w:rsid w:val="00E149A4"/>
    <w:rsid w:val="00E149AD"/>
    <w:rsid w:val="00E14A14"/>
    <w:rsid w:val="00E14A99"/>
    <w:rsid w:val="00E14ABE"/>
    <w:rsid w:val="00E14B4D"/>
    <w:rsid w:val="00E14BA2"/>
    <w:rsid w:val="00E14D27"/>
    <w:rsid w:val="00E14E13"/>
    <w:rsid w:val="00E14F28"/>
    <w:rsid w:val="00E14F46"/>
    <w:rsid w:val="00E14FE5"/>
    <w:rsid w:val="00E1517C"/>
    <w:rsid w:val="00E15215"/>
    <w:rsid w:val="00E15296"/>
    <w:rsid w:val="00E153CD"/>
    <w:rsid w:val="00E15400"/>
    <w:rsid w:val="00E15443"/>
    <w:rsid w:val="00E1559C"/>
    <w:rsid w:val="00E15629"/>
    <w:rsid w:val="00E15897"/>
    <w:rsid w:val="00E158A4"/>
    <w:rsid w:val="00E158E2"/>
    <w:rsid w:val="00E159CE"/>
    <w:rsid w:val="00E15B26"/>
    <w:rsid w:val="00E15BAF"/>
    <w:rsid w:val="00E15BC2"/>
    <w:rsid w:val="00E15BFF"/>
    <w:rsid w:val="00E15C00"/>
    <w:rsid w:val="00E15CAC"/>
    <w:rsid w:val="00E15D93"/>
    <w:rsid w:val="00E15DE7"/>
    <w:rsid w:val="00E15DFC"/>
    <w:rsid w:val="00E15E08"/>
    <w:rsid w:val="00E15E45"/>
    <w:rsid w:val="00E15EBC"/>
    <w:rsid w:val="00E15F72"/>
    <w:rsid w:val="00E16024"/>
    <w:rsid w:val="00E160E4"/>
    <w:rsid w:val="00E161FB"/>
    <w:rsid w:val="00E16210"/>
    <w:rsid w:val="00E162A1"/>
    <w:rsid w:val="00E162FF"/>
    <w:rsid w:val="00E16318"/>
    <w:rsid w:val="00E163C0"/>
    <w:rsid w:val="00E1649C"/>
    <w:rsid w:val="00E16889"/>
    <w:rsid w:val="00E168B6"/>
    <w:rsid w:val="00E168ED"/>
    <w:rsid w:val="00E16A1E"/>
    <w:rsid w:val="00E16A71"/>
    <w:rsid w:val="00E16B30"/>
    <w:rsid w:val="00E16C09"/>
    <w:rsid w:val="00E16C54"/>
    <w:rsid w:val="00E16CBC"/>
    <w:rsid w:val="00E16D5B"/>
    <w:rsid w:val="00E16D6B"/>
    <w:rsid w:val="00E16FD3"/>
    <w:rsid w:val="00E170ED"/>
    <w:rsid w:val="00E17197"/>
    <w:rsid w:val="00E1723E"/>
    <w:rsid w:val="00E17337"/>
    <w:rsid w:val="00E173AB"/>
    <w:rsid w:val="00E17437"/>
    <w:rsid w:val="00E174A8"/>
    <w:rsid w:val="00E174D4"/>
    <w:rsid w:val="00E174FF"/>
    <w:rsid w:val="00E1753E"/>
    <w:rsid w:val="00E176B9"/>
    <w:rsid w:val="00E177B1"/>
    <w:rsid w:val="00E17B32"/>
    <w:rsid w:val="00E17F1A"/>
    <w:rsid w:val="00E20041"/>
    <w:rsid w:val="00E200C1"/>
    <w:rsid w:val="00E201C8"/>
    <w:rsid w:val="00E2027C"/>
    <w:rsid w:val="00E202E9"/>
    <w:rsid w:val="00E2038C"/>
    <w:rsid w:val="00E2043A"/>
    <w:rsid w:val="00E2049B"/>
    <w:rsid w:val="00E204A1"/>
    <w:rsid w:val="00E2063F"/>
    <w:rsid w:val="00E207F6"/>
    <w:rsid w:val="00E2097B"/>
    <w:rsid w:val="00E20A19"/>
    <w:rsid w:val="00E20A68"/>
    <w:rsid w:val="00E20A8F"/>
    <w:rsid w:val="00E20B3B"/>
    <w:rsid w:val="00E20B5C"/>
    <w:rsid w:val="00E20BBD"/>
    <w:rsid w:val="00E20D3F"/>
    <w:rsid w:val="00E20DFD"/>
    <w:rsid w:val="00E20E90"/>
    <w:rsid w:val="00E20EB9"/>
    <w:rsid w:val="00E20EBF"/>
    <w:rsid w:val="00E20F2F"/>
    <w:rsid w:val="00E20F55"/>
    <w:rsid w:val="00E20FEE"/>
    <w:rsid w:val="00E2117B"/>
    <w:rsid w:val="00E211E1"/>
    <w:rsid w:val="00E21268"/>
    <w:rsid w:val="00E214A0"/>
    <w:rsid w:val="00E2156B"/>
    <w:rsid w:val="00E21650"/>
    <w:rsid w:val="00E218E0"/>
    <w:rsid w:val="00E219D7"/>
    <w:rsid w:val="00E21AED"/>
    <w:rsid w:val="00E21C04"/>
    <w:rsid w:val="00E21C2A"/>
    <w:rsid w:val="00E21FA9"/>
    <w:rsid w:val="00E22008"/>
    <w:rsid w:val="00E22071"/>
    <w:rsid w:val="00E22190"/>
    <w:rsid w:val="00E22237"/>
    <w:rsid w:val="00E222A5"/>
    <w:rsid w:val="00E222DF"/>
    <w:rsid w:val="00E2236F"/>
    <w:rsid w:val="00E223DC"/>
    <w:rsid w:val="00E224FB"/>
    <w:rsid w:val="00E2272F"/>
    <w:rsid w:val="00E228E1"/>
    <w:rsid w:val="00E228E5"/>
    <w:rsid w:val="00E22997"/>
    <w:rsid w:val="00E22AEB"/>
    <w:rsid w:val="00E22C3C"/>
    <w:rsid w:val="00E22C7B"/>
    <w:rsid w:val="00E22CDD"/>
    <w:rsid w:val="00E22DDE"/>
    <w:rsid w:val="00E22DF6"/>
    <w:rsid w:val="00E22E23"/>
    <w:rsid w:val="00E22E69"/>
    <w:rsid w:val="00E2320F"/>
    <w:rsid w:val="00E2321F"/>
    <w:rsid w:val="00E23250"/>
    <w:rsid w:val="00E232DE"/>
    <w:rsid w:val="00E23300"/>
    <w:rsid w:val="00E2346A"/>
    <w:rsid w:val="00E234FC"/>
    <w:rsid w:val="00E236BA"/>
    <w:rsid w:val="00E2378F"/>
    <w:rsid w:val="00E23849"/>
    <w:rsid w:val="00E23861"/>
    <w:rsid w:val="00E2386F"/>
    <w:rsid w:val="00E23915"/>
    <w:rsid w:val="00E2399B"/>
    <w:rsid w:val="00E239EA"/>
    <w:rsid w:val="00E23A0E"/>
    <w:rsid w:val="00E23A3B"/>
    <w:rsid w:val="00E23A9A"/>
    <w:rsid w:val="00E23B89"/>
    <w:rsid w:val="00E23B8C"/>
    <w:rsid w:val="00E23D33"/>
    <w:rsid w:val="00E23DC0"/>
    <w:rsid w:val="00E23E1C"/>
    <w:rsid w:val="00E23E43"/>
    <w:rsid w:val="00E23E95"/>
    <w:rsid w:val="00E240B1"/>
    <w:rsid w:val="00E240C8"/>
    <w:rsid w:val="00E2415D"/>
    <w:rsid w:val="00E24192"/>
    <w:rsid w:val="00E24227"/>
    <w:rsid w:val="00E24238"/>
    <w:rsid w:val="00E2431C"/>
    <w:rsid w:val="00E2437B"/>
    <w:rsid w:val="00E24474"/>
    <w:rsid w:val="00E244A0"/>
    <w:rsid w:val="00E24600"/>
    <w:rsid w:val="00E246C1"/>
    <w:rsid w:val="00E24700"/>
    <w:rsid w:val="00E24842"/>
    <w:rsid w:val="00E24884"/>
    <w:rsid w:val="00E24923"/>
    <w:rsid w:val="00E24940"/>
    <w:rsid w:val="00E24ABB"/>
    <w:rsid w:val="00E24ADB"/>
    <w:rsid w:val="00E24C85"/>
    <w:rsid w:val="00E24C87"/>
    <w:rsid w:val="00E24CFE"/>
    <w:rsid w:val="00E24DF9"/>
    <w:rsid w:val="00E24DFB"/>
    <w:rsid w:val="00E24EBC"/>
    <w:rsid w:val="00E24F74"/>
    <w:rsid w:val="00E24FE2"/>
    <w:rsid w:val="00E25099"/>
    <w:rsid w:val="00E25146"/>
    <w:rsid w:val="00E25337"/>
    <w:rsid w:val="00E25546"/>
    <w:rsid w:val="00E25683"/>
    <w:rsid w:val="00E25781"/>
    <w:rsid w:val="00E257C3"/>
    <w:rsid w:val="00E257C7"/>
    <w:rsid w:val="00E2594D"/>
    <w:rsid w:val="00E25A41"/>
    <w:rsid w:val="00E25A60"/>
    <w:rsid w:val="00E25B64"/>
    <w:rsid w:val="00E25BD8"/>
    <w:rsid w:val="00E25BFF"/>
    <w:rsid w:val="00E25CDF"/>
    <w:rsid w:val="00E25E53"/>
    <w:rsid w:val="00E25E62"/>
    <w:rsid w:val="00E263DD"/>
    <w:rsid w:val="00E26417"/>
    <w:rsid w:val="00E2641C"/>
    <w:rsid w:val="00E2663E"/>
    <w:rsid w:val="00E2664C"/>
    <w:rsid w:val="00E26657"/>
    <w:rsid w:val="00E26973"/>
    <w:rsid w:val="00E269CC"/>
    <w:rsid w:val="00E26A75"/>
    <w:rsid w:val="00E26A93"/>
    <w:rsid w:val="00E26BD8"/>
    <w:rsid w:val="00E26C0C"/>
    <w:rsid w:val="00E26C74"/>
    <w:rsid w:val="00E26C92"/>
    <w:rsid w:val="00E26CFC"/>
    <w:rsid w:val="00E26D4F"/>
    <w:rsid w:val="00E26E4F"/>
    <w:rsid w:val="00E26ED3"/>
    <w:rsid w:val="00E26ED9"/>
    <w:rsid w:val="00E26F46"/>
    <w:rsid w:val="00E26FA3"/>
    <w:rsid w:val="00E2706D"/>
    <w:rsid w:val="00E270B6"/>
    <w:rsid w:val="00E27130"/>
    <w:rsid w:val="00E27557"/>
    <w:rsid w:val="00E27562"/>
    <w:rsid w:val="00E27569"/>
    <w:rsid w:val="00E277C8"/>
    <w:rsid w:val="00E2783D"/>
    <w:rsid w:val="00E27870"/>
    <w:rsid w:val="00E279BA"/>
    <w:rsid w:val="00E279C8"/>
    <w:rsid w:val="00E27AE0"/>
    <w:rsid w:val="00E27B08"/>
    <w:rsid w:val="00E27C28"/>
    <w:rsid w:val="00E27C39"/>
    <w:rsid w:val="00E27E07"/>
    <w:rsid w:val="00E301F1"/>
    <w:rsid w:val="00E303C5"/>
    <w:rsid w:val="00E303D4"/>
    <w:rsid w:val="00E30447"/>
    <w:rsid w:val="00E304A3"/>
    <w:rsid w:val="00E304DC"/>
    <w:rsid w:val="00E30536"/>
    <w:rsid w:val="00E3069D"/>
    <w:rsid w:val="00E306E7"/>
    <w:rsid w:val="00E30705"/>
    <w:rsid w:val="00E30728"/>
    <w:rsid w:val="00E3081C"/>
    <w:rsid w:val="00E30918"/>
    <w:rsid w:val="00E30935"/>
    <w:rsid w:val="00E30973"/>
    <w:rsid w:val="00E30A0E"/>
    <w:rsid w:val="00E30B1D"/>
    <w:rsid w:val="00E30C44"/>
    <w:rsid w:val="00E30CBA"/>
    <w:rsid w:val="00E30CEA"/>
    <w:rsid w:val="00E30E12"/>
    <w:rsid w:val="00E30EA4"/>
    <w:rsid w:val="00E30EA8"/>
    <w:rsid w:val="00E30F7E"/>
    <w:rsid w:val="00E30FCF"/>
    <w:rsid w:val="00E310C9"/>
    <w:rsid w:val="00E3110B"/>
    <w:rsid w:val="00E311A3"/>
    <w:rsid w:val="00E31269"/>
    <w:rsid w:val="00E3129B"/>
    <w:rsid w:val="00E312DF"/>
    <w:rsid w:val="00E313E9"/>
    <w:rsid w:val="00E315EB"/>
    <w:rsid w:val="00E315F8"/>
    <w:rsid w:val="00E316D1"/>
    <w:rsid w:val="00E317DA"/>
    <w:rsid w:val="00E3182F"/>
    <w:rsid w:val="00E31930"/>
    <w:rsid w:val="00E31A41"/>
    <w:rsid w:val="00E31AD5"/>
    <w:rsid w:val="00E31B64"/>
    <w:rsid w:val="00E31B7F"/>
    <w:rsid w:val="00E31B93"/>
    <w:rsid w:val="00E31BAC"/>
    <w:rsid w:val="00E31C16"/>
    <w:rsid w:val="00E31C56"/>
    <w:rsid w:val="00E31CA1"/>
    <w:rsid w:val="00E31CCD"/>
    <w:rsid w:val="00E31CD6"/>
    <w:rsid w:val="00E31CF5"/>
    <w:rsid w:val="00E32124"/>
    <w:rsid w:val="00E32156"/>
    <w:rsid w:val="00E321AA"/>
    <w:rsid w:val="00E32327"/>
    <w:rsid w:val="00E3246F"/>
    <w:rsid w:val="00E324BE"/>
    <w:rsid w:val="00E3277F"/>
    <w:rsid w:val="00E3279E"/>
    <w:rsid w:val="00E327AA"/>
    <w:rsid w:val="00E32AAC"/>
    <w:rsid w:val="00E32B10"/>
    <w:rsid w:val="00E32B79"/>
    <w:rsid w:val="00E32BE2"/>
    <w:rsid w:val="00E32CA8"/>
    <w:rsid w:val="00E32E13"/>
    <w:rsid w:val="00E32E83"/>
    <w:rsid w:val="00E3309D"/>
    <w:rsid w:val="00E33144"/>
    <w:rsid w:val="00E3314C"/>
    <w:rsid w:val="00E331A3"/>
    <w:rsid w:val="00E33232"/>
    <w:rsid w:val="00E332CE"/>
    <w:rsid w:val="00E3332B"/>
    <w:rsid w:val="00E3332C"/>
    <w:rsid w:val="00E3333C"/>
    <w:rsid w:val="00E33375"/>
    <w:rsid w:val="00E3351D"/>
    <w:rsid w:val="00E3368A"/>
    <w:rsid w:val="00E33779"/>
    <w:rsid w:val="00E337FE"/>
    <w:rsid w:val="00E33855"/>
    <w:rsid w:val="00E338AB"/>
    <w:rsid w:val="00E33A8E"/>
    <w:rsid w:val="00E33B41"/>
    <w:rsid w:val="00E33BE3"/>
    <w:rsid w:val="00E33D08"/>
    <w:rsid w:val="00E33D4B"/>
    <w:rsid w:val="00E33D4D"/>
    <w:rsid w:val="00E33E5C"/>
    <w:rsid w:val="00E33EBF"/>
    <w:rsid w:val="00E33EF3"/>
    <w:rsid w:val="00E33F32"/>
    <w:rsid w:val="00E34077"/>
    <w:rsid w:val="00E34147"/>
    <w:rsid w:val="00E34203"/>
    <w:rsid w:val="00E3421A"/>
    <w:rsid w:val="00E34270"/>
    <w:rsid w:val="00E34277"/>
    <w:rsid w:val="00E34296"/>
    <w:rsid w:val="00E343B8"/>
    <w:rsid w:val="00E34408"/>
    <w:rsid w:val="00E34521"/>
    <w:rsid w:val="00E348F9"/>
    <w:rsid w:val="00E34925"/>
    <w:rsid w:val="00E34ACB"/>
    <w:rsid w:val="00E34AEA"/>
    <w:rsid w:val="00E34BA4"/>
    <w:rsid w:val="00E34BD5"/>
    <w:rsid w:val="00E34D33"/>
    <w:rsid w:val="00E34D89"/>
    <w:rsid w:val="00E34E0A"/>
    <w:rsid w:val="00E34E61"/>
    <w:rsid w:val="00E34E9C"/>
    <w:rsid w:val="00E34F05"/>
    <w:rsid w:val="00E34F63"/>
    <w:rsid w:val="00E35010"/>
    <w:rsid w:val="00E350B0"/>
    <w:rsid w:val="00E351A1"/>
    <w:rsid w:val="00E3526B"/>
    <w:rsid w:val="00E353AA"/>
    <w:rsid w:val="00E353BA"/>
    <w:rsid w:val="00E35494"/>
    <w:rsid w:val="00E354BE"/>
    <w:rsid w:val="00E35555"/>
    <w:rsid w:val="00E3561F"/>
    <w:rsid w:val="00E35650"/>
    <w:rsid w:val="00E35683"/>
    <w:rsid w:val="00E356D0"/>
    <w:rsid w:val="00E35736"/>
    <w:rsid w:val="00E357D3"/>
    <w:rsid w:val="00E357D7"/>
    <w:rsid w:val="00E35860"/>
    <w:rsid w:val="00E35894"/>
    <w:rsid w:val="00E3589E"/>
    <w:rsid w:val="00E35909"/>
    <w:rsid w:val="00E359C1"/>
    <w:rsid w:val="00E35A6A"/>
    <w:rsid w:val="00E35C20"/>
    <w:rsid w:val="00E35C4D"/>
    <w:rsid w:val="00E35E30"/>
    <w:rsid w:val="00E35E57"/>
    <w:rsid w:val="00E35ECC"/>
    <w:rsid w:val="00E35FF6"/>
    <w:rsid w:val="00E3611E"/>
    <w:rsid w:val="00E36167"/>
    <w:rsid w:val="00E36233"/>
    <w:rsid w:val="00E36276"/>
    <w:rsid w:val="00E36292"/>
    <w:rsid w:val="00E3629E"/>
    <w:rsid w:val="00E36417"/>
    <w:rsid w:val="00E36678"/>
    <w:rsid w:val="00E366E2"/>
    <w:rsid w:val="00E3678F"/>
    <w:rsid w:val="00E367BC"/>
    <w:rsid w:val="00E36860"/>
    <w:rsid w:val="00E368A5"/>
    <w:rsid w:val="00E368B7"/>
    <w:rsid w:val="00E368DB"/>
    <w:rsid w:val="00E369AB"/>
    <w:rsid w:val="00E36BC2"/>
    <w:rsid w:val="00E36DD4"/>
    <w:rsid w:val="00E36EAA"/>
    <w:rsid w:val="00E36F06"/>
    <w:rsid w:val="00E37091"/>
    <w:rsid w:val="00E37103"/>
    <w:rsid w:val="00E372BD"/>
    <w:rsid w:val="00E3744B"/>
    <w:rsid w:val="00E37458"/>
    <w:rsid w:val="00E3749D"/>
    <w:rsid w:val="00E374AE"/>
    <w:rsid w:val="00E376F8"/>
    <w:rsid w:val="00E3792F"/>
    <w:rsid w:val="00E37A31"/>
    <w:rsid w:val="00E37AEC"/>
    <w:rsid w:val="00E37CEF"/>
    <w:rsid w:val="00E37D8F"/>
    <w:rsid w:val="00E37DB7"/>
    <w:rsid w:val="00E37DD7"/>
    <w:rsid w:val="00E37E29"/>
    <w:rsid w:val="00E37EA7"/>
    <w:rsid w:val="00E37F29"/>
    <w:rsid w:val="00E40001"/>
    <w:rsid w:val="00E4001A"/>
    <w:rsid w:val="00E40238"/>
    <w:rsid w:val="00E40251"/>
    <w:rsid w:val="00E40287"/>
    <w:rsid w:val="00E4028B"/>
    <w:rsid w:val="00E4032A"/>
    <w:rsid w:val="00E40614"/>
    <w:rsid w:val="00E4064D"/>
    <w:rsid w:val="00E4066E"/>
    <w:rsid w:val="00E406DC"/>
    <w:rsid w:val="00E40733"/>
    <w:rsid w:val="00E40AA1"/>
    <w:rsid w:val="00E40AB0"/>
    <w:rsid w:val="00E40BC8"/>
    <w:rsid w:val="00E40BDB"/>
    <w:rsid w:val="00E40C0F"/>
    <w:rsid w:val="00E40C67"/>
    <w:rsid w:val="00E40CCF"/>
    <w:rsid w:val="00E40D02"/>
    <w:rsid w:val="00E40F0D"/>
    <w:rsid w:val="00E40F29"/>
    <w:rsid w:val="00E4103C"/>
    <w:rsid w:val="00E411BF"/>
    <w:rsid w:val="00E41385"/>
    <w:rsid w:val="00E41410"/>
    <w:rsid w:val="00E4148E"/>
    <w:rsid w:val="00E41493"/>
    <w:rsid w:val="00E41510"/>
    <w:rsid w:val="00E4156E"/>
    <w:rsid w:val="00E415A8"/>
    <w:rsid w:val="00E415FD"/>
    <w:rsid w:val="00E417A3"/>
    <w:rsid w:val="00E41806"/>
    <w:rsid w:val="00E4198E"/>
    <w:rsid w:val="00E41A3D"/>
    <w:rsid w:val="00E41D35"/>
    <w:rsid w:val="00E41D93"/>
    <w:rsid w:val="00E41E44"/>
    <w:rsid w:val="00E41E93"/>
    <w:rsid w:val="00E41FF1"/>
    <w:rsid w:val="00E42334"/>
    <w:rsid w:val="00E42367"/>
    <w:rsid w:val="00E424A6"/>
    <w:rsid w:val="00E426B1"/>
    <w:rsid w:val="00E42833"/>
    <w:rsid w:val="00E42935"/>
    <w:rsid w:val="00E42B01"/>
    <w:rsid w:val="00E42B94"/>
    <w:rsid w:val="00E42C8A"/>
    <w:rsid w:val="00E42E78"/>
    <w:rsid w:val="00E42E9D"/>
    <w:rsid w:val="00E4301E"/>
    <w:rsid w:val="00E4326E"/>
    <w:rsid w:val="00E43468"/>
    <w:rsid w:val="00E4359B"/>
    <w:rsid w:val="00E435F7"/>
    <w:rsid w:val="00E43678"/>
    <w:rsid w:val="00E436C6"/>
    <w:rsid w:val="00E436EB"/>
    <w:rsid w:val="00E437C1"/>
    <w:rsid w:val="00E43A5C"/>
    <w:rsid w:val="00E43B9C"/>
    <w:rsid w:val="00E43C1B"/>
    <w:rsid w:val="00E43E85"/>
    <w:rsid w:val="00E43EB5"/>
    <w:rsid w:val="00E43F12"/>
    <w:rsid w:val="00E44226"/>
    <w:rsid w:val="00E44307"/>
    <w:rsid w:val="00E44348"/>
    <w:rsid w:val="00E44384"/>
    <w:rsid w:val="00E443B1"/>
    <w:rsid w:val="00E44464"/>
    <w:rsid w:val="00E444B7"/>
    <w:rsid w:val="00E44564"/>
    <w:rsid w:val="00E44630"/>
    <w:rsid w:val="00E447C3"/>
    <w:rsid w:val="00E4488B"/>
    <w:rsid w:val="00E449D5"/>
    <w:rsid w:val="00E44A23"/>
    <w:rsid w:val="00E44A3A"/>
    <w:rsid w:val="00E44A40"/>
    <w:rsid w:val="00E44A4E"/>
    <w:rsid w:val="00E44A9B"/>
    <w:rsid w:val="00E44BE0"/>
    <w:rsid w:val="00E44C56"/>
    <w:rsid w:val="00E44C87"/>
    <w:rsid w:val="00E450EA"/>
    <w:rsid w:val="00E450EE"/>
    <w:rsid w:val="00E450F5"/>
    <w:rsid w:val="00E4510A"/>
    <w:rsid w:val="00E4513A"/>
    <w:rsid w:val="00E452EC"/>
    <w:rsid w:val="00E45331"/>
    <w:rsid w:val="00E45336"/>
    <w:rsid w:val="00E45358"/>
    <w:rsid w:val="00E4536D"/>
    <w:rsid w:val="00E45487"/>
    <w:rsid w:val="00E454FA"/>
    <w:rsid w:val="00E45583"/>
    <w:rsid w:val="00E4571E"/>
    <w:rsid w:val="00E4582B"/>
    <w:rsid w:val="00E459AF"/>
    <w:rsid w:val="00E45A2C"/>
    <w:rsid w:val="00E45A2F"/>
    <w:rsid w:val="00E45AA0"/>
    <w:rsid w:val="00E45C9C"/>
    <w:rsid w:val="00E45D81"/>
    <w:rsid w:val="00E45DE5"/>
    <w:rsid w:val="00E45F16"/>
    <w:rsid w:val="00E45F27"/>
    <w:rsid w:val="00E45F28"/>
    <w:rsid w:val="00E45FFD"/>
    <w:rsid w:val="00E46049"/>
    <w:rsid w:val="00E46157"/>
    <w:rsid w:val="00E4625C"/>
    <w:rsid w:val="00E4630D"/>
    <w:rsid w:val="00E4634B"/>
    <w:rsid w:val="00E4636B"/>
    <w:rsid w:val="00E464C6"/>
    <w:rsid w:val="00E46636"/>
    <w:rsid w:val="00E46643"/>
    <w:rsid w:val="00E4672C"/>
    <w:rsid w:val="00E4679E"/>
    <w:rsid w:val="00E4682D"/>
    <w:rsid w:val="00E46934"/>
    <w:rsid w:val="00E46A04"/>
    <w:rsid w:val="00E46B15"/>
    <w:rsid w:val="00E46D6E"/>
    <w:rsid w:val="00E46E70"/>
    <w:rsid w:val="00E46EB9"/>
    <w:rsid w:val="00E46EE9"/>
    <w:rsid w:val="00E46F56"/>
    <w:rsid w:val="00E4702A"/>
    <w:rsid w:val="00E47030"/>
    <w:rsid w:val="00E47101"/>
    <w:rsid w:val="00E4713D"/>
    <w:rsid w:val="00E4717E"/>
    <w:rsid w:val="00E4734E"/>
    <w:rsid w:val="00E473E7"/>
    <w:rsid w:val="00E47452"/>
    <w:rsid w:val="00E47488"/>
    <w:rsid w:val="00E47551"/>
    <w:rsid w:val="00E47584"/>
    <w:rsid w:val="00E47633"/>
    <w:rsid w:val="00E4774E"/>
    <w:rsid w:val="00E477A5"/>
    <w:rsid w:val="00E47862"/>
    <w:rsid w:val="00E478F0"/>
    <w:rsid w:val="00E47931"/>
    <w:rsid w:val="00E4799E"/>
    <w:rsid w:val="00E47D6C"/>
    <w:rsid w:val="00E47DBE"/>
    <w:rsid w:val="00E47E3F"/>
    <w:rsid w:val="00E47E7F"/>
    <w:rsid w:val="00E47F9D"/>
    <w:rsid w:val="00E50056"/>
    <w:rsid w:val="00E500CF"/>
    <w:rsid w:val="00E50423"/>
    <w:rsid w:val="00E5042D"/>
    <w:rsid w:val="00E50577"/>
    <w:rsid w:val="00E5058F"/>
    <w:rsid w:val="00E505F7"/>
    <w:rsid w:val="00E505FA"/>
    <w:rsid w:val="00E5069F"/>
    <w:rsid w:val="00E50889"/>
    <w:rsid w:val="00E50A9C"/>
    <w:rsid w:val="00E50AD4"/>
    <w:rsid w:val="00E50B4A"/>
    <w:rsid w:val="00E50BAD"/>
    <w:rsid w:val="00E50C05"/>
    <w:rsid w:val="00E50C8E"/>
    <w:rsid w:val="00E50CA4"/>
    <w:rsid w:val="00E50D60"/>
    <w:rsid w:val="00E50DE7"/>
    <w:rsid w:val="00E50E43"/>
    <w:rsid w:val="00E50EB6"/>
    <w:rsid w:val="00E50EF8"/>
    <w:rsid w:val="00E50FF4"/>
    <w:rsid w:val="00E51104"/>
    <w:rsid w:val="00E511BA"/>
    <w:rsid w:val="00E513D6"/>
    <w:rsid w:val="00E516BD"/>
    <w:rsid w:val="00E51764"/>
    <w:rsid w:val="00E517D5"/>
    <w:rsid w:val="00E51842"/>
    <w:rsid w:val="00E51981"/>
    <w:rsid w:val="00E51B08"/>
    <w:rsid w:val="00E51B7E"/>
    <w:rsid w:val="00E51BF7"/>
    <w:rsid w:val="00E51C80"/>
    <w:rsid w:val="00E51E45"/>
    <w:rsid w:val="00E51EBD"/>
    <w:rsid w:val="00E51F0D"/>
    <w:rsid w:val="00E52188"/>
    <w:rsid w:val="00E521E2"/>
    <w:rsid w:val="00E521EE"/>
    <w:rsid w:val="00E52249"/>
    <w:rsid w:val="00E52433"/>
    <w:rsid w:val="00E5252C"/>
    <w:rsid w:val="00E527CC"/>
    <w:rsid w:val="00E52819"/>
    <w:rsid w:val="00E528C6"/>
    <w:rsid w:val="00E528D6"/>
    <w:rsid w:val="00E52A56"/>
    <w:rsid w:val="00E52A73"/>
    <w:rsid w:val="00E52A8B"/>
    <w:rsid w:val="00E52BAB"/>
    <w:rsid w:val="00E52C14"/>
    <w:rsid w:val="00E52DF2"/>
    <w:rsid w:val="00E52E9B"/>
    <w:rsid w:val="00E52EB7"/>
    <w:rsid w:val="00E5310E"/>
    <w:rsid w:val="00E5318C"/>
    <w:rsid w:val="00E53323"/>
    <w:rsid w:val="00E533B4"/>
    <w:rsid w:val="00E535CC"/>
    <w:rsid w:val="00E53679"/>
    <w:rsid w:val="00E536D9"/>
    <w:rsid w:val="00E53747"/>
    <w:rsid w:val="00E538DF"/>
    <w:rsid w:val="00E53982"/>
    <w:rsid w:val="00E53C00"/>
    <w:rsid w:val="00E53CC0"/>
    <w:rsid w:val="00E53D59"/>
    <w:rsid w:val="00E53E6E"/>
    <w:rsid w:val="00E53E79"/>
    <w:rsid w:val="00E53EA1"/>
    <w:rsid w:val="00E53FEA"/>
    <w:rsid w:val="00E54165"/>
    <w:rsid w:val="00E541E0"/>
    <w:rsid w:val="00E5425F"/>
    <w:rsid w:val="00E54394"/>
    <w:rsid w:val="00E543BE"/>
    <w:rsid w:val="00E54445"/>
    <w:rsid w:val="00E5448D"/>
    <w:rsid w:val="00E547B8"/>
    <w:rsid w:val="00E54869"/>
    <w:rsid w:val="00E54A99"/>
    <w:rsid w:val="00E54BCA"/>
    <w:rsid w:val="00E54D9D"/>
    <w:rsid w:val="00E54DBA"/>
    <w:rsid w:val="00E54E6D"/>
    <w:rsid w:val="00E54F11"/>
    <w:rsid w:val="00E54F19"/>
    <w:rsid w:val="00E54FDF"/>
    <w:rsid w:val="00E550E5"/>
    <w:rsid w:val="00E55159"/>
    <w:rsid w:val="00E55166"/>
    <w:rsid w:val="00E55255"/>
    <w:rsid w:val="00E55374"/>
    <w:rsid w:val="00E55406"/>
    <w:rsid w:val="00E5544F"/>
    <w:rsid w:val="00E5551D"/>
    <w:rsid w:val="00E5582D"/>
    <w:rsid w:val="00E5584F"/>
    <w:rsid w:val="00E5588E"/>
    <w:rsid w:val="00E558E4"/>
    <w:rsid w:val="00E55B5B"/>
    <w:rsid w:val="00E55D1A"/>
    <w:rsid w:val="00E55D95"/>
    <w:rsid w:val="00E55E20"/>
    <w:rsid w:val="00E55E65"/>
    <w:rsid w:val="00E55EFA"/>
    <w:rsid w:val="00E55F08"/>
    <w:rsid w:val="00E55F81"/>
    <w:rsid w:val="00E564CA"/>
    <w:rsid w:val="00E564DB"/>
    <w:rsid w:val="00E566D8"/>
    <w:rsid w:val="00E5672E"/>
    <w:rsid w:val="00E5678C"/>
    <w:rsid w:val="00E5682E"/>
    <w:rsid w:val="00E568A2"/>
    <w:rsid w:val="00E568D5"/>
    <w:rsid w:val="00E569A0"/>
    <w:rsid w:val="00E569AC"/>
    <w:rsid w:val="00E56B1A"/>
    <w:rsid w:val="00E56B4F"/>
    <w:rsid w:val="00E56BF2"/>
    <w:rsid w:val="00E56CF0"/>
    <w:rsid w:val="00E56CF2"/>
    <w:rsid w:val="00E56DBA"/>
    <w:rsid w:val="00E56DBD"/>
    <w:rsid w:val="00E56ED2"/>
    <w:rsid w:val="00E56F39"/>
    <w:rsid w:val="00E56FCC"/>
    <w:rsid w:val="00E57017"/>
    <w:rsid w:val="00E570FC"/>
    <w:rsid w:val="00E571DD"/>
    <w:rsid w:val="00E57292"/>
    <w:rsid w:val="00E57401"/>
    <w:rsid w:val="00E574E4"/>
    <w:rsid w:val="00E575D7"/>
    <w:rsid w:val="00E575E5"/>
    <w:rsid w:val="00E57634"/>
    <w:rsid w:val="00E57645"/>
    <w:rsid w:val="00E5769C"/>
    <w:rsid w:val="00E576C8"/>
    <w:rsid w:val="00E576E3"/>
    <w:rsid w:val="00E57897"/>
    <w:rsid w:val="00E57942"/>
    <w:rsid w:val="00E57BBE"/>
    <w:rsid w:val="00E57C50"/>
    <w:rsid w:val="00E57D64"/>
    <w:rsid w:val="00E57D88"/>
    <w:rsid w:val="00E57DFB"/>
    <w:rsid w:val="00E57F23"/>
    <w:rsid w:val="00E57F79"/>
    <w:rsid w:val="00E6005F"/>
    <w:rsid w:val="00E60108"/>
    <w:rsid w:val="00E601C6"/>
    <w:rsid w:val="00E602C6"/>
    <w:rsid w:val="00E6036B"/>
    <w:rsid w:val="00E60397"/>
    <w:rsid w:val="00E603A5"/>
    <w:rsid w:val="00E60519"/>
    <w:rsid w:val="00E60545"/>
    <w:rsid w:val="00E6059E"/>
    <w:rsid w:val="00E60664"/>
    <w:rsid w:val="00E60730"/>
    <w:rsid w:val="00E60790"/>
    <w:rsid w:val="00E608CF"/>
    <w:rsid w:val="00E6096E"/>
    <w:rsid w:val="00E609CE"/>
    <w:rsid w:val="00E60B25"/>
    <w:rsid w:val="00E60BB4"/>
    <w:rsid w:val="00E60BE8"/>
    <w:rsid w:val="00E60BFD"/>
    <w:rsid w:val="00E60DD5"/>
    <w:rsid w:val="00E60EB2"/>
    <w:rsid w:val="00E60F0C"/>
    <w:rsid w:val="00E60F32"/>
    <w:rsid w:val="00E60FC6"/>
    <w:rsid w:val="00E61003"/>
    <w:rsid w:val="00E611D8"/>
    <w:rsid w:val="00E611E4"/>
    <w:rsid w:val="00E611FE"/>
    <w:rsid w:val="00E612C0"/>
    <w:rsid w:val="00E61367"/>
    <w:rsid w:val="00E61454"/>
    <w:rsid w:val="00E61825"/>
    <w:rsid w:val="00E6189C"/>
    <w:rsid w:val="00E6197A"/>
    <w:rsid w:val="00E61A06"/>
    <w:rsid w:val="00E61B0A"/>
    <w:rsid w:val="00E61C10"/>
    <w:rsid w:val="00E61C7D"/>
    <w:rsid w:val="00E61CBB"/>
    <w:rsid w:val="00E61CF4"/>
    <w:rsid w:val="00E62176"/>
    <w:rsid w:val="00E622C3"/>
    <w:rsid w:val="00E6231E"/>
    <w:rsid w:val="00E623DF"/>
    <w:rsid w:val="00E623E5"/>
    <w:rsid w:val="00E625FA"/>
    <w:rsid w:val="00E62699"/>
    <w:rsid w:val="00E626C9"/>
    <w:rsid w:val="00E62768"/>
    <w:rsid w:val="00E6292D"/>
    <w:rsid w:val="00E62A2B"/>
    <w:rsid w:val="00E62ABF"/>
    <w:rsid w:val="00E62B99"/>
    <w:rsid w:val="00E62C98"/>
    <w:rsid w:val="00E62CBB"/>
    <w:rsid w:val="00E62CC0"/>
    <w:rsid w:val="00E62CD6"/>
    <w:rsid w:val="00E62E67"/>
    <w:rsid w:val="00E630FC"/>
    <w:rsid w:val="00E63122"/>
    <w:rsid w:val="00E63281"/>
    <w:rsid w:val="00E63404"/>
    <w:rsid w:val="00E6369B"/>
    <w:rsid w:val="00E636C5"/>
    <w:rsid w:val="00E63702"/>
    <w:rsid w:val="00E63875"/>
    <w:rsid w:val="00E638EF"/>
    <w:rsid w:val="00E639EB"/>
    <w:rsid w:val="00E63A60"/>
    <w:rsid w:val="00E63A77"/>
    <w:rsid w:val="00E63AD0"/>
    <w:rsid w:val="00E63AF4"/>
    <w:rsid w:val="00E63B42"/>
    <w:rsid w:val="00E63BDC"/>
    <w:rsid w:val="00E63E78"/>
    <w:rsid w:val="00E63EDB"/>
    <w:rsid w:val="00E63FFD"/>
    <w:rsid w:val="00E6402E"/>
    <w:rsid w:val="00E6407C"/>
    <w:rsid w:val="00E640C1"/>
    <w:rsid w:val="00E64229"/>
    <w:rsid w:val="00E642DA"/>
    <w:rsid w:val="00E64491"/>
    <w:rsid w:val="00E644CE"/>
    <w:rsid w:val="00E6455B"/>
    <w:rsid w:val="00E64560"/>
    <w:rsid w:val="00E6462E"/>
    <w:rsid w:val="00E6475C"/>
    <w:rsid w:val="00E64786"/>
    <w:rsid w:val="00E647F1"/>
    <w:rsid w:val="00E648CE"/>
    <w:rsid w:val="00E64AD7"/>
    <w:rsid w:val="00E64BCA"/>
    <w:rsid w:val="00E64C65"/>
    <w:rsid w:val="00E64C6B"/>
    <w:rsid w:val="00E64CFC"/>
    <w:rsid w:val="00E64D6A"/>
    <w:rsid w:val="00E64E0E"/>
    <w:rsid w:val="00E64F9A"/>
    <w:rsid w:val="00E64FB1"/>
    <w:rsid w:val="00E64FB4"/>
    <w:rsid w:val="00E65043"/>
    <w:rsid w:val="00E6507D"/>
    <w:rsid w:val="00E6508B"/>
    <w:rsid w:val="00E65091"/>
    <w:rsid w:val="00E6514A"/>
    <w:rsid w:val="00E652A6"/>
    <w:rsid w:val="00E652B3"/>
    <w:rsid w:val="00E652CC"/>
    <w:rsid w:val="00E653E7"/>
    <w:rsid w:val="00E6555A"/>
    <w:rsid w:val="00E65643"/>
    <w:rsid w:val="00E65652"/>
    <w:rsid w:val="00E6570F"/>
    <w:rsid w:val="00E657D2"/>
    <w:rsid w:val="00E6589B"/>
    <w:rsid w:val="00E65A04"/>
    <w:rsid w:val="00E65A27"/>
    <w:rsid w:val="00E65AD7"/>
    <w:rsid w:val="00E65BD5"/>
    <w:rsid w:val="00E65D4A"/>
    <w:rsid w:val="00E65D85"/>
    <w:rsid w:val="00E65EB1"/>
    <w:rsid w:val="00E65EEE"/>
    <w:rsid w:val="00E6617E"/>
    <w:rsid w:val="00E662E9"/>
    <w:rsid w:val="00E66346"/>
    <w:rsid w:val="00E663AD"/>
    <w:rsid w:val="00E6653D"/>
    <w:rsid w:val="00E66653"/>
    <w:rsid w:val="00E666D7"/>
    <w:rsid w:val="00E66703"/>
    <w:rsid w:val="00E66813"/>
    <w:rsid w:val="00E668DB"/>
    <w:rsid w:val="00E6690E"/>
    <w:rsid w:val="00E66A33"/>
    <w:rsid w:val="00E66ADC"/>
    <w:rsid w:val="00E66CE5"/>
    <w:rsid w:val="00E66D11"/>
    <w:rsid w:val="00E66DDB"/>
    <w:rsid w:val="00E66E0B"/>
    <w:rsid w:val="00E66E17"/>
    <w:rsid w:val="00E66E4A"/>
    <w:rsid w:val="00E67127"/>
    <w:rsid w:val="00E671AA"/>
    <w:rsid w:val="00E671BF"/>
    <w:rsid w:val="00E6720A"/>
    <w:rsid w:val="00E67211"/>
    <w:rsid w:val="00E67279"/>
    <w:rsid w:val="00E672B4"/>
    <w:rsid w:val="00E67397"/>
    <w:rsid w:val="00E673D8"/>
    <w:rsid w:val="00E673E1"/>
    <w:rsid w:val="00E6742E"/>
    <w:rsid w:val="00E674F8"/>
    <w:rsid w:val="00E6750B"/>
    <w:rsid w:val="00E67606"/>
    <w:rsid w:val="00E6767F"/>
    <w:rsid w:val="00E676ED"/>
    <w:rsid w:val="00E67892"/>
    <w:rsid w:val="00E678E9"/>
    <w:rsid w:val="00E678EF"/>
    <w:rsid w:val="00E6790B"/>
    <w:rsid w:val="00E67997"/>
    <w:rsid w:val="00E67B06"/>
    <w:rsid w:val="00E67C20"/>
    <w:rsid w:val="00E67F05"/>
    <w:rsid w:val="00E67F9F"/>
    <w:rsid w:val="00E67FD6"/>
    <w:rsid w:val="00E67FF5"/>
    <w:rsid w:val="00E70188"/>
    <w:rsid w:val="00E70276"/>
    <w:rsid w:val="00E70292"/>
    <w:rsid w:val="00E7039D"/>
    <w:rsid w:val="00E703CD"/>
    <w:rsid w:val="00E7046E"/>
    <w:rsid w:val="00E704C6"/>
    <w:rsid w:val="00E70554"/>
    <w:rsid w:val="00E70579"/>
    <w:rsid w:val="00E70670"/>
    <w:rsid w:val="00E7069D"/>
    <w:rsid w:val="00E706B3"/>
    <w:rsid w:val="00E709AC"/>
    <w:rsid w:val="00E709D1"/>
    <w:rsid w:val="00E70A0A"/>
    <w:rsid w:val="00E70A3D"/>
    <w:rsid w:val="00E70BE5"/>
    <w:rsid w:val="00E70DBD"/>
    <w:rsid w:val="00E70DEB"/>
    <w:rsid w:val="00E71052"/>
    <w:rsid w:val="00E71071"/>
    <w:rsid w:val="00E71084"/>
    <w:rsid w:val="00E71171"/>
    <w:rsid w:val="00E71193"/>
    <w:rsid w:val="00E713BC"/>
    <w:rsid w:val="00E71470"/>
    <w:rsid w:val="00E7156A"/>
    <w:rsid w:val="00E719CA"/>
    <w:rsid w:val="00E71B75"/>
    <w:rsid w:val="00E71C0F"/>
    <w:rsid w:val="00E71D50"/>
    <w:rsid w:val="00E71D81"/>
    <w:rsid w:val="00E71D9A"/>
    <w:rsid w:val="00E71E37"/>
    <w:rsid w:val="00E71E5D"/>
    <w:rsid w:val="00E72001"/>
    <w:rsid w:val="00E7201E"/>
    <w:rsid w:val="00E72084"/>
    <w:rsid w:val="00E722D5"/>
    <w:rsid w:val="00E723B3"/>
    <w:rsid w:val="00E72438"/>
    <w:rsid w:val="00E725F5"/>
    <w:rsid w:val="00E726B6"/>
    <w:rsid w:val="00E72725"/>
    <w:rsid w:val="00E727CF"/>
    <w:rsid w:val="00E729E5"/>
    <w:rsid w:val="00E72ACC"/>
    <w:rsid w:val="00E72B82"/>
    <w:rsid w:val="00E72C79"/>
    <w:rsid w:val="00E72CC9"/>
    <w:rsid w:val="00E72E03"/>
    <w:rsid w:val="00E72E1B"/>
    <w:rsid w:val="00E72F00"/>
    <w:rsid w:val="00E7305A"/>
    <w:rsid w:val="00E7318C"/>
    <w:rsid w:val="00E731C6"/>
    <w:rsid w:val="00E7329A"/>
    <w:rsid w:val="00E732F9"/>
    <w:rsid w:val="00E7336B"/>
    <w:rsid w:val="00E7347C"/>
    <w:rsid w:val="00E735CD"/>
    <w:rsid w:val="00E7361B"/>
    <w:rsid w:val="00E73662"/>
    <w:rsid w:val="00E7366B"/>
    <w:rsid w:val="00E73864"/>
    <w:rsid w:val="00E738ED"/>
    <w:rsid w:val="00E739BB"/>
    <w:rsid w:val="00E739F8"/>
    <w:rsid w:val="00E73C0E"/>
    <w:rsid w:val="00E73C7C"/>
    <w:rsid w:val="00E73C80"/>
    <w:rsid w:val="00E73CE5"/>
    <w:rsid w:val="00E73D72"/>
    <w:rsid w:val="00E73DD0"/>
    <w:rsid w:val="00E73F02"/>
    <w:rsid w:val="00E74157"/>
    <w:rsid w:val="00E74298"/>
    <w:rsid w:val="00E74419"/>
    <w:rsid w:val="00E7465A"/>
    <w:rsid w:val="00E7466D"/>
    <w:rsid w:val="00E746A7"/>
    <w:rsid w:val="00E746F5"/>
    <w:rsid w:val="00E748FE"/>
    <w:rsid w:val="00E749FF"/>
    <w:rsid w:val="00E74A32"/>
    <w:rsid w:val="00E74A6E"/>
    <w:rsid w:val="00E74BCE"/>
    <w:rsid w:val="00E74C18"/>
    <w:rsid w:val="00E74C1D"/>
    <w:rsid w:val="00E74C70"/>
    <w:rsid w:val="00E74CB0"/>
    <w:rsid w:val="00E74D50"/>
    <w:rsid w:val="00E74E14"/>
    <w:rsid w:val="00E74EA3"/>
    <w:rsid w:val="00E74F9C"/>
    <w:rsid w:val="00E7506F"/>
    <w:rsid w:val="00E75222"/>
    <w:rsid w:val="00E7523A"/>
    <w:rsid w:val="00E75258"/>
    <w:rsid w:val="00E75442"/>
    <w:rsid w:val="00E75455"/>
    <w:rsid w:val="00E754E7"/>
    <w:rsid w:val="00E7550D"/>
    <w:rsid w:val="00E7565B"/>
    <w:rsid w:val="00E7570B"/>
    <w:rsid w:val="00E758C8"/>
    <w:rsid w:val="00E75931"/>
    <w:rsid w:val="00E75A5D"/>
    <w:rsid w:val="00E75BFE"/>
    <w:rsid w:val="00E75CF6"/>
    <w:rsid w:val="00E75DAE"/>
    <w:rsid w:val="00E75F00"/>
    <w:rsid w:val="00E75F2F"/>
    <w:rsid w:val="00E75FB8"/>
    <w:rsid w:val="00E7609C"/>
    <w:rsid w:val="00E76209"/>
    <w:rsid w:val="00E76211"/>
    <w:rsid w:val="00E765CA"/>
    <w:rsid w:val="00E76606"/>
    <w:rsid w:val="00E766E8"/>
    <w:rsid w:val="00E76708"/>
    <w:rsid w:val="00E76719"/>
    <w:rsid w:val="00E76732"/>
    <w:rsid w:val="00E767E5"/>
    <w:rsid w:val="00E76803"/>
    <w:rsid w:val="00E7685F"/>
    <w:rsid w:val="00E76919"/>
    <w:rsid w:val="00E76A12"/>
    <w:rsid w:val="00E76AB1"/>
    <w:rsid w:val="00E76B6C"/>
    <w:rsid w:val="00E76BD1"/>
    <w:rsid w:val="00E76CA3"/>
    <w:rsid w:val="00E76D2F"/>
    <w:rsid w:val="00E76DBA"/>
    <w:rsid w:val="00E770C9"/>
    <w:rsid w:val="00E77106"/>
    <w:rsid w:val="00E77142"/>
    <w:rsid w:val="00E77268"/>
    <w:rsid w:val="00E77293"/>
    <w:rsid w:val="00E772C1"/>
    <w:rsid w:val="00E773C8"/>
    <w:rsid w:val="00E7748F"/>
    <w:rsid w:val="00E774CA"/>
    <w:rsid w:val="00E77600"/>
    <w:rsid w:val="00E7774A"/>
    <w:rsid w:val="00E7780E"/>
    <w:rsid w:val="00E77A12"/>
    <w:rsid w:val="00E77CA3"/>
    <w:rsid w:val="00E77DE0"/>
    <w:rsid w:val="00E77DE8"/>
    <w:rsid w:val="00E77ECA"/>
    <w:rsid w:val="00E77F6B"/>
    <w:rsid w:val="00E77F7D"/>
    <w:rsid w:val="00E77FFC"/>
    <w:rsid w:val="00E8008C"/>
    <w:rsid w:val="00E802A7"/>
    <w:rsid w:val="00E80328"/>
    <w:rsid w:val="00E8042E"/>
    <w:rsid w:val="00E804C6"/>
    <w:rsid w:val="00E804D6"/>
    <w:rsid w:val="00E80574"/>
    <w:rsid w:val="00E80594"/>
    <w:rsid w:val="00E806C4"/>
    <w:rsid w:val="00E806E6"/>
    <w:rsid w:val="00E807E5"/>
    <w:rsid w:val="00E8080D"/>
    <w:rsid w:val="00E8084D"/>
    <w:rsid w:val="00E8086E"/>
    <w:rsid w:val="00E808C7"/>
    <w:rsid w:val="00E808CF"/>
    <w:rsid w:val="00E808F8"/>
    <w:rsid w:val="00E8098E"/>
    <w:rsid w:val="00E809B6"/>
    <w:rsid w:val="00E80A81"/>
    <w:rsid w:val="00E80BF1"/>
    <w:rsid w:val="00E80C89"/>
    <w:rsid w:val="00E80CE8"/>
    <w:rsid w:val="00E80DAD"/>
    <w:rsid w:val="00E80F00"/>
    <w:rsid w:val="00E80F9A"/>
    <w:rsid w:val="00E8108B"/>
    <w:rsid w:val="00E810DD"/>
    <w:rsid w:val="00E81171"/>
    <w:rsid w:val="00E811EF"/>
    <w:rsid w:val="00E813AB"/>
    <w:rsid w:val="00E81555"/>
    <w:rsid w:val="00E817A8"/>
    <w:rsid w:val="00E81A53"/>
    <w:rsid w:val="00E81C61"/>
    <w:rsid w:val="00E81C9E"/>
    <w:rsid w:val="00E81D67"/>
    <w:rsid w:val="00E81D71"/>
    <w:rsid w:val="00E81D92"/>
    <w:rsid w:val="00E81DD3"/>
    <w:rsid w:val="00E81EDE"/>
    <w:rsid w:val="00E81F8E"/>
    <w:rsid w:val="00E8208A"/>
    <w:rsid w:val="00E8209E"/>
    <w:rsid w:val="00E8222F"/>
    <w:rsid w:val="00E82250"/>
    <w:rsid w:val="00E82310"/>
    <w:rsid w:val="00E8236E"/>
    <w:rsid w:val="00E823A9"/>
    <w:rsid w:val="00E823BA"/>
    <w:rsid w:val="00E8254E"/>
    <w:rsid w:val="00E8274A"/>
    <w:rsid w:val="00E8279E"/>
    <w:rsid w:val="00E827B6"/>
    <w:rsid w:val="00E827EC"/>
    <w:rsid w:val="00E827FE"/>
    <w:rsid w:val="00E8282C"/>
    <w:rsid w:val="00E829F3"/>
    <w:rsid w:val="00E82A91"/>
    <w:rsid w:val="00E82AAD"/>
    <w:rsid w:val="00E82AC8"/>
    <w:rsid w:val="00E82AE8"/>
    <w:rsid w:val="00E82B00"/>
    <w:rsid w:val="00E82B4B"/>
    <w:rsid w:val="00E82BDB"/>
    <w:rsid w:val="00E82C2E"/>
    <w:rsid w:val="00E82D50"/>
    <w:rsid w:val="00E82D89"/>
    <w:rsid w:val="00E82DC7"/>
    <w:rsid w:val="00E82E5E"/>
    <w:rsid w:val="00E82F47"/>
    <w:rsid w:val="00E83058"/>
    <w:rsid w:val="00E830F0"/>
    <w:rsid w:val="00E83161"/>
    <w:rsid w:val="00E83195"/>
    <w:rsid w:val="00E83251"/>
    <w:rsid w:val="00E83320"/>
    <w:rsid w:val="00E833BA"/>
    <w:rsid w:val="00E8343C"/>
    <w:rsid w:val="00E83461"/>
    <w:rsid w:val="00E83478"/>
    <w:rsid w:val="00E834FA"/>
    <w:rsid w:val="00E83527"/>
    <w:rsid w:val="00E83A36"/>
    <w:rsid w:val="00E83AA3"/>
    <w:rsid w:val="00E83C76"/>
    <w:rsid w:val="00E83CAF"/>
    <w:rsid w:val="00E83D3B"/>
    <w:rsid w:val="00E83E27"/>
    <w:rsid w:val="00E83F35"/>
    <w:rsid w:val="00E84168"/>
    <w:rsid w:val="00E8419D"/>
    <w:rsid w:val="00E841B3"/>
    <w:rsid w:val="00E8420C"/>
    <w:rsid w:val="00E8451C"/>
    <w:rsid w:val="00E8461B"/>
    <w:rsid w:val="00E84624"/>
    <w:rsid w:val="00E8491C"/>
    <w:rsid w:val="00E84A53"/>
    <w:rsid w:val="00E84AA5"/>
    <w:rsid w:val="00E84B20"/>
    <w:rsid w:val="00E84B3C"/>
    <w:rsid w:val="00E84B4A"/>
    <w:rsid w:val="00E84C2C"/>
    <w:rsid w:val="00E84C55"/>
    <w:rsid w:val="00E84CF5"/>
    <w:rsid w:val="00E84D2B"/>
    <w:rsid w:val="00E84D83"/>
    <w:rsid w:val="00E84E5E"/>
    <w:rsid w:val="00E85070"/>
    <w:rsid w:val="00E85177"/>
    <w:rsid w:val="00E8521E"/>
    <w:rsid w:val="00E8534F"/>
    <w:rsid w:val="00E853A2"/>
    <w:rsid w:val="00E853D0"/>
    <w:rsid w:val="00E8545B"/>
    <w:rsid w:val="00E854E8"/>
    <w:rsid w:val="00E855DC"/>
    <w:rsid w:val="00E85600"/>
    <w:rsid w:val="00E8564E"/>
    <w:rsid w:val="00E8570A"/>
    <w:rsid w:val="00E85A01"/>
    <w:rsid w:val="00E85A81"/>
    <w:rsid w:val="00E85B5C"/>
    <w:rsid w:val="00E85B83"/>
    <w:rsid w:val="00E85B94"/>
    <w:rsid w:val="00E85BD5"/>
    <w:rsid w:val="00E85C16"/>
    <w:rsid w:val="00E85CD2"/>
    <w:rsid w:val="00E85D6F"/>
    <w:rsid w:val="00E85DA3"/>
    <w:rsid w:val="00E85EBD"/>
    <w:rsid w:val="00E85F60"/>
    <w:rsid w:val="00E85FA5"/>
    <w:rsid w:val="00E85FC3"/>
    <w:rsid w:val="00E86140"/>
    <w:rsid w:val="00E861E2"/>
    <w:rsid w:val="00E86250"/>
    <w:rsid w:val="00E862AA"/>
    <w:rsid w:val="00E86305"/>
    <w:rsid w:val="00E86349"/>
    <w:rsid w:val="00E86399"/>
    <w:rsid w:val="00E8669A"/>
    <w:rsid w:val="00E86763"/>
    <w:rsid w:val="00E8676B"/>
    <w:rsid w:val="00E867D3"/>
    <w:rsid w:val="00E86961"/>
    <w:rsid w:val="00E86C14"/>
    <w:rsid w:val="00E86C75"/>
    <w:rsid w:val="00E86C7C"/>
    <w:rsid w:val="00E86CC0"/>
    <w:rsid w:val="00E86EFC"/>
    <w:rsid w:val="00E86F15"/>
    <w:rsid w:val="00E86F7C"/>
    <w:rsid w:val="00E87000"/>
    <w:rsid w:val="00E870E6"/>
    <w:rsid w:val="00E8713F"/>
    <w:rsid w:val="00E871F0"/>
    <w:rsid w:val="00E87499"/>
    <w:rsid w:val="00E87618"/>
    <w:rsid w:val="00E8761E"/>
    <w:rsid w:val="00E87690"/>
    <w:rsid w:val="00E876ED"/>
    <w:rsid w:val="00E8774B"/>
    <w:rsid w:val="00E8775F"/>
    <w:rsid w:val="00E87874"/>
    <w:rsid w:val="00E87932"/>
    <w:rsid w:val="00E879AF"/>
    <w:rsid w:val="00E87A3F"/>
    <w:rsid w:val="00E87AAB"/>
    <w:rsid w:val="00E87B29"/>
    <w:rsid w:val="00E87B99"/>
    <w:rsid w:val="00E87BD8"/>
    <w:rsid w:val="00E87BDA"/>
    <w:rsid w:val="00E87BE8"/>
    <w:rsid w:val="00E87D83"/>
    <w:rsid w:val="00E87DF9"/>
    <w:rsid w:val="00E87EEB"/>
    <w:rsid w:val="00E87FA5"/>
    <w:rsid w:val="00E9012B"/>
    <w:rsid w:val="00E9014A"/>
    <w:rsid w:val="00E9019E"/>
    <w:rsid w:val="00E9026B"/>
    <w:rsid w:val="00E90305"/>
    <w:rsid w:val="00E90332"/>
    <w:rsid w:val="00E9062B"/>
    <w:rsid w:val="00E9071F"/>
    <w:rsid w:val="00E907B7"/>
    <w:rsid w:val="00E90930"/>
    <w:rsid w:val="00E909EE"/>
    <w:rsid w:val="00E90A00"/>
    <w:rsid w:val="00E90AAD"/>
    <w:rsid w:val="00E90B50"/>
    <w:rsid w:val="00E90BC0"/>
    <w:rsid w:val="00E90D9B"/>
    <w:rsid w:val="00E90EB4"/>
    <w:rsid w:val="00E90F5F"/>
    <w:rsid w:val="00E91020"/>
    <w:rsid w:val="00E9106A"/>
    <w:rsid w:val="00E91180"/>
    <w:rsid w:val="00E91220"/>
    <w:rsid w:val="00E91272"/>
    <w:rsid w:val="00E91330"/>
    <w:rsid w:val="00E91339"/>
    <w:rsid w:val="00E913F3"/>
    <w:rsid w:val="00E915AB"/>
    <w:rsid w:val="00E91662"/>
    <w:rsid w:val="00E9169C"/>
    <w:rsid w:val="00E9182C"/>
    <w:rsid w:val="00E9199C"/>
    <w:rsid w:val="00E919A9"/>
    <w:rsid w:val="00E91D9D"/>
    <w:rsid w:val="00E91DD4"/>
    <w:rsid w:val="00E91F32"/>
    <w:rsid w:val="00E91F40"/>
    <w:rsid w:val="00E92007"/>
    <w:rsid w:val="00E921EB"/>
    <w:rsid w:val="00E92247"/>
    <w:rsid w:val="00E9238C"/>
    <w:rsid w:val="00E92399"/>
    <w:rsid w:val="00E923BB"/>
    <w:rsid w:val="00E92481"/>
    <w:rsid w:val="00E924A2"/>
    <w:rsid w:val="00E924C8"/>
    <w:rsid w:val="00E92558"/>
    <w:rsid w:val="00E925B7"/>
    <w:rsid w:val="00E9262B"/>
    <w:rsid w:val="00E927E4"/>
    <w:rsid w:val="00E92944"/>
    <w:rsid w:val="00E929BD"/>
    <w:rsid w:val="00E929F1"/>
    <w:rsid w:val="00E92A1A"/>
    <w:rsid w:val="00E92A23"/>
    <w:rsid w:val="00E92B47"/>
    <w:rsid w:val="00E92B52"/>
    <w:rsid w:val="00E92E9E"/>
    <w:rsid w:val="00E92F20"/>
    <w:rsid w:val="00E92F77"/>
    <w:rsid w:val="00E92FF3"/>
    <w:rsid w:val="00E93157"/>
    <w:rsid w:val="00E932E0"/>
    <w:rsid w:val="00E9335F"/>
    <w:rsid w:val="00E9348D"/>
    <w:rsid w:val="00E9357E"/>
    <w:rsid w:val="00E935E6"/>
    <w:rsid w:val="00E936EC"/>
    <w:rsid w:val="00E93725"/>
    <w:rsid w:val="00E937A3"/>
    <w:rsid w:val="00E937E9"/>
    <w:rsid w:val="00E9381D"/>
    <w:rsid w:val="00E9392B"/>
    <w:rsid w:val="00E93A1E"/>
    <w:rsid w:val="00E93B0A"/>
    <w:rsid w:val="00E93B1F"/>
    <w:rsid w:val="00E93B6E"/>
    <w:rsid w:val="00E93B93"/>
    <w:rsid w:val="00E93E12"/>
    <w:rsid w:val="00E94052"/>
    <w:rsid w:val="00E94492"/>
    <w:rsid w:val="00E944F8"/>
    <w:rsid w:val="00E94630"/>
    <w:rsid w:val="00E94795"/>
    <w:rsid w:val="00E947F0"/>
    <w:rsid w:val="00E948A5"/>
    <w:rsid w:val="00E948E5"/>
    <w:rsid w:val="00E948FE"/>
    <w:rsid w:val="00E949C2"/>
    <w:rsid w:val="00E94B27"/>
    <w:rsid w:val="00E94B32"/>
    <w:rsid w:val="00E94C28"/>
    <w:rsid w:val="00E94C51"/>
    <w:rsid w:val="00E94E70"/>
    <w:rsid w:val="00E94F39"/>
    <w:rsid w:val="00E94F53"/>
    <w:rsid w:val="00E94F57"/>
    <w:rsid w:val="00E94FA4"/>
    <w:rsid w:val="00E94FAD"/>
    <w:rsid w:val="00E94FB6"/>
    <w:rsid w:val="00E9504E"/>
    <w:rsid w:val="00E950F6"/>
    <w:rsid w:val="00E9538E"/>
    <w:rsid w:val="00E953BA"/>
    <w:rsid w:val="00E953FC"/>
    <w:rsid w:val="00E9544A"/>
    <w:rsid w:val="00E95451"/>
    <w:rsid w:val="00E954BA"/>
    <w:rsid w:val="00E95570"/>
    <w:rsid w:val="00E95618"/>
    <w:rsid w:val="00E956E1"/>
    <w:rsid w:val="00E956F3"/>
    <w:rsid w:val="00E95850"/>
    <w:rsid w:val="00E959E6"/>
    <w:rsid w:val="00E95A5C"/>
    <w:rsid w:val="00E95A66"/>
    <w:rsid w:val="00E95AD7"/>
    <w:rsid w:val="00E95AFA"/>
    <w:rsid w:val="00E95B19"/>
    <w:rsid w:val="00E95BE0"/>
    <w:rsid w:val="00E95C2F"/>
    <w:rsid w:val="00E95CBA"/>
    <w:rsid w:val="00E95D22"/>
    <w:rsid w:val="00E95D81"/>
    <w:rsid w:val="00E95DF2"/>
    <w:rsid w:val="00E96086"/>
    <w:rsid w:val="00E96147"/>
    <w:rsid w:val="00E963CF"/>
    <w:rsid w:val="00E9650C"/>
    <w:rsid w:val="00E9657A"/>
    <w:rsid w:val="00E9677D"/>
    <w:rsid w:val="00E9678D"/>
    <w:rsid w:val="00E96871"/>
    <w:rsid w:val="00E9690F"/>
    <w:rsid w:val="00E96A26"/>
    <w:rsid w:val="00E96C6F"/>
    <w:rsid w:val="00E96E2B"/>
    <w:rsid w:val="00E96E33"/>
    <w:rsid w:val="00E96FCF"/>
    <w:rsid w:val="00E9717A"/>
    <w:rsid w:val="00E973B6"/>
    <w:rsid w:val="00E97647"/>
    <w:rsid w:val="00E978CD"/>
    <w:rsid w:val="00E97948"/>
    <w:rsid w:val="00E97951"/>
    <w:rsid w:val="00E97A61"/>
    <w:rsid w:val="00E97A74"/>
    <w:rsid w:val="00E97ACF"/>
    <w:rsid w:val="00E97B20"/>
    <w:rsid w:val="00E97CDC"/>
    <w:rsid w:val="00E97D03"/>
    <w:rsid w:val="00E97DAE"/>
    <w:rsid w:val="00E97E71"/>
    <w:rsid w:val="00E97F9A"/>
    <w:rsid w:val="00EA00EE"/>
    <w:rsid w:val="00EA0139"/>
    <w:rsid w:val="00EA0172"/>
    <w:rsid w:val="00EA01BD"/>
    <w:rsid w:val="00EA0216"/>
    <w:rsid w:val="00EA0258"/>
    <w:rsid w:val="00EA027B"/>
    <w:rsid w:val="00EA02B9"/>
    <w:rsid w:val="00EA03E5"/>
    <w:rsid w:val="00EA04D0"/>
    <w:rsid w:val="00EA0509"/>
    <w:rsid w:val="00EA0510"/>
    <w:rsid w:val="00EA0523"/>
    <w:rsid w:val="00EA0541"/>
    <w:rsid w:val="00EA05AF"/>
    <w:rsid w:val="00EA06A9"/>
    <w:rsid w:val="00EA06EB"/>
    <w:rsid w:val="00EA0711"/>
    <w:rsid w:val="00EA07E6"/>
    <w:rsid w:val="00EA07F3"/>
    <w:rsid w:val="00EA07FD"/>
    <w:rsid w:val="00EA0845"/>
    <w:rsid w:val="00EA0B46"/>
    <w:rsid w:val="00EA0BA7"/>
    <w:rsid w:val="00EA0DA3"/>
    <w:rsid w:val="00EA0DE9"/>
    <w:rsid w:val="00EA0F3C"/>
    <w:rsid w:val="00EA101D"/>
    <w:rsid w:val="00EA1075"/>
    <w:rsid w:val="00EA10AC"/>
    <w:rsid w:val="00EA10D9"/>
    <w:rsid w:val="00EA1180"/>
    <w:rsid w:val="00EA120B"/>
    <w:rsid w:val="00EA1282"/>
    <w:rsid w:val="00EA13C6"/>
    <w:rsid w:val="00EA13D1"/>
    <w:rsid w:val="00EA13E0"/>
    <w:rsid w:val="00EA14F2"/>
    <w:rsid w:val="00EA1538"/>
    <w:rsid w:val="00EA175E"/>
    <w:rsid w:val="00EA1795"/>
    <w:rsid w:val="00EA1806"/>
    <w:rsid w:val="00EA1840"/>
    <w:rsid w:val="00EA191B"/>
    <w:rsid w:val="00EA19E8"/>
    <w:rsid w:val="00EA1A31"/>
    <w:rsid w:val="00EA1A5C"/>
    <w:rsid w:val="00EA1AEE"/>
    <w:rsid w:val="00EA1D1D"/>
    <w:rsid w:val="00EA1F9D"/>
    <w:rsid w:val="00EA1FB9"/>
    <w:rsid w:val="00EA200B"/>
    <w:rsid w:val="00EA2050"/>
    <w:rsid w:val="00EA2088"/>
    <w:rsid w:val="00EA20A6"/>
    <w:rsid w:val="00EA2106"/>
    <w:rsid w:val="00EA218E"/>
    <w:rsid w:val="00EA22F3"/>
    <w:rsid w:val="00EA2336"/>
    <w:rsid w:val="00EA2412"/>
    <w:rsid w:val="00EA243F"/>
    <w:rsid w:val="00EA2512"/>
    <w:rsid w:val="00EA25C4"/>
    <w:rsid w:val="00EA2A21"/>
    <w:rsid w:val="00EA2A5A"/>
    <w:rsid w:val="00EA2A96"/>
    <w:rsid w:val="00EA2BDD"/>
    <w:rsid w:val="00EA2C5F"/>
    <w:rsid w:val="00EA2C6A"/>
    <w:rsid w:val="00EA2CC1"/>
    <w:rsid w:val="00EA2D0D"/>
    <w:rsid w:val="00EA2EEB"/>
    <w:rsid w:val="00EA2F2F"/>
    <w:rsid w:val="00EA30A9"/>
    <w:rsid w:val="00EA3132"/>
    <w:rsid w:val="00EA3138"/>
    <w:rsid w:val="00EA317C"/>
    <w:rsid w:val="00EA317E"/>
    <w:rsid w:val="00EA319F"/>
    <w:rsid w:val="00EA31A5"/>
    <w:rsid w:val="00EA335E"/>
    <w:rsid w:val="00EA346D"/>
    <w:rsid w:val="00EA3474"/>
    <w:rsid w:val="00EA358D"/>
    <w:rsid w:val="00EA35D0"/>
    <w:rsid w:val="00EA37E7"/>
    <w:rsid w:val="00EA39B5"/>
    <w:rsid w:val="00EA3A0D"/>
    <w:rsid w:val="00EA3A8B"/>
    <w:rsid w:val="00EA3AE6"/>
    <w:rsid w:val="00EA3AF0"/>
    <w:rsid w:val="00EA3E2B"/>
    <w:rsid w:val="00EA3E44"/>
    <w:rsid w:val="00EA3EB8"/>
    <w:rsid w:val="00EA3F0C"/>
    <w:rsid w:val="00EA3F12"/>
    <w:rsid w:val="00EA3F53"/>
    <w:rsid w:val="00EA3F81"/>
    <w:rsid w:val="00EA3FB6"/>
    <w:rsid w:val="00EA401D"/>
    <w:rsid w:val="00EA4048"/>
    <w:rsid w:val="00EA4060"/>
    <w:rsid w:val="00EA41DF"/>
    <w:rsid w:val="00EA421C"/>
    <w:rsid w:val="00EA4253"/>
    <w:rsid w:val="00EA42B2"/>
    <w:rsid w:val="00EA42E3"/>
    <w:rsid w:val="00EA43E9"/>
    <w:rsid w:val="00EA4483"/>
    <w:rsid w:val="00EA44E6"/>
    <w:rsid w:val="00EA45A8"/>
    <w:rsid w:val="00EA4687"/>
    <w:rsid w:val="00EA46E5"/>
    <w:rsid w:val="00EA4707"/>
    <w:rsid w:val="00EA4757"/>
    <w:rsid w:val="00EA481F"/>
    <w:rsid w:val="00EA49DD"/>
    <w:rsid w:val="00EA49F4"/>
    <w:rsid w:val="00EA4A44"/>
    <w:rsid w:val="00EA4A49"/>
    <w:rsid w:val="00EA4A6D"/>
    <w:rsid w:val="00EA4B6D"/>
    <w:rsid w:val="00EA4BDC"/>
    <w:rsid w:val="00EA4D1F"/>
    <w:rsid w:val="00EA4D32"/>
    <w:rsid w:val="00EA4DF4"/>
    <w:rsid w:val="00EA4ED8"/>
    <w:rsid w:val="00EA4FF3"/>
    <w:rsid w:val="00EA5061"/>
    <w:rsid w:val="00EA513B"/>
    <w:rsid w:val="00EA534A"/>
    <w:rsid w:val="00EA54BB"/>
    <w:rsid w:val="00EA5587"/>
    <w:rsid w:val="00EA576D"/>
    <w:rsid w:val="00EA589E"/>
    <w:rsid w:val="00EA5916"/>
    <w:rsid w:val="00EA59F1"/>
    <w:rsid w:val="00EA5C17"/>
    <w:rsid w:val="00EA5D62"/>
    <w:rsid w:val="00EA5D9D"/>
    <w:rsid w:val="00EA5E12"/>
    <w:rsid w:val="00EA5EDA"/>
    <w:rsid w:val="00EA5F78"/>
    <w:rsid w:val="00EA5FF7"/>
    <w:rsid w:val="00EA6009"/>
    <w:rsid w:val="00EA60B3"/>
    <w:rsid w:val="00EA60EE"/>
    <w:rsid w:val="00EA61B2"/>
    <w:rsid w:val="00EA62B5"/>
    <w:rsid w:val="00EA62FB"/>
    <w:rsid w:val="00EA66C5"/>
    <w:rsid w:val="00EA66ED"/>
    <w:rsid w:val="00EA6708"/>
    <w:rsid w:val="00EA67AD"/>
    <w:rsid w:val="00EA683D"/>
    <w:rsid w:val="00EA685F"/>
    <w:rsid w:val="00EA6891"/>
    <w:rsid w:val="00EA689A"/>
    <w:rsid w:val="00EA68DE"/>
    <w:rsid w:val="00EA69AA"/>
    <w:rsid w:val="00EA6A21"/>
    <w:rsid w:val="00EA6A73"/>
    <w:rsid w:val="00EA6BAB"/>
    <w:rsid w:val="00EA6C57"/>
    <w:rsid w:val="00EA6DF7"/>
    <w:rsid w:val="00EA6E7E"/>
    <w:rsid w:val="00EA6EDD"/>
    <w:rsid w:val="00EA6F9F"/>
    <w:rsid w:val="00EA705E"/>
    <w:rsid w:val="00EA70E6"/>
    <w:rsid w:val="00EA721F"/>
    <w:rsid w:val="00EA72F1"/>
    <w:rsid w:val="00EA73F4"/>
    <w:rsid w:val="00EA7514"/>
    <w:rsid w:val="00EA7593"/>
    <w:rsid w:val="00EA75CA"/>
    <w:rsid w:val="00EA7702"/>
    <w:rsid w:val="00EA772D"/>
    <w:rsid w:val="00EA7806"/>
    <w:rsid w:val="00EA7887"/>
    <w:rsid w:val="00EA78E1"/>
    <w:rsid w:val="00EA7A46"/>
    <w:rsid w:val="00EA7BC8"/>
    <w:rsid w:val="00EA7C1A"/>
    <w:rsid w:val="00EA7D6F"/>
    <w:rsid w:val="00EA7D97"/>
    <w:rsid w:val="00EA7F5C"/>
    <w:rsid w:val="00EA7FC3"/>
    <w:rsid w:val="00EA7FD8"/>
    <w:rsid w:val="00EB005A"/>
    <w:rsid w:val="00EB01C5"/>
    <w:rsid w:val="00EB01D8"/>
    <w:rsid w:val="00EB03A4"/>
    <w:rsid w:val="00EB03A8"/>
    <w:rsid w:val="00EB0545"/>
    <w:rsid w:val="00EB0851"/>
    <w:rsid w:val="00EB0A5F"/>
    <w:rsid w:val="00EB0ADC"/>
    <w:rsid w:val="00EB0D2B"/>
    <w:rsid w:val="00EB109D"/>
    <w:rsid w:val="00EB116C"/>
    <w:rsid w:val="00EB1263"/>
    <w:rsid w:val="00EB144E"/>
    <w:rsid w:val="00EB147D"/>
    <w:rsid w:val="00EB1694"/>
    <w:rsid w:val="00EB1778"/>
    <w:rsid w:val="00EB17E9"/>
    <w:rsid w:val="00EB188C"/>
    <w:rsid w:val="00EB18F3"/>
    <w:rsid w:val="00EB1942"/>
    <w:rsid w:val="00EB19D7"/>
    <w:rsid w:val="00EB1C7F"/>
    <w:rsid w:val="00EB1CCA"/>
    <w:rsid w:val="00EB1E56"/>
    <w:rsid w:val="00EB1EB4"/>
    <w:rsid w:val="00EB1EED"/>
    <w:rsid w:val="00EB1F35"/>
    <w:rsid w:val="00EB20BE"/>
    <w:rsid w:val="00EB20E7"/>
    <w:rsid w:val="00EB20F4"/>
    <w:rsid w:val="00EB229A"/>
    <w:rsid w:val="00EB24AE"/>
    <w:rsid w:val="00EB24B9"/>
    <w:rsid w:val="00EB259D"/>
    <w:rsid w:val="00EB2773"/>
    <w:rsid w:val="00EB281E"/>
    <w:rsid w:val="00EB28B1"/>
    <w:rsid w:val="00EB28CE"/>
    <w:rsid w:val="00EB2980"/>
    <w:rsid w:val="00EB2A19"/>
    <w:rsid w:val="00EB2A32"/>
    <w:rsid w:val="00EB2B45"/>
    <w:rsid w:val="00EB2B8C"/>
    <w:rsid w:val="00EB2BFC"/>
    <w:rsid w:val="00EB2C84"/>
    <w:rsid w:val="00EB2D07"/>
    <w:rsid w:val="00EB2E44"/>
    <w:rsid w:val="00EB2F30"/>
    <w:rsid w:val="00EB305B"/>
    <w:rsid w:val="00EB32C7"/>
    <w:rsid w:val="00EB32D9"/>
    <w:rsid w:val="00EB33D3"/>
    <w:rsid w:val="00EB3416"/>
    <w:rsid w:val="00EB377B"/>
    <w:rsid w:val="00EB37FB"/>
    <w:rsid w:val="00EB384D"/>
    <w:rsid w:val="00EB3C12"/>
    <w:rsid w:val="00EB3CC3"/>
    <w:rsid w:val="00EB3CED"/>
    <w:rsid w:val="00EB3D07"/>
    <w:rsid w:val="00EB3E7B"/>
    <w:rsid w:val="00EB3E90"/>
    <w:rsid w:val="00EB3E93"/>
    <w:rsid w:val="00EB4059"/>
    <w:rsid w:val="00EB405B"/>
    <w:rsid w:val="00EB4075"/>
    <w:rsid w:val="00EB41E1"/>
    <w:rsid w:val="00EB426A"/>
    <w:rsid w:val="00EB42A7"/>
    <w:rsid w:val="00EB42CD"/>
    <w:rsid w:val="00EB4319"/>
    <w:rsid w:val="00EB4631"/>
    <w:rsid w:val="00EB46B8"/>
    <w:rsid w:val="00EB46F8"/>
    <w:rsid w:val="00EB4705"/>
    <w:rsid w:val="00EB490B"/>
    <w:rsid w:val="00EB491B"/>
    <w:rsid w:val="00EB4A35"/>
    <w:rsid w:val="00EB4A94"/>
    <w:rsid w:val="00EB4AC7"/>
    <w:rsid w:val="00EB4B86"/>
    <w:rsid w:val="00EB4CCC"/>
    <w:rsid w:val="00EB4CE9"/>
    <w:rsid w:val="00EB4D3E"/>
    <w:rsid w:val="00EB4D44"/>
    <w:rsid w:val="00EB4EF5"/>
    <w:rsid w:val="00EB5207"/>
    <w:rsid w:val="00EB52A7"/>
    <w:rsid w:val="00EB5346"/>
    <w:rsid w:val="00EB56C3"/>
    <w:rsid w:val="00EB577B"/>
    <w:rsid w:val="00EB585C"/>
    <w:rsid w:val="00EB58F2"/>
    <w:rsid w:val="00EB59F7"/>
    <w:rsid w:val="00EB5A92"/>
    <w:rsid w:val="00EB5AC6"/>
    <w:rsid w:val="00EB5BBE"/>
    <w:rsid w:val="00EB5CE6"/>
    <w:rsid w:val="00EB5F50"/>
    <w:rsid w:val="00EB6056"/>
    <w:rsid w:val="00EB607C"/>
    <w:rsid w:val="00EB6164"/>
    <w:rsid w:val="00EB6223"/>
    <w:rsid w:val="00EB623D"/>
    <w:rsid w:val="00EB624E"/>
    <w:rsid w:val="00EB6477"/>
    <w:rsid w:val="00EB661F"/>
    <w:rsid w:val="00EB67B3"/>
    <w:rsid w:val="00EB684C"/>
    <w:rsid w:val="00EB6886"/>
    <w:rsid w:val="00EB68C2"/>
    <w:rsid w:val="00EB6A3B"/>
    <w:rsid w:val="00EB6A7C"/>
    <w:rsid w:val="00EB6AC3"/>
    <w:rsid w:val="00EB6C0C"/>
    <w:rsid w:val="00EB6C52"/>
    <w:rsid w:val="00EB6C84"/>
    <w:rsid w:val="00EB6CE8"/>
    <w:rsid w:val="00EB6CF5"/>
    <w:rsid w:val="00EB6D17"/>
    <w:rsid w:val="00EB6EBC"/>
    <w:rsid w:val="00EB6ED4"/>
    <w:rsid w:val="00EB6FEB"/>
    <w:rsid w:val="00EB7005"/>
    <w:rsid w:val="00EB7105"/>
    <w:rsid w:val="00EB72D8"/>
    <w:rsid w:val="00EB7319"/>
    <w:rsid w:val="00EB736D"/>
    <w:rsid w:val="00EB738E"/>
    <w:rsid w:val="00EB74D5"/>
    <w:rsid w:val="00EB74FB"/>
    <w:rsid w:val="00EB7543"/>
    <w:rsid w:val="00EB754E"/>
    <w:rsid w:val="00EB7674"/>
    <w:rsid w:val="00EB767E"/>
    <w:rsid w:val="00EB776A"/>
    <w:rsid w:val="00EB77CF"/>
    <w:rsid w:val="00EB7827"/>
    <w:rsid w:val="00EB786C"/>
    <w:rsid w:val="00EB78A8"/>
    <w:rsid w:val="00EB7911"/>
    <w:rsid w:val="00EB79B9"/>
    <w:rsid w:val="00EB7B87"/>
    <w:rsid w:val="00EB7CDA"/>
    <w:rsid w:val="00EB7DDA"/>
    <w:rsid w:val="00EB7EA8"/>
    <w:rsid w:val="00EB7F2B"/>
    <w:rsid w:val="00EB7FCE"/>
    <w:rsid w:val="00EC0011"/>
    <w:rsid w:val="00EC003A"/>
    <w:rsid w:val="00EC016D"/>
    <w:rsid w:val="00EC01BD"/>
    <w:rsid w:val="00EC022B"/>
    <w:rsid w:val="00EC029D"/>
    <w:rsid w:val="00EC029F"/>
    <w:rsid w:val="00EC02EB"/>
    <w:rsid w:val="00EC0346"/>
    <w:rsid w:val="00EC0352"/>
    <w:rsid w:val="00EC0388"/>
    <w:rsid w:val="00EC04D2"/>
    <w:rsid w:val="00EC0549"/>
    <w:rsid w:val="00EC0609"/>
    <w:rsid w:val="00EC07DA"/>
    <w:rsid w:val="00EC0827"/>
    <w:rsid w:val="00EC0879"/>
    <w:rsid w:val="00EC08A6"/>
    <w:rsid w:val="00EC09AE"/>
    <w:rsid w:val="00EC0C26"/>
    <w:rsid w:val="00EC0CCE"/>
    <w:rsid w:val="00EC0CF7"/>
    <w:rsid w:val="00EC0D66"/>
    <w:rsid w:val="00EC0E63"/>
    <w:rsid w:val="00EC1063"/>
    <w:rsid w:val="00EC12F0"/>
    <w:rsid w:val="00EC1301"/>
    <w:rsid w:val="00EC13BE"/>
    <w:rsid w:val="00EC1670"/>
    <w:rsid w:val="00EC17B1"/>
    <w:rsid w:val="00EC180F"/>
    <w:rsid w:val="00EC18FE"/>
    <w:rsid w:val="00EC19E9"/>
    <w:rsid w:val="00EC19F5"/>
    <w:rsid w:val="00EC1AD6"/>
    <w:rsid w:val="00EC1DEA"/>
    <w:rsid w:val="00EC1E20"/>
    <w:rsid w:val="00EC1E6A"/>
    <w:rsid w:val="00EC2032"/>
    <w:rsid w:val="00EC22DB"/>
    <w:rsid w:val="00EC22E3"/>
    <w:rsid w:val="00EC2307"/>
    <w:rsid w:val="00EC2417"/>
    <w:rsid w:val="00EC2660"/>
    <w:rsid w:val="00EC26B1"/>
    <w:rsid w:val="00EC27F5"/>
    <w:rsid w:val="00EC283D"/>
    <w:rsid w:val="00EC2870"/>
    <w:rsid w:val="00EC28D9"/>
    <w:rsid w:val="00EC29BA"/>
    <w:rsid w:val="00EC29F1"/>
    <w:rsid w:val="00EC2BEE"/>
    <w:rsid w:val="00EC2C87"/>
    <w:rsid w:val="00EC2D0A"/>
    <w:rsid w:val="00EC2DD2"/>
    <w:rsid w:val="00EC2E8B"/>
    <w:rsid w:val="00EC2FD3"/>
    <w:rsid w:val="00EC31B3"/>
    <w:rsid w:val="00EC341A"/>
    <w:rsid w:val="00EC3497"/>
    <w:rsid w:val="00EC3560"/>
    <w:rsid w:val="00EC3592"/>
    <w:rsid w:val="00EC397E"/>
    <w:rsid w:val="00EC3A2E"/>
    <w:rsid w:val="00EC3ABA"/>
    <w:rsid w:val="00EC3BEE"/>
    <w:rsid w:val="00EC3CF6"/>
    <w:rsid w:val="00EC3DC5"/>
    <w:rsid w:val="00EC3DCB"/>
    <w:rsid w:val="00EC3DE9"/>
    <w:rsid w:val="00EC3E12"/>
    <w:rsid w:val="00EC3E43"/>
    <w:rsid w:val="00EC3E68"/>
    <w:rsid w:val="00EC3FE8"/>
    <w:rsid w:val="00EC4011"/>
    <w:rsid w:val="00EC40F1"/>
    <w:rsid w:val="00EC4119"/>
    <w:rsid w:val="00EC4121"/>
    <w:rsid w:val="00EC4323"/>
    <w:rsid w:val="00EC43C6"/>
    <w:rsid w:val="00EC449F"/>
    <w:rsid w:val="00EC451C"/>
    <w:rsid w:val="00EC4573"/>
    <w:rsid w:val="00EC466B"/>
    <w:rsid w:val="00EC46C9"/>
    <w:rsid w:val="00EC4847"/>
    <w:rsid w:val="00EC48A8"/>
    <w:rsid w:val="00EC490C"/>
    <w:rsid w:val="00EC497F"/>
    <w:rsid w:val="00EC4DE3"/>
    <w:rsid w:val="00EC4E4D"/>
    <w:rsid w:val="00EC4E53"/>
    <w:rsid w:val="00EC4E7D"/>
    <w:rsid w:val="00EC4FC1"/>
    <w:rsid w:val="00EC505D"/>
    <w:rsid w:val="00EC5121"/>
    <w:rsid w:val="00EC5233"/>
    <w:rsid w:val="00EC53B5"/>
    <w:rsid w:val="00EC54A8"/>
    <w:rsid w:val="00EC554A"/>
    <w:rsid w:val="00EC55F5"/>
    <w:rsid w:val="00EC57EE"/>
    <w:rsid w:val="00EC5844"/>
    <w:rsid w:val="00EC58B1"/>
    <w:rsid w:val="00EC59A8"/>
    <w:rsid w:val="00EC5B29"/>
    <w:rsid w:val="00EC5B7E"/>
    <w:rsid w:val="00EC5D10"/>
    <w:rsid w:val="00EC5ECB"/>
    <w:rsid w:val="00EC5EF7"/>
    <w:rsid w:val="00EC5F25"/>
    <w:rsid w:val="00EC5FEE"/>
    <w:rsid w:val="00EC5FFC"/>
    <w:rsid w:val="00EC600C"/>
    <w:rsid w:val="00EC604F"/>
    <w:rsid w:val="00EC6258"/>
    <w:rsid w:val="00EC62A1"/>
    <w:rsid w:val="00EC634A"/>
    <w:rsid w:val="00EC6354"/>
    <w:rsid w:val="00EC638C"/>
    <w:rsid w:val="00EC6454"/>
    <w:rsid w:val="00EC6638"/>
    <w:rsid w:val="00EC6647"/>
    <w:rsid w:val="00EC6652"/>
    <w:rsid w:val="00EC66B0"/>
    <w:rsid w:val="00EC6722"/>
    <w:rsid w:val="00EC6748"/>
    <w:rsid w:val="00EC6816"/>
    <w:rsid w:val="00EC68C1"/>
    <w:rsid w:val="00EC6A85"/>
    <w:rsid w:val="00EC6AA3"/>
    <w:rsid w:val="00EC6B1B"/>
    <w:rsid w:val="00EC6BA2"/>
    <w:rsid w:val="00EC6C0D"/>
    <w:rsid w:val="00EC6C41"/>
    <w:rsid w:val="00EC6CBA"/>
    <w:rsid w:val="00EC6CF8"/>
    <w:rsid w:val="00EC6E2E"/>
    <w:rsid w:val="00EC6E4D"/>
    <w:rsid w:val="00EC6F7F"/>
    <w:rsid w:val="00EC6FE2"/>
    <w:rsid w:val="00EC70C8"/>
    <w:rsid w:val="00EC7117"/>
    <w:rsid w:val="00EC7122"/>
    <w:rsid w:val="00EC722E"/>
    <w:rsid w:val="00EC722F"/>
    <w:rsid w:val="00EC72DB"/>
    <w:rsid w:val="00EC7696"/>
    <w:rsid w:val="00EC7714"/>
    <w:rsid w:val="00EC783F"/>
    <w:rsid w:val="00EC794B"/>
    <w:rsid w:val="00EC7985"/>
    <w:rsid w:val="00EC79C1"/>
    <w:rsid w:val="00EC7AF6"/>
    <w:rsid w:val="00EC7B1C"/>
    <w:rsid w:val="00EC7BB0"/>
    <w:rsid w:val="00EC7C4F"/>
    <w:rsid w:val="00EC7D74"/>
    <w:rsid w:val="00EC7DFE"/>
    <w:rsid w:val="00EC7E01"/>
    <w:rsid w:val="00EC7E88"/>
    <w:rsid w:val="00EC7EEB"/>
    <w:rsid w:val="00ED0136"/>
    <w:rsid w:val="00ED022C"/>
    <w:rsid w:val="00ED02CA"/>
    <w:rsid w:val="00ED0343"/>
    <w:rsid w:val="00ED0399"/>
    <w:rsid w:val="00ED03DD"/>
    <w:rsid w:val="00ED043E"/>
    <w:rsid w:val="00ED0509"/>
    <w:rsid w:val="00ED05B3"/>
    <w:rsid w:val="00ED0649"/>
    <w:rsid w:val="00ED08E5"/>
    <w:rsid w:val="00ED0968"/>
    <w:rsid w:val="00ED0979"/>
    <w:rsid w:val="00ED0A91"/>
    <w:rsid w:val="00ED0A95"/>
    <w:rsid w:val="00ED0BDB"/>
    <w:rsid w:val="00ED0BE2"/>
    <w:rsid w:val="00ED0E2D"/>
    <w:rsid w:val="00ED0F0E"/>
    <w:rsid w:val="00ED0F61"/>
    <w:rsid w:val="00ED117B"/>
    <w:rsid w:val="00ED11EE"/>
    <w:rsid w:val="00ED12A9"/>
    <w:rsid w:val="00ED1336"/>
    <w:rsid w:val="00ED1397"/>
    <w:rsid w:val="00ED142E"/>
    <w:rsid w:val="00ED155B"/>
    <w:rsid w:val="00ED161A"/>
    <w:rsid w:val="00ED1704"/>
    <w:rsid w:val="00ED1826"/>
    <w:rsid w:val="00ED189F"/>
    <w:rsid w:val="00ED18EC"/>
    <w:rsid w:val="00ED1924"/>
    <w:rsid w:val="00ED1A90"/>
    <w:rsid w:val="00ED1AC6"/>
    <w:rsid w:val="00ED1E20"/>
    <w:rsid w:val="00ED1E62"/>
    <w:rsid w:val="00ED2041"/>
    <w:rsid w:val="00ED2186"/>
    <w:rsid w:val="00ED2201"/>
    <w:rsid w:val="00ED229A"/>
    <w:rsid w:val="00ED22A4"/>
    <w:rsid w:val="00ED22B3"/>
    <w:rsid w:val="00ED22B6"/>
    <w:rsid w:val="00ED23CA"/>
    <w:rsid w:val="00ED243A"/>
    <w:rsid w:val="00ED24CB"/>
    <w:rsid w:val="00ED2583"/>
    <w:rsid w:val="00ED2736"/>
    <w:rsid w:val="00ED284B"/>
    <w:rsid w:val="00ED2A89"/>
    <w:rsid w:val="00ED2C69"/>
    <w:rsid w:val="00ED2D0A"/>
    <w:rsid w:val="00ED2EA4"/>
    <w:rsid w:val="00ED3115"/>
    <w:rsid w:val="00ED33F4"/>
    <w:rsid w:val="00ED34BA"/>
    <w:rsid w:val="00ED35DC"/>
    <w:rsid w:val="00ED37A0"/>
    <w:rsid w:val="00ED3859"/>
    <w:rsid w:val="00ED3894"/>
    <w:rsid w:val="00ED3B07"/>
    <w:rsid w:val="00ED3CFD"/>
    <w:rsid w:val="00ED3D29"/>
    <w:rsid w:val="00ED3D88"/>
    <w:rsid w:val="00ED3EA7"/>
    <w:rsid w:val="00ED4041"/>
    <w:rsid w:val="00ED41CE"/>
    <w:rsid w:val="00ED41EC"/>
    <w:rsid w:val="00ED4444"/>
    <w:rsid w:val="00ED44CF"/>
    <w:rsid w:val="00ED4839"/>
    <w:rsid w:val="00ED49A3"/>
    <w:rsid w:val="00ED49B5"/>
    <w:rsid w:val="00ED4B66"/>
    <w:rsid w:val="00ED4B96"/>
    <w:rsid w:val="00ED4D96"/>
    <w:rsid w:val="00ED4E1C"/>
    <w:rsid w:val="00ED4E70"/>
    <w:rsid w:val="00ED4EF5"/>
    <w:rsid w:val="00ED5109"/>
    <w:rsid w:val="00ED5280"/>
    <w:rsid w:val="00ED52FC"/>
    <w:rsid w:val="00ED539C"/>
    <w:rsid w:val="00ED5422"/>
    <w:rsid w:val="00ED554A"/>
    <w:rsid w:val="00ED5657"/>
    <w:rsid w:val="00ED56A7"/>
    <w:rsid w:val="00ED580F"/>
    <w:rsid w:val="00ED581F"/>
    <w:rsid w:val="00ED5844"/>
    <w:rsid w:val="00ED5870"/>
    <w:rsid w:val="00ED5A8D"/>
    <w:rsid w:val="00ED5ADB"/>
    <w:rsid w:val="00ED5B52"/>
    <w:rsid w:val="00ED5BF8"/>
    <w:rsid w:val="00ED5C16"/>
    <w:rsid w:val="00ED5D6F"/>
    <w:rsid w:val="00ED5DC8"/>
    <w:rsid w:val="00ED5E86"/>
    <w:rsid w:val="00ED5EAD"/>
    <w:rsid w:val="00ED5F4A"/>
    <w:rsid w:val="00ED60AA"/>
    <w:rsid w:val="00ED61EB"/>
    <w:rsid w:val="00ED627A"/>
    <w:rsid w:val="00ED62F4"/>
    <w:rsid w:val="00ED63CD"/>
    <w:rsid w:val="00ED63FF"/>
    <w:rsid w:val="00ED646C"/>
    <w:rsid w:val="00ED66B2"/>
    <w:rsid w:val="00ED66B5"/>
    <w:rsid w:val="00ED6977"/>
    <w:rsid w:val="00ED69C0"/>
    <w:rsid w:val="00ED6A78"/>
    <w:rsid w:val="00ED6A87"/>
    <w:rsid w:val="00ED6CF8"/>
    <w:rsid w:val="00ED6D5E"/>
    <w:rsid w:val="00ED6F2B"/>
    <w:rsid w:val="00ED7086"/>
    <w:rsid w:val="00ED71E6"/>
    <w:rsid w:val="00ED7292"/>
    <w:rsid w:val="00ED72A0"/>
    <w:rsid w:val="00ED72D0"/>
    <w:rsid w:val="00ED7309"/>
    <w:rsid w:val="00ED7368"/>
    <w:rsid w:val="00ED7625"/>
    <w:rsid w:val="00ED7629"/>
    <w:rsid w:val="00ED763E"/>
    <w:rsid w:val="00ED7680"/>
    <w:rsid w:val="00ED77C7"/>
    <w:rsid w:val="00ED78A0"/>
    <w:rsid w:val="00ED7991"/>
    <w:rsid w:val="00ED7A63"/>
    <w:rsid w:val="00ED7AA8"/>
    <w:rsid w:val="00ED7B34"/>
    <w:rsid w:val="00ED7B55"/>
    <w:rsid w:val="00ED7D90"/>
    <w:rsid w:val="00ED7E15"/>
    <w:rsid w:val="00ED7E7F"/>
    <w:rsid w:val="00ED7ED2"/>
    <w:rsid w:val="00ED7F94"/>
    <w:rsid w:val="00ED7FBA"/>
    <w:rsid w:val="00EE01A0"/>
    <w:rsid w:val="00EE01C8"/>
    <w:rsid w:val="00EE0304"/>
    <w:rsid w:val="00EE0345"/>
    <w:rsid w:val="00EE0416"/>
    <w:rsid w:val="00EE050A"/>
    <w:rsid w:val="00EE055A"/>
    <w:rsid w:val="00EE066F"/>
    <w:rsid w:val="00EE069A"/>
    <w:rsid w:val="00EE06E4"/>
    <w:rsid w:val="00EE0841"/>
    <w:rsid w:val="00EE08E0"/>
    <w:rsid w:val="00EE0929"/>
    <w:rsid w:val="00EE092B"/>
    <w:rsid w:val="00EE09F2"/>
    <w:rsid w:val="00EE0A38"/>
    <w:rsid w:val="00EE0BC4"/>
    <w:rsid w:val="00EE0BDB"/>
    <w:rsid w:val="00EE0C3F"/>
    <w:rsid w:val="00EE0D8B"/>
    <w:rsid w:val="00EE0E52"/>
    <w:rsid w:val="00EE0E54"/>
    <w:rsid w:val="00EE0E61"/>
    <w:rsid w:val="00EE0EC5"/>
    <w:rsid w:val="00EE1014"/>
    <w:rsid w:val="00EE1019"/>
    <w:rsid w:val="00EE106C"/>
    <w:rsid w:val="00EE1076"/>
    <w:rsid w:val="00EE10EF"/>
    <w:rsid w:val="00EE110D"/>
    <w:rsid w:val="00EE121D"/>
    <w:rsid w:val="00EE127D"/>
    <w:rsid w:val="00EE12CB"/>
    <w:rsid w:val="00EE1300"/>
    <w:rsid w:val="00EE1400"/>
    <w:rsid w:val="00EE1502"/>
    <w:rsid w:val="00EE1594"/>
    <w:rsid w:val="00EE173A"/>
    <w:rsid w:val="00EE17E2"/>
    <w:rsid w:val="00EE1BE0"/>
    <w:rsid w:val="00EE1C19"/>
    <w:rsid w:val="00EE1C2D"/>
    <w:rsid w:val="00EE1D8F"/>
    <w:rsid w:val="00EE1EE0"/>
    <w:rsid w:val="00EE1F67"/>
    <w:rsid w:val="00EE2092"/>
    <w:rsid w:val="00EE20F4"/>
    <w:rsid w:val="00EE2446"/>
    <w:rsid w:val="00EE24A7"/>
    <w:rsid w:val="00EE2552"/>
    <w:rsid w:val="00EE278B"/>
    <w:rsid w:val="00EE2852"/>
    <w:rsid w:val="00EE286C"/>
    <w:rsid w:val="00EE297B"/>
    <w:rsid w:val="00EE2B0E"/>
    <w:rsid w:val="00EE2B2D"/>
    <w:rsid w:val="00EE2B73"/>
    <w:rsid w:val="00EE2B7E"/>
    <w:rsid w:val="00EE2DD9"/>
    <w:rsid w:val="00EE2E55"/>
    <w:rsid w:val="00EE3029"/>
    <w:rsid w:val="00EE3060"/>
    <w:rsid w:val="00EE30B3"/>
    <w:rsid w:val="00EE31C2"/>
    <w:rsid w:val="00EE324C"/>
    <w:rsid w:val="00EE32A7"/>
    <w:rsid w:val="00EE32F1"/>
    <w:rsid w:val="00EE335D"/>
    <w:rsid w:val="00EE33AD"/>
    <w:rsid w:val="00EE352B"/>
    <w:rsid w:val="00EE3612"/>
    <w:rsid w:val="00EE3656"/>
    <w:rsid w:val="00EE373B"/>
    <w:rsid w:val="00EE3985"/>
    <w:rsid w:val="00EE39C1"/>
    <w:rsid w:val="00EE39E1"/>
    <w:rsid w:val="00EE3E2D"/>
    <w:rsid w:val="00EE3E45"/>
    <w:rsid w:val="00EE3F87"/>
    <w:rsid w:val="00EE41A4"/>
    <w:rsid w:val="00EE4242"/>
    <w:rsid w:val="00EE42FD"/>
    <w:rsid w:val="00EE43AF"/>
    <w:rsid w:val="00EE442B"/>
    <w:rsid w:val="00EE4441"/>
    <w:rsid w:val="00EE4464"/>
    <w:rsid w:val="00EE44CA"/>
    <w:rsid w:val="00EE45F6"/>
    <w:rsid w:val="00EE47F0"/>
    <w:rsid w:val="00EE4855"/>
    <w:rsid w:val="00EE4911"/>
    <w:rsid w:val="00EE4989"/>
    <w:rsid w:val="00EE4B48"/>
    <w:rsid w:val="00EE4B70"/>
    <w:rsid w:val="00EE4BB4"/>
    <w:rsid w:val="00EE4C26"/>
    <w:rsid w:val="00EE4CFA"/>
    <w:rsid w:val="00EE4DAA"/>
    <w:rsid w:val="00EE4E62"/>
    <w:rsid w:val="00EE4EDC"/>
    <w:rsid w:val="00EE4F1B"/>
    <w:rsid w:val="00EE509F"/>
    <w:rsid w:val="00EE51EC"/>
    <w:rsid w:val="00EE5277"/>
    <w:rsid w:val="00EE52BE"/>
    <w:rsid w:val="00EE5406"/>
    <w:rsid w:val="00EE55F1"/>
    <w:rsid w:val="00EE574E"/>
    <w:rsid w:val="00EE57A9"/>
    <w:rsid w:val="00EE57E5"/>
    <w:rsid w:val="00EE5810"/>
    <w:rsid w:val="00EE585D"/>
    <w:rsid w:val="00EE5954"/>
    <w:rsid w:val="00EE5A73"/>
    <w:rsid w:val="00EE5B13"/>
    <w:rsid w:val="00EE5DF1"/>
    <w:rsid w:val="00EE5E74"/>
    <w:rsid w:val="00EE5FD3"/>
    <w:rsid w:val="00EE5FD9"/>
    <w:rsid w:val="00EE6059"/>
    <w:rsid w:val="00EE609F"/>
    <w:rsid w:val="00EE60CF"/>
    <w:rsid w:val="00EE612E"/>
    <w:rsid w:val="00EE616A"/>
    <w:rsid w:val="00EE6353"/>
    <w:rsid w:val="00EE63B3"/>
    <w:rsid w:val="00EE6431"/>
    <w:rsid w:val="00EE6634"/>
    <w:rsid w:val="00EE6669"/>
    <w:rsid w:val="00EE66C8"/>
    <w:rsid w:val="00EE675B"/>
    <w:rsid w:val="00EE6823"/>
    <w:rsid w:val="00EE68C5"/>
    <w:rsid w:val="00EE6A4C"/>
    <w:rsid w:val="00EE6A9D"/>
    <w:rsid w:val="00EE6AA1"/>
    <w:rsid w:val="00EE6ABF"/>
    <w:rsid w:val="00EE6BF5"/>
    <w:rsid w:val="00EE6BFB"/>
    <w:rsid w:val="00EE6BFC"/>
    <w:rsid w:val="00EE6C49"/>
    <w:rsid w:val="00EE6C7B"/>
    <w:rsid w:val="00EE6D5A"/>
    <w:rsid w:val="00EE6D66"/>
    <w:rsid w:val="00EE6D76"/>
    <w:rsid w:val="00EE6EE7"/>
    <w:rsid w:val="00EE6F45"/>
    <w:rsid w:val="00EE6FC3"/>
    <w:rsid w:val="00EE7022"/>
    <w:rsid w:val="00EE714C"/>
    <w:rsid w:val="00EE7187"/>
    <w:rsid w:val="00EE7245"/>
    <w:rsid w:val="00EE73E0"/>
    <w:rsid w:val="00EE7435"/>
    <w:rsid w:val="00EE74DA"/>
    <w:rsid w:val="00EE750C"/>
    <w:rsid w:val="00EE752D"/>
    <w:rsid w:val="00EE77B4"/>
    <w:rsid w:val="00EE79C8"/>
    <w:rsid w:val="00EE79DD"/>
    <w:rsid w:val="00EE79E7"/>
    <w:rsid w:val="00EE7A0D"/>
    <w:rsid w:val="00EE7A25"/>
    <w:rsid w:val="00EE7AA1"/>
    <w:rsid w:val="00EE7B08"/>
    <w:rsid w:val="00EE7BE8"/>
    <w:rsid w:val="00EE7D0B"/>
    <w:rsid w:val="00EE7D55"/>
    <w:rsid w:val="00EE7E56"/>
    <w:rsid w:val="00EE7F2E"/>
    <w:rsid w:val="00EE7F74"/>
    <w:rsid w:val="00EE7F83"/>
    <w:rsid w:val="00EE7F9D"/>
    <w:rsid w:val="00EF00F1"/>
    <w:rsid w:val="00EF05CC"/>
    <w:rsid w:val="00EF0649"/>
    <w:rsid w:val="00EF0787"/>
    <w:rsid w:val="00EF0918"/>
    <w:rsid w:val="00EF0CBB"/>
    <w:rsid w:val="00EF0CE7"/>
    <w:rsid w:val="00EF0E25"/>
    <w:rsid w:val="00EF0E73"/>
    <w:rsid w:val="00EF0F49"/>
    <w:rsid w:val="00EF0F84"/>
    <w:rsid w:val="00EF112F"/>
    <w:rsid w:val="00EF11EA"/>
    <w:rsid w:val="00EF1208"/>
    <w:rsid w:val="00EF127A"/>
    <w:rsid w:val="00EF1690"/>
    <w:rsid w:val="00EF17EA"/>
    <w:rsid w:val="00EF1815"/>
    <w:rsid w:val="00EF191F"/>
    <w:rsid w:val="00EF19F6"/>
    <w:rsid w:val="00EF1A32"/>
    <w:rsid w:val="00EF1AA0"/>
    <w:rsid w:val="00EF1B6A"/>
    <w:rsid w:val="00EF1C3B"/>
    <w:rsid w:val="00EF1CBC"/>
    <w:rsid w:val="00EF1CC5"/>
    <w:rsid w:val="00EF1E57"/>
    <w:rsid w:val="00EF1F1B"/>
    <w:rsid w:val="00EF1F74"/>
    <w:rsid w:val="00EF2204"/>
    <w:rsid w:val="00EF2229"/>
    <w:rsid w:val="00EF223C"/>
    <w:rsid w:val="00EF22F4"/>
    <w:rsid w:val="00EF22F7"/>
    <w:rsid w:val="00EF2421"/>
    <w:rsid w:val="00EF2474"/>
    <w:rsid w:val="00EF2576"/>
    <w:rsid w:val="00EF2A92"/>
    <w:rsid w:val="00EF2B6A"/>
    <w:rsid w:val="00EF2C66"/>
    <w:rsid w:val="00EF2C76"/>
    <w:rsid w:val="00EF2E28"/>
    <w:rsid w:val="00EF2E5C"/>
    <w:rsid w:val="00EF2EE8"/>
    <w:rsid w:val="00EF2F35"/>
    <w:rsid w:val="00EF3018"/>
    <w:rsid w:val="00EF3169"/>
    <w:rsid w:val="00EF3193"/>
    <w:rsid w:val="00EF3267"/>
    <w:rsid w:val="00EF326C"/>
    <w:rsid w:val="00EF3286"/>
    <w:rsid w:val="00EF32C9"/>
    <w:rsid w:val="00EF32E1"/>
    <w:rsid w:val="00EF3382"/>
    <w:rsid w:val="00EF3432"/>
    <w:rsid w:val="00EF3447"/>
    <w:rsid w:val="00EF3469"/>
    <w:rsid w:val="00EF34D7"/>
    <w:rsid w:val="00EF3840"/>
    <w:rsid w:val="00EF38C5"/>
    <w:rsid w:val="00EF38EE"/>
    <w:rsid w:val="00EF3A85"/>
    <w:rsid w:val="00EF3B78"/>
    <w:rsid w:val="00EF3B95"/>
    <w:rsid w:val="00EF3CCC"/>
    <w:rsid w:val="00EF3D2C"/>
    <w:rsid w:val="00EF3D34"/>
    <w:rsid w:val="00EF3D58"/>
    <w:rsid w:val="00EF3E0F"/>
    <w:rsid w:val="00EF3EA1"/>
    <w:rsid w:val="00EF3F54"/>
    <w:rsid w:val="00EF40EF"/>
    <w:rsid w:val="00EF4476"/>
    <w:rsid w:val="00EF457D"/>
    <w:rsid w:val="00EF47B1"/>
    <w:rsid w:val="00EF4836"/>
    <w:rsid w:val="00EF484C"/>
    <w:rsid w:val="00EF4967"/>
    <w:rsid w:val="00EF49BD"/>
    <w:rsid w:val="00EF4A75"/>
    <w:rsid w:val="00EF4AA8"/>
    <w:rsid w:val="00EF4ABC"/>
    <w:rsid w:val="00EF4B69"/>
    <w:rsid w:val="00EF4BBB"/>
    <w:rsid w:val="00EF4C84"/>
    <w:rsid w:val="00EF4C9F"/>
    <w:rsid w:val="00EF4CDD"/>
    <w:rsid w:val="00EF4D21"/>
    <w:rsid w:val="00EF4E31"/>
    <w:rsid w:val="00EF4ED5"/>
    <w:rsid w:val="00EF4F15"/>
    <w:rsid w:val="00EF4F6A"/>
    <w:rsid w:val="00EF50CE"/>
    <w:rsid w:val="00EF5419"/>
    <w:rsid w:val="00EF5454"/>
    <w:rsid w:val="00EF5499"/>
    <w:rsid w:val="00EF557F"/>
    <w:rsid w:val="00EF5587"/>
    <w:rsid w:val="00EF57D1"/>
    <w:rsid w:val="00EF581D"/>
    <w:rsid w:val="00EF5900"/>
    <w:rsid w:val="00EF5A14"/>
    <w:rsid w:val="00EF5A24"/>
    <w:rsid w:val="00EF5BCB"/>
    <w:rsid w:val="00EF5C4F"/>
    <w:rsid w:val="00EF5C65"/>
    <w:rsid w:val="00EF5F72"/>
    <w:rsid w:val="00EF5FE5"/>
    <w:rsid w:val="00EF60C8"/>
    <w:rsid w:val="00EF6476"/>
    <w:rsid w:val="00EF6494"/>
    <w:rsid w:val="00EF64CB"/>
    <w:rsid w:val="00EF6539"/>
    <w:rsid w:val="00EF6593"/>
    <w:rsid w:val="00EF6613"/>
    <w:rsid w:val="00EF6692"/>
    <w:rsid w:val="00EF6AFE"/>
    <w:rsid w:val="00EF6AFF"/>
    <w:rsid w:val="00EF6B2E"/>
    <w:rsid w:val="00EF6C89"/>
    <w:rsid w:val="00EF6C90"/>
    <w:rsid w:val="00EF7048"/>
    <w:rsid w:val="00EF70DC"/>
    <w:rsid w:val="00EF7112"/>
    <w:rsid w:val="00EF7174"/>
    <w:rsid w:val="00EF71D4"/>
    <w:rsid w:val="00EF724B"/>
    <w:rsid w:val="00EF75F2"/>
    <w:rsid w:val="00EF7606"/>
    <w:rsid w:val="00EF76B4"/>
    <w:rsid w:val="00EF76FC"/>
    <w:rsid w:val="00EF77B9"/>
    <w:rsid w:val="00EF79E9"/>
    <w:rsid w:val="00EF7A17"/>
    <w:rsid w:val="00EF7A57"/>
    <w:rsid w:val="00EF7A98"/>
    <w:rsid w:val="00EF7D1B"/>
    <w:rsid w:val="00EF7D5D"/>
    <w:rsid w:val="00EF7F5D"/>
    <w:rsid w:val="00F0014C"/>
    <w:rsid w:val="00F001D3"/>
    <w:rsid w:val="00F00274"/>
    <w:rsid w:val="00F003EE"/>
    <w:rsid w:val="00F00495"/>
    <w:rsid w:val="00F0086F"/>
    <w:rsid w:val="00F008C2"/>
    <w:rsid w:val="00F009F8"/>
    <w:rsid w:val="00F00A62"/>
    <w:rsid w:val="00F00A9A"/>
    <w:rsid w:val="00F00AF3"/>
    <w:rsid w:val="00F00BBF"/>
    <w:rsid w:val="00F00DBC"/>
    <w:rsid w:val="00F00E33"/>
    <w:rsid w:val="00F00F07"/>
    <w:rsid w:val="00F00F42"/>
    <w:rsid w:val="00F00F53"/>
    <w:rsid w:val="00F00FA0"/>
    <w:rsid w:val="00F00FFA"/>
    <w:rsid w:val="00F01056"/>
    <w:rsid w:val="00F0109A"/>
    <w:rsid w:val="00F0117B"/>
    <w:rsid w:val="00F0133C"/>
    <w:rsid w:val="00F013DE"/>
    <w:rsid w:val="00F014A9"/>
    <w:rsid w:val="00F014F8"/>
    <w:rsid w:val="00F015FC"/>
    <w:rsid w:val="00F01662"/>
    <w:rsid w:val="00F01713"/>
    <w:rsid w:val="00F0174A"/>
    <w:rsid w:val="00F017CC"/>
    <w:rsid w:val="00F0182F"/>
    <w:rsid w:val="00F01895"/>
    <w:rsid w:val="00F018C1"/>
    <w:rsid w:val="00F01B91"/>
    <w:rsid w:val="00F01BDA"/>
    <w:rsid w:val="00F01CED"/>
    <w:rsid w:val="00F01D55"/>
    <w:rsid w:val="00F01E56"/>
    <w:rsid w:val="00F01EC2"/>
    <w:rsid w:val="00F01EDA"/>
    <w:rsid w:val="00F01EF2"/>
    <w:rsid w:val="00F01F4E"/>
    <w:rsid w:val="00F0205A"/>
    <w:rsid w:val="00F02085"/>
    <w:rsid w:val="00F020FD"/>
    <w:rsid w:val="00F0229D"/>
    <w:rsid w:val="00F022B4"/>
    <w:rsid w:val="00F022C7"/>
    <w:rsid w:val="00F02361"/>
    <w:rsid w:val="00F023C9"/>
    <w:rsid w:val="00F023FD"/>
    <w:rsid w:val="00F02423"/>
    <w:rsid w:val="00F02436"/>
    <w:rsid w:val="00F024F0"/>
    <w:rsid w:val="00F0258B"/>
    <w:rsid w:val="00F02598"/>
    <w:rsid w:val="00F025B0"/>
    <w:rsid w:val="00F025C5"/>
    <w:rsid w:val="00F02671"/>
    <w:rsid w:val="00F0267D"/>
    <w:rsid w:val="00F026F7"/>
    <w:rsid w:val="00F0283E"/>
    <w:rsid w:val="00F02AEA"/>
    <w:rsid w:val="00F02B5E"/>
    <w:rsid w:val="00F02C95"/>
    <w:rsid w:val="00F02CE6"/>
    <w:rsid w:val="00F02D1D"/>
    <w:rsid w:val="00F02FCB"/>
    <w:rsid w:val="00F030C5"/>
    <w:rsid w:val="00F031B7"/>
    <w:rsid w:val="00F031C7"/>
    <w:rsid w:val="00F03345"/>
    <w:rsid w:val="00F0389D"/>
    <w:rsid w:val="00F038C5"/>
    <w:rsid w:val="00F0399B"/>
    <w:rsid w:val="00F039F2"/>
    <w:rsid w:val="00F03A09"/>
    <w:rsid w:val="00F03A26"/>
    <w:rsid w:val="00F03AF3"/>
    <w:rsid w:val="00F03B35"/>
    <w:rsid w:val="00F03BB0"/>
    <w:rsid w:val="00F03BDA"/>
    <w:rsid w:val="00F03CCA"/>
    <w:rsid w:val="00F03E0B"/>
    <w:rsid w:val="00F0402F"/>
    <w:rsid w:val="00F0403D"/>
    <w:rsid w:val="00F04227"/>
    <w:rsid w:val="00F0424F"/>
    <w:rsid w:val="00F04302"/>
    <w:rsid w:val="00F043F7"/>
    <w:rsid w:val="00F04514"/>
    <w:rsid w:val="00F045EB"/>
    <w:rsid w:val="00F04640"/>
    <w:rsid w:val="00F046F3"/>
    <w:rsid w:val="00F04C4C"/>
    <w:rsid w:val="00F04D2B"/>
    <w:rsid w:val="00F04E1B"/>
    <w:rsid w:val="00F04F59"/>
    <w:rsid w:val="00F0520D"/>
    <w:rsid w:val="00F05263"/>
    <w:rsid w:val="00F05267"/>
    <w:rsid w:val="00F052D4"/>
    <w:rsid w:val="00F0545E"/>
    <w:rsid w:val="00F0552B"/>
    <w:rsid w:val="00F058DD"/>
    <w:rsid w:val="00F05B20"/>
    <w:rsid w:val="00F05CC1"/>
    <w:rsid w:val="00F05E8E"/>
    <w:rsid w:val="00F0601F"/>
    <w:rsid w:val="00F06096"/>
    <w:rsid w:val="00F062AA"/>
    <w:rsid w:val="00F06313"/>
    <w:rsid w:val="00F06329"/>
    <w:rsid w:val="00F0632E"/>
    <w:rsid w:val="00F06389"/>
    <w:rsid w:val="00F06460"/>
    <w:rsid w:val="00F064FE"/>
    <w:rsid w:val="00F0654F"/>
    <w:rsid w:val="00F066BF"/>
    <w:rsid w:val="00F0687A"/>
    <w:rsid w:val="00F068E4"/>
    <w:rsid w:val="00F06933"/>
    <w:rsid w:val="00F06A59"/>
    <w:rsid w:val="00F06ADB"/>
    <w:rsid w:val="00F06B30"/>
    <w:rsid w:val="00F06C1D"/>
    <w:rsid w:val="00F06CD7"/>
    <w:rsid w:val="00F06DF7"/>
    <w:rsid w:val="00F073C9"/>
    <w:rsid w:val="00F074C2"/>
    <w:rsid w:val="00F07770"/>
    <w:rsid w:val="00F07773"/>
    <w:rsid w:val="00F077FE"/>
    <w:rsid w:val="00F07878"/>
    <w:rsid w:val="00F078A6"/>
    <w:rsid w:val="00F07D85"/>
    <w:rsid w:val="00F07DCF"/>
    <w:rsid w:val="00F07E7A"/>
    <w:rsid w:val="00F10237"/>
    <w:rsid w:val="00F10340"/>
    <w:rsid w:val="00F103D2"/>
    <w:rsid w:val="00F10570"/>
    <w:rsid w:val="00F105A7"/>
    <w:rsid w:val="00F105B5"/>
    <w:rsid w:val="00F10905"/>
    <w:rsid w:val="00F10924"/>
    <w:rsid w:val="00F109F3"/>
    <w:rsid w:val="00F10A38"/>
    <w:rsid w:val="00F10D6D"/>
    <w:rsid w:val="00F10E4E"/>
    <w:rsid w:val="00F10FD6"/>
    <w:rsid w:val="00F110EA"/>
    <w:rsid w:val="00F111E1"/>
    <w:rsid w:val="00F11248"/>
    <w:rsid w:val="00F11258"/>
    <w:rsid w:val="00F1131E"/>
    <w:rsid w:val="00F11386"/>
    <w:rsid w:val="00F113A7"/>
    <w:rsid w:val="00F11504"/>
    <w:rsid w:val="00F115C7"/>
    <w:rsid w:val="00F115EA"/>
    <w:rsid w:val="00F11672"/>
    <w:rsid w:val="00F11681"/>
    <w:rsid w:val="00F1176A"/>
    <w:rsid w:val="00F11804"/>
    <w:rsid w:val="00F11805"/>
    <w:rsid w:val="00F11865"/>
    <w:rsid w:val="00F1194F"/>
    <w:rsid w:val="00F11A2D"/>
    <w:rsid w:val="00F11B41"/>
    <w:rsid w:val="00F11C26"/>
    <w:rsid w:val="00F11CB2"/>
    <w:rsid w:val="00F11E11"/>
    <w:rsid w:val="00F11EC2"/>
    <w:rsid w:val="00F11ED0"/>
    <w:rsid w:val="00F1226F"/>
    <w:rsid w:val="00F122A4"/>
    <w:rsid w:val="00F12413"/>
    <w:rsid w:val="00F1288C"/>
    <w:rsid w:val="00F12994"/>
    <w:rsid w:val="00F12BCD"/>
    <w:rsid w:val="00F12C36"/>
    <w:rsid w:val="00F12D25"/>
    <w:rsid w:val="00F12F05"/>
    <w:rsid w:val="00F13031"/>
    <w:rsid w:val="00F13062"/>
    <w:rsid w:val="00F130DA"/>
    <w:rsid w:val="00F132FA"/>
    <w:rsid w:val="00F133DF"/>
    <w:rsid w:val="00F13448"/>
    <w:rsid w:val="00F13507"/>
    <w:rsid w:val="00F135F6"/>
    <w:rsid w:val="00F1365B"/>
    <w:rsid w:val="00F1365D"/>
    <w:rsid w:val="00F136AE"/>
    <w:rsid w:val="00F136E0"/>
    <w:rsid w:val="00F13788"/>
    <w:rsid w:val="00F13A77"/>
    <w:rsid w:val="00F13B51"/>
    <w:rsid w:val="00F13C21"/>
    <w:rsid w:val="00F13D8A"/>
    <w:rsid w:val="00F13FCA"/>
    <w:rsid w:val="00F140E4"/>
    <w:rsid w:val="00F1433C"/>
    <w:rsid w:val="00F1460E"/>
    <w:rsid w:val="00F146CA"/>
    <w:rsid w:val="00F14762"/>
    <w:rsid w:val="00F147C2"/>
    <w:rsid w:val="00F1480E"/>
    <w:rsid w:val="00F1486A"/>
    <w:rsid w:val="00F148CA"/>
    <w:rsid w:val="00F14A12"/>
    <w:rsid w:val="00F14A90"/>
    <w:rsid w:val="00F14BA0"/>
    <w:rsid w:val="00F14DB6"/>
    <w:rsid w:val="00F14DF2"/>
    <w:rsid w:val="00F14EDF"/>
    <w:rsid w:val="00F14F53"/>
    <w:rsid w:val="00F15105"/>
    <w:rsid w:val="00F15157"/>
    <w:rsid w:val="00F1515C"/>
    <w:rsid w:val="00F15207"/>
    <w:rsid w:val="00F15212"/>
    <w:rsid w:val="00F1523C"/>
    <w:rsid w:val="00F15270"/>
    <w:rsid w:val="00F15342"/>
    <w:rsid w:val="00F15366"/>
    <w:rsid w:val="00F15406"/>
    <w:rsid w:val="00F15410"/>
    <w:rsid w:val="00F15452"/>
    <w:rsid w:val="00F154D5"/>
    <w:rsid w:val="00F15507"/>
    <w:rsid w:val="00F1555E"/>
    <w:rsid w:val="00F15596"/>
    <w:rsid w:val="00F156A9"/>
    <w:rsid w:val="00F156B6"/>
    <w:rsid w:val="00F156DD"/>
    <w:rsid w:val="00F15788"/>
    <w:rsid w:val="00F1578B"/>
    <w:rsid w:val="00F15A0E"/>
    <w:rsid w:val="00F15B9C"/>
    <w:rsid w:val="00F15BAB"/>
    <w:rsid w:val="00F15BB0"/>
    <w:rsid w:val="00F15BF5"/>
    <w:rsid w:val="00F15D30"/>
    <w:rsid w:val="00F15D46"/>
    <w:rsid w:val="00F15DFA"/>
    <w:rsid w:val="00F16178"/>
    <w:rsid w:val="00F16274"/>
    <w:rsid w:val="00F16283"/>
    <w:rsid w:val="00F16436"/>
    <w:rsid w:val="00F1674F"/>
    <w:rsid w:val="00F167A6"/>
    <w:rsid w:val="00F167CA"/>
    <w:rsid w:val="00F16903"/>
    <w:rsid w:val="00F16AD3"/>
    <w:rsid w:val="00F16C26"/>
    <w:rsid w:val="00F16C5E"/>
    <w:rsid w:val="00F16C72"/>
    <w:rsid w:val="00F16D30"/>
    <w:rsid w:val="00F16DB9"/>
    <w:rsid w:val="00F16ED3"/>
    <w:rsid w:val="00F17159"/>
    <w:rsid w:val="00F171DC"/>
    <w:rsid w:val="00F172E3"/>
    <w:rsid w:val="00F172F0"/>
    <w:rsid w:val="00F173A7"/>
    <w:rsid w:val="00F173C3"/>
    <w:rsid w:val="00F1753D"/>
    <w:rsid w:val="00F175FA"/>
    <w:rsid w:val="00F1762C"/>
    <w:rsid w:val="00F17647"/>
    <w:rsid w:val="00F17750"/>
    <w:rsid w:val="00F177CF"/>
    <w:rsid w:val="00F17806"/>
    <w:rsid w:val="00F1795C"/>
    <w:rsid w:val="00F17AC6"/>
    <w:rsid w:val="00F17AC7"/>
    <w:rsid w:val="00F17B16"/>
    <w:rsid w:val="00F17BBE"/>
    <w:rsid w:val="00F17C2E"/>
    <w:rsid w:val="00F17CA4"/>
    <w:rsid w:val="00F17D8D"/>
    <w:rsid w:val="00F17DBB"/>
    <w:rsid w:val="00F17E5D"/>
    <w:rsid w:val="00F17EC9"/>
    <w:rsid w:val="00F17F4E"/>
    <w:rsid w:val="00F2003A"/>
    <w:rsid w:val="00F200D9"/>
    <w:rsid w:val="00F2032F"/>
    <w:rsid w:val="00F20330"/>
    <w:rsid w:val="00F203C9"/>
    <w:rsid w:val="00F204EB"/>
    <w:rsid w:val="00F205F2"/>
    <w:rsid w:val="00F2066A"/>
    <w:rsid w:val="00F20693"/>
    <w:rsid w:val="00F206BA"/>
    <w:rsid w:val="00F2082B"/>
    <w:rsid w:val="00F208C9"/>
    <w:rsid w:val="00F209FA"/>
    <w:rsid w:val="00F20AAB"/>
    <w:rsid w:val="00F20AC3"/>
    <w:rsid w:val="00F20B01"/>
    <w:rsid w:val="00F20B69"/>
    <w:rsid w:val="00F20D74"/>
    <w:rsid w:val="00F20D87"/>
    <w:rsid w:val="00F20ED4"/>
    <w:rsid w:val="00F20F71"/>
    <w:rsid w:val="00F2107E"/>
    <w:rsid w:val="00F2120F"/>
    <w:rsid w:val="00F2129F"/>
    <w:rsid w:val="00F213D9"/>
    <w:rsid w:val="00F2149B"/>
    <w:rsid w:val="00F215AA"/>
    <w:rsid w:val="00F21709"/>
    <w:rsid w:val="00F21763"/>
    <w:rsid w:val="00F217A1"/>
    <w:rsid w:val="00F217B6"/>
    <w:rsid w:val="00F217EA"/>
    <w:rsid w:val="00F2190C"/>
    <w:rsid w:val="00F21991"/>
    <w:rsid w:val="00F219E0"/>
    <w:rsid w:val="00F21A6B"/>
    <w:rsid w:val="00F21C1B"/>
    <w:rsid w:val="00F21CCB"/>
    <w:rsid w:val="00F21CE1"/>
    <w:rsid w:val="00F21D1B"/>
    <w:rsid w:val="00F21D50"/>
    <w:rsid w:val="00F21E0E"/>
    <w:rsid w:val="00F21EC6"/>
    <w:rsid w:val="00F21ECC"/>
    <w:rsid w:val="00F21EFD"/>
    <w:rsid w:val="00F21F0D"/>
    <w:rsid w:val="00F21FD4"/>
    <w:rsid w:val="00F22041"/>
    <w:rsid w:val="00F221B8"/>
    <w:rsid w:val="00F22241"/>
    <w:rsid w:val="00F2230E"/>
    <w:rsid w:val="00F2235C"/>
    <w:rsid w:val="00F2241E"/>
    <w:rsid w:val="00F22482"/>
    <w:rsid w:val="00F22511"/>
    <w:rsid w:val="00F22544"/>
    <w:rsid w:val="00F22828"/>
    <w:rsid w:val="00F2294A"/>
    <w:rsid w:val="00F22999"/>
    <w:rsid w:val="00F22D6B"/>
    <w:rsid w:val="00F22DFC"/>
    <w:rsid w:val="00F22E30"/>
    <w:rsid w:val="00F23070"/>
    <w:rsid w:val="00F23185"/>
    <w:rsid w:val="00F232AD"/>
    <w:rsid w:val="00F23396"/>
    <w:rsid w:val="00F23450"/>
    <w:rsid w:val="00F2346A"/>
    <w:rsid w:val="00F23584"/>
    <w:rsid w:val="00F23642"/>
    <w:rsid w:val="00F23711"/>
    <w:rsid w:val="00F23A01"/>
    <w:rsid w:val="00F23D40"/>
    <w:rsid w:val="00F23D68"/>
    <w:rsid w:val="00F23DB8"/>
    <w:rsid w:val="00F23E69"/>
    <w:rsid w:val="00F240E4"/>
    <w:rsid w:val="00F241B0"/>
    <w:rsid w:val="00F24227"/>
    <w:rsid w:val="00F242D8"/>
    <w:rsid w:val="00F24310"/>
    <w:rsid w:val="00F24400"/>
    <w:rsid w:val="00F244E8"/>
    <w:rsid w:val="00F24534"/>
    <w:rsid w:val="00F245FE"/>
    <w:rsid w:val="00F246FA"/>
    <w:rsid w:val="00F24720"/>
    <w:rsid w:val="00F2478F"/>
    <w:rsid w:val="00F247EC"/>
    <w:rsid w:val="00F2481D"/>
    <w:rsid w:val="00F24A47"/>
    <w:rsid w:val="00F24CD3"/>
    <w:rsid w:val="00F24D43"/>
    <w:rsid w:val="00F24DB0"/>
    <w:rsid w:val="00F24F98"/>
    <w:rsid w:val="00F24FEB"/>
    <w:rsid w:val="00F24FF9"/>
    <w:rsid w:val="00F2501F"/>
    <w:rsid w:val="00F251B9"/>
    <w:rsid w:val="00F2530C"/>
    <w:rsid w:val="00F25429"/>
    <w:rsid w:val="00F254FE"/>
    <w:rsid w:val="00F2560D"/>
    <w:rsid w:val="00F25767"/>
    <w:rsid w:val="00F2594F"/>
    <w:rsid w:val="00F25A75"/>
    <w:rsid w:val="00F25AD0"/>
    <w:rsid w:val="00F25B73"/>
    <w:rsid w:val="00F25C83"/>
    <w:rsid w:val="00F25DAA"/>
    <w:rsid w:val="00F25DCF"/>
    <w:rsid w:val="00F25E12"/>
    <w:rsid w:val="00F25ED9"/>
    <w:rsid w:val="00F26027"/>
    <w:rsid w:val="00F26067"/>
    <w:rsid w:val="00F260DC"/>
    <w:rsid w:val="00F261A2"/>
    <w:rsid w:val="00F262F1"/>
    <w:rsid w:val="00F2644D"/>
    <w:rsid w:val="00F2648C"/>
    <w:rsid w:val="00F264C0"/>
    <w:rsid w:val="00F26568"/>
    <w:rsid w:val="00F265A9"/>
    <w:rsid w:val="00F26610"/>
    <w:rsid w:val="00F26630"/>
    <w:rsid w:val="00F2690E"/>
    <w:rsid w:val="00F26926"/>
    <w:rsid w:val="00F26A3F"/>
    <w:rsid w:val="00F26A66"/>
    <w:rsid w:val="00F26A71"/>
    <w:rsid w:val="00F26C72"/>
    <w:rsid w:val="00F26CE4"/>
    <w:rsid w:val="00F26D4F"/>
    <w:rsid w:val="00F26EF8"/>
    <w:rsid w:val="00F26F01"/>
    <w:rsid w:val="00F27051"/>
    <w:rsid w:val="00F2709F"/>
    <w:rsid w:val="00F270E5"/>
    <w:rsid w:val="00F2717F"/>
    <w:rsid w:val="00F27208"/>
    <w:rsid w:val="00F272B5"/>
    <w:rsid w:val="00F27361"/>
    <w:rsid w:val="00F273B1"/>
    <w:rsid w:val="00F2749B"/>
    <w:rsid w:val="00F27539"/>
    <w:rsid w:val="00F27947"/>
    <w:rsid w:val="00F2797E"/>
    <w:rsid w:val="00F279CE"/>
    <w:rsid w:val="00F27A82"/>
    <w:rsid w:val="00F27AA4"/>
    <w:rsid w:val="00F27AD0"/>
    <w:rsid w:val="00F27B40"/>
    <w:rsid w:val="00F27D19"/>
    <w:rsid w:val="00F27D9D"/>
    <w:rsid w:val="00F27DA8"/>
    <w:rsid w:val="00F3012E"/>
    <w:rsid w:val="00F30175"/>
    <w:rsid w:val="00F3022A"/>
    <w:rsid w:val="00F303C7"/>
    <w:rsid w:val="00F30457"/>
    <w:rsid w:val="00F30575"/>
    <w:rsid w:val="00F30720"/>
    <w:rsid w:val="00F30735"/>
    <w:rsid w:val="00F3087B"/>
    <w:rsid w:val="00F3089C"/>
    <w:rsid w:val="00F30A29"/>
    <w:rsid w:val="00F30A90"/>
    <w:rsid w:val="00F30B85"/>
    <w:rsid w:val="00F30C52"/>
    <w:rsid w:val="00F30CF5"/>
    <w:rsid w:val="00F3101A"/>
    <w:rsid w:val="00F31061"/>
    <w:rsid w:val="00F31265"/>
    <w:rsid w:val="00F312CF"/>
    <w:rsid w:val="00F312F0"/>
    <w:rsid w:val="00F31375"/>
    <w:rsid w:val="00F313CC"/>
    <w:rsid w:val="00F3144D"/>
    <w:rsid w:val="00F314D2"/>
    <w:rsid w:val="00F314F3"/>
    <w:rsid w:val="00F3164A"/>
    <w:rsid w:val="00F31655"/>
    <w:rsid w:val="00F31678"/>
    <w:rsid w:val="00F317F5"/>
    <w:rsid w:val="00F3183F"/>
    <w:rsid w:val="00F318F1"/>
    <w:rsid w:val="00F31972"/>
    <w:rsid w:val="00F31977"/>
    <w:rsid w:val="00F31BC2"/>
    <w:rsid w:val="00F31CE9"/>
    <w:rsid w:val="00F31DD3"/>
    <w:rsid w:val="00F31E59"/>
    <w:rsid w:val="00F31F9E"/>
    <w:rsid w:val="00F320D7"/>
    <w:rsid w:val="00F322D1"/>
    <w:rsid w:val="00F32324"/>
    <w:rsid w:val="00F323B4"/>
    <w:rsid w:val="00F323C0"/>
    <w:rsid w:val="00F3249E"/>
    <w:rsid w:val="00F324C2"/>
    <w:rsid w:val="00F32541"/>
    <w:rsid w:val="00F325BA"/>
    <w:rsid w:val="00F32666"/>
    <w:rsid w:val="00F3276F"/>
    <w:rsid w:val="00F3283F"/>
    <w:rsid w:val="00F328CF"/>
    <w:rsid w:val="00F329A9"/>
    <w:rsid w:val="00F32A4A"/>
    <w:rsid w:val="00F32A72"/>
    <w:rsid w:val="00F32E0F"/>
    <w:rsid w:val="00F32E14"/>
    <w:rsid w:val="00F32E2B"/>
    <w:rsid w:val="00F32ED3"/>
    <w:rsid w:val="00F3301A"/>
    <w:rsid w:val="00F331B3"/>
    <w:rsid w:val="00F332CB"/>
    <w:rsid w:val="00F33348"/>
    <w:rsid w:val="00F33472"/>
    <w:rsid w:val="00F3350F"/>
    <w:rsid w:val="00F33595"/>
    <w:rsid w:val="00F33620"/>
    <w:rsid w:val="00F3379C"/>
    <w:rsid w:val="00F337A1"/>
    <w:rsid w:val="00F3385D"/>
    <w:rsid w:val="00F33A53"/>
    <w:rsid w:val="00F33B01"/>
    <w:rsid w:val="00F33B7D"/>
    <w:rsid w:val="00F33BD6"/>
    <w:rsid w:val="00F33C04"/>
    <w:rsid w:val="00F33C1D"/>
    <w:rsid w:val="00F33CB5"/>
    <w:rsid w:val="00F33D6E"/>
    <w:rsid w:val="00F33E14"/>
    <w:rsid w:val="00F3413F"/>
    <w:rsid w:val="00F3417A"/>
    <w:rsid w:val="00F342F1"/>
    <w:rsid w:val="00F34447"/>
    <w:rsid w:val="00F34449"/>
    <w:rsid w:val="00F34519"/>
    <w:rsid w:val="00F34627"/>
    <w:rsid w:val="00F346D7"/>
    <w:rsid w:val="00F3476B"/>
    <w:rsid w:val="00F3478C"/>
    <w:rsid w:val="00F34A51"/>
    <w:rsid w:val="00F34C37"/>
    <w:rsid w:val="00F34C59"/>
    <w:rsid w:val="00F34C63"/>
    <w:rsid w:val="00F34D86"/>
    <w:rsid w:val="00F34EB2"/>
    <w:rsid w:val="00F34F5E"/>
    <w:rsid w:val="00F352D2"/>
    <w:rsid w:val="00F3538F"/>
    <w:rsid w:val="00F353C6"/>
    <w:rsid w:val="00F3548E"/>
    <w:rsid w:val="00F356C3"/>
    <w:rsid w:val="00F35700"/>
    <w:rsid w:val="00F35718"/>
    <w:rsid w:val="00F3571C"/>
    <w:rsid w:val="00F357E2"/>
    <w:rsid w:val="00F358E9"/>
    <w:rsid w:val="00F359F9"/>
    <w:rsid w:val="00F35CA3"/>
    <w:rsid w:val="00F35D4F"/>
    <w:rsid w:val="00F35D54"/>
    <w:rsid w:val="00F35E4D"/>
    <w:rsid w:val="00F35EC2"/>
    <w:rsid w:val="00F36257"/>
    <w:rsid w:val="00F36355"/>
    <w:rsid w:val="00F36361"/>
    <w:rsid w:val="00F36389"/>
    <w:rsid w:val="00F363CF"/>
    <w:rsid w:val="00F3645E"/>
    <w:rsid w:val="00F36548"/>
    <w:rsid w:val="00F3658B"/>
    <w:rsid w:val="00F365BA"/>
    <w:rsid w:val="00F36644"/>
    <w:rsid w:val="00F36679"/>
    <w:rsid w:val="00F369C0"/>
    <w:rsid w:val="00F36AC5"/>
    <w:rsid w:val="00F36E8E"/>
    <w:rsid w:val="00F36EFC"/>
    <w:rsid w:val="00F36F01"/>
    <w:rsid w:val="00F36FA3"/>
    <w:rsid w:val="00F36FBC"/>
    <w:rsid w:val="00F37019"/>
    <w:rsid w:val="00F371CE"/>
    <w:rsid w:val="00F37255"/>
    <w:rsid w:val="00F37472"/>
    <w:rsid w:val="00F3754D"/>
    <w:rsid w:val="00F3761C"/>
    <w:rsid w:val="00F376E0"/>
    <w:rsid w:val="00F3790A"/>
    <w:rsid w:val="00F3791C"/>
    <w:rsid w:val="00F37A9B"/>
    <w:rsid w:val="00F37B68"/>
    <w:rsid w:val="00F37C6B"/>
    <w:rsid w:val="00F37D25"/>
    <w:rsid w:val="00F37E55"/>
    <w:rsid w:val="00F37EAB"/>
    <w:rsid w:val="00F37F1D"/>
    <w:rsid w:val="00F37FBE"/>
    <w:rsid w:val="00F37FC6"/>
    <w:rsid w:val="00F40159"/>
    <w:rsid w:val="00F40386"/>
    <w:rsid w:val="00F40387"/>
    <w:rsid w:val="00F4054E"/>
    <w:rsid w:val="00F40658"/>
    <w:rsid w:val="00F406CD"/>
    <w:rsid w:val="00F406E8"/>
    <w:rsid w:val="00F406F8"/>
    <w:rsid w:val="00F40776"/>
    <w:rsid w:val="00F4079B"/>
    <w:rsid w:val="00F409CB"/>
    <w:rsid w:val="00F40B32"/>
    <w:rsid w:val="00F40C09"/>
    <w:rsid w:val="00F40D23"/>
    <w:rsid w:val="00F40DA3"/>
    <w:rsid w:val="00F40FA3"/>
    <w:rsid w:val="00F41005"/>
    <w:rsid w:val="00F41052"/>
    <w:rsid w:val="00F4105B"/>
    <w:rsid w:val="00F410FE"/>
    <w:rsid w:val="00F410FF"/>
    <w:rsid w:val="00F4116B"/>
    <w:rsid w:val="00F412C0"/>
    <w:rsid w:val="00F41379"/>
    <w:rsid w:val="00F4170D"/>
    <w:rsid w:val="00F417EB"/>
    <w:rsid w:val="00F4187F"/>
    <w:rsid w:val="00F4191E"/>
    <w:rsid w:val="00F41930"/>
    <w:rsid w:val="00F419A4"/>
    <w:rsid w:val="00F41B80"/>
    <w:rsid w:val="00F41BB6"/>
    <w:rsid w:val="00F41BCB"/>
    <w:rsid w:val="00F41BFA"/>
    <w:rsid w:val="00F41E15"/>
    <w:rsid w:val="00F41E5F"/>
    <w:rsid w:val="00F41E84"/>
    <w:rsid w:val="00F41FB7"/>
    <w:rsid w:val="00F4217C"/>
    <w:rsid w:val="00F4224B"/>
    <w:rsid w:val="00F422B5"/>
    <w:rsid w:val="00F422FB"/>
    <w:rsid w:val="00F42413"/>
    <w:rsid w:val="00F426F7"/>
    <w:rsid w:val="00F42757"/>
    <w:rsid w:val="00F42758"/>
    <w:rsid w:val="00F42A1F"/>
    <w:rsid w:val="00F42C63"/>
    <w:rsid w:val="00F42D0B"/>
    <w:rsid w:val="00F42D59"/>
    <w:rsid w:val="00F42D86"/>
    <w:rsid w:val="00F42E70"/>
    <w:rsid w:val="00F42FC4"/>
    <w:rsid w:val="00F42FF7"/>
    <w:rsid w:val="00F43050"/>
    <w:rsid w:val="00F430F6"/>
    <w:rsid w:val="00F431FD"/>
    <w:rsid w:val="00F43213"/>
    <w:rsid w:val="00F4322A"/>
    <w:rsid w:val="00F432A4"/>
    <w:rsid w:val="00F43336"/>
    <w:rsid w:val="00F4339B"/>
    <w:rsid w:val="00F43462"/>
    <w:rsid w:val="00F434B5"/>
    <w:rsid w:val="00F434D1"/>
    <w:rsid w:val="00F43508"/>
    <w:rsid w:val="00F43522"/>
    <w:rsid w:val="00F43622"/>
    <w:rsid w:val="00F436D8"/>
    <w:rsid w:val="00F43768"/>
    <w:rsid w:val="00F437E9"/>
    <w:rsid w:val="00F437EB"/>
    <w:rsid w:val="00F43874"/>
    <w:rsid w:val="00F438CD"/>
    <w:rsid w:val="00F439A1"/>
    <w:rsid w:val="00F439D0"/>
    <w:rsid w:val="00F43A4A"/>
    <w:rsid w:val="00F43B52"/>
    <w:rsid w:val="00F43B75"/>
    <w:rsid w:val="00F43BD5"/>
    <w:rsid w:val="00F43C9B"/>
    <w:rsid w:val="00F43EDE"/>
    <w:rsid w:val="00F43EDF"/>
    <w:rsid w:val="00F4406E"/>
    <w:rsid w:val="00F44070"/>
    <w:rsid w:val="00F4416A"/>
    <w:rsid w:val="00F4416F"/>
    <w:rsid w:val="00F441B8"/>
    <w:rsid w:val="00F441F1"/>
    <w:rsid w:val="00F44264"/>
    <w:rsid w:val="00F442E6"/>
    <w:rsid w:val="00F444AE"/>
    <w:rsid w:val="00F4454A"/>
    <w:rsid w:val="00F44568"/>
    <w:rsid w:val="00F44717"/>
    <w:rsid w:val="00F448FA"/>
    <w:rsid w:val="00F449EA"/>
    <w:rsid w:val="00F44A27"/>
    <w:rsid w:val="00F44A39"/>
    <w:rsid w:val="00F44C17"/>
    <w:rsid w:val="00F44D8D"/>
    <w:rsid w:val="00F44DF8"/>
    <w:rsid w:val="00F44F6C"/>
    <w:rsid w:val="00F45039"/>
    <w:rsid w:val="00F450F1"/>
    <w:rsid w:val="00F45137"/>
    <w:rsid w:val="00F4518F"/>
    <w:rsid w:val="00F451AA"/>
    <w:rsid w:val="00F453F4"/>
    <w:rsid w:val="00F45927"/>
    <w:rsid w:val="00F45968"/>
    <w:rsid w:val="00F45AC1"/>
    <w:rsid w:val="00F45BA2"/>
    <w:rsid w:val="00F45D1F"/>
    <w:rsid w:val="00F45D80"/>
    <w:rsid w:val="00F45E36"/>
    <w:rsid w:val="00F45F53"/>
    <w:rsid w:val="00F46270"/>
    <w:rsid w:val="00F4645D"/>
    <w:rsid w:val="00F467BA"/>
    <w:rsid w:val="00F468BA"/>
    <w:rsid w:val="00F468CD"/>
    <w:rsid w:val="00F468DA"/>
    <w:rsid w:val="00F46A05"/>
    <w:rsid w:val="00F46B62"/>
    <w:rsid w:val="00F46B8A"/>
    <w:rsid w:val="00F46C57"/>
    <w:rsid w:val="00F46C8A"/>
    <w:rsid w:val="00F46C9C"/>
    <w:rsid w:val="00F46D08"/>
    <w:rsid w:val="00F46E2C"/>
    <w:rsid w:val="00F46EF3"/>
    <w:rsid w:val="00F46F61"/>
    <w:rsid w:val="00F46F9B"/>
    <w:rsid w:val="00F47021"/>
    <w:rsid w:val="00F47063"/>
    <w:rsid w:val="00F470F0"/>
    <w:rsid w:val="00F4725A"/>
    <w:rsid w:val="00F4730F"/>
    <w:rsid w:val="00F4734C"/>
    <w:rsid w:val="00F4740F"/>
    <w:rsid w:val="00F47533"/>
    <w:rsid w:val="00F4757B"/>
    <w:rsid w:val="00F4758A"/>
    <w:rsid w:val="00F47662"/>
    <w:rsid w:val="00F47773"/>
    <w:rsid w:val="00F477C0"/>
    <w:rsid w:val="00F47809"/>
    <w:rsid w:val="00F4783A"/>
    <w:rsid w:val="00F478AD"/>
    <w:rsid w:val="00F4790B"/>
    <w:rsid w:val="00F47925"/>
    <w:rsid w:val="00F479C1"/>
    <w:rsid w:val="00F479E8"/>
    <w:rsid w:val="00F47A9F"/>
    <w:rsid w:val="00F47D48"/>
    <w:rsid w:val="00F47DBA"/>
    <w:rsid w:val="00F47E1D"/>
    <w:rsid w:val="00F47E34"/>
    <w:rsid w:val="00F50077"/>
    <w:rsid w:val="00F502D0"/>
    <w:rsid w:val="00F50301"/>
    <w:rsid w:val="00F5064E"/>
    <w:rsid w:val="00F506C6"/>
    <w:rsid w:val="00F50707"/>
    <w:rsid w:val="00F507E2"/>
    <w:rsid w:val="00F50824"/>
    <w:rsid w:val="00F5089F"/>
    <w:rsid w:val="00F50A7B"/>
    <w:rsid w:val="00F50B6F"/>
    <w:rsid w:val="00F50C8D"/>
    <w:rsid w:val="00F50D66"/>
    <w:rsid w:val="00F50D93"/>
    <w:rsid w:val="00F50DF2"/>
    <w:rsid w:val="00F50E33"/>
    <w:rsid w:val="00F50E44"/>
    <w:rsid w:val="00F50FBC"/>
    <w:rsid w:val="00F510DA"/>
    <w:rsid w:val="00F51243"/>
    <w:rsid w:val="00F512C6"/>
    <w:rsid w:val="00F513F3"/>
    <w:rsid w:val="00F51446"/>
    <w:rsid w:val="00F51498"/>
    <w:rsid w:val="00F5164D"/>
    <w:rsid w:val="00F51655"/>
    <w:rsid w:val="00F51835"/>
    <w:rsid w:val="00F51847"/>
    <w:rsid w:val="00F519BE"/>
    <w:rsid w:val="00F519C3"/>
    <w:rsid w:val="00F519F1"/>
    <w:rsid w:val="00F51AF9"/>
    <w:rsid w:val="00F51B8D"/>
    <w:rsid w:val="00F51C4C"/>
    <w:rsid w:val="00F51EC3"/>
    <w:rsid w:val="00F51EC9"/>
    <w:rsid w:val="00F51F34"/>
    <w:rsid w:val="00F520A3"/>
    <w:rsid w:val="00F520F0"/>
    <w:rsid w:val="00F52122"/>
    <w:rsid w:val="00F5221C"/>
    <w:rsid w:val="00F5224A"/>
    <w:rsid w:val="00F523B3"/>
    <w:rsid w:val="00F525A1"/>
    <w:rsid w:val="00F525C4"/>
    <w:rsid w:val="00F525FE"/>
    <w:rsid w:val="00F5261C"/>
    <w:rsid w:val="00F5265C"/>
    <w:rsid w:val="00F5268D"/>
    <w:rsid w:val="00F52738"/>
    <w:rsid w:val="00F52751"/>
    <w:rsid w:val="00F52760"/>
    <w:rsid w:val="00F527A6"/>
    <w:rsid w:val="00F52921"/>
    <w:rsid w:val="00F5297D"/>
    <w:rsid w:val="00F529B5"/>
    <w:rsid w:val="00F529D6"/>
    <w:rsid w:val="00F52AE2"/>
    <w:rsid w:val="00F52BC3"/>
    <w:rsid w:val="00F52CBE"/>
    <w:rsid w:val="00F52EF6"/>
    <w:rsid w:val="00F52FDA"/>
    <w:rsid w:val="00F53117"/>
    <w:rsid w:val="00F53223"/>
    <w:rsid w:val="00F532CF"/>
    <w:rsid w:val="00F5339E"/>
    <w:rsid w:val="00F533AA"/>
    <w:rsid w:val="00F535D3"/>
    <w:rsid w:val="00F53601"/>
    <w:rsid w:val="00F5373D"/>
    <w:rsid w:val="00F5378E"/>
    <w:rsid w:val="00F53894"/>
    <w:rsid w:val="00F538FC"/>
    <w:rsid w:val="00F53975"/>
    <w:rsid w:val="00F53AEC"/>
    <w:rsid w:val="00F53C7F"/>
    <w:rsid w:val="00F53CAA"/>
    <w:rsid w:val="00F5402F"/>
    <w:rsid w:val="00F54180"/>
    <w:rsid w:val="00F54229"/>
    <w:rsid w:val="00F54263"/>
    <w:rsid w:val="00F5448D"/>
    <w:rsid w:val="00F5449F"/>
    <w:rsid w:val="00F5459E"/>
    <w:rsid w:val="00F545D0"/>
    <w:rsid w:val="00F54664"/>
    <w:rsid w:val="00F54781"/>
    <w:rsid w:val="00F5482B"/>
    <w:rsid w:val="00F54992"/>
    <w:rsid w:val="00F54A9F"/>
    <w:rsid w:val="00F54AD1"/>
    <w:rsid w:val="00F54CC2"/>
    <w:rsid w:val="00F54CF9"/>
    <w:rsid w:val="00F54F0B"/>
    <w:rsid w:val="00F550A1"/>
    <w:rsid w:val="00F551FC"/>
    <w:rsid w:val="00F5521F"/>
    <w:rsid w:val="00F552F8"/>
    <w:rsid w:val="00F5533E"/>
    <w:rsid w:val="00F553CE"/>
    <w:rsid w:val="00F555A3"/>
    <w:rsid w:val="00F555D0"/>
    <w:rsid w:val="00F55610"/>
    <w:rsid w:val="00F55674"/>
    <w:rsid w:val="00F556A1"/>
    <w:rsid w:val="00F5577C"/>
    <w:rsid w:val="00F55799"/>
    <w:rsid w:val="00F557B1"/>
    <w:rsid w:val="00F55828"/>
    <w:rsid w:val="00F5583E"/>
    <w:rsid w:val="00F5585C"/>
    <w:rsid w:val="00F55969"/>
    <w:rsid w:val="00F55B09"/>
    <w:rsid w:val="00F55BC2"/>
    <w:rsid w:val="00F55BD9"/>
    <w:rsid w:val="00F55C2B"/>
    <w:rsid w:val="00F55C5C"/>
    <w:rsid w:val="00F55CC6"/>
    <w:rsid w:val="00F55DA9"/>
    <w:rsid w:val="00F55E9A"/>
    <w:rsid w:val="00F56017"/>
    <w:rsid w:val="00F56143"/>
    <w:rsid w:val="00F561C6"/>
    <w:rsid w:val="00F56298"/>
    <w:rsid w:val="00F56370"/>
    <w:rsid w:val="00F56420"/>
    <w:rsid w:val="00F56428"/>
    <w:rsid w:val="00F56446"/>
    <w:rsid w:val="00F5650B"/>
    <w:rsid w:val="00F565FA"/>
    <w:rsid w:val="00F56775"/>
    <w:rsid w:val="00F56824"/>
    <w:rsid w:val="00F5684B"/>
    <w:rsid w:val="00F5686A"/>
    <w:rsid w:val="00F56933"/>
    <w:rsid w:val="00F5695C"/>
    <w:rsid w:val="00F56AF3"/>
    <w:rsid w:val="00F56BD4"/>
    <w:rsid w:val="00F56E45"/>
    <w:rsid w:val="00F56EF8"/>
    <w:rsid w:val="00F571A9"/>
    <w:rsid w:val="00F57225"/>
    <w:rsid w:val="00F572B1"/>
    <w:rsid w:val="00F57454"/>
    <w:rsid w:val="00F574E1"/>
    <w:rsid w:val="00F57517"/>
    <w:rsid w:val="00F575DE"/>
    <w:rsid w:val="00F5792A"/>
    <w:rsid w:val="00F57A8B"/>
    <w:rsid w:val="00F57AC1"/>
    <w:rsid w:val="00F57AD3"/>
    <w:rsid w:val="00F57B6A"/>
    <w:rsid w:val="00F57BE6"/>
    <w:rsid w:val="00F57C18"/>
    <w:rsid w:val="00F57D16"/>
    <w:rsid w:val="00F57D20"/>
    <w:rsid w:val="00F57D3C"/>
    <w:rsid w:val="00F57D83"/>
    <w:rsid w:val="00F57DF1"/>
    <w:rsid w:val="00F57EBB"/>
    <w:rsid w:val="00F57F08"/>
    <w:rsid w:val="00F57F2E"/>
    <w:rsid w:val="00F57F33"/>
    <w:rsid w:val="00F57FA1"/>
    <w:rsid w:val="00F600D0"/>
    <w:rsid w:val="00F60234"/>
    <w:rsid w:val="00F60326"/>
    <w:rsid w:val="00F6043B"/>
    <w:rsid w:val="00F6071F"/>
    <w:rsid w:val="00F60819"/>
    <w:rsid w:val="00F60868"/>
    <w:rsid w:val="00F608E8"/>
    <w:rsid w:val="00F608FA"/>
    <w:rsid w:val="00F60B31"/>
    <w:rsid w:val="00F60B72"/>
    <w:rsid w:val="00F60BB8"/>
    <w:rsid w:val="00F60CB5"/>
    <w:rsid w:val="00F60E3E"/>
    <w:rsid w:val="00F60E91"/>
    <w:rsid w:val="00F60EE6"/>
    <w:rsid w:val="00F60FD2"/>
    <w:rsid w:val="00F61041"/>
    <w:rsid w:val="00F610B7"/>
    <w:rsid w:val="00F610C3"/>
    <w:rsid w:val="00F610E4"/>
    <w:rsid w:val="00F611BD"/>
    <w:rsid w:val="00F61370"/>
    <w:rsid w:val="00F61371"/>
    <w:rsid w:val="00F614BA"/>
    <w:rsid w:val="00F615FD"/>
    <w:rsid w:val="00F61773"/>
    <w:rsid w:val="00F61812"/>
    <w:rsid w:val="00F618AE"/>
    <w:rsid w:val="00F61946"/>
    <w:rsid w:val="00F6198B"/>
    <w:rsid w:val="00F61A48"/>
    <w:rsid w:val="00F61AB9"/>
    <w:rsid w:val="00F61B72"/>
    <w:rsid w:val="00F61C2D"/>
    <w:rsid w:val="00F61DFD"/>
    <w:rsid w:val="00F61EC7"/>
    <w:rsid w:val="00F61FD2"/>
    <w:rsid w:val="00F62015"/>
    <w:rsid w:val="00F6208C"/>
    <w:rsid w:val="00F621D5"/>
    <w:rsid w:val="00F622F3"/>
    <w:rsid w:val="00F62354"/>
    <w:rsid w:val="00F62374"/>
    <w:rsid w:val="00F62447"/>
    <w:rsid w:val="00F62480"/>
    <w:rsid w:val="00F62528"/>
    <w:rsid w:val="00F627B0"/>
    <w:rsid w:val="00F627C1"/>
    <w:rsid w:val="00F627E5"/>
    <w:rsid w:val="00F62B14"/>
    <w:rsid w:val="00F62C04"/>
    <w:rsid w:val="00F62C1B"/>
    <w:rsid w:val="00F62C22"/>
    <w:rsid w:val="00F62CA6"/>
    <w:rsid w:val="00F62CAA"/>
    <w:rsid w:val="00F62F2D"/>
    <w:rsid w:val="00F62F79"/>
    <w:rsid w:val="00F62F7B"/>
    <w:rsid w:val="00F63070"/>
    <w:rsid w:val="00F631F5"/>
    <w:rsid w:val="00F63328"/>
    <w:rsid w:val="00F63368"/>
    <w:rsid w:val="00F634F4"/>
    <w:rsid w:val="00F6356E"/>
    <w:rsid w:val="00F638E9"/>
    <w:rsid w:val="00F6392D"/>
    <w:rsid w:val="00F63930"/>
    <w:rsid w:val="00F6396A"/>
    <w:rsid w:val="00F63A1E"/>
    <w:rsid w:val="00F63A92"/>
    <w:rsid w:val="00F63BAD"/>
    <w:rsid w:val="00F63C72"/>
    <w:rsid w:val="00F63D57"/>
    <w:rsid w:val="00F63DA9"/>
    <w:rsid w:val="00F63E53"/>
    <w:rsid w:val="00F63E69"/>
    <w:rsid w:val="00F63EFD"/>
    <w:rsid w:val="00F6413E"/>
    <w:rsid w:val="00F641F6"/>
    <w:rsid w:val="00F64216"/>
    <w:rsid w:val="00F64224"/>
    <w:rsid w:val="00F642D7"/>
    <w:rsid w:val="00F64311"/>
    <w:rsid w:val="00F64678"/>
    <w:rsid w:val="00F647FD"/>
    <w:rsid w:val="00F64844"/>
    <w:rsid w:val="00F64B03"/>
    <w:rsid w:val="00F64B40"/>
    <w:rsid w:val="00F64B69"/>
    <w:rsid w:val="00F64BA6"/>
    <w:rsid w:val="00F64BB5"/>
    <w:rsid w:val="00F64CE7"/>
    <w:rsid w:val="00F64DD2"/>
    <w:rsid w:val="00F64EC7"/>
    <w:rsid w:val="00F65021"/>
    <w:rsid w:val="00F65182"/>
    <w:rsid w:val="00F6519C"/>
    <w:rsid w:val="00F651E5"/>
    <w:rsid w:val="00F6520F"/>
    <w:rsid w:val="00F65224"/>
    <w:rsid w:val="00F65286"/>
    <w:rsid w:val="00F652BB"/>
    <w:rsid w:val="00F652F7"/>
    <w:rsid w:val="00F653E5"/>
    <w:rsid w:val="00F653FE"/>
    <w:rsid w:val="00F65417"/>
    <w:rsid w:val="00F6542E"/>
    <w:rsid w:val="00F655F9"/>
    <w:rsid w:val="00F6560A"/>
    <w:rsid w:val="00F656B2"/>
    <w:rsid w:val="00F65824"/>
    <w:rsid w:val="00F65870"/>
    <w:rsid w:val="00F65A41"/>
    <w:rsid w:val="00F65C54"/>
    <w:rsid w:val="00F65CF5"/>
    <w:rsid w:val="00F65E18"/>
    <w:rsid w:val="00F65E3C"/>
    <w:rsid w:val="00F65E41"/>
    <w:rsid w:val="00F65EA2"/>
    <w:rsid w:val="00F65EF1"/>
    <w:rsid w:val="00F65FC6"/>
    <w:rsid w:val="00F66014"/>
    <w:rsid w:val="00F66020"/>
    <w:rsid w:val="00F6612B"/>
    <w:rsid w:val="00F66257"/>
    <w:rsid w:val="00F662D7"/>
    <w:rsid w:val="00F6635A"/>
    <w:rsid w:val="00F66426"/>
    <w:rsid w:val="00F66480"/>
    <w:rsid w:val="00F6655A"/>
    <w:rsid w:val="00F666B3"/>
    <w:rsid w:val="00F6675C"/>
    <w:rsid w:val="00F66817"/>
    <w:rsid w:val="00F66922"/>
    <w:rsid w:val="00F6694B"/>
    <w:rsid w:val="00F66974"/>
    <w:rsid w:val="00F66983"/>
    <w:rsid w:val="00F66ABA"/>
    <w:rsid w:val="00F66AE3"/>
    <w:rsid w:val="00F66B36"/>
    <w:rsid w:val="00F66BA6"/>
    <w:rsid w:val="00F66C1B"/>
    <w:rsid w:val="00F66F3D"/>
    <w:rsid w:val="00F66F5C"/>
    <w:rsid w:val="00F66F5E"/>
    <w:rsid w:val="00F67043"/>
    <w:rsid w:val="00F6706D"/>
    <w:rsid w:val="00F670E4"/>
    <w:rsid w:val="00F671AD"/>
    <w:rsid w:val="00F67217"/>
    <w:rsid w:val="00F6721B"/>
    <w:rsid w:val="00F6722E"/>
    <w:rsid w:val="00F6728F"/>
    <w:rsid w:val="00F6731B"/>
    <w:rsid w:val="00F67376"/>
    <w:rsid w:val="00F67443"/>
    <w:rsid w:val="00F67452"/>
    <w:rsid w:val="00F67477"/>
    <w:rsid w:val="00F674E6"/>
    <w:rsid w:val="00F676BE"/>
    <w:rsid w:val="00F676E9"/>
    <w:rsid w:val="00F67741"/>
    <w:rsid w:val="00F678F4"/>
    <w:rsid w:val="00F67A0F"/>
    <w:rsid w:val="00F67ACD"/>
    <w:rsid w:val="00F67B64"/>
    <w:rsid w:val="00F67E0C"/>
    <w:rsid w:val="00F67E66"/>
    <w:rsid w:val="00F67EAB"/>
    <w:rsid w:val="00F67EF5"/>
    <w:rsid w:val="00F67EFF"/>
    <w:rsid w:val="00F701F3"/>
    <w:rsid w:val="00F70205"/>
    <w:rsid w:val="00F70505"/>
    <w:rsid w:val="00F70636"/>
    <w:rsid w:val="00F706ED"/>
    <w:rsid w:val="00F707B7"/>
    <w:rsid w:val="00F707BE"/>
    <w:rsid w:val="00F707C9"/>
    <w:rsid w:val="00F70857"/>
    <w:rsid w:val="00F708C6"/>
    <w:rsid w:val="00F70ABB"/>
    <w:rsid w:val="00F70B45"/>
    <w:rsid w:val="00F70C80"/>
    <w:rsid w:val="00F70D39"/>
    <w:rsid w:val="00F70DAF"/>
    <w:rsid w:val="00F70E04"/>
    <w:rsid w:val="00F70E19"/>
    <w:rsid w:val="00F70EA4"/>
    <w:rsid w:val="00F70F81"/>
    <w:rsid w:val="00F70FDC"/>
    <w:rsid w:val="00F7119E"/>
    <w:rsid w:val="00F711FD"/>
    <w:rsid w:val="00F7137E"/>
    <w:rsid w:val="00F7144D"/>
    <w:rsid w:val="00F715AC"/>
    <w:rsid w:val="00F715B5"/>
    <w:rsid w:val="00F7177E"/>
    <w:rsid w:val="00F7185A"/>
    <w:rsid w:val="00F71903"/>
    <w:rsid w:val="00F71A5C"/>
    <w:rsid w:val="00F71AF0"/>
    <w:rsid w:val="00F71B1C"/>
    <w:rsid w:val="00F71C23"/>
    <w:rsid w:val="00F71CD5"/>
    <w:rsid w:val="00F71DB4"/>
    <w:rsid w:val="00F71DC9"/>
    <w:rsid w:val="00F71FA9"/>
    <w:rsid w:val="00F71FD8"/>
    <w:rsid w:val="00F72001"/>
    <w:rsid w:val="00F7206C"/>
    <w:rsid w:val="00F7215E"/>
    <w:rsid w:val="00F72167"/>
    <w:rsid w:val="00F721F7"/>
    <w:rsid w:val="00F7231C"/>
    <w:rsid w:val="00F723DE"/>
    <w:rsid w:val="00F72566"/>
    <w:rsid w:val="00F72581"/>
    <w:rsid w:val="00F725D3"/>
    <w:rsid w:val="00F726D1"/>
    <w:rsid w:val="00F726FA"/>
    <w:rsid w:val="00F727AD"/>
    <w:rsid w:val="00F72996"/>
    <w:rsid w:val="00F729D7"/>
    <w:rsid w:val="00F72A86"/>
    <w:rsid w:val="00F72DBB"/>
    <w:rsid w:val="00F72E4D"/>
    <w:rsid w:val="00F72EFC"/>
    <w:rsid w:val="00F72FCB"/>
    <w:rsid w:val="00F72FE0"/>
    <w:rsid w:val="00F7309E"/>
    <w:rsid w:val="00F730F6"/>
    <w:rsid w:val="00F732DE"/>
    <w:rsid w:val="00F733A9"/>
    <w:rsid w:val="00F733C5"/>
    <w:rsid w:val="00F7356E"/>
    <w:rsid w:val="00F73778"/>
    <w:rsid w:val="00F737F3"/>
    <w:rsid w:val="00F738A0"/>
    <w:rsid w:val="00F7391F"/>
    <w:rsid w:val="00F73924"/>
    <w:rsid w:val="00F73BB8"/>
    <w:rsid w:val="00F73DD7"/>
    <w:rsid w:val="00F73EEE"/>
    <w:rsid w:val="00F73FE8"/>
    <w:rsid w:val="00F74025"/>
    <w:rsid w:val="00F741D6"/>
    <w:rsid w:val="00F74569"/>
    <w:rsid w:val="00F7457F"/>
    <w:rsid w:val="00F7458C"/>
    <w:rsid w:val="00F745E9"/>
    <w:rsid w:val="00F748E8"/>
    <w:rsid w:val="00F7494B"/>
    <w:rsid w:val="00F749B2"/>
    <w:rsid w:val="00F74A11"/>
    <w:rsid w:val="00F74A18"/>
    <w:rsid w:val="00F74C14"/>
    <w:rsid w:val="00F74CD4"/>
    <w:rsid w:val="00F7513D"/>
    <w:rsid w:val="00F752E0"/>
    <w:rsid w:val="00F75335"/>
    <w:rsid w:val="00F75360"/>
    <w:rsid w:val="00F756AF"/>
    <w:rsid w:val="00F7579B"/>
    <w:rsid w:val="00F75A87"/>
    <w:rsid w:val="00F75D7E"/>
    <w:rsid w:val="00F75D8B"/>
    <w:rsid w:val="00F75D8D"/>
    <w:rsid w:val="00F75E85"/>
    <w:rsid w:val="00F761A7"/>
    <w:rsid w:val="00F76292"/>
    <w:rsid w:val="00F76395"/>
    <w:rsid w:val="00F76488"/>
    <w:rsid w:val="00F76489"/>
    <w:rsid w:val="00F76680"/>
    <w:rsid w:val="00F7676B"/>
    <w:rsid w:val="00F768B8"/>
    <w:rsid w:val="00F768DA"/>
    <w:rsid w:val="00F769CD"/>
    <w:rsid w:val="00F76A10"/>
    <w:rsid w:val="00F76AE9"/>
    <w:rsid w:val="00F76B50"/>
    <w:rsid w:val="00F76B76"/>
    <w:rsid w:val="00F76C19"/>
    <w:rsid w:val="00F76C4E"/>
    <w:rsid w:val="00F76CC2"/>
    <w:rsid w:val="00F76D64"/>
    <w:rsid w:val="00F76DD1"/>
    <w:rsid w:val="00F77050"/>
    <w:rsid w:val="00F77178"/>
    <w:rsid w:val="00F7729C"/>
    <w:rsid w:val="00F7734D"/>
    <w:rsid w:val="00F7741B"/>
    <w:rsid w:val="00F774B6"/>
    <w:rsid w:val="00F774E7"/>
    <w:rsid w:val="00F77505"/>
    <w:rsid w:val="00F775F4"/>
    <w:rsid w:val="00F77608"/>
    <w:rsid w:val="00F7770D"/>
    <w:rsid w:val="00F77884"/>
    <w:rsid w:val="00F7788A"/>
    <w:rsid w:val="00F77A92"/>
    <w:rsid w:val="00F77BC8"/>
    <w:rsid w:val="00F77C32"/>
    <w:rsid w:val="00F77C80"/>
    <w:rsid w:val="00F77DE5"/>
    <w:rsid w:val="00F77E10"/>
    <w:rsid w:val="00F77E80"/>
    <w:rsid w:val="00F77EBC"/>
    <w:rsid w:val="00F77F26"/>
    <w:rsid w:val="00F77F42"/>
    <w:rsid w:val="00F77F55"/>
    <w:rsid w:val="00F77F60"/>
    <w:rsid w:val="00F77F7A"/>
    <w:rsid w:val="00F77FAC"/>
    <w:rsid w:val="00F801B1"/>
    <w:rsid w:val="00F801BF"/>
    <w:rsid w:val="00F801CC"/>
    <w:rsid w:val="00F801CE"/>
    <w:rsid w:val="00F80280"/>
    <w:rsid w:val="00F8051F"/>
    <w:rsid w:val="00F80660"/>
    <w:rsid w:val="00F80698"/>
    <w:rsid w:val="00F806BC"/>
    <w:rsid w:val="00F806DC"/>
    <w:rsid w:val="00F80749"/>
    <w:rsid w:val="00F80796"/>
    <w:rsid w:val="00F8085C"/>
    <w:rsid w:val="00F80987"/>
    <w:rsid w:val="00F80A75"/>
    <w:rsid w:val="00F80B3B"/>
    <w:rsid w:val="00F80C46"/>
    <w:rsid w:val="00F80D0C"/>
    <w:rsid w:val="00F80DCF"/>
    <w:rsid w:val="00F81137"/>
    <w:rsid w:val="00F81213"/>
    <w:rsid w:val="00F8121E"/>
    <w:rsid w:val="00F812EA"/>
    <w:rsid w:val="00F813E7"/>
    <w:rsid w:val="00F81575"/>
    <w:rsid w:val="00F81671"/>
    <w:rsid w:val="00F816E6"/>
    <w:rsid w:val="00F816FC"/>
    <w:rsid w:val="00F8188E"/>
    <w:rsid w:val="00F818F7"/>
    <w:rsid w:val="00F81A59"/>
    <w:rsid w:val="00F81A62"/>
    <w:rsid w:val="00F81AF9"/>
    <w:rsid w:val="00F81C94"/>
    <w:rsid w:val="00F81CE5"/>
    <w:rsid w:val="00F81D3A"/>
    <w:rsid w:val="00F81D57"/>
    <w:rsid w:val="00F81D5D"/>
    <w:rsid w:val="00F81DB9"/>
    <w:rsid w:val="00F81F18"/>
    <w:rsid w:val="00F8210B"/>
    <w:rsid w:val="00F82110"/>
    <w:rsid w:val="00F8214F"/>
    <w:rsid w:val="00F821A6"/>
    <w:rsid w:val="00F8230C"/>
    <w:rsid w:val="00F8234F"/>
    <w:rsid w:val="00F82481"/>
    <w:rsid w:val="00F8248F"/>
    <w:rsid w:val="00F82593"/>
    <w:rsid w:val="00F82642"/>
    <w:rsid w:val="00F82947"/>
    <w:rsid w:val="00F8297C"/>
    <w:rsid w:val="00F8299F"/>
    <w:rsid w:val="00F829C4"/>
    <w:rsid w:val="00F82CB6"/>
    <w:rsid w:val="00F82CFC"/>
    <w:rsid w:val="00F82D07"/>
    <w:rsid w:val="00F82E19"/>
    <w:rsid w:val="00F82E64"/>
    <w:rsid w:val="00F82EA2"/>
    <w:rsid w:val="00F82F46"/>
    <w:rsid w:val="00F82FD8"/>
    <w:rsid w:val="00F83070"/>
    <w:rsid w:val="00F831C9"/>
    <w:rsid w:val="00F83247"/>
    <w:rsid w:val="00F832FD"/>
    <w:rsid w:val="00F83354"/>
    <w:rsid w:val="00F8349F"/>
    <w:rsid w:val="00F83518"/>
    <w:rsid w:val="00F836BA"/>
    <w:rsid w:val="00F8371C"/>
    <w:rsid w:val="00F8377E"/>
    <w:rsid w:val="00F838A3"/>
    <w:rsid w:val="00F838A7"/>
    <w:rsid w:val="00F838B9"/>
    <w:rsid w:val="00F838E6"/>
    <w:rsid w:val="00F83969"/>
    <w:rsid w:val="00F83A17"/>
    <w:rsid w:val="00F83B69"/>
    <w:rsid w:val="00F83BC4"/>
    <w:rsid w:val="00F83C09"/>
    <w:rsid w:val="00F83C77"/>
    <w:rsid w:val="00F83EC8"/>
    <w:rsid w:val="00F84070"/>
    <w:rsid w:val="00F8408D"/>
    <w:rsid w:val="00F8416F"/>
    <w:rsid w:val="00F84307"/>
    <w:rsid w:val="00F8432A"/>
    <w:rsid w:val="00F8433B"/>
    <w:rsid w:val="00F843A4"/>
    <w:rsid w:val="00F84549"/>
    <w:rsid w:val="00F845A5"/>
    <w:rsid w:val="00F84619"/>
    <w:rsid w:val="00F848B6"/>
    <w:rsid w:val="00F84A28"/>
    <w:rsid w:val="00F84A9D"/>
    <w:rsid w:val="00F84BEA"/>
    <w:rsid w:val="00F84BEE"/>
    <w:rsid w:val="00F84CB3"/>
    <w:rsid w:val="00F8505C"/>
    <w:rsid w:val="00F8513A"/>
    <w:rsid w:val="00F8517C"/>
    <w:rsid w:val="00F8539B"/>
    <w:rsid w:val="00F853FE"/>
    <w:rsid w:val="00F8547D"/>
    <w:rsid w:val="00F8553A"/>
    <w:rsid w:val="00F8571F"/>
    <w:rsid w:val="00F8581B"/>
    <w:rsid w:val="00F85845"/>
    <w:rsid w:val="00F85895"/>
    <w:rsid w:val="00F858F7"/>
    <w:rsid w:val="00F85AC3"/>
    <w:rsid w:val="00F85B0A"/>
    <w:rsid w:val="00F85B94"/>
    <w:rsid w:val="00F85BE8"/>
    <w:rsid w:val="00F85D98"/>
    <w:rsid w:val="00F85DAC"/>
    <w:rsid w:val="00F85E7C"/>
    <w:rsid w:val="00F85ED1"/>
    <w:rsid w:val="00F85F5E"/>
    <w:rsid w:val="00F860BB"/>
    <w:rsid w:val="00F861E8"/>
    <w:rsid w:val="00F8625A"/>
    <w:rsid w:val="00F8627D"/>
    <w:rsid w:val="00F86407"/>
    <w:rsid w:val="00F86438"/>
    <w:rsid w:val="00F864E4"/>
    <w:rsid w:val="00F864F5"/>
    <w:rsid w:val="00F86581"/>
    <w:rsid w:val="00F866B3"/>
    <w:rsid w:val="00F8685B"/>
    <w:rsid w:val="00F8688D"/>
    <w:rsid w:val="00F868EE"/>
    <w:rsid w:val="00F869BD"/>
    <w:rsid w:val="00F86B71"/>
    <w:rsid w:val="00F86B7E"/>
    <w:rsid w:val="00F86B80"/>
    <w:rsid w:val="00F86BAC"/>
    <w:rsid w:val="00F86BFB"/>
    <w:rsid w:val="00F86CEA"/>
    <w:rsid w:val="00F86D11"/>
    <w:rsid w:val="00F87019"/>
    <w:rsid w:val="00F87163"/>
    <w:rsid w:val="00F8725B"/>
    <w:rsid w:val="00F872FF"/>
    <w:rsid w:val="00F8740A"/>
    <w:rsid w:val="00F8747B"/>
    <w:rsid w:val="00F87649"/>
    <w:rsid w:val="00F87887"/>
    <w:rsid w:val="00F8790A"/>
    <w:rsid w:val="00F879D0"/>
    <w:rsid w:val="00F87B87"/>
    <w:rsid w:val="00F87BAD"/>
    <w:rsid w:val="00F87C7B"/>
    <w:rsid w:val="00F87E9C"/>
    <w:rsid w:val="00F87ED6"/>
    <w:rsid w:val="00F87EEF"/>
    <w:rsid w:val="00F87F18"/>
    <w:rsid w:val="00F90173"/>
    <w:rsid w:val="00F90189"/>
    <w:rsid w:val="00F90214"/>
    <w:rsid w:val="00F90240"/>
    <w:rsid w:val="00F9028B"/>
    <w:rsid w:val="00F902C6"/>
    <w:rsid w:val="00F902EA"/>
    <w:rsid w:val="00F9034B"/>
    <w:rsid w:val="00F903EC"/>
    <w:rsid w:val="00F90586"/>
    <w:rsid w:val="00F905D9"/>
    <w:rsid w:val="00F90637"/>
    <w:rsid w:val="00F90866"/>
    <w:rsid w:val="00F90958"/>
    <w:rsid w:val="00F909C2"/>
    <w:rsid w:val="00F909FB"/>
    <w:rsid w:val="00F90AF6"/>
    <w:rsid w:val="00F90B03"/>
    <w:rsid w:val="00F90B70"/>
    <w:rsid w:val="00F90C8C"/>
    <w:rsid w:val="00F90CC5"/>
    <w:rsid w:val="00F90D40"/>
    <w:rsid w:val="00F90DCB"/>
    <w:rsid w:val="00F90E18"/>
    <w:rsid w:val="00F90EA7"/>
    <w:rsid w:val="00F90EA8"/>
    <w:rsid w:val="00F90EEA"/>
    <w:rsid w:val="00F90F50"/>
    <w:rsid w:val="00F91110"/>
    <w:rsid w:val="00F9149C"/>
    <w:rsid w:val="00F914E0"/>
    <w:rsid w:val="00F915A7"/>
    <w:rsid w:val="00F915F0"/>
    <w:rsid w:val="00F916FB"/>
    <w:rsid w:val="00F917A7"/>
    <w:rsid w:val="00F9188C"/>
    <w:rsid w:val="00F9189A"/>
    <w:rsid w:val="00F918ED"/>
    <w:rsid w:val="00F91905"/>
    <w:rsid w:val="00F919B1"/>
    <w:rsid w:val="00F91A1B"/>
    <w:rsid w:val="00F91A4A"/>
    <w:rsid w:val="00F91A79"/>
    <w:rsid w:val="00F91BC5"/>
    <w:rsid w:val="00F91CCE"/>
    <w:rsid w:val="00F91D48"/>
    <w:rsid w:val="00F91DCC"/>
    <w:rsid w:val="00F91E21"/>
    <w:rsid w:val="00F91E4A"/>
    <w:rsid w:val="00F91F4A"/>
    <w:rsid w:val="00F9205F"/>
    <w:rsid w:val="00F920D8"/>
    <w:rsid w:val="00F9229D"/>
    <w:rsid w:val="00F92347"/>
    <w:rsid w:val="00F92413"/>
    <w:rsid w:val="00F9245A"/>
    <w:rsid w:val="00F9251D"/>
    <w:rsid w:val="00F92733"/>
    <w:rsid w:val="00F927DE"/>
    <w:rsid w:val="00F92909"/>
    <w:rsid w:val="00F9295B"/>
    <w:rsid w:val="00F929D7"/>
    <w:rsid w:val="00F929E5"/>
    <w:rsid w:val="00F92A36"/>
    <w:rsid w:val="00F92C0C"/>
    <w:rsid w:val="00F92C4E"/>
    <w:rsid w:val="00F92E39"/>
    <w:rsid w:val="00F92F2E"/>
    <w:rsid w:val="00F93013"/>
    <w:rsid w:val="00F93023"/>
    <w:rsid w:val="00F93120"/>
    <w:rsid w:val="00F93162"/>
    <w:rsid w:val="00F93257"/>
    <w:rsid w:val="00F932A6"/>
    <w:rsid w:val="00F932E7"/>
    <w:rsid w:val="00F9330A"/>
    <w:rsid w:val="00F93358"/>
    <w:rsid w:val="00F933D3"/>
    <w:rsid w:val="00F9346F"/>
    <w:rsid w:val="00F93539"/>
    <w:rsid w:val="00F9357D"/>
    <w:rsid w:val="00F936A4"/>
    <w:rsid w:val="00F936A9"/>
    <w:rsid w:val="00F93795"/>
    <w:rsid w:val="00F937AD"/>
    <w:rsid w:val="00F937C5"/>
    <w:rsid w:val="00F9383A"/>
    <w:rsid w:val="00F9387A"/>
    <w:rsid w:val="00F938E4"/>
    <w:rsid w:val="00F9397D"/>
    <w:rsid w:val="00F93BFA"/>
    <w:rsid w:val="00F93C05"/>
    <w:rsid w:val="00F93C19"/>
    <w:rsid w:val="00F93C1E"/>
    <w:rsid w:val="00F93C22"/>
    <w:rsid w:val="00F93D50"/>
    <w:rsid w:val="00F93D69"/>
    <w:rsid w:val="00F93E4F"/>
    <w:rsid w:val="00F93F69"/>
    <w:rsid w:val="00F94071"/>
    <w:rsid w:val="00F94281"/>
    <w:rsid w:val="00F9433D"/>
    <w:rsid w:val="00F94543"/>
    <w:rsid w:val="00F945B3"/>
    <w:rsid w:val="00F9460D"/>
    <w:rsid w:val="00F948DB"/>
    <w:rsid w:val="00F949D3"/>
    <w:rsid w:val="00F949E6"/>
    <w:rsid w:val="00F94A46"/>
    <w:rsid w:val="00F94AA5"/>
    <w:rsid w:val="00F94C0C"/>
    <w:rsid w:val="00F94C0F"/>
    <w:rsid w:val="00F94CCE"/>
    <w:rsid w:val="00F94CEE"/>
    <w:rsid w:val="00F94D99"/>
    <w:rsid w:val="00F94D9D"/>
    <w:rsid w:val="00F94DD4"/>
    <w:rsid w:val="00F9501E"/>
    <w:rsid w:val="00F95048"/>
    <w:rsid w:val="00F95049"/>
    <w:rsid w:val="00F950AF"/>
    <w:rsid w:val="00F95120"/>
    <w:rsid w:val="00F95156"/>
    <w:rsid w:val="00F951C6"/>
    <w:rsid w:val="00F952C9"/>
    <w:rsid w:val="00F955C0"/>
    <w:rsid w:val="00F955DE"/>
    <w:rsid w:val="00F95603"/>
    <w:rsid w:val="00F95741"/>
    <w:rsid w:val="00F9576A"/>
    <w:rsid w:val="00F958D0"/>
    <w:rsid w:val="00F95961"/>
    <w:rsid w:val="00F959BB"/>
    <w:rsid w:val="00F95A33"/>
    <w:rsid w:val="00F95A3C"/>
    <w:rsid w:val="00F95AB3"/>
    <w:rsid w:val="00F95AD6"/>
    <w:rsid w:val="00F95BD7"/>
    <w:rsid w:val="00F95EBF"/>
    <w:rsid w:val="00F95EE0"/>
    <w:rsid w:val="00F95F96"/>
    <w:rsid w:val="00F95F99"/>
    <w:rsid w:val="00F95FEC"/>
    <w:rsid w:val="00F9613D"/>
    <w:rsid w:val="00F961D3"/>
    <w:rsid w:val="00F9652A"/>
    <w:rsid w:val="00F9659C"/>
    <w:rsid w:val="00F96840"/>
    <w:rsid w:val="00F96A5D"/>
    <w:rsid w:val="00F96B13"/>
    <w:rsid w:val="00F96C5B"/>
    <w:rsid w:val="00F96C79"/>
    <w:rsid w:val="00F96E57"/>
    <w:rsid w:val="00F97036"/>
    <w:rsid w:val="00F97118"/>
    <w:rsid w:val="00F97202"/>
    <w:rsid w:val="00F9734C"/>
    <w:rsid w:val="00F97360"/>
    <w:rsid w:val="00F973F4"/>
    <w:rsid w:val="00F97625"/>
    <w:rsid w:val="00F97654"/>
    <w:rsid w:val="00F976AC"/>
    <w:rsid w:val="00F9786B"/>
    <w:rsid w:val="00F97913"/>
    <w:rsid w:val="00F979C8"/>
    <w:rsid w:val="00F97AFA"/>
    <w:rsid w:val="00F97C28"/>
    <w:rsid w:val="00F97C6D"/>
    <w:rsid w:val="00F97DC8"/>
    <w:rsid w:val="00F97E9C"/>
    <w:rsid w:val="00F97ED7"/>
    <w:rsid w:val="00F97F0B"/>
    <w:rsid w:val="00F97F5F"/>
    <w:rsid w:val="00F97F97"/>
    <w:rsid w:val="00FA0072"/>
    <w:rsid w:val="00FA00D3"/>
    <w:rsid w:val="00FA0203"/>
    <w:rsid w:val="00FA0213"/>
    <w:rsid w:val="00FA03DF"/>
    <w:rsid w:val="00FA0598"/>
    <w:rsid w:val="00FA05D9"/>
    <w:rsid w:val="00FA060A"/>
    <w:rsid w:val="00FA079D"/>
    <w:rsid w:val="00FA07DE"/>
    <w:rsid w:val="00FA0896"/>
    <w:rsid w:val="00FA09C0"/>
    <w:rsid w:val="00FA0B23"/>
    <w:rsid w:val="00FA0BD7"/>
    <w:rsid w:val="00FA0C65"/>
    <w:rsid w:val="00FA0C7D"/>
    <w:rsid w:val="00FA0D2E"/>
    <w:rsid w:val="00FA11D4"/>
    <w:rsid w:val="00FA1248"/>
    <w:rsid w:val="00FA1333"/>
    <w:rsid w:val="00FA1390"/>
    <w:rsid w:val="00FA13F5"/>
    <w:rsid w:val="00FA1436"/>
    <w:rsid w:val="00FA1481"/>
    <w:rsid w:val="00FA1507"/>
    <w:rsid w:val="00FA170C"/>
    <w:rsid w:val="00FA1796"/>
    <w:rsid w:val="00FA17EA"/>
    <w:rsid w:val="00FA17FC"/>
    <w:rsid w:val="00FA185C"/>
    <w:rsid w:val="00FA19C8"/>
    <w:rsid w:val="00FA1A3B"/>
    <w:rsid w:val="00FA1AAC"/>
    <w:rsid w:val="00FA1ACA"/>
    <w:rsid w:val="00FA1B01"/>
    <w:rsid w:val="00FA1CEB"/>
    <w:rsid w:val="00FA1D81"/>
    <w:rsid w:val="00FA1DF7"/>
    <w:rsid w:val="00FA2016"/>
    <w:rsid w:val="00FA207F"/>
    <w:rsid w:val="00FA2090"/>
    <w:rsid w:val="00FA2120"/>
    <w:rsid w:val="00FA216D"/>
    <w:rsid w:val="00FA224F"/>
    <w:rsid w:val="00FA2472"/>
    <w:rsid w:val="00FA2652"/>
    <w:rsid w:val="00FA26F7"/>
    <w:rsid w:val="00FA296C"/>
    <w:rsid w:val="00FA29EE"/>
    <w:rsid w:val="00FA2A5F"/>
    <w:rsid w:val="00FA2B38"/>
    <w:rsid w:val="00FA2B8B"/>
    <w:rsid w:val="00FA2BD2"/>
    <w:rsid w:val="00FA2D95"/>
    <w:rsid w:val="00FA3026"/>
    <w:rsid w:val="00FA305B"/>
    <w:rsid w:val="00FA3253"/>
    <w:rsid w:val="00FA329B"/>
    <w:rsid w:val="00FA3340"/>
    <w:rsid w:val="00FA33A5"/>
    <w:rsid w:val="00FA3419"/>
    <w:rsid w:val="00FA34AF"/>
    <w:rsid w:val="00FA35D0"/>
    <w:rsid w:val="00FA3611"/>
    <w:rsid w:val="00FA368F"/>
    <w:rsid w:val="00FA36A9"/>
    <w:rsid w:val="00FA37DC"/>
    <w:rsid w:val="00FA3925"/>
    <w:rsid w:val="00FA3ADB"/>
    <w:rsid w:val="00FA3BE1"/>
    <w:rsid w:val="00FA3C06"/>
    <w:rsid w:val="00FA3D22"/>
    <w:rsid w:val="00FA3E69"/>
    <w:rsid w:val="00FA3F90"/>
    <w:rsid w:val="00FA3FAD"/>
    <w:rsid w:val="00FA401F"/>
    <w:rsid w:val="00FA4065"/>
    <w:rsid w:val="00FA413F"/>
    <w:rsid w:val="00FA42E4"/>
    <w:rsid w:val="00FA4366"/>
    <w:rsid w:val="00FA4471"/>
    <w:rsid w:val="00FA44CB"/>
    <w:rsid w:val="00FA462B"/>
    <w:rsid w:val="00FA46AA"/>
    <w:rsid w:val="00FA47CA"/>
    <w:rsid w:val="00FA4822"/>
    <w:rsid w:val="00FA48A1"/>
    <w:rsid w:val="00FA48B4"/>
    <w:rsid w:val="00FA494A"/>
    <w:rsid w:val="00FA49F4"/>
    <w:rsid w:val="00FA4AD3"/>
    <w:rsid w:val="00FA4B94"/>
    <w:rsid w:val="00FA4C48"/>
    <w:rsid w:val="00FA4EF6"/>
    <w:rsid w:val="00FA4F41"/>
    <w:rsid w:val="00FA4F8B"/>
    <w:rsid w:val="00FA4FF5"/>
    <w:rsid w:val="00FA5021"/>
    <w:rsid w:val="00FA50F0"/>
    <w:rsid w:val="00FA513C"/>
    <w:rsid w:val="00FA51F9"/>
    <w:rsid w:val="00FA5237"/>
    <w:rsid w:val="00FA5319"/>
    <w:rsid w:val="00FA5352"/>
    <w:rsid w:val="00FA540C"/>
    <w:rsid w:val="00FA5450"/>
    <w:rsid w:val="00FA5589"/>
    <w:rsid w:val="00FA577B"/>
    <w:rsid w:val="00FA57BD"/>
    <w:rsid w:val="00FA57D3"/>
    <w:rsid w:val="00FA5945"/>
    <w:rsid w:val="00FA5A24"/>
    <w:rsid w:val="00FA5AA8"/>
    <w:rsid w:val="00FA5B83"/>
    <w:rsid w:val="00FA5B90"/>
    <w:rsid w:val="00FA5C97"/>
    <w:rsid w:val="00FA5CA3"/>
    <w:rsid w:val="00FA5CB9"/>
    <w:rsid w:val="00FA5D05"/>
    <w:rsid w:val="00FA5D55"/>
    <w:rsid w:val="00FA5E25"/>
    <w:rsid w:val="00FA5FD2"/>
    <w:rsid w:val="00FA6080"/>
    <w:rsid w:val="00FA61DF"/>
    <w:rsid w:val="00FA6356"/>
    <w:rsid w:val="00FA654E"/>
    <w:rsid w:val="00FA65B7"/>
    <w:rsid w:val="00FA65E1"/>
    <w:rsid w:val="00FA66C0"/>
    <w:rsid w:val="00FA67F8"/>
    <w:rsid w:val="00FA68E6"/>
    <w:rsid w:val="00FA6A8C"/>
    <w:rsid w:val="00FA6A8D"/>
    <w:rsid w:val="00FA6A9D"/>
    <w:rsid w:val="00FA6B02"/>
    <w:rsid w:val="00FA6CE4"/>
    <w:rsid w:val="00FA6D0A"/>
    <w:rsid w:val="00FA6D9E"/>
    <w:rsid w:val="00FA6EE4"/>
    <w:rsid w:val="00FA6F38"/>
    <w:rsid w:val="00FA7271"/>
    <w:rsid w:val="00FA72AC"/>
    <w:rsid w:val="00FA7388"/>
    <w:rsid w:val="00FA739E"/>
    <w:rsid w:val="00FA73A0"/>
    <w:rsid w:val="00FA74A0"/>
    <w:rsid w:val="00FA75D0"/>
    <w:rsid w:val="00FA7617"/>
    <w:rsid w:val="00FA76BF"/>
    <w:rsid w:val="00FA7851"/>
    <w:rsid w:val="00FA7986"/>
    <w:rsid w:val="00FA7BE3"/>
    <w:rsid w:val="00FA7BEF"/>
    <w:rsid w:val="00FA7C48"/>
    <w:rsid w:val="00FA7D71"/>
    <w:rsid w:val="00FA7DA5"/>
    <w:rsid w:val="00FA7F8C"/>
    <w:rsid w:val="00FB00E9"/>
    <w:rsid w:val="00FB01BC"/>
    <w:rsid w:val="00FB027F"/>
    <w:rsid w:val="00FB0328"/>
    <w:rsid w:val="00FB04FB"/>
    <w:rsid w:val="00FB058B"/>
    <w:rsid w:val="00FB06EB"/>
    <w:rsid w:val="00FB076B"/>
    <w:rsid w:val="00FB07A8"/>
    <w:rsid w:val="00FB081D"/>
    <w:rsid w:val="00FB0948"/>
    <w:rsid w:val="00FB09C3"/>
    <w:rsid w:val="00FB0A50"/>
    <w:rsid w:val="00FB0C06"/>
    <w:rsid w:val="00FB0CF5"/>
    <w:rsid w:val="00FB0DA6"/>
    <w:rsid w:val="00FB0DD4"/>
    <w:rsid w:val="00FB0E03"/>
    <w:rsid w:val="00FB0EB9"/>
    <w:rsid w:val="00FB1286"/>
    <w:rsid w:val="00FB12A9"/>
    <w:rsid w:val="00FB1370"/>
    <w:rsid w:val="00FB1449"/>
    <w:rsid w:val="00FB1496"/>
    <w:rsid w:val="00FB179D"/>
    <w:rsid w:val="00FB17C2"/>
    <w:rsid w:val="00FB1871"/>
    <w:rsid w:val="00FB1A47"/>
    <w:rsid w:val="00FB1B54"/>
    <w:rsid w:val="00FB1BBB"/>
    <w:rsid w:val="00FB1C52"/>
    <w:rsid w:val="00FB1C7D"/>
    <w:rsid w:val="00FB1F73"/>
    <w:rsid w:val="00FB1F90"/>
    <w:rsid w:val="00FB205C"/>
    <w:rsid w:val="00FB209B"/>
    <w:rsid w:val="00FB2115"/>
    <w:rsid w:val="00FB244B"/>
    <w:rsid w:val="00FB246C"/>
    <w:rsid w:val="00FB2543"/>
    <w:rsid w:val="00FB25C9"/>
    <w:rsid w:val="00FB26AE"/>
    <w:rsid w:val="00FB2703"/>
    <w:rsid w:val="00FB272E"/>
    <w:rsid w:val="00FB2768"/>
    <w:rsid w:val="00FB2983"/>
    <w:rsid w:val="00FB29FF"/>
    <w:rsid w:val="00FB2A10"/>
    <w:rsid w:val="00FB2B70"/>
    <w:rsid w:val="00FB2CFE"/>
    <w:rsid w:val="00FB2D25"/>
    <w:rsid w:val="00FB2D92"/>
    <w:rsid w:val="00FB2E62"/>
    <w:rsid w:val="00FB2EBC"/>
    <w:rsid w:val="00FB3092"/>
    <w:rsid w:val="00FB3140"/>
    <w:rsid w:val="00FB32F5"/>
    <w:rsid w:val="00FB35D9"/>
    <w:rsid w:val="00FB361B"/>
    <w:rsid w:val="00FB3672"/>
    <w:rsid w:val="00FB370E"/>
    <w:rsid w:val="00FB3906"/>
    <w:rsid w:val="00FB39B8"/>
    <w:rsid w:val="00FB3B5B"/>
    <w:rsid w:val="00FB3BA6"/>
    <w:rsid w:val="00FB3BAB"/>
    <w:rsid w:val="00FB3CF2"/>
    <w:rsid w:val="00FB3E33"/>
    <w:rsid w:val="00FB3F4C"/>
    <w:rsid w:val="00FB3F70"/>
    <w:rsid w:val="00FB3F7F"/>
    <w:rsid w:val="00FB4066"/>
    <w:rsid w:val="00FB40B4"/>
    <w:rsid w:val="00FB426D"/>
    <w:rsid w:val="00FB4279"/>
    <w:rsid w:val="00FB427B"/>
    <w:rsid w:val="00FB4325"/>
    <w:rsid w:val="00FB440D"/>
    <w:rsid w:val="00FB44B2"/>
    <w:rsid w:val="00FB45D2"/>
    <w:rsid w:val="00FB45DE"/>
    <w:rsid w:val="00FB4600"/>
    <w:rsid w:val="00FB4641"/>
    <w:rsid w:val="00FB4798"/>
    <w:rsid w:val="00FB4886"/>
    <w:rsid w:val="00FB4952"/>
    <w:rsid w:val="00FB4A40"/>
    <w:rsid w:val="00FB4AB7"/>
    <w:rsid w:val="00FB4ADE"/>
    <w:rsid w:val="00FB4B0A"/>
    <w:rsid w:val="00FB4B64"/>
    <w:rsid w:val="00FB4BAE"/>
    <w:rsid w:val="00FB4BBA"/>
    <w:rsid w:val="00FB4BC7"/>
    <w:rsid w:val="00FB4BD2"/>
    <w:rsid w:val="00FB4E8A"/>
    <w:rsid w:val="00FB4FE2"/>
    <w:rsid w:val="00FB507C"/>
    <w:rsid w:val="00FB50CA"/>
    <w:rsid w:val="00FB5267"/>
    <w:rsid w:val="00FB541F"/>
    <w:rsid w:val="00FB5573"/>
    <w:rsid w:val="00FB55DF"/>
    <w:rsid w:val="00FB5612"/>
    <w:rsid w:val="00FB5698"/>
    <w:rsid w:val="00FB56D3"/>
    <w:rsid w:val="00FB5705"/>
    <w:rsid w:val="00FB596F"/>
    <w:rsid w:val="00FB598D"/>
    <w:rsid w:val="00FB59CD"/>
    <w:rsid w:val="00FB5B64"/>
    <w:rsid w:val="00FB5BAB"/>
    <w:rsid w:val="00FB5BD8"/>
    <w:rsid w:val="00FB5BFF"/>
    <w:rsid w:val="00FB5E35"/>
    <w:rsid w:val="00FB5E89"/>
    <w:rsid w:val="00FB5E97"/>
    <w:rsid w:val="00FB5E99"/>
    <w:rsid w:val="00FB6200"/>
    <w:rsid w:val="00FB6312"/>
    <w:rsid w:val="00FB63AC"/>
    <w:rsid w:val="00FB63C9"/>
    <w:rsid w:val="00FB65BA"/>
    <w:rsid w:val="00FB65DB"/>
    <w:rsid w:val="00FB6753"/>
    <w:rsid w:val="00FB6789"/>
    <w:rsid w:val="00FB6824"/>
    <w:rsid w:val="00FB6977"/>
    <w:rsid w:val="00FB6B19"/>
    <w:rsid w:val="00FB6CD5"/>
    <w:rsid w:val="00FB6D20"/>
    <w:rsid w:val="00FB6E48"/>
    <w:rsid w:val="00FB6ED5"/>
    <w:rsid w:val="00FB7175"/>
    <w:rsid w:val="00FB7212"/>
    <w:rsid w:val="00FB7257"/>
    <w:rsid w:val="00FB727C"/>
    <w:rsid w:val="00FB72B3"/>
    <w:rsid w:val="00FB72BE"/>
    <w:rsid w:val="00FB7412"/>
    <w:rsid w:val="00FB751F"/>
    <w:rsid w:val="00FB75BB"/>
    <w:rsid w:val="00FB767C"/>
    <w:rsid w:val="00FB771C"/>
    <w:rsid w:val="00FB7739"/>
    <w:rsid w:val="00FB78B6"/>
    <w:rsid w:val="00FB7A69"/>
    <w:rsid w:val="00FB7BC1"/>
    <w:rsid w:val="00FB7C5E"/>
    <w:rsid w:val="00FB7C87"/>
    <w:rsid w:val="00FB7DCC"/>
    <w:rsid w:val="00FB7DF9"/>
    <w:rsid w:val="00FB7EA0"/>
    <w:rsid w:val="00FB7F57"/>
    <w:rsid w:val="00FC004D"/>
    <w:rsid w:val="00FC025E"/>
    <w:rsid w:val="00FC02A4"/>
    <w:rsid w:val="00FC0380"/>
    <w:rsid w:val="00FC0603"/>
    <w:rsid w:val="00FC0631"/>
    <w:rsid w:val="00FC06E6"/>
    <w:rsid w:val="00FC079B"/>
    <w:rsid w:val="00FC083F"/>
    <w:rsid w:val="00FC0854"/>
    <w:rsid w:val="00FC08D4"/>
    <w:rsid w:val="00FC090C"/>
    <w:rsid w:val="00FC0AEC"/>
    <w:rsid w:val="00FC0BEE"/>
    <w:rsid w:val="00FC0C60"/>
    <w:rsid w:val="00FC0CD1"/>
    <w:rsid w:val="00FC0DCC"/>
    <w:rsid w:val="00FC0E2F"/>
    <w:rsid w:val="00FC0E39"/>
    <w:rsid w:val="00FC10E5"/>
    <w:rsid w:val="00FC1170"/>
    <w:rsid w:val="00FC118B"/>
    <w:rsid w:val="00FC12BE"/>
    <w:rsid w:val="00FC135D"/>
    <w:rsid w:val="00FC1460"/>
    <w:rsid w:val="00FC1516"/>
    <w:rsid w:val="00FC1644"/>
    <w:rsid w:val="00FC17E2"/>
    <w:rsid w:val="00FC1849"/>
    <w:rsid w:val="00FC18A1"/>
    <w:rsid w:val="00FC1A75"/>
    <w:rsid w:val="00FC1A84"/>
    <w:rsid w:val="00FC1A8A"/>
    <w:rsid w:val="00FC1B00"/>
    <w:rsid w:val="00FC1B6F"/>
    <w:rsid w:val="00FC1B9C"/>
    <w:rsid w:val="00FC1C09"/>
    <w:rsid w:val="00FC1CBF"/>
    <w:rsid w:val="00FC1D62"/>
    <w:rsid w:val="00FC1D89"/>
    <w:rsid w:val="00FC1DA8"/>
    <w:rsid w:val="00FC1E83"/>
    <w:rsid w:val="00FC200B"/>
    <w:rsid w:val="00FC2218"/>
    <w:rsid w:val="00FC22ED"/>
    <w:rsid w:val="00FC237E"/>
    <w:rsid w:val="00FC241F"/>
    <w:rsid w:val="00FC25E6"/>
    <w:rsid w:val="00FC2657"/>
    <w:rsid w:val="00FC2730"/>
    <w:rsid w:val="00FC2747"/>
    <w:rsid w:val="00FC2808"/>
    <w:rsid w:val="00FC293A"/>
    <w:rsid w:val="00FC2A19"/>
    <w:rsid w:val="00FC2B66"/>
    <w:rsid w:val="00FC2C67"/>
    <w:rsid w:val="00FC2D01"/>
    <w:rsid w:val="00FC2D1B"/>
    <w:rsid w:val="00FC2E51"/>
    <w:rsid w:val="00FC2F21"/>
    <w:rsid w:val="00FC2F6F"/>
    <w:rsid w:val="00FC2FAF"/>
    <w:rsid w:val="00FC2FDC"/>
    <w:rsid w:val="00FC316F"/>
    <w:rsid w:val="00FC317B"/>
    <w:rsid w:val="00FC32AF"/>
    <w:rsid w:val="00FC33CE"/>
    <w:rsid w:val="00FC3425"/>
    <w:rsid w:val="00FC34DF"/>
    <w:rsid w:val="00FC36E6"/>
    <w:rsid w:val="00FC36E8"/>
    <w:rsid w:val="00FC3702"/>
    <w:rsid w:val="00FC37C4"/>
    <w:rsid w:val="00FC37FC"/>
    <w:rsid w:val="00FC384F"/>
    <w:rsid w:val="00FC3897"/>
    <w:rsid w:val="00FC3899"/>
    <w:rsid w:val="00FC390F"/>
    <w:rsid w:val="00FC3958"/>
    <w:rsid w:val="00FC3A09"/>
    <w:rsid w:val="00FC3A67"/>
    <w:rsid w:val="00FC3AA8"/>
    <w:rsid w:val="00FC3BD7"/>
    <w:rsid w:val="00FC3C88"/>
    <w:rsid w:val="00FC3C90"/>
    <w:rsid w:val="00FC3D57"/>
    <w:rsid w:val="00FC3D64"/>
    <w:rsid w:val="00FC3D9F"/>
    <w:rsid w:val="00FC3DF1"/>
    <w:rsid w:val="00FC42BE"/>
    <w:rsid w:val="00FC42E8"/>
    <w:rsid w:val="00FC4346"/>
    <w:rsid w:val="00FC440E"/>
    <w:rsid w:val="00FC4506"/>
    <w:rsid w:val="00FC462F"/>
    <w:rsid w:val="00FC4661"/>
    <w:rsid w:val="00FC475B"/>
    <w:rsid w:val="00FC4848"/>
    <w:rsid w:val="00FC4986"/>
    <w:rsid w:val="00FC4A8F"/>
    <w:rsid w:val="00FC4ADF"/>
    <w:rsid w:val="00FC4C0D"/>
    <w:rsid w:val="00FC4D5B"/>
    <w:rsid w:val="00FC4D62"/>
    <w:rsid w:val="00FC4ED1"/>
    <w:rsid w:val="00FC4F75"/>
    <w:rsid w:val="00FC4FE4"/>
    <w:rsid w:val="00FC5070"/>
    <w:rsid w:val="00FC5183"/>
    <w:rsid w:val="00FC521A"/>
    <w:rsid w:val="00FC5277"/>
    <w:rsid w:val="00FC527A"/>
    <w:rsid w:val="00FC53E5"/>
    <w:rsid w:val="00FC53E6"/>
    <w:rsid w:val="00FC5511"/>
    <w:rsid w:val="00FC552C"/>
    <w:rsid w:val="00FC5558"/>
    <w:rsid w:val="00FC56C0"/>
    <w:rsid w:val="00FC5758"/>
    <w:rsid w:val="00FC5768"/>
    <w:rsid w:val="00FC5773"/>
    <w:rsid w:val="00FC57ED"/>
    <w:rsid w:val="00FC58B5"/>
    <w:rsid w:val="00FC5A14"/>
    <w:rsid w:val="00FC5A6C"/>
    <w:rsid w:val="00FC5ACB"/>
    <w:rsid w:val="00FC5CB4"/>
    <w:rsid w:val="00FC5E58"/>
    <w:rsid w:val="00FC5E64"/>
    <w:rsid w:val="00FC5EAC"/>
    <w:rsid w:val="00FC5F90"/>
    <w:rsid w:val="00FC61D1"/>
    <w:rsid w:val="00FC6205"/>
    <w:rsid w:val="00FC6340"/>
    <w:rsid w:val="00FC6388"/>
    <w:rsid w:val="00FC6518"/>
    <w:rsid w:val="00FC66A6"/>
    <w:rsid w:val="00FC66B4"/>
    <w:rsid w:val="00FC6A71"/>
    <w:rsid w:val="00FC6A7F"/>
    <w:rsid w:val="00FC6ACE"/>
    <w:rsid w:val="00FC6B7C"/>
    <w:rsid w:val="00FC6C2C"/>
    <w:rsid w:val="00FC6C98"/>
    <w:rsid w:val="00FC6CED"/>
    <w:rsid w:val="00FC6D03"/>
    <w:rsid w:val="00FC6D71"/>
    <w:rsid w:val="00FC6E25"/>
    <w:rsid w:val="00FC6EC0"/>
    <w:rsid w:val="00FC6EFA"/>
    <w:rsid w:val="00FC6F97"/>
    <w:rsid w:val="00FC6FDC"/>
    <w:rsid w:val="00FC6FF2"/>
    <w:rsid w:val="00FC71A9"/>
    <w:rsid w:val="00FC71C7"/>
    <w:rsid w:val="00FC7326"/>
    <w:rsid w:val="00FC73AD"/>
    <w:rsid w:val="00FC73B8"/>
    <w:rsid w:val="00FC73BE"/>
    <w:rsid w:val="00FC75F6"/>
    <w:rsid w:val="00FC760D"/>
    <w:rsid w:val="00FC7628"/>
    <w:rsid w:val="00FC76D8"/>
    <w:rsid w:val="00FC7782"/>
    <w:rsid w:val="00FC7857"/>
    <w:rsid w:val="00FC78CD"/>
    <w:rsid w:val="00FC7A0C"/>
    <w:rsid w:val="00FC7AE2"/>
    <w:rsid w:val="00FC7B44"/>
    <w:rsid w:val="00FC7C29"/>
    <w:rsid w:val="00FC7C7D"/>
    <w:rsid w:val="00FC7D2D"/>
    <w:rsid w:val="00FC7D38"/>
    <w:rsid w:val="00FC7DE6"/>
    <w:rsid w:val="00FC7E90"/>
    <w:rsid w:val="00FD0008"/>
    <w:rsid w:val="00FD0009"/>
    <w:rsid w:val="00FD0039"/>
    <w:rsid w:val="00FD0040"/>
    <w:rsid w:val="00FD0077"/>
    <w:rsid w:val="00FD00B0"/>
    <w:rsid w:val="00FD014E"/>
    <w:rsid w:val="00FD01F7"/>
    <w:rsid w:val="00FD023E"/>
    <w:rsid w:val="00FD028D"/>
    <w:rsid w:val="00FD0327"/>
    <w:rsid w:val="00FD03AC"/>
    <w:rsid w:val="00FD042E"/>
    <w:rsid w:val="00FD0448"/>
    <w:rsid w:val="00FD04D7"/>
    <w:rsid w:val="00FD077E"/>
    <w:rsid w:val="00FD07B6"/>
    <w:rsid w:val="00FD0800"/>
    <w:rsid w:val="00FD0823"/>
    <w:rsid w:val="00FD0927"/>
    <w:rsid w:val="00FD094E"/>
    <w:rsid w:val="00FD0966"/>
    <w:rsid w:val="00FD0C8B"/>
    <w:rsid w:val="00FD0D0D"/>
    <w:rsid w:val="00FD0D18"/>
    <w:rsid w:val="00FD0D21"/>
    <w:rsid w:val="00FD0EA9"/>
    <w:rsid w:val="00FD0F54"/>
    <w:rsid w:val="00FD1054"/>
    <w:rsid w:val="00FD109E"/>
    <w:rsid w:val="00FD10A6"/>
    <w:rsid w:val="00FD10B3"/>
    <w:rsid w:val="00FD10E7"/>
    <w:rsid w:val="00FD136F"/>
    <w:rsid w:val="00FD142C"/>
    <w:rsid w:val="00FD1603"/>
    <w:rsid w:val="00FD182C"/>
    <w:rsid w:val="00FD1913"/>
    <w:rsid w:val="00FD198D"/>
    <w:rsid w:val="00FD19BD"/>
    <w:rsid w:val="00FD1BBB"/>
    <w:rsid w:val="00FD1BF2"/>
    <w:rsid w:val="00FD1C52"/>
    <w:rsid w:val="00FD1CCA"/>
    <w:rsid w:val="00FD1DAB"/>
    <w:rsid w:val="00FD1DD4"/>
    <w:rsid w:val="00FD1E1D"/>
    <w:rsid w:val="00FD1F40"/>
    <w:rsid w:val="00FD202B"/>
    <w:rsid w:val="00FD2075"/>
    <w:rsid w:val="00FD2138"/>
    <w:rsid w:val="00FD220B"/>
    <w:rsid w:val="00FD22AB"/>
    <w:rsid w:val="00FD23D9"/>
    <w:rsid w:val="00FD2501"/>
    <w:rsid w:val="00FD251F"/>
    <w:rsid w:val="00FD264D"/>
    <w:rsid w:val="00FD26DA"/>
    <w:rsid w:val="00FD2787"/>
    <w:rsid w:val="00FD28A4"/>
    <w:rsid w:val="00FD28CA"/>
    <w:rsid w:val="00FD2AF1"/>
    <w:rsid w:val="00FD2AFB"/>
    <w:rsid w:val="00FD2BB6"/>
    <w:rsid w:val="00FD2C5A"/>
    <w:rsid w:val="00FD2C8E"/>
    <w:rsid w:val="00FD2D6B"/>
    <w:rsid w:val="00FD2EBB"/>
    <w:rsid w:val="00FD2EFC"/>
    <w:rsid w:val="00FD300C"/>
    <w:rsid w:val="00FD3075"/>
    <w:rsid w:val="00FD31D7"/>
    <w:rsid w:val="00FD32A6"/>
    <w:rsid w:val="00FD32C6"/>
    <w:rsid w:val="00FD333A"/>
    <w:rsid w:val="00FD33F6"/>
    <w:rsid w:val="00FD341A"/>
    <w:rsid w:val="00FD3502"/>
    <w:rsid w:val="00FD35AA"/>
    <w:rsid w:val="00FD35E8"/>
    <w:rsid w:val="00FD35FB"/>
    <w:rsid w:val="00FD3661"/>
    <w:rsid w:val="00FD36D1"/>
    <w:rsid w:val="00FD36E4"/>
    <w:rsid w:val="00FD37A1"/>
    <w:rsid w:val="00FD397C"/>
    <w:rsid w:val="00FD3A3D"/>
    <w:rsid w:val="00FD3BFE"/>
    <w:rsid w:val="00FD3D36"/>
    <w:rsid w:val="00FD3D96"/>
    <w:rsid w:val="00FD3F60"/>
    <w:rsid w:val="00FD3FA0"/>
    <w:rsid w:val="00FD419E"/>
    <w:rsid w:val="00FD4323"/>
    <w:rsid w:val="00FD43C0"/>
    <w:rsid w:val="00FD4625"/>
    <w:rsid w:val="00FD46D0"/>
    <w:rsid w:val="00FD47DD"/>
    <w:rsid w:val="00FD4C0E"/>
    <w:rsid w:val="00FD4D5D"/>
    <w:rsid w:val="00FD4D9B"/>
    <w:rsid w:val="00FD4EDF"/>
    <w:rsid w:val="00FD500F"/>
    <w:rsid w:val="00FD5076"/>
    <w:rsid w:val="00FD5248"/>
    <w:rsid w:val="00FD5276"/>
    <w:rsid w:val="00FD5289"/>
    <w:rsid w:val="00FD5379"/>
    <w:rsid w:val="00FD53EE"/>
    <w:rsid w:val="00FD551D"/>
    <w:rsid w:val="00FD55E5"/>
    <w:rsid w:val="00FD56F7"/>
    <w:rsid w:val="00FD57D3"/>
    <w:rsid w:val="00FD57FE"/>
    <w:rsid w:val="00FD59FF"/>
    <w:rsid w:val="00FD5A67"/>
    <w:rsid w:val="00FD5AC1"/>
    <w:rsid w:val="00FD5C75"/>
    <w:rsid w:val="00FD5D84"/>
    <w:rsid w:val="00FD5DBA"/>
    <w:rsid w:val="00FD5EDE"/>
    <w:rsid w:val="00FD5F0A"/>
    <w:rsid w:val="00FD5FD9"/>
    <w:rsid w:val="00FD60B3"/>
    <w:rsid w:val="00FD6168"/>
    <w:rsid w:val="00FD6286"/>
    <w:rsid w:val="00FD6590"/>
    <w:rsid w:val="00FD6835"/>
    <w:rsid w:val="00FD68F9"/>
    <w:rsid w:val="00FD697F"/>
    <w:rsid w:val="00FD69A9"/>
    <w:rsid w:val="00FD6A5F"/>
    <w:rsid w:val="00FD6AB6"/>
    <w:rsid w:val="00FD6B40"/>
    <w:rsid w:val="00FD6BEE"/>
    <w:rsid w:val="00FD6BF0"/>
    <w:rsid w:val="00FD6BFF"/>
    <w:rsid w:val="00FD6D37"/>
    <w:rsid w:val="00FD6EE0"/>
    <w:rsid w:val="00FD70EC"/>
    <w:rsid w:val="00FD71B8"/>
    <w:rsid w:val="00FD7221"/>
    <w:rsid w:val="00FD7358"/>
    <w:rsid w:val="00FD73C4"/>
    <w:rsid w:val="00FD73CB"/>
    <w:rsid w:val="00FD73EE"/>
    <w:rsid w:val="00FD743A"/>
    <w:rsid w:val="00FD757D"/>
    <w:rsid w:val="00FD7590"/>
    <w:rsid w:val="00FD75A1"/>
    <w:rsid w:val="00FD782C"/>
    <w:rsid w:val="00FD7A2A"/>
    <w:rsid w:val="00FD7A7F"/>
    <w:rsid w:val="00FD7C0E"/>
    <w:rsid w:val="00FD7C8A"/>
    <w:rsid w:val="00FD7E5F"/>
    <w:rsid w:val="00FD7F65"/>
    <w:rsid w:val="00FE00D9"/>
    <w:rsid w:val="00FE02EF"/>
    <w:rsid w:val="00FE071D"/>
    <w:rsid w:val="00FE0803"/>
    <w:rsid w:val="00FE0857"/>
    <w:rsid w:val="00FE0895"/>
    <w:rsid w:val="00FE089C"/>
    <w:rsid w:val="00FE08BC"/>
    <w:rsid w:val="00FE091D"/>
    <w:rsid w:val="00FE094E"/>
    <w:rsid w:val="00FE0A46"/>
    <w:rsid w:val="00FE0B63"/>
    <w:rsid w:val="00FE0C4A"/>
    <w:rsid w:val="00FE0D99"/>
    <w:rsid w:val="00FE0F47"/>
    <w:rsid w:val="00FE11E8"/>
    <w:rsid w:val="00FE127B"/>
    <w:rsid w:val="00FE12CD"/>
    <w:rsid w:val="00FE137E"/>
    <w:rsid w:val="00FE14CC"/>
    <w:rsid w:val="00FE1503"/>
    <w:rsid w:val="00FE175E"/>
    <w:rsid w:val="00FE17E4"/>
    <w:rsid w:val="00FE1822"/>
    <w:rsid w:val="00FE193A"/>
    <w:rsid w:val="00FE19B0"/>
    <w:rsid w:val="00FE19B8"/>
    <w:rsid w:val="00FE1CA3"/>
    <w:rsid w:val="00FE1CAC"/>
    <w:rsid w:val="00FE1D08"/>
    <w:rsid w:val="00FE1D9B"/>
    <w:rsid w:val="00FE1EA4"/>
    <w:rsid w:val="00FE1F34"/>
    <w:rsid w:val="00FE1F9B"/>
    <w:rsid w:val="00FE2027"/>
    <w:rsid w:val="00FE20E6"/>
    <w:rsid w:val="00FE213D"/>
    <w:rsid w:val="00FE2307"/>
    <w:rsid w:val="00FE239F"/>
    <w:rsid w:val="00FE2474"/>
    <w:rsid w:val="00FE24C6"/>
    <w:rsid w:val="00FE255D"/>
    <w:rsid w:val="00FE25DF"/>
    <w:rsid w:val="00FE260E"/>
    <w:rsid w:val="00FE2612"/>
    <w:rsid w:val="00FE2615"/>
    <w:rsid w:val="00FE2675"/>
    <w:rsid w:val="00FE2732"/>
    <w:rsid w:val="00FE274A"/>
    <w:rsid w:val="00FE2914"/>
    <w:rsid w:val="00FE292C"/>
    <w:rsid w:val="00FE2930"/>
    <w:rsid w:val="00FE2B46"/>
    <w:rsid w:val="00FE2B4B"/>
    <w:rsid w:val="00FE2C94"/>
    <w:rsid w:val="00FE2D91"/>
    <w:rsid w:val="00FE2DE0"/>
    <w:rsid w:val="00FE2E24"/>
    <w:rsid w:val="00FE3081"/>
    <w:rsid w:val="00FE30F4"/>
    <w:rsid w:val="00FE3124"/>
    <w:rsid w:val="00FE3163"/>
    <w:rsid w:val="00FE31C9"/>
    <w:rsid w:val="00FE31D3"/>
    <w:rsid w:val="00FE33BF"/>
    <w:rsid w:val="00FE3436"/>
    <w:rsid w:val="00FE348A"/>
    <w:rsid w:val="00FE355C"/>
    <w:rsid w:val="00FE36B1"/>
    <w:rsid w:val="00FE39EC"/>
    <w:rsid w:val="00FE3A69"/>
    <w:rsid w:val="00FE3B74"/>
    <w:rsid w:val="00FE3CFC"/>
    <w:rsid w:val="00FE3E22"/>
    <w:rsid w:val="00FE3E29"/>
    <w:rsid w:val="00FE3E36"/>
    <w:rsid w:val="00FE3E79"/>
    <w:rsid w:val="00FE3EE4"/>
    <w:rsid w:val="00FE3FEB"/>
    <w:rsid w:val="00FE4008"/>
    <w:rsid w:val="00FE4042"/>
    <w:rsid w:val="00FE408E"/>
    <w:rsid w:val="00FE40BF"/>
    <w:rsid w:val="00FE4280"/>
    <w:rsid w:val="00FE4382"/>
    <w:rsid w:val="00FE4412"/>
    <w:rsid w:val="00FE4618"/>
    <w:rsid w:val="00FE4703"/>
    <w:rsid w:val="00FE4722"/>
    <w:rsid w:val="00FE4746"/>
    <w:rsid w:val="00FE486D"/>
    <w:rsid w:val="00FE48AA"/>
    <w:rsid w:val="00FE48BA"/>
    <w:rsid w:val="00FE4910"/>
    <w:rsid w:val="00FE4933"/>
    <w:rsid w:val="00FE4945"/>
    <w:rsid w:val="00FE4A2C"/>
    <w:rsid w:val="00FE4B00"/>
    <w:rsid w:val="00FE4BC4"/>
    <w:rsid w:val="00FE4D03"/>
    <w:rsid w:val="00FE4D17"/>
    <w:rsid w:val="00FE4DDD"/>
    <w:rsid w:val="00FE4E1E"/>
    <w:rsid w:val="00FE4EA0"/>
    <w:rsid w:val="00FE4F2E"/>
    <w:rsid w:val="00FE4FC1"/>
    <w:rsid w:val="00FE5176"/>
    <w:rsid w:val="00FE51C7"/>
    <w:rsid w:val="00FE51D0"/>
    <w:rsid w:val="00FE51F1"/>
    <w:rsid w:val="00FE521F"/>
    <w:rsid w:val="00FE53AA"/>
    <w:rsid w:val="00FE542E"/>
    <w:rsid w:val="00FE5487"/>
    <w:rsid w:val="00FE5489"/>
    <w:rsid w:val="00FE5574"/>
    <w:rsid w:val="00FE5583"/>
    <w:rsid w:val="00FE584F"/>
    <w:rsid w:val="00FE5978"/>
    <w:rsid w:val="00FE59FB"/>
    <w:rsid w:val="00FE5A07"/>
    <w:rsid w:val="00FE5A58"/>
    <w:rsid w:val="00FE5AD4"/>
    <w:rsid w:val="00FE5C1A"/>
    <w:rsid w:val="00FE5CB1"/>
    <w:rsid w:val="00FE5D7F"/>
    <w:rsid w:val="00FE5E2D"/>
    <w:rsid w:val="00FE5EEF"/>
    <w:rsid w:val="00FE5FF4"/>
    <w:rsid w:val="00FE60A3"/>
    <w:rsid w:val="00FE61CF"/>
    <w:rsid w:val="00FE624D"/>
    <w:rsid w:val="00FE639B"/>
    <w:rsid w:val="00FE63E9"/>
    <w:rsid w:val="00FE647B"/>
    <w:rsid w:val="00FE64BF"/>
    <w:rsid w:val="00FE666B"/>
    <w:rsid w:val="00FE66CB"/>
    <w:rsid w:val="00FE66F3"/>
    <w:rsid w:val="00FE6909"/>
    <w:rsid w:val="00FE6B30"/>
    <w:rsid w:val="00FE6B69"/>
    <w:rsid w:val="00FE6C44"/>
    <w:rsid w:val="00FE6C8E"/>
    <w:rsid w:val="00FE6CF6"/>
    <w:rsid w:val="00FE6D93"/>
    <w:rsid w:val="00FE6E11"/>
    <w:rsid w:val="00FE6EC4"/>
    <w:rsid w:val="00FE6EEE"/>
    <w:rsid w:val="00FE6F88"/>
    <w:rsid w:val="00FE6FB4"/>
    <w:rsid w:val="00FE71D9"/>
    <w:rsid w:val="00FE71DD"/>
    <w:rsid w:val="00FE71EE"/>
    <w:rsid w:val="00FE721E"/>
    <w:rsid w:val="00FE735D"/>
    <w:rsid w:val="00FE7392"/>
    <w:rsid w:val="00FE73EF"/>
    <w:rsid w:val="00FE7487"/>
    <w:rsid w:val="00FE749B"/>
    <w:rsid w:val="00FE754F"/>
    <w:rsid w:val="00FE755F"/>
    <w:rsid w:val="00FE766F"/>
    <w:rsid w:val="00FE76CC"/>
    <w:rsid w:val="00FE7787"/>
    <w:rsid w:val="00FE7884"/>
    <w:rsid w:val="00FE788D"/>
    <w:rsid w:val="00FE78BB"/>
    <w:rsid w:val="00FE7940"/>
    <w:rsid w:val="00FE7AA1"/>
    <w:rsid w:val="00FE7AE1"/>
    <w:rsid w:val="00FE7AE2"/>
    <w:rsid w:val="00FE7D77"/>
    <w:rsid w:val="00FE7E1D"/>
    <w:rsid w:val="00FE7E43"/>
    <w:rsid w:val="00FE7F35"/>
    <w:rsid w:val="00FE7F87"/>
    <w:rsid w:val="00FF00F6"/>
    <w:rsid w:val="00FF019D"/>
    <w:rsid w:val="00FF02EB"/>
    <w:rsid w:val="00FF034E"/>
    <w:rsid w:val="00FF057D"/>
    <w:rsid w:val="00FF0656"/>
    <w:rsid w:val="00FF06E9"/>
    <w:rsid w:val="00FF07FF"/>
    <w:rsid w:val="00FF08CE"/>
    <w:rsid w:val="00FF0A01"/>
    <w:rsid w:val="00FF0AB1"/>
    <w:rsid w:val="00FF0B20"/>
    <w:rsid w:val="00FF0BB8"/>
    <w:rsid w:val="00FF0D9B"/>
    <w:rsid w:val="00FF0DCF"/>
    <w:rsid w:val="00FF0F1B"/>
    <w:rsid w:val="00FF1095"/>
    <w:rsid w:val="00FF1197"/>
    <w:rsid w:val="00FF11CC"/>
    <w:rsid w:val="00FF12E6"/>
    <w:rsid w:val="00FF136E"/>
    <w:rsid w:val="00FF1377"/>
    <w:rsid w:val="00FF13A1"/>
    <w:rsid w:val="00FF13CF"/>
    <w:rsid w:val="00FF1418"/>
    <w:rsid w:val="00FF150B"/>
    <w:rsid w:val="00FF16E1"/>
    <w:rsid w:val="00FF172E"/>
    <w:rsid w:val="00FF1780"/>
    <w:rsid w:val="00FF1949"/>
    <w:rsid w:val="00FF1952"/>
    <w:rsid w:val="00FF1983"/>
    <w:rsid w:val="00FF19D1"/>
    <w:rsid w:val="00FF1CBB"/>
    <w:rsid w:val="00FF1CD6"/>
    <w:rsid w:val="00FF1D95"/>
    <w:rsid w:val="00FF1EF2"/>
    <w:rsid w:val="00FF1EFC"/>
    <w:rsid w:val="00FF1F40"/>
    <w:rsid w:val="00FF1F51"/>
    <w:rsid w:val="00FF1F74"/>
    <w:rsid w:val="00FF1FBD"/>
    <w:rsid w:val="00FF200D"/>
    <w:rsid w:val="00FF2026"/>
    <w:rsid w:val="00FF2145"/>
    <w:rsid w:val="00FF21E7"/>
    <w:rsid w:val="00FF2217"/>
    <w:rsid w:val="00FF245C"/>
    <w:rsid w:val="00FF262A"/>
    <w:rsid w:val="00FF2677"/>
    <w:rsid w:val="00FF26AE"/>
    <w:rsid w:val="00FF26F8"/>
    <w:rsid w:val="00FF2779"/>
    <w:rsid w:val="00FF2A58"/>
    <w:rsid w:val="00FF2DE3"/>
    <w:rsid w:val="00FF2E3E"/>
    <w:rsid w:val="00FF2EAA"/>
    <w:rsid w:val="00FF2EEC"/>
    <w:rsid w:val="00FF3104"/>
    <w:rsid w:val="00FF3105"/>
    <w:rsid w:val="00FF321B"/>
    <w:rsid w:val="00FF3490"/>
    <w:rsid w:val="00FF349E"/>
    <w:rsid w:val="00FF3702"/>
    <w:rsid w:val="00FF374E"/>
    <w:rsid w:val="00FF37A4"/>
    <w:rsid w:val="00FF3A2C"/>
    <w:rsid w:val="00FF3A63"/>
    <w:rsid w:val="00FF3BED"/>
    <w:rsid w:val="00FF3CBC"/>
    <w:rsid w:val="00FF3D12"/>
    <w:rsid w:val="00FF3DBE"/>
    <w:rsid w:val="00FF3E4F"/>
    <w:rsid w:val="00FF3EB4"/>
    <w:rsid w:val="00FF4156"/>
    <w:rsid w:val="00FF416E"/>
    <w:rsid w:val="00FF41B1"/>
    <w:rsid w:val="00FF4235"/>
    <w:rsid w:val="00FF4250"/>
    <w:rsid w:val="00FF42D7"/>
    <w:rsid w:val="00FF471C"/>
    <w:rsid w:val="00FF4778"/>
    <w:rsid w:val="00FF47C1"/>
    <w:rsid w:val="00FF487B"/>
    <w:rsid w:val="00FF4981"/>
    <w:rsid w:val="00FF498B"/>
    <w:rsid w:val="00FF49FC"/>
    <w:rsid w:val="00FF4A3C"/>
    <w:rsid w:val="00FF4ABD"/>
    <w:rsid w:val="00FF4B0F"/>
    <w:rsid w:val="00FF4B30"/>
    <w:rsid w:val="00FF4CD9"/>
    <w:rsid w:val="00FF4D0C"/>
    <w:rsid w:val="00FF4E95"/>
    <w:rsid w:val="00FF4FC8"/>
    <w:rsid w:val="00FF5031"/>
    <w:rsid w:val="00FF51C0"/>
    <w:rsid w:val="00FF52B9"/>
    <w:rsid w:val="00FF52EC"/>
    <w:rsid w:val="00FF536C"/>
    <w:rsid w:val="00FF54F4"/>
    <w:rsid w:val="00FF562D"/>
    <w:rsid w:val="00FF57FE"/>
    <w:rsid w:val="00FF5961"/>
    <w:rsid w:val="00FF59CB"/>
    <w:rsid w:val="00FF5BE6"/>
    <w:rsid w:val="00FF5C1C"/>
    <w:rsid w:val="00FF5D25"/>
    <w:rsid w:val="00FF5DD8"/>
    <w:rsid w:val="00FF5E6D"/>
    <w:rsid w:val="00FF5EE8"/>
    <w:rsid w:val="00FF5F26"/>
    <w:rsid w:val="00FF5FED"/>
    <w:rsid w:val="00FF600A"/>
    <w:rsid w:val="00FF60C3"/>
    <w:rsid w:val="00FF6225"/>
    <w:rsid w:val="00FF62F6"/>
    <w:rsid w:val="00FF6381"/>
    <w:rsid w:val="00FF6424"/>
    <w:rsid w:val="00FF6553"/>
    <w:rsid w:val="00FF6563"/>
    <w:rsid w:val="00FF68A1"/>
    <w:rsid w:val="00FF6948"/>
    <w:rsid w:val="00FF69E0"/>
    <w:rsid w:val="00FF6C47"/>
    <w:rsid w:val="00FF6CA6"/>
    <w:rsid w:val="00FF6CE1"/>
    <w:rsid w:val="00FF6F09"/>
    <w:rsid w:val="00FF6F4D"/>
    <w:rsid w:val="00FF6F5F"/>
    <w:rsid w:val="00FF7033"/>
    <w:rsid w:val="00FF713D"/>
    <w:rsid w:val="00FF718A"/>
    <w:rsid w:val="00FF718F"/>
    <w:rsid w:val="00FF7283"/>
    <w:rsid w:val="00FF7322"/>
    <w:rsid w:val="00FF75C6"/>
    <w:rsid w:val="00FF75D7"/>
    <w:rsid w:val="00FF7627"/>
    <w:rsid w:val="00FF76BB"/>
    <w:rsid w:val="00FF77F5"/>
    <w:rsid w:val="00FF79C6"/>
    <w:rsid w:val="00FF79D8"/>
    <w:rsid w:val="00FF7A26"/>
    <w:rsid w:val="00FF7B50"/>
    <w:rsid w:val="00FF7BE2"/>
    <w:rsid w:val="00FF7C60"/>
    <w:rsid w:val="00FF7CA5"/>
    <w:rsid w:val="00FF7E9C"/>
    <w:rsid w:val="00FF7F08"/>
    <w:rsid w:val="00FF7F80"/>
    <w:rsid w:val="01059311"/>
    <w:rsid w:val="01140A0D"/>
    <w:rsid w:val="011A63C8"/>
    <w:rsid w:val="015A14CB"/>
    <w:rsid w:val="0181E275"/>
    <w:rsid w:val="0183B7C4"/>
    <w:rsid w:val="022A3EC5"/>
    <w:rsid w:val="024DE27C"/>
    <w:rsid w:val="028D806D"/>
    <w:rsid w:val="02B1D5EC"/>
    <w:rsid w:val="02E5B8AC"/>
    <w:rsid w:val="031AF199"/>
    <w:rsid w:val="032A5A70"/>
    <w:rsid w:val="037B5DA9"/>
    <w:rsid w:val="040129EE"/>
    <w:rsid w:val="042068D7"/>
    <w:rsid w:val="043395FD"/>
    <w:rsid w:val="0440F0DF"/>
    <w:rsid w:val="04AB7733"/>
    <w:rsid w:val="04C642CA"/>
    <w:rsid w:val="04C8F222"/>
    <w:rsid w:val="04D8D935"/>
    <w:rsid w:val="052DA042"/>
    <w:rsid w:val="0559F201"/>
    <w:rsid w:val="0576AD53"/>
    <w:rsid w:val="05845F4A"/>
    <w:rsid w:val="05F1D8CA"/>
    <w:rsid w:val="06687581"/>
    <w:rsid w:val="0703DD34"/>
    <w:rsid w:val="0704D95D"/>
    <w:rsid w:val="07266432"/>
    <w:rsid w:val="073C0D93"/>
    <w:rsid w:val="076A34A5"/>
    <w:rsid w:val="078D2B8A"/>
    <w:rsid w:val="079A160E"/>
    <w:rsid w:val="07BC6186"/>
    <w:rsid w:val="07BFF14E"/>
    <w:rsid w:val="081C6901"/>
    <w:rsid w:val="08B7A51E"/>
    <w:rsid w:val="0952C761"/>
    <w:rsid w:val="09A38386"/>
    <w:rsid w:val="09D20E83"/>
    <w:rsid w:val="0A09582C"/>
    <w:rsid w:val="0A1BB4FD"/>
    <w:rsid w:val="0A4783F6"/>
    <w:rsid w:val="0A4AA917"/>
    <w:rsid w:val="0A6DFAEA"/>
    <w:rsid w:val="0A6E8904"/>
    <w:rsid w:val="0A7823B3"/>
    <w:rsid w:val="0AC341A4"/>
    <w:rsid w:val="0B1E527B"/>
    <w:rsid w:val="0B6A67B7"/>
    <w:rsid w:val="0BAF46BE"/>
    <w:rsid w:val="0C343EB3"/>
    <w:rsid w:val="0C524CDA"/>
    <w:rsid w:val="0C55C666"/>
    <w:rsid w:val="0CAAACE7"/>
    <w:rsid w:val="0D21D35F"/>
    <w:rsid w:val="0D2DE067"/>
    <w:rsid w:val="0D6CF16C"/>
    <w:rsid w:val="0DA880B0"/>
    <w:rsid w:val="0E13E9A4"/>
    <w:rsid w:val="0E1B553E"/>
    <w:rsid w:val="0E3ADDBD"/>
    <w:rsid w:val="0E3C4209"/>
    <w:rsid w:val="0E4CD93B"/>
    <w:rsid w:val="0E58C6D9"/>
    <w:rsid w:val="0E7DD5BD"/>
    <w:rsid w:val="0E85505A"/>
    <w:rsid w:val="0FCAABF7"/>
    <w:rsid w:val="0FDB6EDD"/>
    <w:rsid w:val="0FFFED40"/>
    <w:rsid w:val="107FD514"/>
    <w:rsid w:val="109D7398"/>
    <w:rsid w:val="10A4922E"/>
    <w:rsid w:val="10A581A9"/>
    <w:rsid w:val="113AED71"/>
    <w:rsid w:val="115C0EAF"/>
    <w:rsid w:val="11F47DE6"/>
    <w:rsid w:val="120CB9CF"/>
    <w:rsid w:val="1240628F"/>
    <w:rsid w:val="1249ED28"/>
    <w:rsid w:val="12A6B1FD"/>
    <w:rsid w:val="12AD13B3"/>
    <w:rsid w:val="12C89D5E"/>
    <w:rsid w:val="131737A1"/>
    <w:rsid w:val="135E775E"/>
    <w:rsid w:val="13633E59"/>
    <w:rsid w:val="13EA9900"/>
    <w:rsid w:val="140F5EB9"/>
    <w:rsid w:val="14A35155"/>
    <w:rsid w:val="14E4F9F8"/>
    <w:rsid w:val="14FEBE6F"/>
    <w:rsid w:val="1508496B"/>
    <w:rsid w:val="15148730"/>
    <w:rsid w:val="155293EB"/>
    <w:rsid w:val="155815C9"/>
    <w:rsid w:val="157139BF"/>
    <w:rsid w:val="157E4CE9"/>
    <w:rsid w:val="158BAABC"/>
    <w:rsid w:val="15EF4631"/>
    <w:rsid w:val="161A4A83"/>
    <w:rsid w:val="165E3CA0"/>
    <w:rsid w:val="1681F01D"/>
    <w:rsid w:val="16A35625"/>
    <w:rsid w:val="16B0BAF8"/>
    <w:rsid w:val="16CAF030"/>
    <w:rsid w:val="17004B92"/>
    <w:rsid w:val="172082BC"/>
    <w:rsid w:val="173FFA33"/>
    <w:rsid w:val="1751922C"/>
    <w:rsid w:val="1775FE2D"/>
    <w:rsid w:val="17DBD749"/>
    <w:rsid w:val="17DC909F"/>
    <w:rsid w:val="17E5BDAC"/>
    <w:rsid w:val="17F046B4"/>
    <w:rsid w:val="17F95D70"/>
    <w:rsid w:val="180DF71D"/>
    <w:rsid w:val="184F7F1E"/>
    <w:rsid w:val="18C55163"/>
    <w:rsid w:val="19070C5A"/>
    <w:rsid w:val="1910AB42"/>
    <w:rsid w:val="191A32DD"/>
    <w:rsid w:val="1925FFDD"/>
    <w:rsid w:val="198411F2"/>
    <w:rsid w:val="1995E7FD"/>
    <w:rsid w:val="19C52EAC"/>
    <w:rsid w:val="19C7A5F9"/>
    <w:rsid w:val="19E71AC1"/>
    <w:rsid w:val="19E72E0A"/>
    <w:rsid w:val="19E7F853"/>
    <w:rsid w:val="19FE93A7"/>
    <w:rsid w:val="1A1FC3DC"/>
    <w:rsid w:val="1A2A8576"/>
    <w:rsid w:val="1A36E6C7"/>
    <w:rsid w:val="1A6D4A3C"/>
    <w:rsid w:val="1A6DFBE3"/>
    <w:rsid w:val="1A8AF97F"/>
    <w:rsid w:val="1AB45B3F"/>
    <w:rsid w:val="1AC096DD"/>
    <w:rsid w:val="1B1BF24C"/>
    <w:rsid w:val="1BEAF698"/>
    <w:rsid w:val="1BED273C"/>
    <w:rsid w:val="1BF2B255"/>
    <w:rsid w:val="1CBF17E0"/>
    <w:rsid w:val="1CEDB577"/>
    <w:rsid w:val="1D084731"/>
    <w:rsid w:val="1D379F5C"/>
    <w:rsid w:val="1D50FDED"/>
    <w:rsid w:val="1D59F01D"/>
    <w:rsid w:val="1D7E560C"/>
    <w:rsid w:val="1D896F84"/>
    <w:rsid w:val="1DA110D5"/>
    <w:rsid w:val="1DA19E0B"/>
    <w:rsid w:val="1E6A01F1"/>
    <w:rsid w:val="1E76F9FD"/>
    <w:rsid w:val="1E88C26D"/>
    <w:rsid w:val="1E8FD50A"/>
    <w:rsid w:val="1EA00F69"/>
    <w:rsid w:val="1EA62BFA"/>
    <w:rsid w:val="1EB65EC7"/>
    <w:rsid w:val="1EEB44A6"/>
    <w:rsid w:val="1F133AB1"/>
    <w:rsid w:val="1F283C0A"/>
    <w:rsid w:val="1F2EACC9"/>
    <w:rsid w:val="1F44C47A"/>
    <w:rsid w:val="1F8A762F"/>
    <w:rsid w:val="1F940221"/>
    <w:rsid w:val="2008F0BA"/>
    <w:rsid w:val="20326D72"/>
    <w:rsid w:val="2057E310"/>
    <w:rsid w:val="2096AB00"/>
    <w:rsid w:val="20B06E99"/>
    <w:rsid w:val="20BBF369"/>
    <w:rsid w:val="20BF1FDC"/>
    <w:rsid w:val="20DF55C8"/>
    <w:rsid w:val="20EC1B59"/>
    <w:rsid w:val="2116B79B"/>
    <w:rsid w:val="212236D3"/>
    <w:rsid w:val="21662CE1"/>
    <w:rsid w:val="218288B0"/>
    <w:rsid w:val="218F3A79"/>
    <w:rsid w:val="21AA7E16"/>
    <w:rsid w:val="21CABF34"/>
    <w:rsid w:val="21DD576C"/>
    <w:rsid w:val="2210D674"/>
    <w:rsid w:val="2212641A"/>
    <w:rsid w:val="221A9105"/>
    <w:rsid w:val="2246F91D"/>
    <w:rsid w:val="22684C4D"/>
    <w:rsid w:val="22E004E1"/>
    <w:rsid w:val="231B857A"/>
    <w:rsid w:val="231E26D9"/>
    <w:rsid w:val="233120EF"/>
    <w:rsid w:val="2377994E"/>
    <w:rsid w:val="237AC8FA"/>
    <w:rsid w:val="23AC0442"/>
    <w:rsid w:val="23D76BE0"/>
    <w:rsid w:val="23D81927"/>
    <w:rsid w:val="23E61B3A"/>
    <w:rsid w:val="23F8D9A7"/>
    <w:rsid w:val="241213C1"/>
    <w:rsid w:val="2435EDE6"/>
    <w:rsid w:val="2439892B"/>
    <w:rsid w:val="243F48E5"/>
    <w:rsid w:val="243FA397"/>
    <w:rsid w:val="243FE36D"/>
    <w:rsid w:val="247168ED"/>
    <w:rsid w:val="248071E0"/>
    <w:rsid w:val="24AEAE3E"/>
    <w:rsid w:val="24C6B93B"/>
    <w:rsid w:val="24FF1DBA"/>
    <w:rsid w:val="2512EFA0"/>
    <w:rsid w:val="253D5953"/>
    <w:rsid w:val="25477E3C"/>
    <w:rsid w:val="256A6F47"/>
    <w:rsid w:val="25776568"/>
    <w:rsid w:val="25BEBEB1"/>
    <w:rsid w:val="25BF562A"/>
    <w:rsid w:val="25CF8992"/>
    <w:rsid w:val="25D1243E"/>
    <w:rsid w:val="25EB44A6"/>
    <w:rsid w:val="25FB0FAB"/>
    <w:rsid w:val="2608CCC0"/>
    <w:rsid w:val="260BBF5E"/>
    <w:rsid w:val="263EBC36"/>
    <w:rsid w:val="26706D17"/>
    <w:rsid w:val="26CEA137"/>
    <w:rsid w:val="26DE5037"/>
    <w:rsid w:val="26EB5D3C"/>
    <w:rsid w:val="27724AF5"/>
    <w:rsid w:val="2789567E"/>
    <w:rsid w:val="2789B0A4"/>
    <w:rsid w:val="279CDC85"/>
    <w:rsid w:val="27BEA7E9"/>
    <w:rsid w:val="27C403E1"/>
    <w:rsid w:val="27FC1447"/>
    <w:rsid w:val="2815C3A1"/>
    <w:rsid w:val="2830C278"/>
    <w:rsid w:val="283A5766"/>
    <w:rsid w:val="2849C3F6"/>
    <w:rsid w:val="286FC719"/>
    <w:rsid w:val="2874E919"/>
    <w:rsid w:val="28783BC4"/>
    <w:rsid w:val="28B7E8ED"/>
    <w:rsid w:val="28CDACE4"/>
    <w:rsid w:val="28F5EF6A"/>
    <w:rsid w:val="29F09D19"/>
    <w:rsid w:val="2A27F6B6"/>
    <w:rsid w:val="2A54D4E8"/>
    <w:rsid w:val="2A755BAB"/>
    <w:rsid w:val="2A7965A4"/>
    <w:rsid w:val="2A7C2AB4"/>
    <w:rsid w:val="2A8C7F6F"/>
    <w:rsid w:val="2A91D739"/>
    <w:rsid w:val="2AC7512F"/>
    <w:rsid w:val="2AFCEEFB"/>
    <w:rsid w:val="2B0747F7"/>
    <w:rsid w:val="2B1FF87D"/>
    <w:rsid w:val="2B3B5B76"/>
    <w:rsid w:val="2B7B91D8"/>
    <w:rsid w:val="2BB3AE2E"/>
    <w:rsid w:val="2BD4A9FC"/>
    <w:rsid w:val="2C56A30A"/>
    <w:rsid w:val="2C599E2E"/>
    <w:rsid w:val="2C5E2962"/>
    <w:rsid w:val="2C6050D3"/>
    <w:rsid w:val="2CCA8D3C"/>
    <w:rsid w:val="2CD80335"/>
    <w:rsid w:val="2CDEBDFD"/>
    <w:rsid w:val="2CF5952D"/>
    <w:rsid w:val="2D6E7A90"/>
    <w:rsid w:val="2D7000EE"/>
    <w:rsid w:val="2D7F7E20"/>
    <w:rsid w:val="2D89B2D5"/>
    <w:rsid w:val="2DBD85E6"/>
    <w:rsid w:val="2DF441E4"/>
    <w:rsid w:val="2DFE55FD"/>
    <w:rsid w:val="2E0110FA"/>
    <w:rsid w:val="2E0D4310"/>
    <w:rsid w:val="2E2BE697"/>
    <w:rsid w:val="2E662C29"/>
    <w:rsid w:val="2E9033F1"/>
    <w:rsid w:val="2EE16A83"/>
    <w:rsid w:val="2F6DC3D5"/>
    <w:rsid w:val="2FE719C8"/>
    <w:rsid w:val="2FF388CA"/>
    <w:rsid w:val="3001DCFE"/>
    <w:rsid w:val="300E1EE3"/>
    <w:rsid w:val="3052EE38"/>
    <w:rsid w:val="305B0F99"/>
    <w:rsid w:val="307AB037"/>
    <w:rsid w:val="30D3E2AB"/>
    <w:rsid w:val="3140EC6C"/>
    <w:rsid w:val="314767E8"/>
    <w:rsid w:val="31580AAD"/>
    <w:rsid w:val="31C08576"/>
    <w:rsid w:val="323ABA9D"/>
    <w:rsid w:val="327342CC"/>
    <w:rsid w:val="3296CA71"/>
    <w:rsid w:val="32C7DEA1"/>
    <w:rsid w:val="33157C38"/>
    <w:rsid w:val="33284801"/>
    <w:rsid w:val="3346D148"/>
    <w:rsid w:val="33563A00"/>
    <w:rsid w:val="33673C72"/>
    <w:rsid w:val="33685C33"/>
    <w:rsid w:val="33B73D1E"/>
    <w:rsid w:val="3431F269"/>
    <w:rsid w:val="344FAE43"/>
    <w:rsid w:val="347FEC34"/>
    <w:rsid w:val="34850F88"/>
    <w:rsid w:val="349E002E"/>
    <w:rsid w:val="34B59498"/>
    <w:rsid w:val="34BA09D4"/>
    <w:rsid w:val="34EC6A30"/>
    <w:rsid w:val="353A2907"/>
    <w:rsid w:val="353F765C"/>
    <w:rsid w:val="354BF448"/>
    <w:rsid w:val="3556322F"/>
    <w:rsid w:val="35795841"/>
    <w:rsid w:val="35879B97"/>
    <w:rsid w:val="35979128"/>
    <w:rsid w:val="35DD0559"/>
    <w:rsid w:val="363763BA"/>
    <w:rsid w:val="365CB815"/>
    <w:rsid w:val="365D1479"/>
    <w:rsid w:val="36742C30"/>
    <w:rsid w:val="3679A947"/>
    <w:rsid w:val="369BF5D3"/>
    <w:rsid w:val="36CF330C"/>
    <w:rsid w:val="37417ADA"/>
    <w:rsid w:val="374775ED"/>
    <w:rsid w:val="3766EED7"/>
    <w:rsid w:val="377332BC"/>
    <w:rsid w:val="37A0F2F8"/>
    <w:rsid w:val="37C26030"/>
    <w:rsid w:val="37D63005"/>
    <w:rsid w:val="3855344D"/>
    <w:rsid w:val="388C8C24"/>
    <w:rsid w:val="38C99633"/>
    <w:rsid w:val="38DD8608"/>
    <w:rsid w:val="38FCC7A0"/>
    <w:rsid w:val="391B32CA"/>
    <w:rsid w:val="392F339E"/>
    <w:rsid w:val="393A3A54"/>
    <w:rsid w:val="395F06CD"/>
    <w:rsid w:val="3964546F"/>
    <w:rsid w:val="396C0988"/>
    <w:rsid w:val="3971672B"/>
    <w:rsid w:val="398CEB9F"/>
    <w:rsid w:val="39F16BCA"/>
    <w:rsid w:val="3A0B481F"/>
    <w:rsid w:val="3A6DB1F6"/>
    <w:rsid w:val="3AE997E8"/>
    <w:rsid w:val="3B45D68A"/>
    <w:rsid w:val="3B53FBF6"/>
    <w:rsid w:val="3B7C66EC"/>
    <w:rsid w:val="3B8C72D3"/>
    <w:rsid w:val="3BA80923"/>
    <w:rsid w:val="3BCC3FA2"/>
    <w:rsid w:val="3BD87AD1"/>
    <w:rsid w:val="3C067769"/>
    <w:rsid w:val="3C13C604"/>
    <w:rsid w:val="3C284023"/>
    <w:rsid w:val="3C71A241"/>
    <w:rsid w:val="3C764C81"/>
    <w:rsid w:val="3C880D80"/>
    <w:rsid w:val="3CB4D6D0"/>
    <w:rsid w:val="3D29E140"/>
    <w:rsid w:val="3D31ED91"/>
    <w:rsid w:val="3D4C40EB"/>
    <w:rsid w:val="3D4CB837"/>
    <w:rsid w:val="3D8CE9DE"/>
    <w:rsid w:val="3DC8168E"/>
    <w:rsid w:val="3E02B5B5"/>
    <w:rsid w:val="3E055576"/>
    <w:rsid w:val="3E17FC2B"/>
    <w:rsid w:val="3E677031"/>
    <w:rsid w:val="3E83213C"/>
    <w:rsid w:val="3EA5BDC3"/>
    <w:rsid w:val="3EC0866D"/>
    <w:rsid w:val="3EC3871D"/>
    <w:rsid w:val="3ED3DAA5"/>
    <w:rsid w:val="3ED40527"/>
    <w:rsid w:val="3F021927"/>
    <w:rsid w:val="3F02E0DB"/>
    <w:rsid w:val="3F1A3E32"/>
    <w:rsid w:val="3F2BBD9B"/>
    <w:rsid w:val="3F38AFE1"/>
    <w:rsid w:val="3F853414"/>
    <w:rsid w:val="3F9A1AAE"/>
    <w:rsid w:val="3FB10BC5"/>
    <w:rsid w:val="3FCA3F5E"/>
    <w:rsid w:val="3FEFD982"/>
    <w:rsid w:val="40034F73"/>
    <w:rsid w:val="402DEFEB"/>
    <w:rsid w:val="403E0C1F"/>
    <w:rsid w:val="4040DA39"/>
    <w:rsid w:val="40847FCE"/>
    <w:rsid w:val="4095D744"/>
    <w:rsid w:val="410B5885"/>
    <w:rsid w:val="41309683"/>
    <w:rsid w:val="416DABC8"/>
    <w:rsid w:val="41839B7F"/>
    <w:rsid w:val="4193485B"/>
    <w:rsid w:val="41A75A8F"/>
    <w:rsid w:val="41C59B5A"/>
    <w:rsid w:val="41D3E13A"/>
    <w:rsid w:val="420FF243"/>
    <w:rsid w:val="4213ED93"/>
    <w:rsid w:val="4238258D"/>
    <w:rsid w:val="426AE2C0"/>
    <w:rsid w:val="42891BE5"/>
    <w:rsid w:val="428938A2"/>
    <w:rsid w:val="4297D110"/>
    <w:rsid w:val="431928FE"/>
    <w:rsid w:val="439C5FD4"/>
    <w:rsid w:val="43A9C8D9"/>
    <w:rsid w:val="43AC3E8A"/>
    <w:rsid w:val="43C3A13E"/>
    <w:rsid w:val="43C67E59"/>
    <w:rsid w:val="43FE829E"/>
    <w:rsid w:val="44028441"/>
    <w:rsid w:val="443761EF"/>
    <w:rsid w:val="44618744"/>
    <w:rsid w:val="4501C90B"/>
    <w:rsid w:val="451B43F8"/>
    <w:rsid w:val="4525C495"/>
    <w:rsid w:val="453AEA4F"/>
    <w:rsid w:val="4556FD26"/>
    <w:rsid w:val="45681977"/>
    <w:rsid w:val="45705E8C"/>
    <w:rsid w:val="45BEA45C"/>
    <w:rsid w:val="45EC3CE9"/>
    <w:rsid w:val="460BF1E5"/>
    <w:rsid w:val="46173304"/>
    <w:rsid w:val="462BB1CD"/>
    <w:rsid w:val="4631CEC0"/>
    <w:rsid w:val="46345F27"/>
    <w:rsid w:val="4684BDE9"/>
    <w:rsid w:val="46D45D10"/>
    <w:rsid w:val="4703DB83"/>
    <w:rsid w:val="47145B61"/>
    <w:rsid w:val="47940F37"/>
    <w:rsid w:val="47BE1BCF"/>
    <w:rsid w:val="47C69862"/>
    <w:rsid w:val="47C9BD12"/>
    <w:rsid w:val="47DF21B1"/>
    <w:rsid w:val="47FEEEF6"/>
    <w:rsid w:val="481131AC"/>
    <w:rsid w:val="481D4263"/>
    <w:rsid w:val="481F9ECF"/>
    <w:rsid w:val="485B807B"/>
    <w:rsid w:val="487035F3"/>
    <w:rsid w:val="4879CF51"/>
    <w:rsid w:val="487A347E"/>
    <w:rsid w:val="4884A8DE"/>
    <w:rsid w:val="48A7F81B"/>
    <w:rsid w:val="48DBE200"/>
    <w:rsid w:val="48EB58A0"/>
    <w:rsid w:val="48EFD0EE"/>
    <w:rsid w:val="491EDEDE"/>
    <w:rsid w:val="493735FA"/>
    <w:rsid w:val="49758507"/>
    <w:rsid w:val="499BED5C"/>
    <w:rsid w:val="49A60580"/>
    <w:rsid w:val="49B648CF"/>
    <w:rsid w:val="49D09145"/>
    <w:rsid w:val="49E3E0C6"/>
    <w:rsid w:val="4A4A6D13"/>
    <w:rsid w:val="4A8DBC7D"/>
    <w:rsid w:val="4A9CE8DD"/>
    <w:rsid w:val="4AA7449D"/>
    <w:rsid w:val="4AA911F7"/>
    <w:rsid w:val="4B90B2D9"/>
    <w:rsid w:val="4BA8B069"/>
    <w:rsid w:val="4BC2DB20"/>
    <w:rsid w:val="4BCABB6B"/>
    <w:rsid w:val="4BDE18C8"/>
    <w:rsid w:val="4C41FFC8"/>
    <w:rsid w:val="4C4618D9"/>
    <w:rsid w:val="4C90607E"/>
    <w:rsid w:val="4CAB22F3"/>
    <w:rsid w:val="4CF9B8C2"/>
    <w:rsid w:val="4D113B13"/>
    <w:rsid w:val="4D40C158"/>
    <w:rsid w:val="4D66761F"/>
    <w:rsid w:val="4D8A38CA"/>
    <w:rsid w:val="4DCA5D88"/>
    <w:rsid w:val="4E9FBC19"/>
    <w:rsid w:val="4ECB0110"/>
    <w:rsid w:val="4EE00830"/>
    <w:rsid w:val="4F299803"/>
    <w:rsid w:val="4F3B2F3E"/>
    <w:rsid w:val="4F6BCB72"/>
    <w:rsid w:val="4F964DBE"/>
    <w:rsid w:val="4F9CBAAC"/>
    <w:rsid w:val="4FB20992"/>
    <w:rsid w:val="5016B83A"/>
    <w:rsid w:val="502DD01A"/>
    <w:rsid w:val="503123A5"/>
    <w:rsid w:val="50555056"/>
    <w:rsid w:val="508E7E9D"/>
    <w:rsid w:val="50AC3EF2"/>
    <w:rsid w:val="50E9059F"/>
    <w:rsid w:val="5106CF15"/>
    <w:rsid w:val="512476CC"/>
    <w:rsid w:val="51680E8A"/>
    <w:rsid w:val="518CE02C"/>
    <w:rsid w:val="51F120B7"/>
    <w:rsid w:val="520FDFE3"/>
    <w:rsid w:val="525E1552"/>
    <w:rsid w:val="5284D600"/>
    <w:rsid w:val="52930AAF"/>
    <w:rsid w:val="52B3B4B8"/>
    <w:rsid w:val="52F36402"/>
    <w:rsid w:val="52FAF098"/>
    <w:rsid w:val="53043953"/>
    <w:rsid w:val="53323BC1"/>
    <w:rsid w:val="5338AFB9"/>
    <w:rsid w:val="533ED558"/>
    <w:rsid w:val="5346D35D"/>
    <w:rsid w:val="538666E0"/>
    <w:rsid w:val="538E0BCD"/>
    <w:rsid w:val="54546C43"/>
    <w:rsid w:val="546973CA"/>
    <w:rsid w:val="547ED1A4"/>
    <w:rsid w:val="549861EC"/>
    <w:rsid w:val="54C68AD6"/>
    <w:rsid w:val="54E5BE50"/>
    <w:rsid w:val="54FEF7C0"/>
    <w:rsid w:val="55719E97"/>
    <w:rsid w:val="5574CE21"/>
    <w:rsid w:val="55D8BC6D"/>
    <w:rsid w:val="55FAA508"/>
    <w:rsid w:val="5601E22A"/>
    <w:rsid w:val="5604A274"/>
    <w:rsid w:val="5607FDA7"/>
    <w:rsid w:val="561632A1"/>
    <w:rsid w:val="564F7D64"/>
    <w:rsid w:val="5670F23E"/>
    <w:rsid w:val="56CC21A2"/>
    <w:rsid w:val="56F0F838"/>
    <w:rsid w:val="56F758FC"/>
    <w:rsid w:val="5798EA18"/>
    <w:rsid w:val="57C37FBE"/>
    <w:rsid w:val="57D7AA76"/>
    <w:rsid w:val="57DB6638"/>
    <w:rsid w:val="57F5C3D8"/>
    <w:rsid w:val="58132DAB"/>
    <w:rsid w:val="582D2F6A"/>
    <w:rsid w:val="591B2ECB"/>
    <w:rsid w:val="5933DD7F"/>
    <w:rsid w:val="5936F19D"/>
    <w:rsid w:val="594EE84B"/>
    <w:rsid w:val="59545B5F"/>
    <w:rsid w:val="59737AD7"/>
    <w:rsid w:val="59BA2B7B"/>
    <w:rsid w:val="59C8ECFE"/>
    <w:rsid w:val="5A422F77"/>
    <w:rsid w:val="5A61D9CC"/>
    <w:rsid w:val="5AA89FD4"/>
    <w:rsid w:val="5B47965B"/>
    <w:rsid w:val="5B7EF3B2"/>
    <w:rsid w:val="5BEEBFBE"/>
    <w:rsid w:val="5C3082D7"/>
    <w:rsid w:val="5C5A08AA"/>
    <w:rsid w:val="5CAE4562"/>
    <w:rsid w:val="5D07F08E"/>
    <w:rsid w:val="5D1078D5"/>
    <w:rsid w:val="5D16ACE7"/>
    <w:rsid w:val="5D2D3976"/>
    <w:rsid w:val="5D6C7CD7"/>
    <w:rsid w:val="5D6D59DB"/>
    <w:rsid w:val="5D82E7C1"/>
    <w:rsid w:val="5D90DAB1"/>
    <w:rsid w:val="5DA4391C"/>
    <w:rsid w:val="5DB2E8ED"/>
    <w:rsid w:val="5DCADEFE"/>
    <w:rsid w:val="5DCBBD57"/>
    <w:rsid w:val="5DEE3A08"/>
    <w:rsid w:val="5E476E26"/>
    <w:rsid w:val="5E71D88E"/>
    <w:rsid w:val="5EA9F1FA"/>
    <w:rsid w:val="5EED2193"/>
    <w:rsid w:val="5EFDB0B8"/>
    <w:rsid w:val="5F0315EA"/>
    <w:rsid w:val="5F2D8CAF"/>
    <w:rsid w:val="5F8010DA"/>
    <w:rsid w:val="5F921A3B"/>
    <w:rsid w:val="5FC1DA01"/>
    <w:rsid w:val="5FCE598B"/>
    <w:rsid w:val="6035CF75"/>
    <w:rsid w:val="60500088"/>
    <w:rsid w:val="608D797E"/>
    <w:rsid w:val="60CE5CB4"/>
    <w:rsid w:val="60DDA28B"/>
    <w:rsid w:val="611C5E8F"/>
    <w:rsid w:val="6141E206"/>
    <w:rsid w:val="614940D9"/>
    <w:rsid w:val="6155DAA4"/>
    <w:rsid w:val="6178F0F9"/>
    <w:rsid w:val="61886BDF"/>
    <w:rsid w:val="61C7B486"/>
    <w:rsid w:val="62015BD9"/>
    <w:rsid w:val="6216EFF6"/>
    <w:rsid w:val="626147A9"/>
    <w:rsid w:val="62B1B30C"/>
    <w:rsid w:val="62B6F3E9"/>
    <w:rsid w:val="62C4F915"/>
    <w:rsid w:val="62E27EB3"/>
    <w:rsid w:val="630A648F"/>
    <w:rsid w:val="633DA567"/>
    <w:rsid w:val="633E0C51"/>
    <w:rsid w:val="633F7839"/>
    <w:rsid w:val="637B4B9D"/>
    <w:rsid w:val="63C148BD"/>
    <w:rsid w:val="649D8D7F"/>
    <w:rsid w:val="649E9575"/>
    <w:rsid w:val="64C9E735"/>
    <w:rsid w:val="655433F6"/>
    <w:rsid w:val="65573296"/>
    <w:rsid w:val="65676FEE"/>
    <w:rsid w:val="65A3C22A"/>
    <w:rsid w:val="65ACE56A"/>
    <w:rsid w:val="65B57859"/>
    <w:rsid w:val="65E13FB8"/>
    <w:rsid w:val="65EB5B8B"/>
    <w:rsid w:val="65FA4BA1"/>
    <w:rsid w:val="6619216A"/>
    <w:rsid w:val="661E5F4C"/>
    <w:rsid w:val="6668C1F7"/>
    <w:rsid w:val="666EBDA4"/>
    <w:rsid w:val="66B6AAAC"/>
    <w:rsid w:val="66CB6040"/>
    <w:rsid w:val="67445F1B"/>
    <w:rsid w:val="674785A5"/>
    <w:rsid w:val="67903A7A"/>
    <w:rsid w:val="67B8BCD9"/>
    <w:rsid w:val="6810B428"/>
    <w:rsid w:val="68DC78C7"/>
    <w:rsid w:val="68FFAA95"/>
    <w:rsid w:val="69386509"/>
    <w:rsid w:val="698CB4C6"/>
    <w:rsid w:val="69962886"/>
    <w:rsid w:val="69AE7DC2"/>
    <w:rsid w:val="69AF4FB9"/>
    <w:rsid w:val="69E9DF19"/>
    <w:rsid w:val="6A302BF2"/>
    <w:rsid w:val="6A3D790B"/>
    <w:rsid w:val="6A473447"/>
    <w:rsid w:val="6A59422D"/>
    <w:rsid w:val="6ADB079D"/>
    <w:rsid w:val="6AFCD044"/>
    <w:rsid w:val="6B0A8F9D"/>
    <w:rsid w:val="6B272E41"/>
    <w:rsid w:val="6B6167BB"/>
    <w:rsid w:val="6B6D2A7A"/>
    <w:rsid w:val="6B8E6E9C"/>
    <w:rsid w:val="6BC109EF"/>
    <w:rsid w:val="6BD27113"/>
    <w:rsid w:val="6C1835D6"/>
    <w:rsid w:val="6C634C8C"/>
    <w:rsid w:val="6C7951D2"/>
    <w:rsid w:val="6D0F7397"/>
    <w:rsid w:val="6D444CED"/>
    <w:rsid w:val="6D45CDE1"/>
    <w:rsid w:val="6DBF86E1"/>
    <w:rsid w:val="6DD69247"/>
    <w:rsid w:val="6DDFB76F"/>
    <w:rsid w:val="6DE3D95F"/>
    <w:rsid w:val="6DE889C0"/>
    <w:rsid w:val="6E5ECF03"/>
    <w:rsid w:val="6E865551"/>
    <w:rsid w:val="6E9E748B"/>
    <w:rsid w:val="6FB55ED6"/>
    <w:rsid w:val="6FD98A7C"/>
    <w:rsid w:val="7000CDAB"/>
    <w:rsid w:val="7028C190"/>
    <w:rsid w:val="70567D2B"/>
    <w:rsid w:val="706A125E"/>
    <w:rsid w:val="706FE62C"/>
    <w:rsid w:val="7075C305"/>
    <w:rsid w:val="7095C44B"/>
    <w:rsid w:val="70CAFDB6"/>
    <w:rsid w:val="70E7BEBD"/>
    <w:rsid w:val="7110FA06"/>
    <w:rsid w:val="711FCF12"/>
    <w:rsid w:val="71C5D062"/>
    <w:rsid w:val="7201D4E6"/>
    <w:rsid w:val="720F85AB"/>
    <w:rsid w:val="728A32B8"/>
    <w:rsid w:val="72D3F53C"/>
    <w:rsid w:val="72D91A63"/>
    <w:rsid w:val="72E94BD3"/>
    <w:rsid w:val="733B4897"/>
    <w:rsid w:val="737EC6F3"/>
    <w:rsid w:val="73A7FDD5"/>
    <w:rsid w:val="73CB5F64"/>
    <w:rsid w:val="73D8F5B3"/>
    <w:rsid w:val="74081E44"/>
    <w:rsid w:val="742B36FD"/>
    <w:rsid w:val="742C3160"/>
    <w:rsid w:val="748FA5C0"/>
    <w:rsid w:val="749874DF"/>
    <w:rsid w:val="74A7A467"/>
    <w:rsid w:val="74B47F10"/>
    <w:rsid w:val="7501F9AA"/>
    <w:rsid w:val="75294283"/>
    <w:rsid w:val="7553B43F"/>
    <w:rsid w:val="755946ED"/>
    <w:rsid w:val="75A3EACE"/>
    <w:rsid w:val="75B2AE19"/>
    <w:rsid w:val="75B50082"/>
    <w:rsid w:val="75C1EA97"/>
    <w:rsid w:val="75CBCAFF"/>
    <w:rsid w:val="75FD691E"/>
    <w:rsid w:val="760284FD"/>
    <w:rsid w:val="7625EBD7"/>
    <w:rsid w:val="76B43269"/>
    <w:rsid w:val="76D90744"/>
    <w:rsid w:val="76E1CBFD"/>
    <w:rsid w:val="76FAEA31"/>
    <w:rsid w:val="7712104C"/>
    <w:rsid w:val="77184670"/>
    <w:rsid w:val="772859AA"/>
    <w:rsid w:val="775DA3DB"/>
    <w:rsid w:val="776A446E"/>
    <w:rsid w:val="77870C43"/>
    <w:rsid w:val="779B121A"/>
    <w:rsid w:val="77A5B930"/>
    <w:rsid w:val="77ACAEA1"/>
    <w:rsid w:val="77D09E20"/>
    <w:rsid w:val="77E3BCA9"/>
    <w:rsid w:val="77EE42E2"/>
    <w:rsid w:val="781F30D4"/>
    <w:rsid w:val="7847EDB9"/>
    <w:rsid w:val="78617ABD"/>
    <w:rsid w:val="786B21DA"/>
    <w:rsid w:val="78B93EC8"/>
    <w:rsid w:val="78CBA942"/>
    <w:rsid w:val="78FEA820"/>
    <w:rsid w:val="7925A4A2"/>
    <w:rsid w:val="7966DA2B"/>
    <w:rsid w:val="797745C8"/>
    <w:rsid w:val="797AAF07"/>
    <w:rsid w:val="7997044A"/>
    <w:rsid w:val="79B9D7C3"/>
    <w:rsid w:val="7A1A80DD"/>
    <w:rsid w:val="7A50180A"/>
    <w:rsid w:val="7A62D9C2"/>
    <w:rsid w:val="7A742242"/>
    <w:rsid w:val="7A83178B"/>
    <w:rsid w:val="7A9FFB74"/>
    <w:rsid w:val="7ACE5D2E"/>
    <w:rsid w:val="7B285FB7"/>
    <w:rsid w:val="7B58D5C7"/>
    <w:rsid w:val="7B7D144E"/>
    <w:rsid w:val="7B7E1D88"/>
    <w:rsid w:val="7B7F5ADE"/>
    <w:rsid w:val="7B90963E"/>
    <w:rsid w:val="7BB1E4B5"/>
    <w:rsid w:val="7BBFC645"/>
    <w:rsid w:val="7BC1E591"/>
    <w:rsid w:val="7BC5D4B8"/>
    <w:rsid w:val="7C0444FD"/>
    <w:rsid w:val="7C286CE3"/>
    <w:rsid w:val="7C2D8E01"/>
    <w:rsid w:val="7C7DEFDA"/>
    <w:rsid w:val="7C8841FC"/>
    <w:rsid w:val="7CC9E471"/>
    <w:rsid w:val="7CCE5501"/>
    <w:rsid w:val="7CDA7C7E"/>
    <w:rsid w:val="7D82EAF8"/>
    <w:rsid w:val="7DC1F09D"/>
    <w:rsid w:val="7DD20B81"/>
    <w:rsid w:val="7DFC5DE1"/>
    <w:rsid w:val="7E13382F"/>
    <w:rsid w:val="7E725C39"/>
    <w:rsid w:val="7E9BC76F"/>
    <w:rsid w:val="7EB32C00"/>
    <w:rsid w:val="7EB32C04"/>
    <w:rsid w:val="7EDA9725"/>
    <w:rsid w:val="7EE39377"/>
    <w:rsid w:val="7F4A5C3A"/>
    <w:rsid w:val="7F610C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o:shapelayout v:ext="edit">
      <o:idmap v:ext="edit" data="2"/>
    </o:shapelayout>
  </w:shapeDefaults>
  <w:decimalSymbol w:val="."/>
  <w:listSeparator w:val=","/>
  <w14:docId w14:val="287BED77"/>
  <w15:docId w15:val="{7A8A2EB4-D3DA-472D-9071-9967A69A32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sz w:val="22"/>
        <w:szCs w:val="22"/>
        <w:lang w:val="en-US" w:eastAsia="en-US" w:bidi="ar-SA"/>
      </w:rPr>
    </w:rPrDefault>
    <w:pPrDefault>
      <w:pPr>
        <w:spacing w:after="120" w:line="247"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uiPriority="9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qFormat="1"/>
    <w:lsdException w:name="annotation text" w:uiPriority="99" w:semiHidden="1" w:unhideWhenUsed="1"/>
    <w:lsdException w:name="header" w:uiPriority="99" w:semiHidden="1" w:unhideWhenUsed="1" w:qFormat="1"/>
    <w:lsdException w:name="footer" w:uiPriority="99" w:semiHidden="1" w:unhideWhenUsed="1"/>
    <w:lsdException w:name="index heading" w:uiPriority="99"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uiPriority="99" w:semiHidden="1" w:unhideWhenUsed="1"/>
    <w:lsdException w:name="List" w:semiHidden="1" w:unhideWhenUsed="1"/>
    <w:lsdException w:name="List Bullet" w:uiPriority="99"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uiPriority="20" w:qFormat="1"/>
    <w:lsdException w:name="Document Map" w:uiPriority="99"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03EDE"/>
    <w:pPr>
      <w:spacing w:before="120" w:line="259" w:lineRule="auto"/>
    </w:pPr>
    <w:rPr>
      <w:sz w:val="24"/>
      <w:szCs w:val="24"/>
      <w:lang w:eastAsia="zh-CN"/>
    </w:rPr>
  </w:style>
  <w:style w:type="paragraph" w:styleId="Heading1">
    <w:name w:val="heading 1"/>
    <w:basedOn w:val="Normal"/>
    <w:next w:val="Normal"/>
    <w:link w:val="Heading1Char"/>
    <w:autoRedefine/>
    <w:uiPriority w:val="1"/>
    <w:qFormat/>
    <w:rsid w:val="00A91D3B"/>
    <w:pPr>
      <w:spacing w:before="82"/>
      <w:ind w:left="100" w:hanging="10"/>
      <w:jc w:val="center"/>
      <w:outlineLvl w:val="0"/>
    </w:pPr>
    <w:rPr>
      <w:b/>
    </w:rPr>
  </w:style>
  <w:style w:type="paragraph" w:styleId="Heading2">
    <w:name w:val="heading 2"/>
    <w:basedOn w:val="Normal"/>
    <w:next w:val="Normal"/>
    <w:link w:val="Heading2Char"/>
    <w:autoRedefine/>
    <w:uiPriority w:val="1"/>
    <w:qFormat/>
    <w:rsid w:val="001A1BAA"/>
    <w:pPr>
      <w:keepNext/>
      <w:keepLines/>
      <w:tabs>
        <w:tab w:val="left" w:pos="1080"/>
      </w:tabs>
      <w:snapToGrid w:val="0"/>
      <w:spacing w:before="240"/>
      <w:ind w:left="720" w:hanging="720"/>
      <w:outlineLvl w:val="1"/>
    </w:pPr>
    <w:rPr>
      <w:rFonts w:ascii="Arial Bold" w:hAnsi="Arial Bold" w:cs="Arial"/>
      <w:b/>
      <w:bCs/>
      <w:iCs/>
      <w:caps/>
      <w:lang w:eastAsia="en-US"/>
    </w:rPr>
  </w:style>
  <w:style w:type="paragraph" w:styleId="Heading3">
    <w:name w:val="heading 3"/>
    <w:basedOn w:val="Normal"/>
    <w:next w:val="Normal"/>
    <w:link w:val="Heading3Char"/>
    <w:qFormat/>
    <w:rsid w:val="0039402F"/>
    <w:pPr>
      <w:keepNext/>
      <w:tabs>
        <w:tab w:val="left" w:pos="720"/>
      </w:tabs>
      <w:spacing w:before="240"/>
      <w:ind w:left="720" w:hanging="720"/>
      <w:outlineLvl w:val="2"/>
    </w:pPr>
    <w:rPr>
      <w:rFonts w:ascii="Arial Bold" w:hAnsi="Arial Bold" w:eastAsia="Calibri" w:cs="Arial"/>
      <w:b/>
      <w:bCs/>
      <w:lang w:eastAsia="en-US"/>
    </w:rPr>
  </w:style>
  <w:style w:type="paragraph" w:styleId="Heading4">
    <w:name w:val="heading 4"/>
    <w:basedOn w:val="Normal"/>
    <w:next w:val="Normal"/>
    <w:link w:val="Heading4Char"/>
    <w:uiPriority w:val="9"/>
    <w:qFormat/>
    <w:rsid w:val="00260FCD"/>
    <w:pPr>
      <w:keepNext/>
      <w:shd w:val="clear" w:color="auto" w:fill="FFFFFF" w:themeFill="background1"/>
      <w:tabs>
        <w:tab w:val="left" w:pos="720"/>
      </w:tabs>
      <w:snapToGrid w:val="0"/>
      <w:spacing w:before="240"/>
      <w:ind w:left="1260" w:hanging="1260"/>
      <w:outlineLvl w:val="3"/>
    </w:pPr>
    <w:rPr>
      <w:rFonts w:cs="Arial"/>
      <w:iCs/>
    </w:rPr>
  </w:style>
  <w:style w:type="paragraph" w:styleId="Heading5">
    <w:name w:val="heading 5"/>
    <w:basedOn w:val="Normal"/>
    <w:next w:val="Normal"/>
    <w:link w:val="Heading5Char"/>
    <w:uiPriority w:val="9"/>
    <w:qFormat/>
    <w:rsid w:val="00272973"/>
    <w:pPr>
      <w:tabs>
        <w:tab w:val="left" w:pos="1440"/>
      </w:tabs>
      <w:snapToGrid w:val="0"/>
      <w:spacing w:before="240" w:after="160"/>
      <w:ind w:left="1440" w:hanging="1440"/>
      <w:outlineLvl w:val="4"/>
    </w:pPr>
    <w:rPr>
      <w:rFonts w:cs="Arial"/>
    </w:rPr>
  </w:style>
  <w:style w:type="paragraph" w:styleId="Heading6">
    <w:name w:val="heading 6"/>
    <w:basedOn w:val="Normal"/>
    <w:next w:val="Normal"/>
    <w:link w:val="Heading6Char"/>
    <w:qFormat/>
    <w:rsid w:val="006143EA"/>
    <w:pPr>
      <w:keepNext/>
      <w:tabs>
        <w:tab w:val="left" w:pos="1440"/>
      </w:tabs>
      <w:spacing w:before="240"/>
      <w:ind w:left="1440" w:hanging="1440"/>
      <w:outlineLvl w:val="5"/>
    </w:pPr>
    <w:rPr>
      <w:rFonts w:cs="Arial"/>
      <w:bCs/>
      <w:i/>
      <w:iCs/>
      <w:lang w:eastAsia="en-US"/>
    </w:rPr>
  </w:style>
  <w:style w:type="paragraph" w:styleId="Heading7">
    <w:name w:val="heading 7"/>
    <w:basedOn w:val="Normal"/>
    <w:next w:val="Normal"/>
    <w:link w:val="Heading7Char"/>
    <w:qFormat/>
    <w:rsid w:val="00A5335F"/>
    <w:pPr>
      <w:keepNext/>
      <w:jc w:val="center"/>
      <w:outlineLvl w:val="6"/>
    </w:pPr>
    <w:rPr>
      <w:b/>
      <w:sz w:val="16"/>
      <w:lang w:eastAsia="en-US"/>
    </w:rPr>
  </w:style>
  <w:style w:type="paragraph" w:styleId="Heading8">
    <w:name w:val="heading 8"/>
    <w:basedOn w:val="Normal"/>
    <w:next w:val="Normal"/>
    <w:link w:val="Heading8Char"/>
    <w:qFormat/>
    <w:rsid w:val="00A5335F"/>
    <w:pPr>
      <w:keepNext/>
      <w:ind w:left="13" w:firstLine="67"/>
      <w:jc w:val="center"/>
      <w:outlineLvl w:val="7"/>
    </w:pPr>
    <w:rPr>
      <w:b/>
      <w:sz w:val="18"/>
      <w:lang w:eastAsia="en-US"/>
    </w:rPr>
  </w:style>
  <w:style w:type="paragraph" w:styleId="Heading9">
    <w:name w:val="heading 9"/>
    <w:basedOn w:val="Normal"/>
    <w:next w:val="Normal"/>
    <w:link w:val="Heading9Char"/>
    <w:qFormat/>
    <w:rsid w:val="00142528"/>
    <w:pPr>
      <w:numPr>
        <w:numId w:val="1"/>
      </w:numPr>
      <w:outlineLvl w:val="8"/>
    </w:pPr>
    <w:rPr>
      <w:rFonts w:cs="Arial"/>
      <w:color w:val="FFFFFF"/>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Center8" w:customStyle="1">
    <w:name w:val="Body Text Center 8"/>
    <w:basedOn w:val="Normal"/>
    <w:rsid w:val="007C2CC8"/>
    <w:pPr>
      <w:jc w:val="center"/>
    </w:pPr>
    <w:rPr>
      <w:sz w:val="16"/>
      <w:szCs w:val="22"/>
      <w:lang w:eastAsia="en-US"/>
    </w:rPr>
  </w:style>
  <w:style w:type="paragraph" w:styleId="BodyText">
    <w:name w:val="Body Text"/>
    <w:aliases w:val="bt"/>
    <w:basedOn w:val="Normal"/>
    <w:link w:val="BodyTextChar"/>
    <w:uiPriority w:val="1"/>
    <w:rsid w:val="0037568F"/>
    <w:pPr>
      <w:spacing w:after="240"/>
    </w:pPr>
    <w:rPr>
      <w:szCs w:val="22"/>
      <w:lang w:eastAsia="en-US"/>
    </w:rPr>
  </w:style>
  <w:style w:type="character" w:styleId="BodyTextChar" w:customStyle="1">
    <w:name w:val="Body Text Char"/>
    <w:aliases w:val="bt Char"/>
    <w:link w:val="BodyText"/>
    <w:uiPriority w:val="1"/>
    <w:rsid w:val="00DB2CB8"/>
    <w:rPr>
      <w:sz w:val="24"/>
    </w:rPr>
  </w:style>
  <w:style w:type="paragraph" w:styleId="TableText" w:customStyle="1">
    <w:name w:val="Table Text"/>
    <w:basedOn w:val="Normal"/>
    <w:qFormat/>
    <w:rsid w:val="00C943FD"/>
    <w:rPr>
      <w:rFonts w:cs="Arial"/>
      <w:lang w:eastAsia="en-US"/>
    </w:rPr>
  </w:style>
  <w:style w:type="paragraph" w:styleId="BodyTextRight" w:customStyle="1">
    <w:name w:val="Body Text Right"/>
    <w:basedOn w:val="Normal"/>
    <w:rsid w:val="00FA19C8"/>
    <w:pPr>
      <w:jc w:val="right"/>
    </w:pPr>
    <w:rPr>
      <w:szCs w:val="22"/>
      <w:lang w:eastAsia="en-US"/>
    </w:rPr>
  </w:style>
  <w:style w:type="paragraph" w:styleId="TOC1">
    <w:name w:val="toc 1"/>
    <w:basedOn w:val="Normal"/>
    <w:next w:val="Normal"/>
    <w:autoRedefine/>
    <w:uiPriority w:val="39"/>
    <w:qFormat/>
    <w:rsid w:val="00C26C4D"/>
    <w:pPr>
      <w:tabs>
        <w:tab w:val="right" w:leader="dot" w:pos="10070"/>
      </w:tabs>
      <w:spacing w:before="60" w:after="0" w:line="240" w:lineRule="auto"/>
      <w:ind w:left="1267" w:hanging="1267"/>
    </w:pPr>
    <w:rPr>
      <w:rFonts w:cs="Arial"/>
      <w:bCs/>
      <w:caps/>
      <w:noProof/>
      <w:szCs w:val="22"/>
      <w:lang w:eastAsia="en-US"/>
    </w:rPr>
  </w:style>
  <w:style w:type="paragraph" w:styleId="TOC2">
    <w:name w:val="toc 2"/>
    <w:basedOn w:val="Normal"/>
    <w:next w:val="Normal"/>
    <w:autoRedefine/>
    <w:uiPriority w:val="39"/>
    <w:qFormat/>
    <w:rsid w:val="00542B46"/>
    <w:pPr>
      <w:widowControl w:val="0"/>
      <w:tabs>
        <w:tab w:val="right" w:leader="dot" w:pos="10080"/>
      </w:tabs>
      <w:snapToGrid w:val="0"/>
      <w:spacing w:after="0" w:line="240" w:lineRule="auto"/>
      <w:ind w:left="810" w:hanging="810"/>
    </w:pPr>
    <w:rPr>
      <w:rFonts w:cs="Arial"/>
      <w:noProof/>
      <w:lang w:eastAsia="en-US"/>
    </w:rPr>
  </w:style>
  <w:style w:type="paragraph" w:styleId="TOC3">
    <w:name w:val="toc 3"/>
    <w:basedOn w:val="Normal"/>
    <w:next w:val="Normal"/>
    <w:link w:val="TOC3Char"/>
    <w:autoRedefine/>
    <w:uiPriority w:val="39"/>
    <w:rsid w:val="0009055B"/>
    <w:pPr>
      <w:tabs>
        <w:tab w:val="left" w:pos="810"/>
        <w:tab w:val="right" w:leader="dot" w:pos="10070"/>
      </w:tabs>
      <w:snapToGrid w:val="0"/>
      <w:spacing w:after="0" w:line="240" w:lineRule="auto"/>
      <w:ind w:left="810" w:hanging="810"/>
    </w:pPr>
    <w:rPr>
      <w:rFonts w:eastAsiaTheme="majorEastAsia"/>
      <w:iCs/>
      <w:noProof/>
      <w:szCs w:val="22"/>
      <w:shd w:val="clear" w:color="auto" w:fill="FFFFFF" w:themeFill="background1"/>
      <w:lang w:eastAsia="en-US"/>
    </w:rPr>
  </w:style>
  <w:style w:type="paragraph" w:styleId="TableHead" w:customStyle="1">
    <w:name w:val="Table Head"/>
    <w:basedOn w:val="Normal"/>
    <w:qFormat/>
    <w:rsid w:val="000D5B00"/>
    <w:pPr>
      <w:spacing w:before="360" w:after="0" w:line="240" w:lineRule="auto"/>
    </w:pPr>
    <w:rPr>
      <w:rFonts w:eastAsia="Arial" w:cs="Arial"/>
      <w:b/>
      <w:bCs/>
      <w:sz w:val="22"/>
      <w:szCs w:val="22"/>
    </w:rPr>
  </w:style>
  <w:style w:type="paragraph" w:styleId="NotesTmp" w:customStyle="1">
    <w:name w:val="NotesTmp"/>
    <w:basedOn w:val="Normal"/>
    <w:link w:val="NotesTmpChar"/>
    <w:rsid w:val="00C54F9A"/>
    <w:pPr>
      <w:keepLines/>
      <w:widowControl w:val="0"/>
      <w:pBdr>
        <w:top w:val="single" w:color="FF0000" w:sz="18" w:space="4"/>
        <w:left w:val="single" w:color="FF0000" w:sz="18" w:space="4"/>
        <w:bottom w:val="single" w:color="FF0000" w:sz="18" w:space="4"/>
        <w:right w:val="single" w:color="FF0000" w:sz="18" w:space="4"/>
      </w:pBdr>
    </w:pPr>
    <w:rPr>
      <w:b/>
      <w:bCs/>
      <w:sz w:val="20"/>
      <w:szCs w:val="22"/>
      <w:lang w:eastAsia="en-US"/>
    </w:rPr>
  </w:style>
  <w:style w:type="character" w:styleId="NotesTmpChar" w:customStyle="1">
    <w:name w:val="NotesTmp Char"/>
    <w:link w:val="NotesTmp"/>
    <w:rsid w:val="00C54F9A"/>
    <w:rPr>
      <w:b/>
      <w:bCs/>
      <w:sz w:val="20"/>
    </w:rPr>
  </w:style>
  <w:style w:type="paragraph" w:styleId="Title">
    <w:name w:val="Title"/>
    <w:basedOn w:val="Normal"/>
    <w:link w:val="TitleChar"/>
    <w:uiPriority w:val="99"/>
    <w:qFormat/>
    <w:rsid w:val="004D20B2"/>
    <w:pPr>
      <w:jc w:val="center"/>
      <w:outlineLvl w:val="0"/>
    </w:pPr>
    <w:rPr>
      <w:rFonts w:cs="Arial"/>
      <w:b/>
      <w:bCs/>
      <w:kern w:val="28"/>
      <w:szCs w:val="32"/>
      <w:lang w:eastAsia="en-US"/>
    </w:rPr>
  </w:style>
  <w:style w:type="paragraph" w:styleId="BodyText0325" w:customStyle="1">
    <w:name w:val="Body Text 0.325&quot;"/>
    <w:basedOn w:val="BodyText"/>
    <w:rsid w:val="00A25AAD"/>
    <w:pPr>
      <w:spacing w:after="120"/>
      <w:ind w:left="475"/>
    </w:pPr>
  </w:style>
  <w:style w:type="paragraph" w:styleId="BodyNumber0325" w:customStyle="1">
    <w:name w:val="Body Number 0.325"/>
    <w:basedOn w:val="Normal"/>
    <w:link w:val="BodyNumber0325Char"/>
    <w:rsid w:val="004A0387"/>
    <w:pPr>
      <w:numPr>
        <w:numId w:val="12"/>
      </w:numPr>
      <w:tabs>
        <w:tab w:val="left" w:pos="936"/>
      </w:tabs>
      <w:outlineLvl w:val="1"/>
    </w:pPr>
    <w:rPr>
      <w:rFonts w:cs="Arial"/>
      <w:szCs w:val="22"/>
      <w:lang w:eastAsia="en-US"/>
    </w:rPr>
  </w:style>
  <w:style w:type="character" w:styleId="BodyNumber0325Char" w:customStyle="1">
    <w:name w:val="Body Number 0.325 Char"/>
    <w:link w:val="BodyNumber0325"/>
    <w:rsid w:val="004A0387"/>
    <w:rPr>
      <w:rFonts w:cs="Arial"/>
      <w:sz w:val="24"/>
    </w:rPr>
  </w:style>
  <w:style w:type="character" w:styleId="FootnoteReference">
    <w:name w:val="footnote reference"/>
    <w:uiPriority w:val="99"/>
    <w:rsid w:val="000E3DE6"/>
    <w:rPr>
      <w:vertAlign w:val="superscript"/>
    </w:rPr>
  </w:style>
  <w:style w:type="paragraph" w:styleId="FootnoteText">
    <w:name w:val="footnote text"/>
    <w:basedOn w:val="Normal"/>
    <w:link w:val="FootnoteTextChar"/>
    <w:autoRedefine/>
    <w:uiPriority w:val="99"/>
    <w:qFormat/>
    <w:rsid w:val="00B34DBE"/>
    <w:pPr>
      <w:spacing w:before="0" w:after="0" w:line="240" w:lineRule="auto"/>
    </w:pPr>
    <w:rPr>
      <w:rFonts w:cs="Arial"/>
      <w:sz w:val="22"/>
      <w:szCs w:val="22"/>
      <w:lang w:eastAsia="en-US"/>
    </w:rPr>
  </w:style>
  <w:style w:type="paragraph" w:styleId="BodyText065" w:customStyle="1">
    <w:name w:val="Body Text 0.65"/>
    <w:basedOn w:val="BodyText"/>
    <w:rsid w:val="0025718D"/>
    <w:pPr>
      <w:spacing w:after="120"/>
      <w:ind w:left="936"/>
    </w:pPr>
  </w:style>
  <w:style w:type="paragraph" w:styleId="BodyNumber0975" w:customStyle="1">
    <w:name w:val="Body Number 0.975"/>
    <w:basedOn w:val="BodyText"/>
    <w:link w:val="BodyNumber0975Char"/>
    <w:rsid w:val="00485D68"/>
    <w:pPr>
      <w:numPr>
        <w:ilvl w:val="2"/>
        <w:numId w:val="12"/>
      </w:numPr>
      <w:spacing w:after="120"/>
    </w:pPr>
  </w:style>
  <w:style w:type="character" w:styleId="BodyNumber0975Char" w:customStyle="1">
    <w:name w:val="Body Number 0.975 Char"/>
    <w:basedOn w:val="BodyTextChar"/>
    <w:link w:val="BodyNumber0975"/>
    <w:rsid w:val="00485D68"/>
    <w:rPr>
      <w:sz w:val="24"/>
    </w:rPr>
  </w:style>
  <w:style w:type="paragraph" w:styleId="Headings1-D" w:customStyle="1">
    <w:name w:val="Headings 1-D"/>
    <w:basedOn w:val="Normal"/>
    <w:rsid w:val="00A25AAD"/>
    <w:pPr>
      <w:numPr>
        <w:numId w:val="6"/>
      </w:numPr>
      <w:tabs>
        <w:tab w:val="left" w:pos="936"/>
      </w:tabs>
      <w:outlineLvl w:val="0"/>
    </w:pPr>
    <w:rPr>
      <w:rFonts w:ascii="Arial Bold" w:hAnsi="Arial Bold"/>
      <w:b/>
      <w:caps/>
      <w:szCs w:val="22"/>
      <w:lang w:eastAsia="en-US"/>
    </w:rPr>
  </w:style>
  <w:style w:type="paragraph" w:styleId="Headings2" w:customStyle="1">
    <w:name w:val="Headings 2"/>
    <w:basedOn w:val="Normal"/>
    <w:rsid w:val="00D35109"/>
    <w:pPr>
      <w:numPr>
        <w:numId w:val="4"/>
      </w:numPr>
      <w:outlineLvl w:val="1"/>
    </w:pPr>
    <w:rPr>
      <w:rFonts w:ascii="Arial Bold" w:hAnsi="Arial Bold"/>
      <w:b/>
      <w:szCs w:val="22"/>
      <w:lang w:eastAsia="en-US"/>
    </w:rPr>
  </w:style>
  <w:style w:type="paragraph" w:styleId="Headings2-E" w:customStyle="1">
    <w:name w:val="Headings 2-E"/>
    <w:basedOn w:val="Normal"/>
    <w:rsid w:val="00C73703"/>
    <w:pPr>
      <w:keepNext/>
      <w:numPr>
        <w:numId w:val="8"/>
      </w:numPr>
      <w:outlineLvl w:val="1"/>
    </w:pPr>
    <w:rPr>
      <w:rFonts w:ascii="Arial Bold" w:hAnsi="Arial Bold"/>
      <w:b/>
      <w:szCs w:val="22"/>
      <w:lang w:eastAsia="en-US"/>
    </w:rPr>
  </w:style>
  <w:style w:type="paragraph" w:styleId="Headings1-F" w:customStyle="1">
    <w:name w:val="Headings 1-F"/>
    <w:basedOn w:val="Normal"/>
    <w:rsid w:val="00397A79"/>
    <w:pPr>
      <w:numPr>
        <w:numId w:val="9"/>
      </w:numPr>
      <w:outlineLvl w:val="0"/>
    </w:pPr>
    <w:rPr>
      <w:rFonts w:ascii="Arial Bold" w:hAnsi="Arial Bold"/>
      <w:b/>
      <w:caps/>
      <w:szCs w:val="22"/>
      <w:lang w:eastAsia="en-US"/>
    </w:rPr>
  </w:style>
  <w:style w:type="paragraph" w:styleId="Headings1" w:customStyle="1">
    <w:name w:val="Headings 1"/>
    <w:basedOn w:val="Normal"/>
    <w:rsid w:val="000558E6"/>
    <w:pPr>
      <w:numPr>
        <w:numId w:val="2"/>
      </w:numPr>
      <w:tabs>
        <w:tab w:val="left" w:pos="468"/>
      </w:tabs>
      <w:outlineLvl w:val="0"/>
    </w:pPr>
    <w:rPr>
      <w:rFonts w:ascii="Arial Bold" w:hAnsi="Arial Bold"/>
      <w:b/>
      <w:caps/>
      <w:szCs w:val="22"/>
      <w:lang w:eastAsia="en-US"/>
    </w:rPr>
  </w:style>
  <w:style w:type="paragraph" w:styleId="BodyNumber065" w:customStyle="1">
    <w:name w:val="Body Number 0.65"/>
    <w:basedOn w:val="BodyText"/>
    <w:rsid w:val="00A25AAD"/>
    <w:pPr>
      <w:numPr>
        <w:numId w:val="3"/>
      </w:numPr>
      <w:spacing w:after="120"/>
    </w:pPr>
  </w:style>
  <w:style w:type="character" w:styleId="Hyperlink">
    <w:name w:val="Hyperlink"/>
    <w:uiPriority w:val="99"/>
    <w:rsid w:val="007D7FA2"/>
    <w:rPr>
      <w:color w:val="0000FF"/>
      <w:u w:val="single"/>
    </w:rPr>
  </w:style>
  <w:style w:type="paragraph" w:styleId="BodyText13" w:customStyle="1">
    <w:name w:val="Body Text 1.3"/>
    <w:basedOn w:val="Normal"/>
    <w:rsid w:val="00A25AAD"/>
    <w:pPr>
      <w:ind w:left="1872"/>
    </w:pPr>
    <w:rPr>
      <w:szCs w:val="22"/>
      <w:lang w:eastAsia="en-US"/>
    </w:rPr>
  </w:style>
  <w:style w:type="paragraph" w:styleId="BodyNumber13" w:customStyle="1">
    <w:name w:val="Body Number 1.3"/>
    <w:basedOn w:val="Normal"/>
    <w:rsid w:val="0009069A"/>
    <w:pPr>
      <w:numPr>
        <w:ilvl w:val="3"/>
        <w:numId w:val="12"/>
      </w:numPr>
    </w:pPr>
    <w:rPr>
      <w:rFonts w:cs="Arial"/>
      <w:szCs w:val="22"/>
      <w:lang w:eastAsia="en-US"/>
    </w:rPr>
  </w:style>
  <w:style w:type="paragraph" w:styleId="BodyNumber1625" w:customStyle="1">
    <w:name w:val="Body Number 1.625"/>
    <w:basedOn w:val="BodyNumber13"/>
    <w:rsid w:val="001922DC"/>
    <w:pPr>
      <w:numPr>
        <w:ilvl w:val="4"/>
      </w:numPr>
    </w:pPr>
  </w:style>
  <w:style w:type="paragraph" w:styleId="BodyNumber195" w:customStyle="1">
    <w:name w:val="Body Number 1.95"/>
    <w:basedOn w:val="BodyNumber1625"/>
    <w:rsid w:val="00020AA5"/>
    <w:pPr>
      <w:numPr>
        <w:ilvl w:val="5"/>
      </w:numPr>
    </w:pPr>
  </w:style>
  <w:style w:type="paragraph" w:styleId="Footer">
    <w:name w:val="footer"/>
    <w:basedOn w:val="Normal"/>
    <w:link w:val="FooterChar"/>
    <w:uiPriority w:val="99"/>
    <w:rsid w:val="008A57C1"/>
    <w:pPr>
      <w:tabs>
        <w:tab w:val="right" w:pos="10080"/>
        <w:tab w:val="right" w:pos="13680"/>
      </w:tabs>
    </w:pPr>
    <w:rPr>
      <w:szCs w:val="22"/>
      <w:lang w:eastAsia="en-US"/>
    </w:rPr>
  </w:style>
  <w:style w:type="paragraph" w:styleId="NormalAttachments" w:customStyle="1">
    <w:name w:val="Normal Attachments"/>
    <w:basedOn w:val="Heading1"/>
    <w:rsid w:val="00643D98"/>
    <w:pPr>
      <w:tabs>
        <w:tab w:val="left" w:pos="360"/>
      </w:tabs>
    </w:pPr>
  </w:style>
  <w:style w:type="paragraph" w:styleId="TableofFigures">
    <w:name w:val="table of figures"/>
    <w:basedOn w:val="Normal"/>
    <w:next w:val="Normal"/>
    <w:uiPriority w:val="99"/>
    <w:rsid w:val="007D7FA2"/>
    <w:pPr>
      <w:ind w:left="480" w:hanging="480"/>
    </w:pPr>
    <w:rPr>
      <w:lang w:eastAsia="en-US"/>
    </w:rPr>
  </w:style>
  <w:style w:type="paragraph" w:styleId="Headings1-E" w:customStyle="1">
    <w:name w:val="Headings 1-E"/>
    <w:basedOn w:val="Normal"/>
    <w:rsid w:val="00D55CD0"/>
    <w:pPr>
      <w:numPr>
        <w:numId w:val="18"/>
      </w:numPr>
      <w:outlineLvl w:val="0"/>
    </w:pPr>
    <w:rPr>
      <w:rFonts w:ascii="Arial Bold" w:hAnsi="Arial Bold"/>
      <w:b/>
      <w:caps/>
      <w:szCs w:val="22"/>
      <w:lang w:eastAsia="en-US"/>
    </w:rPr>
  </w:style>
  <w:style w:type="paragraph" w:styleId="HeadingE" w:customStyle="1">
    <w:name w:val="Heading E"/>
    <w:basedOn w:val="Headings1-E"/>
    <w:rsid w:val="0008525D"/>
    <w:pPr>
      <w:numPr>
        <w:numId w:val="0"/>
      </w:numPr>
    </w:pPr>
    <w:rPr>
      <w:bCs/>
    </w:rPr>
  </w:style>
  <w:style w:type="paragraph" w:styleId="TableE" w:customStyle="1">
    <w:name w:val="Table E"/>
    <w:basedOn w:val="TableHead"/>
    <w:rsid w:val="004A527D"/>
  </w:style>
  <w:style w:type="paragraph" w:styleId="HeadingF" w:customStyle="1">
    <w:name w:val="Heading F"/>
    <w:basedOn w:val="HeadingE"/>
    <w:rsid w:val="001A4997"/>
  </w:style>
  <w:style w:type="paragraph" w:styleId="TableF" w:customStyle="1">
    <w:name w:val="Table F"/>
    <w:basedOn w:val="TableE"/>
    <w:rsid w:val="00AF7F83"/>
  </w:style>
  <w:style w:type="paragraph" w:styleId="Headings2-F" w:customStyle="1">
    <w:name w:val="Headings 2-F"/>
    <w:basedOn w:val="Normal"/>
    <w:rsid w:val="00754FDD"/>
    <w:pPr>
      <w:numPr>
        <w:numId w:val="10"/>
      </w:numPr>
      <w:outlineLvl w:val="1"/>
    </w:pPr>
    <w:rPr>
      <w:rFonts w:ascii="Arial Bold" w:hAnsi="Arial Bold"/>
      <w:b/>
      <w:szCs w:val="22"/>
      <w:lang w:eastAsia="en-US"/>
    </w:rPr>
  </w:style>
  <w:style w:type="paragraph" w:styleId="BodyText0975" w:customStyle="1">
    <w:name w:val="Body Text 0.975&quot;"/>
    <w:basedOn w:val="BodyText065"/>
    <w:rsid w:val="00231F47"/>
    <w:pPr>
      <w:ind w:left="1404"/>
    </w:pPr>
  </w:style>
  <w:style w:type="paragraph" w:styleId="Headings3-F" w:customStyle="1">
    <w:name w:val="Headings 3-F"/>
    <w:basedOn w:val="Normal"/>
    <w:rsid w:val="00754FDD"/>
    <w:pPr>
      <w:numPr>
        <w:numId w:val="11"/>
      </w:numPr>
      <w:outlineLvl w:val="2"/>
    </w:pPr>
    <w:rPr>
      <w:rFonts w:ascii="Arial Bold" w:hAnsi="Arial Bold"/>
      <w:b/>
      <w:szCs w:val="22"/>
      <w:lang w:eastAsia="en-US"/>
    </w:rPr>
  </w:style>
  <w:style w:type="paragraph" w:styleId="Headings3" w:customStyle="1">
    <w:name w:val="Headings 3"/>
    <w:basedOn w:val="Normal"/>
    <w:rsid w:val="00D35109"/>
    <w:pPr>
      <w:numPr>
        <w:numId w:val="5"/>
      </w:numPr>
      <w:tabs>
        <w:tab w:val="left" w:pos="1404"/>
      </w:tabs>
      <w:outlineLvl w:val="2"/>
    </w:pPr>
    <w:rPr>
      <w:rFonts w:ascii="Arial Bold" w:hAnsi="Arial Bold"/>
      <w:b/>
      <w:szCs w:val="22"/>
      <w:lang w:eastAsia="en-US"/>
    </w:rPr>
  </w:style>
  <w:style w:type="paragraph" w:styleId="TableTextBoldLeft" w:customStyle="1">
    <w:name w:val="Table Text Bold Left"/>
    <w:basedOn w:val="Normal"/>
    <w:rsid w:val="00C943FD"/>
    <w:rPr>
      <w:rFonts w:cs="Arial"/>
      <w:b/>
      <w:bCs/>
      <w:szCs w:val="22"/>
      <w:lang w:eastAsia="en-US"/>
    </w:rPr>
  </w:style>
  <w:style w:type="paragraph" w:styleId="FooterLandscape" w:customStyle="1">
    <w:name w:val="FooterLandscape"/>
    <w:basedOn w:val="Normal"/>
    <w:rsid w:val="00862700"/>
    <w:pPr>
      <w:tabs>
        <w:tab w:val="right" w:pos="13680"/>
      </w:tabs>
    </w:pPr>
    <w:rPr>
      <w:szCs w:val="22"/>
      <w:lang w:eastAsia="en-US"/>
    </w:rPr>
  </w:style>
  <w:style w:type="paragraph" w:styleId="dash" w:customStyle="1">
    <w:name w:val="dash"/>
    <w:basedOn w:val="BodyText"/>
    <w:semiHidden/>
    <w:rsid w:val="00A5335F"/>
    <w:pPr>
      <w:tabs>
        <w:tab w:val="num" w:pos="945"/>
        <w:tab w:val="num" w:pos="1080"/>
      </w:tabs>
      <w:spacing w:after="0"/>
      <w:ind w:left="965" w:hanging="274"/>
    </w:pPr>
    <w:rPr>
      <w:sz w:val="23"/>
      <w:szCs w:val="24"/>
    </w:rPr>
  </w:style>
  <w:style w:type="paragraph" w:styleId="dasha" w:customStyle="1">
    <w:name w:val="dasha"/>
    <w:basedOn w:val="dash"/>
    <w:semiHidden/>
    <w:rsid w:val="00A5335F"/>
    <w:pPr>
      <w:spacing w:after="160"/>
    </w:pPr>
  </w:style>
  <w:style w:type="paragraph" w:styleId="SpecialChar" w:customStyle="1">
    <w:name w:val="Special Char"/>
    <w:rsid w:val="00A5335F"/>
    <w:pPr>
      <w:overflowPunct w:val="0"/>
      <w:autoSpaceDE w:val="0"/>
      <w:autoSpaceDN w:val="0"/>
      <w:adjustRightInd w:val="0"/>
      <w:textAlignment w:val="baseline"/>
    </w:pPr>
    <w:rPr>
      <w:rFonts w:ascii="Book Antiqua" w:hAnsi="Book Antiqua"/>
    </w:rPr>
  </w:style>
  <w:style w:type="paragraph" w:styleId="RIGHTMARGIN" w:customStyle="1">
    <w:name w:val="RIGHT MARGIN"/>
    <w:basedOn w:val="Normal"/>
    <w:next w:val="Normal"/>
    <w:rsid w:val="00A5335F"/>
    <w:pPr>
      <w:framePr w:w="720" w:vSpace="180" w:hSpace="180" w:wrap="auto" w:hAnchor="page" w:vAnchor="page" w:xAlign="right" w:yAlign="center"/>
      <w:overflowPunct w:val="0"/>
      <w:autoSpaceDE w:val="0"/>
      <w:autoSpaceDN w:val="0"/>
      <w:adjustRightInd w:val="0"/>
      <w:spacing w:line="1440" w:lineRule="atLeast"/>
      <w:ind w:left="547" w:right="8640" w:hanging="547"/>
      <w:textAlignment w:val="baseline"/>
    </w:pPr>
    <w:rPr>
      <w:b/>
      <w:caps/>
      <w:outline/>
      <w:color w:val="000000"/>
      <w:sz w:val="72"/>
      <w:szCs w:val="22"/>
      <w:lang w:eastAsia="en-US"/>
      <w14:textOutline w14:w="9525" w14:cap="flat" w14:cmpd="sng" w14:algn="ctr">
        <w14:solidFill>
          <w14:srgbClr w14:val="000000"/>
        </w14:solidFill>
        <w14:prstDash w14:val="solid"/>
        <w14:round/>
      </w14:textOutline>
      <w14:textFill>
        <w14:noFill/>
      </w14:textFill>
    </w:rPr>
  </w:style>
  <w:style w:type="paragraph" w:styleId="tablename" w:customStyle="1">
    <w:name w:val="table name"/>
    <w:basedOn w:val="Normal"/>
    <w:rsid w:val="00A5335F"/>
    <w:pPr>
      <w:jc w:val="center"/>
    </w:pPr>
    <w:rPr>
      <w:rFonts w:cs="Arial"/>
      <w:b/>
      <w:bCs/>
      <w:smallCaps/>
      <w:lang w:eastAsia="en-US"/>
    </w:rPr>
  </w:style>
  <w:style w:type="paragraph" w:styleId="notes" w:customStyle="1">
    <w:name w:val="notes"/>
    <w:basedOn w:val="tablename"/>
    <w:rsid w:val="00A5335F"/>
    <w:pPr>
      <w:jc w:val="left"/>
    </w:pPr>
    <w:rPr>
      <w:rFonts w:cs="Times New Roman"/>
      <w:b w:val="0"/>
      <w:bCs w:val="0"/>
      <w:caps/>
      <w:snapToGrid w:val="0"/>
    </w:rPr>
  </w:style>
  <w:style w:type="paragraph" w:styleId="textcontent" w:customStyle="1">
    <w:name w:val="textcontent"/>
    <w:basedOn w:val="Normal"/>
    <w:rsid w:val="00A5335F"/>
    <w:pPr>
      <w:spacing w:before="100" w:beforeAutospacing="1" w:after="100" w:afterAutospacing="1"/>
    </w:pPr>
    <w:rPr>
      <w:rFonts w:eastAsia="Arial"/>
      <w:lang w:eastAsia="en-US"/>
    </w:rPr>
  </w:style>
  <w:style w:type="character" w:styleId="FollowedHyperlink">
    <w:name w:val="FollowedHyperlink"/>
    <w:uiPriority w:val="99"/>
    <w:rsid w:val="00A5335F"/>
    <w:rPr>
      <w:color w:val="800080"/>
      <w:u w:val="single"/>
    </w:rPr>
  </w:style>
  <w:style w:type="paragraph" w:styleId="Normal8" w:customStyle="1">
    <w:name w:val="Normal8"/>
    <w:basedOn w:val="Normal"/>
    <w:rsid w:val="00A5335F"/>
    <w:rPr>
      <w:sz w:val="16"/>
      <w:lang w:eastAsia="en-US"/>
    </w:rPr>
  </w:style>
  <w:style w:type="paragraph" w:styleId="Definitions" w:customStyle="1">
    <w:name w:val="Definitions"/>
    <w:basedOn w:val="BodyText"/>
    <w:rsid w:val="00DB4C4E"/>
    <w:pPr>
      <w:spacing w:after="0"/>
      <w:outlineLvl w:val="1"/>
    </w:pPr>
    <w:rPr>
      <w:b/>
    </w:rPr>
  </w:style>
  <w:style w:type="paragraph" w:styleId="Headings2-D" w:customStyle="1">
    <w:name w:val="Headings 2-D"/>
    <w:basedOn w:val="Normal"/>
    <w:rsid w:val="00A25AAD"/>
    <w:pPr>
      <w:numPr>
        <w:numId w:val="7"/>
      </w:numPr>
    </w:pPr>
    <w:rPr>
      <w:rFonts w:ascii="Arial Bold" w:hAnsi="Arial Bold"/>
      <w:b/>
      <w:szCs w:val="22"/>
      <w:lang w:eastAsia="en-US"/>
    </w:rPr>
  </w:style>
  <w:style w:type="paragraph" w:styleId="BalloonText">
    <w:name w:val="Balloon Text"/>
    <w:basedOn w:val="Normal"/>
    <w:link w:val="BalloonTextChar"/>
    <w:uiPriority w:val="99"/>
    <w:rsid w:val="00565BCA"/>
    <w:rPr>
      <w:rFonts w:ascii="Tahoma" w:hAnsi="Tahoma" w:cs="Tahoma"/>
      <w:sz w:val="16"/>
      <w:szCs w:val="16"/>
      <w:lang w:eastAsia="en-US"/>
    </w:rPr>
  </w:style>
  <w:style w:type="character" w:styleId="BalloonTextChar" w:customStyle="1">
    <w:name w:val="Balloon Text Char"/>
    <w:basedOn w:val="DefaultParagraphFont"/>
    <w:link w:val="BalloonText"/>
    <w:uiPriority w:val="99"/>
    <w:rsid w:val="00565BCA"/>
    <w:rPr>
      <w:rFonts w:ascii="Tahoma" w:hAnsi="Tahoma" w:cs="Tahoma"/>
      <w:sz w:val="16"/>
      <w:szCs w:val="16"/>
    </w:rPr>
  </w:style>
  <w:style w:type="paragraph" w:styleId="Header">
    <w:name w:val="header"/>
    <w:basedOn w:val="Normal"/>
    <w:link w:val="HeaderChar"/>
    <w:uiPriority w:val="99"/>
    <w:qFormat/>
    <w:rsid w:val="00815040"/>
    <w:pPr>
      <w:tabs>
        <w:tab w:val="center" w:pos="4680"/>
        <w:tab w:val="right" w:pos="9360"/>
      </w:tabs>
    </w:pPr>
    <w:rPr>
      <w:szCs w:val="22"/>
      <w:lang w:eastAsia="en-US"/>
    </w:rPr>
  </w:style>
  <w:style w:type="character" w:styleId="HeaderChar" w:customStyle="1">
    <w:name w:val="Header Char"/>
    <w:basedOn w:val="DefaultParagraphFont"/>
    <w:link w:val="Header"/>
    <w:uiPriority w:val="99"/>
    <w:rsid w:val="00815040"/>
    <w:rPr>
      <w:sz w:val="24"/>
    </w:rPr>
  </w:style>
  <w:style w:type="paragraph" w:styleId="ListParagraph">
    <w:name w:val="List Paragraph"/>
    <w:basedOn w:val="Normal"/>
    <w:link w:val="ListParagraphChar"/>
    <w:uiPriority w:val="34"/>
    <w:qFormat/>
    <w:rsid w:val="00582F23"/>
    <w:pPr>
      <w:ind w:left="720"/>
      <w:contextualSpacing/>
    </w:pPr>
    <w:rPr>
      <w:szCs w:val="22"/>
      <w:lang w:eastAsia="en-US"/>
    </w:rPr>
  </w:style>
  <w:style w:type="paragraph" w:styleId="Revision">
    <w:name w:val="Revision"/>
    <w:hidden/>
    <w:uiPriority w:val="99"/>
    <w:semiHidden/>
    <w:rsid w:val="009C47B5"/>
  </w:style>
  <w:style w:type="paragraph" w:styleId="NoSpacing">
    <w:name w:val="No Spacing"/>
    <w:uiPriority w:val="1"/>
    <w:qFormat/>
    <w:rsid w:val="008D3A6B"/>
    <w:rPr>
      <w:rFonts w:cs="Arial"/>
      <w:sz w:val="24"/>
      <w:szCs w:val="24"/>
    </w:rPr>
  </w:style>
  <w:style w:type="character" w:styleId="FooterChar" w:customStyle="1">
    <w:name w:val="Footer Char"/>
    <w:basedOn w:val="DefaultParagraphFont"/>
    <w:link w:val="Footer"/>
    <w:uiPriority w:val="99"/>
    <w:rsid w:val="00C57CB1"/>
    <w:rPr>
      <w:sz w:val="24"/>
    </w:rPr>
  </w:style>
  <w:style w:type="character" w:styleId="Heading3Char" w:customStyle="1">
    <w:name w:val="Heading 3 Char"/>
    <w:basedOn w:val="DefaultParagraphFont"/>
    <w:link w:val="Heading3"/>
    <w:rsid w:val="0039402F"/>
    <w:rPr>
      <w:rFonts w:ascii="Arial Bold" w:hAnsi="Arial Bold" w:eastAsia="Calibri" w:cs="Arial"/>
      <w:b/>
      <w:bCs/>
      <w:sz w:val="24"/>
      <w:szCs w:val="24"/>
    </w:rPr>
  </w:style>
  <w:style w:type="character" w:styleId="FootnoteTextChar" w:customStyle="1">
    <w:name w:val="Footnote Text Char"/>
    <w:basedOn w:val="DefaultParagraphFont"/>
    <w:link w:val="FootnoteText"/>
    <w:uiPriority w:val="99"/>
    <w:rsid w:val="00B34DBE"/>
    <w:rPr>
      <w:rFonts w:cs="Arial"/>
    </w:rPr>
  </w:style>
  <w:style w:type="character" w:styleId="Heading4Char" w:customStyle="1">
    <w:name w:val="Heading 4 Char"/>
    <w:basedOn w:val="DefaultParagraphFont"/>
    <w:link w:val="Heading4"/>
    <w:uiPriority w:val="9"/>
    <w:rsid w:val="00260FCD"/>
    <w:rPr>
      <w:rFonts w:cs="Arial"/>
      <w:iCs/>
      <w:sz w:val="24"/>
      <w:szCs w:val="24"/>
      <w:shd w:val="clear" w:color="auto" w:fill="FFFFFF" w:themeFill="background1"/>
      <w:lang w:eastAsia="zh-CN"/>
    </w:rPr>
  </w:style>
  <w:style w:type="character" w:styleId="Heading5Char" w:customStyle="1">
    <w:name w:val="Heading 5 Char"/>
    <w:basedOn w:val="DefaultParagraphFont"/>
    <w:link w:val="Heading5"/>
    <w:uiPriority w:val="9"/>
    <w:rsid w:val="00272973"/>
    <w:rPr>
      <w:rFonts w:cs="Arial"/>
      <w:sz w:val="24"/>
      <w:szCs w:val="24"/>
      <w:lang w:eastAsia="zh-CN"/>
    </w:rPr>
  </w:style>
  <w:style w:type="character" w:styleId="CommentReference">
    <w:name w:val="Comment Reference"/>
    <w:basedOn w:val="DefaultParagraphFont"/>
    <w:uiPriority w:val="99"/>
    <w:unhideWhenUsed/>
    <w:rsid w:val="00C57CB1"/>
    <w:rPr>
      <w:sz w:val="16"/>
      <w:szCs w:val="16"/>
    </w:rPr>
  </w:style>
  <w:style w:type="paragraph" w:styleId="CommentText">
    <w:name w:val="Comment Text"/>
    <w:basedOn w:val="Normal"/>
    <w:link w:val="CommentTextChar"/>
    <w:uiPriority w:val="99"/>
    <w:unhideWhenUsed/>
    <w:rsid w:val="00C57CB1"/>
    <w:pPr>
      <w:spacing w:after="80"/>
    </w:pPr>
    <w:rPr>
      <w:sz w:val="20"/>
      <w:szCs w:val="20"/>
      <w:lang w:eastAsia="en-US"/>
    </w:rPr>
  </w:style>
  <w:style w:type="character" w:styleId="CommentTextChar" w:customStyle="1">
    <w:name w:val="Comment Text Char"/>
    <w:basedOn w:val="DefaultParagraphFont"/>
    <w:link w:val="CommentText"/>
    <w:uiPriority w:val="99"/>
    <w:rsid w:val="00C57CB1"/>
    <w:rPr>
      <w:rFonts w:eastAsia="Times New Roman" w:cs="Times New Roman"/>
      <w:sz w:val="20"/>
      <w:szCs w:val="20"/>
    </w:rPr>
  </w:style>
  <w:style w:type="paragraph" w:styleId="Default" w:customStyle="1">
    <w:name w:val="Default"/>
    <w:rsid w:val="00C57CB1"/>
    <w:pPr>
      <w:autoSpaceDE w:val="0"/>
      <w:autoSpaceDN w:val="0"/>
      <w:adjustRightInd w:val="0"/>
    </w:pPr>
    <w:rPr>
      <w:rFonts w:cs="Arial"/>
      <w:color w:val="000000"/>
      <w:sz w:val="24"/>
      <w:szCs w:val="24"/>
    </w:rPr>
  </w:style>
  <w:style w:type="paragraph" w:styleId="TOCHeading">
    <w:name w:val="TOC Heading"/>
    <w:basedOn w:val="Heading1"/>
    <w:next w:val="Normal"/>
    <w:uiPriority w:val="39"/>
    <w:unhideWhenUsed/>
    <w:qFormat/>
    <w:rsid w:val="00DF249A"/>
    <w:pPr>
      <w:keepLines/>
      <w:outlineLvl w:val="9"/>
    </w:pPr>
    <w:rPr>
      <w:rFonts w:ascii="Times New Roman" w:hAnsi="Times New Roman"/>
      <w:b w:val="0"/>
      <w:caps/>
      <w:color w:val="365F91" w:themeColor="accent1" w:themeShade="BF"/>
      <w:sz w:val="32"/>
      <w:szCs w:val="32"/>
    </w:rPr>
  </w:style>
  <w:style w:type="paragraph" w:styleId="CommentSubject">
    <w:name w:val="Comment Subject"/>
    <w:basedOn w:val="CommentText"/>
    <w:next w:val="CommentText"/>
    <w:link w:val="CommentSubjectChar"/>
    <w:uiPriority w:val="99"/>
    <w:semiHidden/>
    <w:unhideWhenUsed/>
    <w:rsid w:val="009731B4"/>
    <w:pPr>
      <w:spacing w:after="0"/>
    </w:pPr>
    <w:rPr>
      <w:b/>
      <w:bCs/>
    </w:rPr>
  </w:style>
  <w:style w:type="character" w:styleId="CommentSubjectChar" w:customStyle="1">
    <w:name w:val="Comment Subject Char"/>
    <w:basedOn w:val="CommentTextChar"/>
    <w:link w:val="CommentSubject"/>
    <w:uiPriority w:val="99"/>
    <w:semiHidden/>
    <w:rsid w:val="009731B4"/>
    <w:rPr>
      <w:rFonts w:eastAsia="Times New Roman" w:cs="Times New Roman"/>
      <w:b/>
      <w:bCs/>
      <w:sz w:val="20"/>
      <w:szCs w:val="20"/>
    </w:rPr>
  </w:style>
  <w:style w:type="table" w:styleId="TableGrid">
    <w:name w:val="Table Grid"/>
    <w:basedOn w:val="TableNormal"/>
    <w:uiPriority w:val="39"/>
    <w:rsid w:val="0069661E"/>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semiHidden/>
    <w:unhideWhenUsed/>
    <w:rsid w:val="00EB4059"/>
    <w:rPr>
      <w:sz w:val="20"/>
      <w:szCs w:val="20"/>
      <w:lang w:eastAsia="en-US"/>
    </w:rPr>
  </w:style>
  <w:style w:type="character" w:styleId="EndnoteTextChar" w:customStyle="1">
    <w:name w:val="Endnote Text Char"/>
    <w:basedOn w:val="DefaultParagraphFont"/>
    <w:link w:val="EndnoteText"/>
    <w:semiHidden/>
    <w:rsid w:val="00EB4059"/>
    <w:rPr>
      <w:sz w:val="20"/>
      <w:szCs w:val="20"/>
    </w:rPr>
  </w:style>
  <w:style w:type="character" w:styleId="EndnoteReference">
    <w:name w:val="endnote reference"/>
    <w:basedOn w:val="DefaultParagraphFont"/>
    <w:uiPriority w:val="99"/>
    <w:semiHidden/>
    <w:unhideWhenUsed/>
    <w:rsid w:val="00EB4059"/>
    <w:rPr>
      <w:vertAlign w:val="superscript"/>
    </w:rPr>
  </w:style>
  <w:style w:type="paragraph" w:styleId="PlainText">
    <w:name w:val="Plain Text"/>
    <w:basedOn w:val="Normal"/>
    <w:link w:val="PlainTextChar"/>
    <w:uiPriority w:val="99"/>
    <w:rsid w:val="00D404C1"/>
    <w:rPr>
      <w:rFonts w:ascii="Courier New" w:hAnsi="Courier New"/>
      <w:sz w:val="20"/>
      <w:szCs w:val="20"/>
      <w:lang w:eastAsia="en-US"/>
    </w:rPr>
  </w:style>
  <w:style w:type="character" w:styleId="PlainTextChar" w:customStyle="1">
    <w:name w:val="Plain Text Char"/>
    <w:basedOn w:val="DefaultParagraphFont"/>
    <w:link w:val="PlainText"/>
    <w:uiPriority w:val="99"/>
    <w:rsid w:val="00D404C1"/>
    <w:rPr>
      <w:rFonts w:ascii="Courier New" w:hAnsi="Courier New"/>
      <w:sz w:val="20"/>
      <w:szCs w:val="20"/>
    </w:rPr>
  </w:style>
  <w:style w:type="paragraph" w:styleId="PStreetLetterhead" w:customStyle="1">
    <w:name w:val="P Street Letterhead"/>
    <w:rsid w:val="00D404C1"/>
    <w:pPr>
      <w:tabs>
        <w:tab w:val="right" w:pos="11280"/>
      </w:tabs>
      <w:suppressAutoHyphens/>
      <w:spacing w:line="144" w:lineRule="auto"/>
    </w:pPr>
    <w:rPr>
      <w:rFonts w:ascii="Arial Narrow" w:hAnsi="Arial Narrow"/>
      <w:sz w:val="24"/>
      <w:szCs w:val="20"/>
    </w:rPr>
  </w:style>
  <w:style w:type="paragraph" w:styleId="BodyTextIndent2">
    <w:name w:val="Body Text Indent 2"/>
    <w:basedOn w:val="Normal"/>
    <w:link w:val="BodyTextIndent2Char"/>
    <w:unhideWhenUsed/>
    <w:rsid w:val="00E374AE"/>
    <w:pPr>
      <w:spacing w:line="480" w:lineRule="auto"/>
      <w:ind w:left="360"/>
    </w:pPr>
    <w:rPr>
      <w:szCs w:val="22"/>
      <w:lang w:eastAsia="en-US"/>
    </w:rPr>
  </w:style>
  <w:style w:type="character" w:styleId="BodyTextIndent2Char" w:customStyle="1">
    <w:name w:val="Body Text Indent 2 Char"/>
    <w:basedOn w:val="DefaultParagraphFont"/>
    <w:link w:val="BodyTextIndent2"/>
    <w:rsid w:val="00E374AE"/>
    <w:rPr>
      <w:sz w:val="24"/>
    </w:rPr>
  </w:style>
  <w:style w:type="character" w:styleId="Heading1Char" w:customStyle="1">
    <w:name w:val="Heading 1 Char"/>
    <w:basedOn w:val="DefaultParagraphFont"/>
    <w:link w:val="Heading1"/>
    <w:uiPriority w:val="1"/>
    <w:rsid w:val="00A91D3B"/>
    <w:rPr>
      <w:b/>
      <w:sz w:val="24"/>
      <w:szCs w:val="24"/>
      <w:lang w:eastAsia="zh-CN"/>
    </w:rPr>
  </w:style>
  <w:style w:type="character" w:styleId="Heading2Char" w:customStyle="1">
    <w:name w:val="Heading 2 Char"/>
    <w:basedOn w:val="DefaultParagraphFont"/>
    <w:link w:val="Heading2"/>
    <w:uiPriority w:val="1"/>
    <w:rsid w:val="001A1BAA"/>
    <w:rPr>
      <w:rFonts w:ascii="Arial Bold" w:hAnsi="Arial Bold" w:cs="Arial"/>
      <w:b/>
      <w:bCs/>
      <w:iCs/>
      <w:caps/>
      <w:sz w:val="24"/>
      <w:szCs w:val="24"/>
    </w:rPr>
  </w:style>
  <w:style w:type="character" w:styleId="Heading6Char" w:customStyle="1">
    <w:name w:val="Heading 6 Char"/>
    <w:basedOn w:val="DefaultParagraphFont"/>
    <w:link w:val="Heading6"/>
    <w:rsid w:val="000D170A"/>
    <w:rPr>
      <w:rFonts w:cs="Arial"/>
      <w:bCs/>
      <w:i/>
      <w:iCs/>
      <w:sz w:val="24"/>
      <w:szCs w:val="24"/>
    </w:rPr>
  </w:style>
  <w:style w:type="character" w:styleId="Heading7Char" w:customStyle="1">
    <w:name w:val="Heading 7 Char"/>
    <w:basedOn w:val="DefaultParagraphFont"/>
    <w:link w:val="Heading7"/>
    <w:rsid w:val="000A5665"/>
    <w:rPr>
      <w:b/>
      <w:sz w:val="16"/>
      <w:szCs w:val="24"/>
    </w:rPr>
  </w:style>
  <w:style w:type="character" w:styleId="Heading8Char" w:customStyle="1">
    <w:name w:val="Heading 8 Char"/>
    <w:basedOn w:val="DefaultParagraphFont"/>
    <w:link w:val="Heading8"/>
    <w:rsid w:val="000A5665"/>
    <w:rPr>
      <w:b/>
      <w:sz w:val="18"/>
      <w:szCs w:val="24"/>
    </w:rPr>
  </w:style>
  <w:style w:type="character" w:styleId="Heading9Char" w:customStyle="1">
    <w:name w:val="Heading 9 Char"/>
    <w:basedOn w:val="DefaultParagraphFont"/>
    <w:link w:val="Heading9"/>
    <w:rsid w:val="000A5665"/>
    <w:rPr>
      <w:rFonts w:cs="Arial"/>
      <w:color w:val="FFFFFF"/>
      <w:sz w:val="24"/>
    </w:rPr>
  </w:style>
  <w:style w:type="character" w:styleId="PageNumber">
    <w:name w:val="page number"/>
    <w:basedOn w:val="DefaultParagraphFont"/>
    <w:rsid w:val="000A5665"/>
    <w:rPr>
      <w:rFonts w:cs="Times New Roman"/>
    </w:rPr>
  </w:style>
  <w:style w:type="character" w:styleId="TitleChar" w:customStyle="1">
    <w:name w:val="Title Char"/>
    <w:basedOn w:val="DefaultParagraphFont"/>
    <w:link w:val="Title"/>
    <w:uiPriority w:val="99"/>
    <w:rsid w:val="000A5665"/>
    <w:rPr>
      <w:rFonts w:cs="Arial"/>
      <w:b/>
      <w:bCs/>
      <w:kern w:val="28"/>
      <w:sz w:val="24"/>
      <w:szCs w:val="32"/>
    </w:rPr>
  </w:style>
  <w:style w:type="paragraph" w:styleId="TOC4">
    <w:name w:val="toc 4"/>
    <w:basedOn w:val="Normal"/>
    <w:next w:val="Normal"/>
    <w:autoRedefine/>
    <w:uiPriority w:val="39"/>
    <w:rsid w:val="00DC1A96"/>
    <w:pPr>
      <w:tabs>
        <w:tab w:val="left" w:pos="990"/>
        <w:tab w:val="right" w:leader="dot" w:pos="10070"/>
      </w:tabs>
      <w:spacing w:before="0" w:after="0" w:line="240" w:lineRule="auto"/>
      <w:ind w:left="720" w:hanging="720"/>
    </w:pPr>
    <w:rPr>
      <w:rFonts w:ascii="Times New Roman" w:hAnsi="Times New Roman"/>
      <w:sz w:val="18"/>
      <w:szCs w:val="18"/>
      <w:lang w:eastAsia="en-US"/>
    </w:rPr>
  </w:style>
  <w:style w:type="paragraph" w:styleId="TOC5">
    <w:name w:val="toc 5"/>
    <w:basedOn w:val="Normal"/>
    <w:next w:val="Normal"/>
    <w:autoRedefine/>
    <w:uiPriority w:val="39"/>
    <w:rsid w:val="000A5665"/>
    <w:pPr>
      <w:ind w:left="960"/>
    </w:pPr>
    <w:rPr>
      <w:rFonts w:ascii="Times New Roman" w:hAnsi="Times New Roman"/>
      <w:sz w:val="18"/>
      <w:szCs w:val="18"/>
      <w:lang w:eastAsia="en-US"/>
    </w:rPr>
  </w:style>
  <w:style w:type="paragraph" w:styleId="TOC6">
    <w:name w:val="toc 6"/>
    <w:basedOn w:val="Normal"/>
    <w:next w:val="Normal"/>
    <w:autoRedefine/>
    <w:uiPriority w:val="39"/>
    <w:rsid w:val="000A5665"/>
    <w:pPr>
      <w:ind w:left="720" w:hanging="360"/>
    </w:pPr>
    <w:rPr>
      <w:rFonts w:cs="Arial"/>
      <w:lang w:eastAsia="en-US"/>
    </w:rPr>
  </w:style>
  <w:style w:type="paragraph" w:styleId="TOC7">
    <w:name w:val="toc 7"/>
    <w:basedOn w:val="Normal"/>
    <w:next w:val="Normal"/>
    <w:autoRedefine/>
    <w:uiPriority w:val="39"/>
    <w:rsid w:val="000A5665"/>
    <w:pPr>
      <w:ind w:left="1440"/>
    </w:pPr>
    <w:rPr>
      <w:rFonts w:ascii="Times New Roman" w:hAnsi="Times New Roman"/>
      <w:sz w:val="18"/>
      <w:szCs w:val="18"/>
      <w:lang w:eastAsia="en-US"/>
    </w:rPr>
  </w:style>
  <w:style w:type="paragraph" w:styleId="TOC8">
    <w:name w:val="toc 8"/>
    <w:basedOn w:val="Normal"/>
    <w:next w:val="Normal"/>
    <w:autoRedefine/>
    <w:uiPriority w:val="39"/>
    <w:rsid w:val="000A5665"/>
    <w:pPr>
      <w:ind w:left="1680"/>
    </w:pPr>
    <w:rPr>
      <w:rFonts w:ascii="Times New Roman" w:hAnsi="Times New Roman"/>
      <w:sz w:val="18"/>
      <w:szCs w:val="18"/>
      <w:lang w:eastAsia="en-US"/>
    </w:rPr>
  </w:style>
  <w:style w:type="paragraph" w:styleId="TOC9">
    <w:name w:val="toc 9"/>
    <w:basedOn w:val="Normal"/>
    <w:next w:val="Normal"/>
    <w:autoRedefine/>
    <w:uiPriority w:val="39"/>
    <w:rsid w:val="000A5665"/>
    <w:pPr>
      <w:ind w:left="1920"/>
    </w:pPr>
    <w:rPr>
      <w:rFonts w:ascii="Times New Roman" w:hAnsi="Times New Roman"/>
      <w:sz w:val="18"/>
      <w:szCs w:val="18"/>
      <w:lang w:eastAsia="en-US"/>
    </w:rPr>
  </w:style>
  <w:style w:type="paragraph" w:styleId="BodyTextIndent">
    <w:name w:val="Body Text Indent"/>
    <w:basedOn w:val="Normal"/>
    <w:link w:val="BodyTextIndentChar"/>
    <w:rsid w:val="000A5665"/>
    <w:pPr>
      <w:tabs>
        <w:tab w:val="left" w:pos="540"/>
      </w:tabs>
      <w:suppressAutoHyphens/>
      <w:ind w:left="540" w:hanging="540"/>
    </w:pPr>
    <w:rPr>
      <w:szCs w:val="20"/>
      <w:lang w:eastAsia="en-US"/>
    </w:rPr>
  </w:style>
  <w:style w:type="character" w:styleId="BodyTextIndentChar" w:customStyle="1">
    <w:name w:val="Body Text Indent Char"/>
    <w:basedOn w:val="DefaultParagraphFont"/>
    <w:link w:val="BodyTextIndent"/>
    <w:rsid w:val="000A5665"/>
    <w:rPr>
      <w:sz w:val="24"/>
      <w:szCs w:val="20"/>
    </w:rPr>
  </w:style>
  <w:style w:type="paragraph" w:styleId="BlockText">
    <w:name w:val="Block Text"/>
    <w:basedOn w:val="Normal"/>
    <w:rsid w:val="000A5665"/>
    <w:pPr>
      <w:tabs>
        <w:tab w:val="left" w:pos="1080"/>
      </w:tabs>
      <w:suppressAutoHyphens/>
      <w:ind w:left="1080" w:right="-90" w:hanging="540"/>
    </w:pPr>
    <w:rPr>
      <w:szCs w:val="20"/>
      <w:lang w:eastAsia="en-US"/>
    </w:rPr>
  </w:style>
  <w:style w:type="paragraph" w:styleId="BodyTextIndent3">
    <w:name w:val="Body Text Indent 3"/>
    <w:basedOn w:val="Normal"/>
    <w:link w:val="BodyTextIndent3Char"/>
    <w:rsid w:val="000A5665"/>
    <w:pPr>
      <w:tabs>
        <w:tab w:val="left" w:pos="540"/>
      </w:tabs>
      <w:suppressAutoHyphens/>
      <w:ind w:left="547" w:hanging="547"/>
    </w:pPr>
    <w:rPr>
      <w:szCs w:val="20"/>
      <w:lang w:eastAsia="en-US"/>
    </w:rPr>
  </w:style>
  <w:style w:type="character" w:styleId="BodyTextIndent3Char" w:customStyle="1">
    <w:name w:val="Body Text Indent 3 Char"/>
    <w:basedOn w:val="DefaultParagraphFont"/>
    <w:link w:val="BodyTextIndent3"/>
    <w:rsid w:val="000A5665"/>
    <w:rPr>
      <w:sz w:val="24"/>
      <w:szCs w:val="20"/>
    </w:rPr>
  </w:style>
  <w:style w:type="paragraph" w:styleId="BodyText23" w:customStyle="1">
    <w:name w:val="Body Text 23"/>
    <w:basedOn w:val="Normal"/>
    <w:rsid w:val="000A5665"/>
    <w:pPr>
      <w:keepNext/>
      <w:keepLines/>
      <w:tabs>
        <w:tab w:val="left" w:pos="-1440"/>
        <w:tab w:val="left" w:pos="-720"/>
        <w:tab w:val="left" w:pos="720"/>
        <w:tab w:val="left" w:pos="2160"/>
        <w:tab w:val="left" w:pos="4320"/>
        <w:tab w:val="left" w:pos="6480"/>
      </w:tabs>
      <w:suppressAutoHyphens/>
      <w:ind w:left="720" w:hanging="720"/>
    </w:pPr>
    <w:rPr>
      <w:szCs w:val="20"/>
      <w:lang w:eastAsia="en-US"/>
    </w:rPr>
  </w:style>
  <w:style w:type="paragraph" w:styleId="Index1">
    <w:name w:val="index 1"/>
    <w:basedOn w:val="Normal"/>
    <w:next w:val="Normal"/>
    <w:autoRedefine/>
    <w:uiPriority w:val="99"/>
    <w:semiHidden/>
    <w:rsid w:val="000A5665"/>
    <w:pPr>
      <w:ind w:left="200" w:hanging="200"/>
    </w:pPr>
    <w:rPr>
      <w:b/>
      <w:szCs w:val="20"/>
      <w:lang w:eastAsia="en-US"/>
    </w:rPr>
  </w:style>
  <w:style w:type="paragraph" w:styleId="IndexHeading">
    <w:name w:val="index heading"/>
    <w:basedOn w:val="Normal"/>
    <w:next w:val="Index1"/>
    <w:uiPriority w:val="99"/>
    <w:semiHidden/>
    <w:rsid w:val="000A5665"/>
    <w:rPr>
      <w:szCs w:val="20"/>
      <w:lang w:eastAsia="en-US"/>
    </w:rPr>
  </w:style>
  <w:style w:type="paragraph" w:styleId="BodyText2">
    <w:name w:val="Body Text 2"/>
    <w:basedOn w:val="Normal"/>
    <w:link w:val="BodyText2Char"/>
    <w:uiPriority w:val="99"/>
    <w:rsid w:val="000A5665"/>
    <w:pPr>
      <w:tabs>
        <w:tab w:val="left" w:pos="1080"/>
      </w:tabs>
      <w:suppressAutoHyphens/>
      <w:ind w:left="1080" w:hanging="540"/>
    </w:pPr>
    <w:rPr>
      <w:szCs w:val="20"/>
      <w:lang w:eastAsia="en-US"/>
    </w:rPr>
  </w:style>
  <w:style w:type="character" w:styleId="BodyText2Char" w:customStyle="1">
    <w:name w:val="Body Text 2 Char"/>
    <w:basedOn w:val="DefaultParagraphFont"/>
    <w:link w:val="BodyText2"/>
    <w:uiPriority w:val="99"/>
    <w:rsid w:val="000A5665"/>
    <w:rPr>
      <w:sz w:val="24"/>
      <w:szCs w:val="20"/>
    </w:rPr>
  </w:style>
  <w:style w:type="paragraph" w:styleId="Provisions1" w:customStyle="1">
    <w:name w:val="Provisions 1"/>
    <w:basedOn w:val="Normal"/>
    <w:rsid w:val="000A5665"/>
    <w:pPr>
      <w:numPr>
        <w:numId w:val="13"/>
      </w:numPr>
      <w:tabs>
        <w:tab w:val="clear" w:pos="360"/>
        <w:tab w:val="num" w:pos="-2160"/>
        <w:tab w:val="left" w:pos="-720"/>
      </w:tabs>
    </w:pPr>
    <w:rPr>
      <w:b/>
      <w:szCs w:val="20"/>
      <w:lang w:eastAsia="en-US"/>
    </w:rPr>
  </w:style>
  <w:style w:type="paragraph" w:styleId="Body" w:customStyle="1">
    <w:name w:val="Body"/>
    <w:uiPriority w:val="99"/>
    <w:rsid w:val="000A5665"/>
    <w:pPr>
      <w:tabs>
        <w:tab w:val="left" w:pos="-1440"/>
        <w:tab w:val="left" w:pos="-720"/>
        <w:tab w:val="left" w:pos="450"/>
        <w:tab w:val="left" w:pos="9360"/>
        <w:tab w:val="left" w:pos="11520"/>
      </w:tabs>
      <w:suppressAutoHyphens/>
      <w:spacing w:after="0"/>
    </w:pPr>
    <w:rPr>
      <w:szCs w:val="20"/>
    </w:rPr>
  </w:style>
  <w:style w:type="paragraph" w:styleId="BodyText3">
    <w:name w:val="Body Text 3"/>
    <w:basedOn w:val="Normal"/>
    <w:link w:val="BodyText3Char"/>
    <w:uiPriority w:val="99"/>
    <w:rsid w:val="000A5665"/>
    <w:pPr>
      <w:tabs>
        <w:tab w:val="left" w:pos="-1440"/>
        <w:tab w:val="left" w:pos="-720"/>
        <w:tab w:val="left" w:pos="0"/>
        <w:tab w:val="left" w:pos="450"/>
        <w:tab w:val="left" w:pos="900"/>
        <w:tab w:val="left" w:pos="1440"/>
        <w:tab w:val="left" w:pos="4320"/>
      </w:tabs>
      <w:suppressAutoHyphens/>
    </w:pPr>
    <w:rPr>
      <w:szCs w:val="20"/>
      <w:lang w:eastAsia="en-US"/>
    </w:rPr>
  </w:style>
  <w:style w:type="character" w:styleId="BodyText3Char" w:customStyle="1">
    <w:name w:val="Body Text 3 Char"/>
    <w:basedOn w:val="DefaultParagraphFont"/>
    <w:link w:val="BodyText3"/>
    <w:uiPriority w:val="99"/>
    <w:rsid w:val="000A5665"/>
    <w:rPr>
      <w:sz w:val="24"/>
      <w:szCs w:val="20"/>
    </w:rPr>
  </w:style>
  <w:style w:type="character" w:styleId="text1" w:customStyle="1">
    <w:name w:val="text1"/>
    <w:uiPriority w:val="99"/>
    <w:rsid w:val="000A5665"/>
    <w:rPr>
      <w:rFonts w:ascii="Courier New" w:hAnsi="Courier New"/>
      <w:b/>
      <w:color w:val="660000"/>
      <w:sz w:val="21"/>
    </w:rPr>
  </w:style>
  <w:style w:type="paragraph" w:styleId="DocumentMap">
    <w:name w:val="Document Map"/>
    <w:basedOn w:val="Normal"/>
    <w:link w:val="DocumentMapChar"/>
    <w:uiPriority w:val="99"/>
    <w:semiHidden/>
    <w:rsid w:val="000A5665"/>
    <w:pPr>
      <w:shd w:val="clear" w:color="auto" w:fill="000080"/>
    </w:pPr>
    <w:rPr>
      <w:rFonts w:ascii="Tahoma" w:hAnsi="Tahoma" w:cs="Tahoma"/>
      <w:szCs w:val="20"/>
      <w:lang w:eastAsia="en-US"/>
    </w:rPr>
  </w:style>
  <w:style w:type="character" w:styleId="DocumentMapChar" w:customStyle="1">
    <w:name w:val="Document Map Char"/>
    <w:basedOn w:val="DefaultParagraphFont"/>
    <w:link w:val="DocumentMap"/>
    <w:uiPriority w:val="99"/>
    <w:semiHidden/>
    <w:rsid w:val="000A5665"/>
    <w:rPr>
      <w:rFonts w:ascii="Tahoma" w:hAnsi="Tahoma" w:cs="Tahoma"/>
      <w:sz w:val="24"/>
      <w:szCs w:val="20"/>
      <w:shd w:val="clear" w:color="auto" w:fill="000080"/>
    </w:rPr>
  </w:style>
  <w:style w:type="paragraph" w:styleId="content" w:customStyle="1">
    <w:name w:val="content"/>
    <w:basedOn w:val="Normal"/>
    <w:rsid w:val="000A5665"/>
    <w:pPr>
      <w:spacing w:before="100" w:beforeAutospacing="1" w:after="100" w:afterAutospacing="1"/>
    </w:pPr>
    <w:rPr>
      <w:rFonts w:cs="Arial"/>
      <w:sz w:val="17"/>
      <w:szCs w:val="17"/>
      <w:lang w:eastAsia="en-US"/>
    </w:rPr>
  </w:style>
  <w:style w:type="character" w:styleId="content1" w:customStyle="1">
    <w:name w:val="content1"/>
    <w:rsid w:val="000A5665"/>
    <w:rPr>
      <w:rFonts w:ascii="Arial" w:hAnsi="Arial"/>
      <w:sz w:val="17"/>
    </w:rPr>
  </w:style>
  <w:style w:type="character" w:styleId="Emphasis">
    <w:name w:val="Emphasis"/>
    <w:basedOn w:val="DefaultParagraphFont"/>
    <w:uiPriority w:val="20"/>
    <w:qFormat/>
    <w:rsid w:val="000A5665"/>
    <w:rPr>
      <w:rFonts w:cs="Times New Roman"/>
      <w:i/>
    </w:rPr>
  </w:style>
  <w:style w:type="character" w:styleId="Strong">
    <w:name w:val="Strong"/>
    <w:basedOn w:val="DefaultParagraphFont"/>
    <w:qFormat/>
    <w:rsid w:val="000A5665"/>
    <w:rPr>
      <w:rFonts w:cs="Times New Roman"/>
      <w:b/>
    </w:rPr>
  </w:style>
  <w:style w:type="paragraph" w:styleId="Caption">
    <w:name w:val="caption"/>
    <w:basedOn w:val="Normal"/>
    <w:next w:val="Normal"/>
    <w:link w:val="CaptionChar"/>
    <w:qFormat/>
    <w:rsid w:val="0086317B"/>
    <w:pPr>
      <w:snapToGrid w:val="0"/>
      <w:spacing w:before="240" w:after="0" w:line="240" w:lineRule="auto"/>
    </w:pPr>
    <w:rPr>
      <w:rFonts w:eastAsia="Calibri" w:cs="Arial"/>
      <w:b/>
      <w:color w:val="000000" w:themeColor="text1"/>
      <w:lang w:eastAsia="en-US"/>
    </w:rPr>
  </w:style>
  <w:style w:type="paragraph" w:styleId="TOAHeading">
    <w:name w:val="toa heading"/>
    <w:basedOn w:val="Normal"/>
    <w:next w:val="Normal"/>
    <w:uiPriority w:val="99"/>
    <w:semiHidden/>
    <w:rsid w:val="000A5665"/>
    <w:rPr>
      <w:rFonts w:cs="Arial"/>
      <w:b/>
      <w:bCs/>
      <w:lang w:eastAsia="en-US"/>
    </w:rPr>
  </w:style>
  <w:style w:type="paragraph" w:styleId="Style1" w:customStyle="1">
    <w:name w:val="Style1"/>
    <w:basedOn w:val="TOC3"/>
    <w:link w:val="Style1Char"/>
    <w:qFormat/>
    <w:rsid w:val="000A5665"/>
    <w:pPr>
      <w:tabs>
        <w:tab w:val="clear" w:pos="10070"/>
        <w:tab w:val="left" w:pos="960"/>
        <w:tab w:val="right" w:leader="dot" w:pos="10358"/>
      </w:tabs>
      <w:ind w:left="480" w:firstLine="0"/>
    </w:pPr>
  </w:style>
  <w:style w:type="character" w:styleId="TOC3Char" w:customStyle="1">
    <w:name w:val="TOC 3 Char"/>
    <w:basedOn w:val="DefaultParagraphFont"/>
    <w:link w:val="TOC3"/>
    <w:uiPriority w:val="39"/>
    <w:rsid w:val="0009055B"/>
    <w:rPr>
      <w:rFonts w:eastAsiaTheme="majorEastAsia"/>
      <w:iCs/>
      <w:noProof/>
      <w:sz w:val="24"/>
    </w:rPr>
  </w:style>
  <w:style w:type="character" w:styleId="Style1Char" w:customStyle="1">
    <w:name w:val="Style1 Char"/>
    <w:basedOn w:val="TOC3Char"/>
    <w:link w:val="Style1"/>
    <w:rsid w:val="000A5665"/>
    <w:rPr>
      <w:rFonts w:eastAsiaTheme="majorEastAsia"/>
      <w:iCs/>
      <w:noProof/>
      <w:sz w:val="24"/>
    </w:rPr>
  </w:style>
  <w:style w:type="character" w:styleId="SubtleEmphasis">
    <w:name w:val="Subtle Emphasis"/>
    <w:basedOn w:val="DefaultParagraphFont"/>
    <w:uiPriority w:val="19"/>
    <w:qFormat/>
    <w:rsid w:val="000A5665"/>
    <w:rPr>
      <w:i/>
      <w:iCs/>
      <w:color w:val="808080" w:themeColor="text1" w:themeTint="7F"/>
    </w:rPr>
  </w:style>
  <w:style w:type="paragraph" w:styleId="xl26" w:customStyle="1">
    <w:name w:val="xl26"/>
    <w:basedOn w:val="Normal"/>
    <w:rsid w:val="000A5665"/>
    <w:pPr>
      <w:spacing w:before="100" w:after="100"/>
      <w:jc w:val="center"/>
    </w:pPr>
    <w:rPr>
      <w:szCs w:val="20"/>
      <w:lang w:eastAsia="en-US"/>
    </w:rPr>
  </w:style>
  <w:style w:type="paragraph" w:styleId="xl24" w:customStyle="1">
    <w:name w:val="xl24"/>
    <w:basedOn w:val="Normal"/>
    <w:rsid w:val="000A5665"/>
    <w:pPr>
      <w:pBdr>
        <w:bottom w:val="single" w:color="auto" w:sz="8" w:space="0"/>
      </w:pBdr>
      <w:spacing w:before="100" w:beforeAutospacing="1" w:after="100" w:afterAutospacing="1"/>
      <w:jc w:val="center"/>
    </w:pPr>
    <w:rPr>
      <w:rFonts w:cs="Arial"/>
      <w:b/>
      <w:bCs/>
      <w:szCs w:val="22"/>
      <w:lang w:eastAsia="en-US"/>
    </w:rPr>
  </w:style>
  <w:style w:type="paragraph" w:styleId="List">
    <w:name w:val="List"/>
    <w:basedOn w:val="Normal"/>
    <w:semiHidden/>
    <w:rsid w:val="000A5665"/>
    <w:pPr>
      <w:numPr>
        <w:numId w:val="15"/>
      </w:numPr>
    </w:pPr>
    <w:rPr>
      <w:szCs w:val="20"/>
      <w:lang w:eastAsia="en-US"/>
    </w:rPr>
  </w:style>
  <w:style w:type="paragraph" w:styleId="Finding2" w:customStyle="1">
    <w:name w:val="Finding 2"/>
    <w:basedOn w:val="Normal"/>
    <w:rsid w:val="000A5665"/>
    <w:pPr>
      <w:numPr>
        <w:ilvl w:val="1"/>
        <w:numId w:val="16"/>
      </w:numPr>
      <w:tabs>
        <w:tab w:val="left" w:pos="-720"/>
      </w:tabs>
    </w:pPr>
    <w:rPr>
      <w:szCs w:val="20"/>
      <w:lang w:eastAsia="en-US"/>
    </w:rPr>
  </w:style>
  <w:style w:type="paragraph" w:styleId="Prohibitions1" w:customStyle="1">
    <w:name w:val="Prohibitions 1"/>
    <w:basedOn w:val="Normal"/>
    <w:rsid w:val="000A5665"/>
    <w:pPr>
      <w:numPr>
        <w:numId w:val="16"/>
      </w:numPr>
      <w:tabs>
        <w:tab w:val="left" w:pos="-1440"/>
        <w:tab w:val="left" w:pos="-720"/>
        <w:tab w:val="left" w:pos="1"/>
        <w:tab w:val="left" w:pos="81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Cs w:val="20"/>
      <w:lang w:eastAsia="en-US"/>
    </w:rPr>
  </w:style>
  <w:style w:type="paragraph" w:styleId="Finding1" w:customStyle="1">
    <w:name w:val="Finding 1"/>
    <w:basedOn w:val="Normal"/>
    <w:rsid w:val="000A5665"/>
    <w:pPr>
      <w:numPr>
        <w:numId w:val="17"/>
      </w:numPr>
      <w:tabs>
        <w:tab w:val="left" w:pos="-720"/>
      </w:tabs>
    </w:pPr>
    <w:rPr>
      <w:szCs w:val="20"/>
      <w:lang w:eastAsia="en-US"/>
    </w:rPr>
  </w:style>
  <w:style w:type="paragraph" w:styleId="Prohibitions2" w:customStyle="1">
    <w:name w:val="Prohibitions 2"/>
    <w:basedOn w:val="Prohibitions1"/>
    <w:rsid w:val="000A5665"/>
    <w:pPr>
      <w:numPr>
        <w:ilvl w:val="1"/>
        <w:numId w:val="14"/>
      </w:numPr>
      <w:tabs>
        <w:tab w:val="clear" w:pos="-1440"/>
        <w:tab w:val="clear" w:pos="-720"/>
        <w:tab w:val="clear" w:pos="1"/>
        <w:tab w:val="clear" w:pos="810"/>
        <w:tab w:val="clear" w:pos="1440"/>
        <w:tab w:val="clear" w:pos="2160"/>
        <w:tab w:val="clear" w:pos="2880"/>
        <w:tab w:val="clear" w:pos="3600"/>
        <w:tab w:val="clear" w:pos="4320"/>
        <w:tab w:val="clear" w:pos="5040"/>
        <w:tab w:val="clear" w:pos="5760"/>
        <w:tab w:val="clear" w:pos="6480"/>
        <w:tab w:val="clear" w:pos="7200"/>
        <w:tab w:val="clear" w:pos="756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pPr>
  </w:style>
  <w:style w:type="paragraph" w:styleId="Prohibitions3" w:customStyle="1">
    <w:name w:val="Prohibitions 3"/>
    <w:basedOn w:val="Normal"/>
    <w:rsid w:val="000A5665"/>
    <w:pPr>
      <w:numPr>
        <w:numId w:val="14"/>
      </w:numPr>
      <w:tabs>
        <w:tab w:val="clear" w:pos="720"/>
        <w:tab w:val="num" w:pos="1440"/>
      </w:tabs>
    </w:pPr>
    <w:rPr>
      <w:szCs w:val="20"/>
      <w:lang w:eastAsia="en-US"/>
    </w:rPr>
  </w:style>
  <w:style w:type="paragraph" w:styleId="NormalWeb">
    <w:name w:val="Normal (Web)"/>
    <w:basedOn w:val="Normal"/>
    <w:uiPriority w:val="99"/>
    <w:rsid w:val="000A5665"/>
    <w:pPr>
      <w:spacing w:before="100" w:beforeAutospacing="1" w:after="100" w:afterAutospacing="1"/>
    </w:pPr>
    <w:rPr>
      <w:rFonts w:eastAsia="Arial" w:cs="Arial"/>
      <w:lang w:eastAsia="en-US"/>
    </w:rPr>
  </w:style>
  <w:style w:type="paragraph" w:styleId="HTMLPreformatted">
    <w:name w:val="HTML Preformatted"/>
    <w:basedOn w:val="Normal"/>
    <w:link w:val="HTMLPreformattedChar"/>
    <w:semiHidden/>
    <w:rsid w:val="000A5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w:cs="Arial"/>
      <w:sz w:val="20"/>
      <w:szCs w:val="20"/>
      <w:lang w:eastAsia="en-US"/>
    </w:rPr>
  </w:style>
  <w:style w:type="character" w:styleId="HTMLPreformattedChar" w:customStyle="1">
    <w:name w:val="HTML Preformatted Char"/>
    <w:basedOn w:val="DefaultParagraphFont"/>
    <w:link w:val="HTMLPreformatted"/>
    <w:semiHidden/>
    <w:rsid w:val="000A5665"/>
    <w:rPr>
      <w:rFonts w:ascii="Arial" w:hAnsi="Arial" w:eastAsia="Arial" w:cs="Arial"/>
      <w:sz w:val="20"/>
      <w:szCs w:val="20"/>
    </w:rPr>
  </w:style>
  <w:style w:type="character" w:styleId="informationalsmall1" w:customStyle="1">
    <w:name w:val="informationalsmall1"/>
    <w:rsid w:val="000A5665"/>
    <w:rPr>
      <w:rFonts w:hint="default" w:ascii="Verdana" w:hAnsi="Verdana"/>
      <w:sz w:val="14"/>
      <w:szCs w:val="14"/>
    </w:rPr>
  </w:style>
  <w:style w:type="table" w:styleId="TableGrid1" w:customStyle="1">
    <w:name w:val="Table Grid1"/>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9" w:customStyle="1">
    <w:name w:val="Table Grid19"/>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0" w:customStyle="1">
    <w:name w:val="Table Grid20"/>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3" w:customStyle="1">
    <w:name w:val="Table Grid23"/>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4" w:customStyle="1">
    <w:name w:val="Table Grid24"/>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0" w:customStyle="1">
    <w:name w:val="Table Grid110"/>
    <w:basedOn w:val="TableNormal"/>
    <w:next w:val="TableGrid"/>
    <w:uiPriority w:val="59"/>
    <w:rsid w:val="000A5665"/>
    <w:pPr>
      <w:spacing w:after="0"/>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5" w:customStyle="1">
    <w:name w:val="Table Grid25"/>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6" w:customStyle="1">
    <w:name w:val="Table Grid26"/>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7" w:customStyle="1">
    <w:name w:val="Table Grid27"/>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8" w:customStyle="1">
    <w:name w:val="Table Grid28"/>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rsid w:val="000A5665"/>
    <w:pPr>
      <w:ind w:left="720" w:hanging="360"/>
      <w:contextualSpacing/>
    </w:pPr>
    <w:rPr>
      <w:rFonts w:eastAsia="Calibri"/>
      <w:szCs w:val="22"/>
      <w:lang w:eastAsia="en-US"/>
    </w:rPr>
  </w:style>
  <w:style w:type="character" w:styleId="st" w:customStyle="1">
    <w:name w:val="st"/>
    <w:rsid w:val="000A5665"/>
  </w:style>
  <w:style w:type="table" w:styleId="TableGrid29" w:customStyle="1">
    <w:name w:val="Table Grid29"/>
    <w:basedOn w:val="TableNormal"/>
    <w:next w:val="TableGrid"/>
    <w:uiPriority w:val="59"/>
    <w:rsid w:val="000A5665"/>
    <w:pPr>
      <w:spacing w:after="0"/>
    </w:pPr>
    <w:rPr>
      <w:rFonts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0" w:customStyle="1">
    <w:name w:val="Table Grid30"/>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2" w:customStyle="1">
    <w:name w:val="Table Grid32"/>
    <w:basedOn w:val="TableNormal"/>
    <w:next w:val="TableGrid"/>
    <w:uiPriority w:val="59"/>
    <w:rsid w:val="000A5665"/>
    <w:pPr>
      <w:spacing w:after="0"/>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ightPar1" w:customStyle="1">
    <w:name w:val="Right Par 1"/>
    <w:rsid w:val="000A5665"/>
    <w:pPr>
      <w:tabs>
        <w:tab w:val="decimal" w:pos="-72"/>
        <w:tab w:val="decimal" w:pos="0"/>
        <w:tab w:val="decimal" w:pos="720"/>
        <w:tab w:val="decimal" w:pos="1171"/>
        <w:tab w:val="decimal" w:pos="1627"/>
        <w:tab w:val="decimal" w:pos="2074"/>
        <w:tab w:val="decimal" w:pos="2606"/>
        <w:tab w:val="decimal" w:pos="3154"/>
        <w:tab w:val="decimal" w:pos="4320"/>
        <w:tab w:val="decimal" w:pos="5040"/>
        <w:tab w:val="decimal" w:pos="5760"/>
        <w:tab w:val="decimal" w:pos="6480"/>
        <w:tab w:val="decimal" w:pos="7200"/>
        <w:tab w:val="decimal" w:pos="7920"/>
        <w:tab w:val="decimal" w:pos="8640"/>
        <w:tab w:val="decimal" w:pos="9360"/>
        <w:tab w:val="decimal" w:pos="10080"/>
        <w:tab w:val="decimal" w:pos="10800"/>
        <w:tab w:val="decimal" w:pos="11520"/>
        <w:tab w:val="decimal" w:pos="12240"/>
      </w:tabs>
      <w:suppressAutoHyphens/>
      <w:spacing w:after="0"/>
      <w:ind w:left="720" w:hanging="720"/>
    </w:pPr>
    <w:rPr>
      <w:szCs w:val="20"/>
    </w:rPr>
  </w:style>
  <w:style w:type="paragraph" w:styleId="p" w:customStyle="1">
    <w:name w:val="p"/>
    <w:basedOn w:val="Normal"/>
    <w:rsid w:val="000A5665"/>
    <w:pPr>
      <w:spacing w:before="100" w:beforeAutospacing="1" w:after="100" w:afterAutospacing="1"/>
    </w:pPr>
    <w:rPr>
      <w:rFonts w:eastAsia="Arial" w:cs="Arial"/>
      <w:lang w:eastAsia="en-US"/>
    </w:rPr>
  </w:style>
  <w:style w:type="paragraph" w:styleId="default0" w:customStyle="1">
    <w:name w:val="default"/>
    <w:basedOn w:val="Normal"/>
    <w:rsid w:val="000A5665"/>
    <w:pPr>
      <w:spacing w:before="100" w:beforeAutospacing="1" w:after="100" w:afterAutospacing="1"/>
    </w:pPr>
    <w:rPr>
      <w:lang w:eastAsia="en-US"/>
    </w:rPr>
  </w:style>
  <w:style w:type="paragraph" w:styleId="HiddenTableText" w:customStyle="1">
    <w:name w:val="Hidden Table Text"/>
    <w:basedOn w:val="BodyText"/>
    <w:qFormat/>
    <w:rsid w:val="005B5750"/>
    <w:pPr>
      <w:spacing w:after="0"/>
      <w:jc w:val="center"/>
    </w:pPr>
    <w:rPr>
      <w:color w:val="FFFFFF" w:themeColor="background1"/>
    </w:rPr>
  </w:style>
  <w:style w:type="paragraph" w:styleId="BodTextHead" w:customStyle="1">
    <w:name w:val="BodText Head"/>
    <w:basedOn w:val="Normal"/>
    <w:next w:val="BodyText"/>
    <w:qFormat/>
    <w:rsid w:val="005B5750"/>
    <w:pPr>
      <w:keepNext/>
      <w:spacing w:before="240"/>
      <w:ind w:left="216" w:hanging="216"/>
    </w:pPr>
    <w:rPr>
      <w:rFonts w:cs="Arial"/>
      <w:lang w:eastAsia="en-US"/>
    </w:rPr>
  </w:style>
  <w:style w:type="paragraph" w:styleId="TableNotes" w:customStyle="1">
    <w:name w:val="Table Notes"/>
    <w:basedOn w:val="Normal"/>
    <w:next w:val="Normal"/>
    <w:qFormat/>
    <w:rsid w:val="005B5750"/>
    <w:pPr>
      <w:keepNext/>
      <w:spacing w:before="60" w:after="60"/>
      <w:ind w:left="432" w:hanging="288"/>
      <w:contextualSpacing/>
    </w:pPr>
    <w:rPr>
      <w:rFonts w:cs="Arial"/>
      <w:lang w:eastAsia="en-US"/>
    </w:rPr>
  </w:style>
  <w:style w:type="paragraph" w:styleId="PollutantSeparator" w:customStyle="1">
    <w:name w:val="Pollutant Separator"/>
    <w:basedOn w:val="Normal"/>
    <w:qFormat/>
    <w:rsid w:val="005B5750"/>
    <w:pPr>
      <w:spacing w:before="360"/>
    </w:pPr>
    <w:rPr>
      <w:i/>
      <w:iCs/>
      <w:sz w:val="28"/>
      <w:szCs w:val="20"/>
      <w:u w:val="single"/>
      <w:lang w:eastAsia="en-US"/>
    </w:rPr>
  </w:style>
  <w:style w:type="paragraph" w:styleId="CaltransFSAlphanum" w:customStyle="1">
    <w:name w:val="Caltrans_FS_Alphanum"/>
    <w:basedOn w:val="Normal"/>
    <w:next w:val="BodyText"/>
    <w:qFormat/>
    <w:rsid w:val="005B5750"/>
    <w:pPr>
      <w:keepNext/>
      <w:spacing w:before="240" w:after="240"/>
      <w:ind w:left="360" w:hanging="360"/>
      <w:contextualSpacing/>
    </w:pPr>
    <w:rPr>
      <w:rFonts w:eastAsia="Calibri" w:cs="Arial"/>
      <w:b/>
      <w:lang w:eastAsia="en-US"/>
    </w:rPr>
  </w:style>
  <w:style w:type="paragraph" w:styleId="FootnoteCO2013Style" w:customStyle="1">
    <w:name w:val="Footnote CO2013Style"/>
    <w:basedOn w:val="FootnoteText"/>
    <w:rsid w:val="005B5750"/>
    <w:pPr>
      <w:ind w:left="259" w:hanging="259"/>
    </w:pPr>
  </w:style>
  <w:style w:type="paragraph" w:styleId="Head2" w:customStyle="1">
    <w:name w:val="Head2"/>
    <w:basedOn w:val="PlainText"/>
    <w:qFormat/>
    <w:rsid w:val="005B5750"/>
    <w:pPr>
      <w:keepNext/>
      <w:spacing w:before="240" w:after="240"/>
      <w:ind w:left="216" w:hanging="216"/>
    </w:pPr>
    <w:rPr>
      <w:rFonts w:ascii="Arial" w:hAnsi="Arial" w:cs="Arial"/>
      <w:b/>
      <w:caps/>
      <w:sz w:val="28"/>
      <w:szCs w:val="24"/>
    </w:rPr>
  </w:style>
  <w:style w:type="paragraph" w:styleId="ListNumber">
    <w:name w:val="List Number"/>
    <w:basedOn w:val="Normal"/>
    <w:link w:val="ListNumberChar"/>
    <w:uiPriority w:val="99"/>
    <w:unhideWhenUsed/>
    <w:rsid w:val="005B5750"/>
    <w:pPr>
      <w:numPr>
        <w:numId w:val="19"/>
      </w:numPr>
      <w:contextualSpacing/>
    </w:pPr>
    <w:rPr>
      <w:szCs w:val="20"/>
      <w:lang w:eastAsia="en-US"/>
    </w:rPr>
  </w:style>
  <w:style w:type="paragraph" w:styleId="ListNormal" w:customStyle="1">
    <w:name w:val="List Normal"/>
    <w:basedOn w:val="ListParagraph"/>
    <w:qFormat/>
    <w:rsid w:val="005B5750"/>
    <w:pPr>
      <w:ind w:left="648" w:hanging="360"/>
      <w:contextualSpacing w:val="0"/>
    </w:pPr>
    <w:rPr>
      <w:szCs w:val="20"/>
    </w:rPr>
  </w:style>
  <w:style w:type="paragraph" w:styleId="TablePart2" w:customStyle="1">
    <w:name w:val="Table Part 2"/>
    <w:basedOn w:val="Normal"/>
    <w:qFormat/>
    <w:rsid w:val="005B5750"/>
    <w:pPr>
      <w:contextualSpacing/>
    </w:pPr>
    <w:rPr>
      <w:szCs w:val="20"/>
      <w:lang w:eastAsia="en-US"/>
    </w:rPr>
  </w:style>
  <w:style w:type="paragraph" w:styleId="TablePart3" w:customStyle="1">
    <w:name w:val="Table Part 3"/>
    <w:basedOn w:val="Normal"/>
    <w:next w:val="Normal"/>
    <w:qFormat/>
    <w:rsid w:val="005B5750"/>
    <w:pPr>
      <w:spacing w:after="240"/>
      <w:ind w:left="360" w:hanging="360"/>
      <w:contextualSpacing/>
    </w:pPr>
    <w:rPr>
      <w:szCs w:val="20"/>
      <w:lang w:eastAsia="en-US"/>
    </w:rPr>
  </w:style>
  <w:style w:type="paragraph" w:styleId="TableTMDLHeader" w:customStyle="1">
    <w:name w:val="Table TMDL Header"/>
    <w:basedOn w:val="Normal"/>
    <w:next w:val="TablePart2"/>
    <w:qFormat/>
    <w:rsid w:val="005B5750"/>
    <w:pPr>
      <w:spacing w:before="240"/>
    </w:pPr>
    <w:rPr>
      <w:szCs w:val="20"/>
      <w:lang w:eastAsia="en-US"/>
    </w:rPr>
  </w:style>
  <w:style w:type="paragraph" w:styleId="TMDLCaltransFS" w:customStyle="1">
    <w:name w:val="TMDL Caltrans FS"/>
    <w:basedOn w:val="Normal"/>
    <w:next w:val="BodyText"/>
    <w:qFormat/>
    <w:rsid w:val="005B5750"/>
    <w:pPr>
      <w:keepNext/>
      <w:spacing w:before="240"/>
      <w:ind w:left="216" w:hanging="216"/>
    </w:pPr>
    <w:rPr>
      <w:rFonts w:cs="Arial"/>
      <w:b/>
      <w:i/>
      <w:lang w:eastAsia="en-US"/>
    </w:rPr>
  </w:style>
  <w:style w:type="paragraph" w:styleId="TMDLHeaderNames" w:customStyle="1">
    <w:name w:val="TMDL Header Names"/>
    <w:basedOn w:val="Normal"/>
    <w:qFormat/>
    <w:rsid w:val="005B5750"/>
    <w:pPr>
      <w:keepNext/>
      <w:spacing w:before="240"/>
      <w:ind w:left="360" w:hanging="360"/>
    </w:pPr>
    <w:rPr>
      <w:b/>
      <w:bCs/>
      <w:i/>
      <w:iCs/>
      <w:szCs w:val="22"/>
      <w:u w:val="single"/>
      <w:lang w:eastAsia="en-US"/>
    </w:rPr>
  </w:style>
  <w:style w:type="paragraph" w:styleId="TMDLRWBSubHead" w:customStyle="1">
    <w:name w:val="TMDL RWB SubHead"/>
    <w:basedOn w:val="Normal"/>
    <w:next w:val="TMDLHeaderNames"/>
    <w:qFormat/>
    <w:rsid w:val="005B5750"/>
    <w:pPr>
      <w:keepNext/>
      <w:keepLines/>
      <w:spacing w:before="480"/>
      <w:jc w:val="center"/>
    </w:pPr>
    <w:rPr>
      <w:rFonts w:eastAsia="Calibri" w:cs="Arial"/>
      <w:b/>
      <w:smallCaps/>
      <w:sz w:val="26"/>
      <w:lang w:eastAsia="en-US"/>
    </w:rPr>
  </w:style>
  <w:style w:type="paragraph" w:styleId="TMDLSubsectionHeaders" w:customStyle="1">
    <w:name w:val="TMDL Subsection Headers"/>
    <w:basedOn w:val="Normal"/>
    <w:next w:val="BodyText"/>
    <w:qFormat/>
    <w:rsid w:val="005B5750"/>
    <w:pPr>
      <w:keepNext/>
      <w:spacing w:before="240"/>
    </w:pPr>
    <w:rPr>
      <w:szCs w:val="22"/>
      <w:u w:val="single"/>
      <w:lang w:eastAsia="en-US"/>
    </w:rPr>
  </w:style>
  <w:style w:type="paragraph" w:styleId="Quote">
    <w:name w:val="Quote"/>
    <w:basedOn w:val="Normal"/>
    <w:next w:val="Normal"/>
    <w:link w:val="QuoteChar"/>
    <w:uiPriority w:val="29"/>
    <w:qFormat/>
    <w:rsid w:val="005B5750"/>
    <w:pPr>
      <w:spacing w:before="200"/>
      <w:ind w:left="864" w:right="864"/>
      <w:jc w:val="center"/>
    </w:pPr>
    <w:rPr>
      <w:i/>
      <w:iCs/>
      <w:color w:val="404040" w:themeColor="text1" w:themeTint="BF"/>
      <w:lang w:eastAsia="en-US"/>
    </w:rPr>
  </w:style>
  <w:style w:type="character" w:styleId="QuoteChar" w:customStyle="1">
    <w:name w:val="Quote Char"/>
    <w:basedOn w:val="DefaultParagraphFont"/>
    <w:link w:val="Quote"/>
    <w:uiPriority w:val="29"/>
    <w:rsid w:val="005B5750"/>
    <w:rPr>
      <w:i/>
      <w:iCs/>
      <w:color w:val="404040" w:themeColor="text1" w:themeTint="BF"/>
      <w:sz w:val="24"/>
      <w:szCs w:val="24"/>
    </w:rPr>
  </w:style>
  <w:style w:type="numbering" w:styleId="ListAttG" w:customStyle="1">
    <w:name w:val="List Att G"/>
    <w:uiPriority w:val="99"/>
    <w:rsid w:val="005B5750"/>
    <w:pPr>
      <w:numPr>
        <w:numId w:val="33"/>
      </w:numPr>
    </w:pPr>
  </w:style>
  <w:style w:type="numbering" w:styleId="ListAttGStyle" w:customStyle="1">
    <w:name w:val="List Att G Style"/>
    <w:uiPriority w:val="99"/>
    <w:rsid w:val="005B5750"/>
    <w:pPr>
      <w:numPr>
        <w:numId w:val="91"/>
      </w:numPr>
    </w:pPr>
  </w:style>
  <w:style w:type="character" w:styleId="IntenseEmphasis">
    <w:name w:val="Intense Emphasis"/>
    <w:basedOn w:val="DefaultParagraphFont"/>
    <w:uiPriority w:val="21"/>
    <w:qFormat/>
    <w:rsid w:val="005B5750"/>
    <w:rPr>
      <w:i/>
      <w:iCs/>
      <w:color w:val="4F81BD" w:themeColor="accent1"/>
    </w:rPr>
  </w:style>
  <w:style w:type="paragraph" w:styleId="Head1Caltrans" w:customStyle="1">
    <w:name w:val="Head1_Caltrans"/>
    <w:basedOn w:val="Normal"/>
    <w:rsid w:val="005B5750"/>
    <w:pPr>
      <w:jc w:val="center"/>
    </w:pPr>
    <w:rPr>
      <w:rFonts w:cs="Arial"/>
      <w:b/>
      <w:lang w:eastAsia="en-US"/>
    </w:rPr>
  </w:style>
  <w:style w:type="paragraph" w:styleId="Head1Caltransnon" w:customStyle="1">
    <w:name w:val="Head1_Caltrans_non"/>
    <w:basedOn w:val="Normal"/>
    <w:rsid w:val="005B5750"/>
    <w:pPr>
      <w:jc w:val="center"/>
    </w:pPr>
    <w:rPr>
      <w:rFonts w:eastAsia="Calibri" w:cs="Arial"/>
      <w:lang w:eastAsia="en-US"/>
    </w:rPr>
  </w:style>
  <w:style w:type="paragraph" w:styleId="BODNUM" w:customStyle="1">
    <w:name w:val="BOD_NUM"/>
    <w:basedOn w:val="BodyText"/>
    <w:qFormat/>
    <w:rsid w:val="005B5750"/>
    <w:pPr>
      <w:spacing w:after="120"/>
      <w:ind w:left="346" w:hanging="346"/>
    </w:pPr>
  </w:style>
  <w:style w:type="paragraph" w:styleId="BOD2num" w:customStyle="1">
    <w:name w:val="BOD_2num"/>
    <w:basedOn w:val="BODNUM"/>
    <w:qFormat/>
    <w:rsid w:val="005B5750"/>
    <w:pPr>
      <w:ind w:left="475" w:hanging="475"/>
    </w:pPr>
  </w:style>
  <w:style w:type="paragraph" w:styleId="CaltransNum" w:customStyle="1">
    <w:name w:val="Caltrans_Num)"/>
    <w:basedOn w:val="BodyText"/>
    <w:next w:val="BodyText"/>
    <w:qFormat/>
    <w:rsid w:val="005B5750"/>
    <w:pPr>
      <w:spacing w:after="0"/>
      <w:ind w:left="1008" w:hanging="360"/>
    </w:pPr>
  </w:style>
  <w:style w:type="character" w:styleId="PlaceholderText">
    <w:name w:val="Placeholder Text"/>
    <w:basedOn w:val="DefaultParagraphFont"/>
    <w:uiPriority w:val="99"/>
    <w:semiHidden/>
    <w:rsid w:val="005B5750"/>
    <w:rPr>
      <w:color w:val="808080"/>
    </w:rPr>
  </w:style>
  <w:style w:type="table" w:styleId="Style2" w:customStyle="1">
    <w:name w:val="Style2"/>
    <w:basedOn w:val="TableNormal"/>
    <w:uiPriority w:val="99"/>
    <w:rsid w:val="005B5750"/>
    <w:pPr>
      <w:spacing w:after="0"/>
      <w:jc w:val="center"/>
    </w:pPr>
    <w:rPr>
      <w:sz w:val="24"/>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b/>
      </w:rPr>
      <w:tblPr/>
      <w:tcPr>
        <w:shd w:val="clear" w:color="auto" w:fill="B8CCE4" w:themeFill="accent1" w:themeFillTint="66"/>
      </w:tcPr>
    </w:tblStylePr>
    <w:tblStylePr w:type="band2Horz">
      <w:tblPr/>
      <w:tcPr>
        <w:shd w:val="clear" w:color="auto" w:fill="DBE5F1" w:themeFill="accent1" w:themeFillTint="33"/>
      </w:tcPr>
    </w:tblStylePr>
  </w:style>
  <w:style w:type="paragraph" w:styleId="HeadBoi" w:customStyle="1">
    <w:name w:val="HeadBoi"/>
    <w:basedOn w:val="Normal"/>
    <w:rsid w:val="005B5750"/>
    <w:pPr>
      <w:spacing w:before="240" w:after="240"/>
      <w:jc w:val="center"/>
    </w:pPr>
    <w:rPr>
      <w:rFonts w:cs="Arial"/>
      <w:b/>
      <w:sz w:val="28"/>
      <w:szCs w:val="32"/>
      <w:lang w:eastAsia="en-US"/>
    </w:rPr>
  </w:style>
  <w:style w:type="paragraph" w:styleId="SectionRomNum" w:customStyle="1">
    <w:name w:val="Section RomNum"/>
    <w:basedOn w:val="Normal"/>
    <w:rsid w:val="005B5750"/>
    <w:pPr>
      <w:keepNext/>
      <w:autoSpaceDE w:val="0"/>
      <w:autoSpaceDN w:val="0"/>
      <w:adjustRightInd w:val="0"/>
      <w:spacing w:before="240" w:after="240"/>
    </w:pPr>
    <w:rPr>
      <w:rFonts w:cs="Arial"/>
      <w:b/>
      <w:sz w:val="26"/>
      <w:szCs w:val="20"/>
      <w:lang w:eastAsia="en-US"/>
    </w:rPr>
  </w:style>
  <w:style w:type="paragraph" w:styleId="AttIVLetters" w:customStyle="1">
    <w:name w:val="Att_IV_Letters"/>
    <w:basedOn w:val="Normal"/>
    <w:rsid w:val="005B5750"/>
    <w:pPr>
      <w:keepNext/>
    </w:pPr>
    <w:rPr>
      <w:b/>
      <w:szCs w:val="20"/>
      <w:lang w:eastAsia="en-US"/>
    </w:rPr>
  </w:style>
  <w:style w:type="paragraph" w:styleId="msonormal0" w:customStyle="1">
    <w:name w:val="msonormal"/>
    <w:basedOn w:val="Normal"/>
    <w:rsid w:val="005B5750"/>
    <w:pPr>
      <w:spacing w:before="100" w:beforeAutospacing="1" w:after="100" w:afterAutospacing="1"/>
    </w:pPr>
    <w:rPr>
      <w:rFonts w:ascii="Yu Gothic" w:hAnsi="Yu Gothic" w:eastAsia="Yu Gothic" w:cs="Yu Gothic"/>
      <w:lang w:eastAsia="en-US"/>
    </w:rPr>
  </w:style>
  <w:style w:type="character" w:styleId="BodyTextChar1" w:customStyle="1">
    <w:name w:val="Body Text Char1"/>
    <w:aliases w:val="bt Char1"/>
    <w:basedOn w:val="DefaultParagraphFont"/>
    <w:semiHidden/>
    <w:rsid w:val="005B5750"/>
    <w:rPr>
      <w:rFonts w:ascii="Arial" w:hAnsi="Arial" w:eastAsia="Times New Roman" w:cs="Times New Roman"/>
      <w:sz w:val="24"/>
      <w:szCs w:val="20"/>
    </w:rPr>
  </w:style>
  <w:style w:type="paragraph" w:styleId="FalseH42" w:customStyle="1">
    <w:name w:val="FalseH4.2"/>
    <w:basedOn w:val="Heading4"/>
    <w:rsid w:val="005B5750"/>
    <w:pPr>
      <w:spacing w:after="0"/>
      <w:ind w:left="475"/>
    </w:pPr>
    <w:rPr>
      <w:bCs/>
      <w:szCs w:val="20"/>
      <w:u w:val="single"/>
    </w:rPr>
  </w:style>
  <w:style w:type="paragraph" w:styleId="FalseH1" w:customStyle="1">
    <w:name w:val="FalseH1"/>
    <w:rsid w:val="005B5750"/>
    <w:pPr>
      <w:spacing w:after="360" w:line="259" w:lineRule="auto"/>
      <w:jc w:val="center"/>
    </w:pPr>
    <w:rPr>
      <w:rFonts w:cs="Arial"/>
      <w:b/>
      <w:sz w:val="24"/>
      <w:szCs w:val="24"/>
    </w:rPr>
  </w:style>
  <w:style w:type="paragraph" w:styleId="BlankPgText" w:customStyle="1">
    <w:name w:val="Blank Pg Text"/>
    <w:basedOn w:val="Normal"/>
    <w:rsid w:val="005B5750"/>
    <w:pPr>
      <w:spacing w:before="3240"/>
      <w:jc w:val="center"/>
    </w:pPr>
    <w:rPr>
      <w:color w:val="FFFFFF" w:themeColor="background1"/>
      <w:sz w:val="48"/>
      <w:szCs w:val="48"/>
      <w:lang w:eastAsia="en-US"/>
    </w:rPr>
  </w:style>
  <w:style w:type="paragraph" w:styleId="Head2FS" w:customStyle="1">
    <w:name w:val="Head2_FS"/>
    <w:basedOn w:val="Head2"/>
    <w:rsid w:val="005B5750"/>
    <w:rPr>
      <w:sz w:val="24"/>
    </w:rPr>
  </w:style>
  <w:style w:type="paragraph" w:styleId="TableText0" w:customStyle="1">
    <w:name w:val="TableText"/>
    <w:basedOn w:val="Normal"/>
    <w:rsid w:val="00C35A07"/>
    <w:pPr>
      <w:jc w:val="center"/>
    </w:pPr>
    <w:rPr>
      <w:rFonts w:eastAsia="Calibri" w:cs="Arial"/>
      <w:lang w:eastAsia="en-US"/>
    </w:rPr>
  </w:style>
  <w:style w:type="paragraph" w:styleId="TableN" w:customStyle="1">
    <w:name w:val="Table N"/>
    <w:basedOn w:val="Normal"/>
    <w:rsid w:val="00360DA8"/>
    <w:rPr>
      <w:szCs w:val="22"/>
      <w:lang w:eastAsia="en-US"/>
    </w:rPr>
  </w:style>
  <w:style w:type="character" w:styleId="highlight" w:customStyle="1">
    <w:name w:val="highlight"/>
    <w:basedOn w:val="DefaultParagraphFont"/>
    <w:rsid w:val="00844FA8"/>
  </w:style>
  <w:style w:type="character" w:styleId="UnresolvedMention1" w:customStyle="1">
    <w:name w:val="Unresolved Mention1"/>
    <w:basedOn w:val="DefaultParagraphFont"/>
    <w:uiPriority w:val="99"/>
    <w:semiHidden/>
    <w:unhideWhenUsed/>
    <w:rsid w:val="005C503B"/>
    <w:rPr>
      <w:color w:val="605E5C"/>
      <w:shd w:val="clear" w:color="auto" w:fill="E1DFDD"/>
    </w:rPr>
  </w:style>
  <w:style w:type="character" w:styleId="UnresolvedMention">
    <w:name w:val="Unresolved Mention"/>
    <w:basedOn w:val="DefaultParagraphFont"/>
    <w:uiPriority w:val="99"/>
    <w:semiHidden/>
    <w:unhideWhenUsed/>
    <w:rsid w:val="002955EA"/>
    <w:rPr>
      <w:color w:val="605E5C"/>
      <w:shd w:val="clear" w:color="auto" w:fill="E1DFDD"/>
    </w:rPr>
  </w:style>
  <w:style w:type="table" w:styleId="TableGrid33" w:customStyle="1">
    <w:name w:val="Table Grid33"/>
    <w:basedOn w:val="TableNormal"/>
    <w:next w:val="TableGrid"/>
    <w:uiPriority w:val="59"/>
    <w:rsid w:val="00547DFA"/>
    <w:pPr>
      <w:spacing w:after="0"/>
    </w:pPr>
    <w:rPr>
      <w:rFonts w:eastAsia="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 w:customStyle="1">
    <w:name w:val="Table"/>
    <w:basedOn w:val="TMDLHeaderNames"/>
    <w:qFormat/>
    <w:rsid w:val="00DF4383"/>
    <w:rPr>
      <w:i w:val="0"/>
      <w:iCs w:val="0"/>
      <w:u w:val="none"/>
    </w:rPr>
  </w:style>
  <w:style w:type="table" w:styleId="TableGrid34" w:customStyle="1">
    <w:name w:val="Table Grid34"/>
    <w:basedOn w:val="TableNormal"/>
    <w:next w:val="TableGrid"/>
    <w:uiPriority w:val="39"/>
    <w:rsid w:val="00301584"/>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5" w:customStyle="1">
    <w:name w:val="Table Grid35"/>
    <w:basedOn w:val="TableNormal"/>
    <w:next w:val="TableGrid"/>
    <w:uiPriority w:val="39"/>
    <w:rsid w:val="005B1226"/>
    <w:pPr>
      <w:spacing w:after="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ridtable" w:customStyle="1">
    <w:name w:val="Grid table"/>
    <w:basedOn w:val="NoSpacing"/>
    <w:autoRedefine/>
    <w:qFormat/>
    <w:rsid w:val="004253A1"/>
    <w:pPr>
      <w:snapToGrid w:val="0"/>
      <w:spacing w:after="0"/>
    </w:pPr>
    <w:rPr>
      <w:rFonts w:eastAsia="Calibri"/>
      <w:bCs/>
    </w:rPr>
  </w:style>
  <w:style w:type="paragraph" w:styleId="NotesandLegends" w:customStyle="1">
    <w:name w:val="Notes and Legends"/>
    <w:basedOn w:val="Normal"/>
    <w:link w:val="NotesandLegendsChar"/>
    <w:qFormat/>
    <w:rsid w:val="00734DF4"/>
    <w:pPr>
      <w:keepNext/>
      <w:keepLines/>
      <w:spacing w:after="0" w:line="240" w:lineRule="auto"/>
    </w:pPr>
  </w:style>
  <w:style w:type="character" w:styleId="NotesandLegendsChar" w:customStyle="1">
    <w:name w:val="Notes and Legends Char"/>
    <w:basedOn w:val="DefaultParagraphFont"/>
    <w:link w:val="NotesandLegends"/>
    <w:rsid w:val="00734DF4"/>
    <w:rPr>
      <w:sz w:val="24"/>
      <w:szCs w:val="24"/>
      <w:lang w:eastAsia="zh-CN"/>
    </w:rPr>
  </w:style>
  <w:style w:type="character" w:styleId="ListParagraphChar" w:customStyle="1">
    <w:name w:val="List Paragraph Char"/>
    <w:basedOn w:val="DefaultParagraphFont"/>
    <w:link w:val="ListParagraph"/>
    <w:uiPriority w:val="34"/>
    <w:rsid w:val="004E5A73"/>
    <w:rPr>
      <w:sz w:val="24"/>
    </w:rPr>
  </w:style>
  <w:style w:type="paragraph" w:styleId="xxmsonormal" w:customStyle="1">
    <w:name w:val="x_xmsonormal"/>
    <w:basedOn w:val="Normal"/>
    <w:rsid w:val="00F551FC"/>
    <w:pPr>
      <w:spacing w:before="100" w:beforeAutospacing="1" w:after="100" w:afterAutospacing="1" w:line="240" w:lineRule="auto"/>
    </w:pPr>
    <w:rPr>
      <w:rFonts w:ascii="Times New Roman" w:hAnsi="Times New Roman"/>
      <w:lang w:eastAsia="en-US"/>
    </w:rPr>
  </w:style>
  <w:style w:type="paragraph" w:styleId="xmsonormal" w:customStyle="1">
    <w:name w:val="x_msonormal"/>
    <w:basedOn w:val="Normal"/>
    <w:rsid w:val="00F551FC"/>
    <w:pPr>
      <w:spacing w:before="100" w:beforeAutospacing="1" w:after="100" w:afterAutospacing="1" w:line="240" w:lineRule="auto"/>
    </w:pPr>
    <w:rPr>
      <w:rFonts w:ascii="Times New Roman" w:hAnsi="Times New Roman"/>
      <w:lang w:eastAsia="en-US"/>
    </w:rPr>
  </w:style>
  <w:style w:type="paragraph" w:styleId="xxmsonospacing" w:customStyle="1">
    <w:name w:val="x_xmsonospacing"/>
    <w:basedOn w:val="Normal"/>
    <w:rsid w:val="00F551FC"/>
    <w:pPr>
      <w:spacing w:before="100" w:beforeAutospacing="1" w:after="100" w:afterAutospacing="1" w:line="240" w:lineRule="auto"/>
    </w:pPr>
    <w:rPr>
      <w:rFonts w:ascii="Times New Roman" w:hAnsi="Times New Roman"/>
      <w:lang w:eastAsia="en-US"/>
    </w:rPr>
  </w:style>
  <w:style w:type="paragraph" w:styleId="xxmsolistparagraph" w:customStyle="1">
    <w:name w:val="x_xmsolistparagraph"/>
    <w:basedOn w:val="Normal"/>
    <w:rsid w:val="00F551FC"/>
    <w:pPr>
      <w:spacing w:before="100" w:beforeAutospacing="1" w:after="100" w:afterAutospacing="1" w:line="240" w:lineRule="auto"/>
    </w:pPr>
    <w:rPr>
      <w:rFonts w:ascii="Times New Roman" w:hAnsi="Times New Roman"/>
      <w:lang w:eastAsia="en-US"/>
    </w:rPr>
  </w:style>
  <w:style w:type="character" w:styleId="normaltextrun1" w:customStyle="1">
    <w:name w:val="normaltextrun1"/>
    <w:basedOn w:val="DefaultParagraphFont"/>
    <w:rsid w:val="001045EF"/>
  </w:style>
  <w:style w:type="character" w:styleId="eop" w:customStyle="1">
    <w:name w:val="eop"/>
    <w:basedOn w:val="DefaultParagraphFont"/>
    <w:rsid w:val="00553550"/>
  </w:style>
  <w:style w:type="paragraph" w:styleId="TableHeader" w:customStyle="1">
    <w:name w:val="Table Header"/>
    <w:basedOn w:val="Caption"/>
    <w:link w:val="TableHeaderChar"/>
    <w:qFormat/>
    <w:rsid w:val="00063966"/>
    <w:rPr>
      <w:color w:val="auto"/>
      <w:sz w:val="22"/>
      <w:szCs w:val="22"/>
    </w:rPr>
  </w:style>
  <w:style w:type="character" w:styleId="CaptionChar" w:customStyle="1">
    <w:name w:val="Caption Char"/>
    <w:basedOn w:val="DefaultParagraphFont"/>
    <w:link w:val="Caption"/>
    <w:rsid w:val="0086317B"/>
    <w:rPr>
      <w:rFonts w:eastAsia="Calibri" w:cs="Arial"/>
      <w:b/>
      <w:color w:val="000000" w:themeColor="text1"/>
      <w:sz w:val="24"/>
      <w:szCs w:val="24"/>
    </w:rPr>
  </w:style>
  <w:style w:type="character" w:styleId="TableHeaderChar" w:customStyle="1">
    <w:name w:val="Table Header Char"/>
    <w:basedOn w:val="CaptionChar"/>
    <w:link w:val="TableHeader"/>
    <w:rsid w:val="00063966"/>
    <w:rPr>
      <w:rFonts w:eastAsia="Calibri" w:cs="Arial"/>
      <w:b/>
      <w:color w:val="000000" w:themeColor="text1"/>
      <w:sz w:val="24"/>
      <w:szCs w:val="24"/>
    </w:rPr>
  </w:style>
  <w:style w:type="character" w:styleId="Mention">
    <w:name w:val="Mention"/>
    <w:basedOn w:val="DefaultParagraphFont"/>
    <w:uiPriority w:val="99"/>
    <w:unhideWhenUsed/>
    <w:rsid w:val="0081117E"/>
    <w:rPr>
      <w:color w:val="2B579A"/>
      <w:shd w:val="clear" w:color="auto" w:fill="E6E6E6"/>
    </w:rPr>
  </w:style>
  <w:style w:type="character" w:styleId="normaltextrun" w:customStyle="1">
    <w:name w:val="normaltextrun"/>
    <w:basedOn w:val="DefaultParagraphFont"/>
    <w:rsid w:val="00BB267E"/>
  </w:style>
  <w:style w:type="character" w:styleId="spellingerror" w:customStyle="1">
    <w:name w:val="spellingerror"/>
    <w:basedOn w:val="DefaultParagraphFont"/>
    <w:rsid w:val="00BB267E"/>
  </w:style>
  <w:style w:type="paragraph" w:styleId="paragraph" w:customStyle="1">
    <w:name w:val="paragraph"/>
    <w:basedOn w:val="Normal"/>
    <w:rsid w:val="0051598F"/>
    <w:pPr>
      <w:spacing w:before="100" w:beforeAutospacing="1" w:after="100" w:afterAutospacing="1" w:line="240" w:lineRule="auto"/>
    </w:pPr>
    <w:rPr>
      <w:rFonts w:ascii="Times New Roman" w:hAnsi="Times New Roman"/>
      <w:lang w:eastAsia="en-US"/>
    </w:rPr>
  </w:style>
  <w:style w:type="paragraph" w:styleId="TableParagraph" w:customStyle="1">
    <w:name w:val="Table Paragraph"/>
    <w:basedOn w:val="Normal"/>
    <w:uiPriority w:val="1"/>
    <w:qFormat/>
    <w:rsid w:val="0022751E"/>
    <w:pPr>
      <w:widowControl w:val="0"/>
      <w:spacing w:before="60" w:after="60" w:line="240" w:lineRule="auto"/>
    </w:pPr>
    <w:rPr>
      <w:sz w:val="22"/>
      <w:szCs w:val="22"/>
      <w:lang w:eastAsia="en-US"/>
    </w:rPr>
  </w:style>
  <w:style w:type="paragraph" w:styleId="WLAsubCO-FS" w:customStyle="1">
    <w:name w:val="WLA sub CO-FS"/>
    <w:basedOn w:val="BodyText"/>
    <w:rsid w:val="00110BB6"/>
    <w:pPr>
      <w:spacing w:after="120"/>
      <w:ind w:left="360"/>
      <w:contextualSpacing/>
    </w:pPr>
  </w:style>
  <w:style w:type="paragraph" w:styleId="HiddenText" w:customStyle="1">
    <w:name w:val="Hidden Text"/>
    <w:basedOn w:val="TableText"/>
    <w:rsid w:val="00110BB6"/>
    <w:pPr>
      <w:spacing w:after="0"/>
      <w:contextualSpacing/>
      <w:jc w:val="center"/>
    </w:pPr>
    <w:rPr>
      <w:color w:val="FFFFFF" w:themeColor="background1"/>
      <w:spacing w:val="-1"/>
    </w:rPr>
  </w:style>
  <w:style w:type="character" w:styleId="hvr" w:customStyle="1">
    <w:name w:val="hvr"/>
    <w:basedOn w:val="DefaultParagraphFont"/>
    <w:rsid w:val="00110BB6"/>
  </w:style>
  <w:style w:type="numbering" w:styleId="NoList1" w:customStyle="1">
    <w:name w:val="No List1"/>
    <w:next w:val="NoList"/>
    <w:uiPriority w:val="99"/>
    <w:semiHidden/>
    <w:unhideWhenUsed/>
    <w:rsid w:val="00A3095D"/>
  </w:style>
  <w:style w:type="numbering" w:styleId="ListNumberedA" w:customStyle="1">
    <w:name w:val="List Numbered_A"/>
    <w:uiPriority w:val="99"/>
    <w:rsid w:val="00A3095D"/>
  </w:style>
  <w:style w:type="numbering" w:styleId="ListNumberedA1" w:customStyle="1">
    <w:name w:val="List Numbered_A1"/>
    <w:next w:val="ListNumberedA"/>
    <w:uiPriority w:val="99"/>
    <w:rsid w:val="00A3095D"/>
  </w:style>
  <w:style w:type="table" w:styleId="TableGrid36" w:customStyle="1">
    <w:name w:val="Table Grid36"/>
    <w:basedOn w:val="TableNormal"/>
    <w:next w:val="TableGrid"/>
    <w:uiPriority w:val="59"/>
    <w:rsid w:val="00A3095D"/>
    <w:pPr>
      <w:spacing w:after="0" w:line="240" w:lineRule="auto"/>
    </w:pPr>
    <w:rPr>
      <w:rFonts w:ascii="Calibri" w:hAnsi="Calibri"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istAttG1" w:customStyle="1">
    <w:name w:val="List Att G1"/>
    <w:uiPriority w:val="99"/>
    <w:rsid w:val="00A3095D"/>
  </w:style>
  <w:style w:type="numbering" w:styleId="ListAttGStyle1" w:customStyle="1">
    <w:name w:val="List Att G Style1"/>
    <w:uiPriority w:val="99"/>
    <w:rsid w:val="00A3095D"/>
  </w:style>
  <w:style w:type="numbering" w:styleId="NoList11" w:customStyle="1">
    <w:name w:val="No List11"/>
    <w:next w:val="NoList"/>
    <w:uiPriority w:val="99"/>
    <w:semiHidden/>
    <w:unhideWhenUsed/>
    <w:rsid w:val="00A3095D"/>
  </w:style>
  <w:style w:type="table" w:styleId="TableGrid111" w:customStyle="1">
    <w:name w:val="Table Grid111"/>
    <w:basedOn w:val="TableNormal"/>
    <w:next w:val="TableGrid"/>
    <w:uiPriority w:val="59"/>
    <w:rsid w:val="00A3095D"/>
    <w:pPr>
      <w:spacing w:after="0" w:line="240" w:lineRule="auto"/>
    </w:pPr>
    <w:rPr>
      <w:rFonts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aption" w:customStyle="1">
    <w:name w:val="TableCaption"/>
    <w:basedOn w:val="Normal"/>
    <w:link w:val="TableCaptionChar"/>
    <w:rsid w:val="00A3095D"/>
    <w:pPr>
      <w:jc w:val="center"/>
    </w:pPr>
    <w:rPr>
      <w:rFonts w:ascii="Times New Roman" w:hAnsi="Times New Roman" w:eastAsia="SimSun"/>
      <w:b/>
      <w:lang w:eastAsia="en-US"/>
    </w:rPr>
  </w:style>
  <w:style w:type="character" w:styleId="TableCaptionChar" w:customStyle="1">
    <w:name w:val="TableCaption Char"/>
    <w:link w:val="TableCaption"/>
    <w:rsid w:val="00A3095D"/>
    <w:rPr>
      <w:rFonts w:ascii="Times New Roman" w:hAnsi="Times New Roman" w:eastAsia="SimSun"/>
      <w:b/>
      <w:sz w:val="24"/>
      <w:szCs w:val="24"/>
    </w:rPr>
  </w:style>
  <w:style w:type="paragraph" w:styleId="NumberedList" w:customStyle="1">
    <w:name w:val="Numbered List"/>
    <w:basedOn w:val="Normal"/>
    <w:next w:val="Normal"/>
    <w:uiPriority w:val="99"/>
    <w:rsid w:val="00A3095D"/>
    <w:pPr>
      <w:widowControl w:val="0"/>
      <w:numPr>
        <w:numId w:val="34"/>
      </w:numPr>
      <w:autoSpaceDE w:val="0"/>
      <w:autoSpaceDN w:val="0"/>
      <w:adjustRightInd w:val="0"/>
      <w:jc w:val="both"/>
    </w:pPr>
    <w:rPr>
      <w:rFonts w:cs="Arial"/>
      <w:b/>
      <w:bCs/>
      <w:szCs w:val="22"/>
      <w:u w:val="single"/>
      <w:lang w:eastAsia="en-US"/>
    </w:rPr>
  </w:style>
  <w:style w:type="table" w:styleId="TableGrid210" w:customStyle="1">
    <w:name w:val="Table Grid210"/>
    <w:basedOn w:val="TableNormal"/>
    <w:next w:val="TableGrid"/>
    <w:uiPriority w:val="59"/>
    <w:rsid w:val="00A3095D"/>
    <w:pPr>
      <w:spacing w:after="0" w:line="240" w:lineRule="auto"/>
    </w:pPr>
    <w:rPr>
      <w:rFonts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1" w:customStyle="1">
    <w:name w:val="Hyperlink1"/>
    <w:basedOn w:val="DefaultParagraphFont"/>
    <w:uiPriority w:val="99"/>
    <w:unhideWhenUsed/>
    <w:rsid w:val="00A3095D"/>
    <w:rPr>
      <w:color w:val="0000FF"/>
      <w:u w:val="single"/>
    </w:rPr>
  </w:style>
  <w:style w:type="character" w:styleId="FollowedHyperlink1" w:customStyle="1">
    <w:name w:val="FollowedHyperlink1"/>
    <w:basedOn w:val="DefaultParagraphFont"/>
    <w:uiPriority w:val="99"/>
    <w:semiHidden/>
    <w:unhideWhenUsed/>
    <w:rsid w:val="00A3095D"/>
    <w:rPr>
      <w:color w:val="800080"/>
      <w:u w:val="single"/>
    </w:rPr>
  </w:style>
  <w:style w:type="table" w:styleId="TableGrid37" w:customStyle="1">
    <w:name w:val="Table Grid37"/>
    <w:basedOn w:val="TableNormal"/>
    <w:next w:val="TableGrid"/>
    <w:uiPriority w:val="59"/>
    <w:rsid w:val="00A3095D"/>
    <w:pPr>
      <w:spacing w:after="0" w:line="240" w:lineRule="auto"/>
    </w:pPr>
    <w:rPr>
      <w:rFonts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AllocationStyle" w:customStyle="1">
    <w:name w:val="CO Allocation Style"/>
    <w:basedOn w:val="Normal"/>
    <w:next w:val="Caption"/>
    <w:rsid w:val="00A3095D"/>
    <w:pPr>
      <w:spacing w:before="360" w:after="240"/>
    </w:pPr>
    <w:rPr>
      <w:rFonts w:cs="Arial"/>
      <w:b/>
      <w:bCs/>
      <w:lang w:eastAsia="en-US"/>
    </w:rPr>
  </w:style>
  <w:style w:type="numbering" w:styleId="ListA1" w:customStyle="1">
    <w:name w:val="List A.1"/>
    <w:uiPriority w:val="99"/>
    <w:rsid w:val="00A3095D"/>
    <w:pPr>
      <w:numPr>
        <w:numId w:val="35"/>
      </w:numPr>
    </w:pPr>
  </w:style>
  <w:style w:type="paragraph" w:styleId="ListNumber2">
    <w:name w:val="List Number 2"/>
    <w:basedOn w:val="Normal"/>
    <w:uiPriority w:val="99"/>
    <w:unhideWhenUsed/>
    <w:rsid w:val="00A3095D"/>
    <w:pPr>
      <w:widowControl w:val="0"/>
      <w:numPr>
        <w:numId w:val="35"/>
      </w:numPr>
    </w:pPr>
    <w:rPr>
      <w:szCs w:val="22"/>
      <w:lang w:eastAsia="en-US"/>
    </w:rPr>
  </w:style>
  <w:style w:type="paragraph" w:styleId="HeadCO2013" w:customStyle="1">
    <w:name w:val="Head CO2013"/>
    <w:basedOn w:val="BodyText"/>
    <w:rsid w:val="00A3095D"/>
    <w:pPr>
      <w:spacing w:before="240" w:after="0"/>
      <w:jc w:val="center"/>
    </w:pPr>
    <w:rPr>
      <w:rFonts w:cs="Arial"/>
      <w:b/>
      <w:bCs/>
    </w:rPr>
  </w:style>
  <w:style w:type="paragraph" w:styleId="xxxHead" w:customStyle="1">
    <w:name w:val="x.x.x Head"/>
    <w:basedOn w:val="Normal"/>
    <w:rsid w:val="00A3095D"/>
    <w:pPr>
      <w:keepNext/>
      <w:widowControl w:val="0"/>
    </w:pPr>
    <w:rPr>
      <w:rFonts w:cs="Arial"/>
      <w:b/>
      <w:lang w:eastAsia="en-US"/>
    </w:rPr>
  </w:style>
  <w:style w:type="paragraph" w:styleId="IntenseQuote1" w:customStyle="1">
    <w:name w:val="Intense Quote1"/>
    <w:basedOn w:val="Normal"/>
    <w:next w:val="Normal"/>
    <w:uiPriority w:val="30"/>
    <w:rsid w:val="00A3095D"/>
    <w:pPr>
      <w:widowControl w:val="0"/>
      <w:pBdr>
        <w:top w:val="single" w:color="4472C4" w:sz="4" w:space="10"/>
        <w:bottom w:val="single" w:color="4472C4" w:sz="4" w:space="10"/>
      </w:pBdr>
      <w:spacing w:before="360" w:after="360"/>
      <w:ind w:left="864" w:right="864"/>
      <w:jc w:val="center"/>
    </w:pPr>
    <w:rPr>
      <w:i/>
      <w:iCs/>
      <w:color w:val="4472C4"/>
      <w:szCs w:val="22"/>
      <w:lang w:eastAsia="en-US"/>
    </w:rPr>
  </w:style>
  <w:style w:type="character" w:styleId="IntenseQuoteChar" w:customStyle="1">
    <w:name w:val="Intense Quote Char"/>
    <w:basedOn w:val="DefaultParagraphFont"/>
    <w:link w:val="IntenseQuote"/>
    <w:uiPriority w:val="30"/>
    <w:rsid w:val="00A3095D"/>
    <w:rPr>
      <w:rFonts w:ascii="Arial" w:hAnsi="Arial"/>
      <w:i/>
      <w:iCs/>
      <w:color w:val="4472C4"/>
      <w:sz w:val="24"/>
    </w:rPr>
  </w:style>
  <w:style w:type="numbering" w:styleId="ListnumConformedOrder" w:customStyle="1">
    <w:name w:val="List_num_ConformedOrder"/>
    <w:uiPriority w:val="99"/>
    <w:rsid w:val="00A3095D"/>
    <w:pPr>
      <w:numPr>
        <w:numId w:val="46"/>
      </w:numPr>
    </w:pPr>
  </w:style>
  <w:style w:type="numbering" w:styleId="TableListStyleConformedOrder" w:customStyle="1">
    <w:name w:val="Table_List_Style_ConformedOrder"/>
    <w:basedOn w:val="NoList"/>
    <w:uiPriority w:val="99"/>
    <w:rsid w:val="00A3095D"/>
    <w:pPr>
      <w:numPr>
        <w:numId w:val="92"/>
      </w:numPr>
    </w:pPr>
  </w:style>
  <w:style w:type="numbering" w:styleId="TableListStyle" w:customStyle="1">
    <w:name w:val="Table List Style"/>
    <w:uiPriority w:val="99"/>
    <w:rsid w:val="00A3095D"/>
    <w:pPr>
      <w:numPr>
        <w:numId w:val="93"/>
      </w:numPr>
    </w:pPr>
  </w:style>
  <w:style w:type="paragraph" w:styleId="NormalHeaderStyle" w:customStyle="1">
    <w:name w:val="Normal Header Style"/>
    <w:basedOn w:val="Normal"/>
    <w:rsid w:val="00A3095D"/>
    <w:pPr>
      <w:keepNext/>
      <w:spacing w:before="240"/>
      <w:ind w:left="288" w:hanging="288"/>
    </w:pPr>
    <w:rPr>
      <w:szCs w:val="22"/>
      <w:lang w:eastAsia="en-US"/>
    </w:rPr>
  </w:style>
  <w:style w:type="paragraph" w:styleId="RegionalBoardHeader" w:customStyle="1">
    <w:name w:val="Regional Board Header"/>
    <w:basedOn w:val="BodyText"/>
    <w:rsid w:val="00A3095D"/>
    <w:pPr>
      <w:keepNext/>
      <w:spacing w:before="360"/>
      <w:jc w:val="center"/>
    </w:pPr>
    <w:rPr>
      <w:b/>
      <w:i/>
      <w:iCs/>
      <w:sz w:val="26"/>
    </w:rPr>
  </w:style>
  <w:style w:type="paragraph" w:styleId="WLAHeadCO-FS" w:customStyle="1">
    <w:name w:val="WLA Head CO-FS"/>
    <w:basedOn w:val="BodyText"/>
    <w:next w:val="WLAsubCO-FS"/>
    <w:rsid w:val="00A3095D"/>
    <w:pPr>
      <w:spacing w:after="0"/>
    </w:pPr>
    <w:rPr>
      <w:i/>
    </w:rPr>
  </w:style>
  <w:style w:type="paragraph" w:styleId="FalseH2" w:customStyle="1">
    <w:name w:val="FalseH2"/>
    <w:rsid w:val="00A3095D"/>
    <w:pPr>
      <w:spacing w:before="240" w:after="240" w:line="240" w:lineRule="auto"/>
    </w:pPr>
    <w:rPr>
      <w:rFonts w:cs="Arial"/>
      <w:b/>
      <w:caps/>
      <w:sz w:val="24"/>
      <w:szCs w:val="24"/>
    </w:rPr>
  </w:style>
  <w:style w:type="paragraph" w:styleId="FalseH10" w:customStyle="1">
    <w:name w:val="FalseH.1"/>
    <w:rsid w:val="00A3095D"/>
    <w:pPr>
      <w:pBdr>
        <w:bottom w:val="single" w:color="auto" w:sz="4" w:space="12"/>
      </w:pBdr>
      <w:spacing w:before="120" w:after="240" w:line="259" w:lineRule="auto"/>
      <w:jc w:val="center"/>
    </w:pPr>
    <w:rPr>
      <w:b/>
      <w:sz w:val="32"/>
      <w:szCs w:val="40"/>
    </w:rPr>
  </w:style>
  <w:style w:type="paragraph" w:styleId="AttFCOsmallMS4" w:customStyle="1">
    <w:name w:val="Att F COsmallMS4"/>
    <w:basedOn w:val="Normal"/>
    <w:rsid w:val="00A3095D"/>
    <w:pPr>
      <w:keepNext/>
    </w:pPr>
    <w:rPr>
      <w:szCs w:val="22"/>
      <w:lang w:eastAsia="en-US"/>
    </w:rPr>
  </w:style>
  <w:style w:type="paragraph" w:styleId="HeadF" w:customStyle="1">
    <w:name w:val="HeadF"/>
    <w:rsid w:val="00A3095D"/>
    <w:pPr>
      <w:pBdr>
        <w:bottom w:val="single" w:color="000000" w:sz="8" w:space="10"/>
      </w:pBdr>
      <w:spacing w:before="120" w:line="259" w:lineRule="auto"/>
      <w:ind w:left="475" w:hanging="475"/>
      <w:jc w:val="center"/>
    </w:pPr>
    <w:rPr>
      <w:b/>
      <w:sz w:val="28"/>
      <w:szCs w:val="28"/>
    </w:rPr>
  </w:style>
  <w:style w:type="paragraph" w:styleId="Head1G" w:customStyle="1">
    <w:name w:val="Head1G"/>
    <w:basedOn w:val="BodyText"/>
    <w:rsid w:val="00A3095D"/>
    <w:pPr>
      <w:spacing w:before="240" w:after="360"/>
      <w:jc w:val="center"/>
    </w:pPr>
    <w:rPr>
      <w:b/>
      <w:sz w:val="32"/>
      <w:szCs w:val="40"/>
    </w:rPr>
  </w:style>
  <w:style w:type="paragraph" w:styleId="TableTitle" w:customStyle="1">
    <w:name w:val="Table Title"/>
    <w:basedOn w:val="Normal"/>
    <w:rsid w:val="00A3095D"/>
    <w:pPr>
      <w:widowControl w:val="0"/>
      <w:spacing w:before="360"/>
    </w:pPr>
    <w:rPr>
      <w:rFonts w:eastAsia="Arial" w:cs="Arial"/>
      <w:b/>
      <w:bCs/>
      <w:sz w:val="28"/>
      <w:lang w:eastAsia="en-US"/>
    </w:rPr>
  </w:style>
  <w:style w:type="paragraph" w:styleId="Head1H" w:customStyle="1">
    <w:name w:val="Head1H"/>
    <w:basedOn w:val="BodyText"/>
    <w:rsid w:val="00A3095D"/>
    <w:pPr>
      <w:pBdr>
        <w:bottom w:val="single" w:color="000000" w:sz="8" w:space="10"/>
      </w:pBdr>
      <w:spacing w:after="120"/>
      <w:jc w:val="center"/>
    </w:pPr>
    <w:rPr>
      <w:b/>
      <w:sz w:val="32"/>
      <w:szCs w:val="44"/>
    </w:rPr>
  </w:style>
  <w:style w:type="paragraph" w:styleId="Head1i" w:customStyle="1">
    <w:name w:val="Head1i"/>
    <w:basedOn w:val="BodyText"/>
    <w:rsid w:val="00A3095D"/>
    <w:pPr>
      <w:widowControl w:val="0"/>
      <w:pBdr>
        <w:bottom w:val="single" w:color="000000" w:sz="8" w:space="6"/>
      </w:pBdr>
      <w:spacing w:line="276" w:lineRule="auto"/>
      <w:jc w:val="center"/>
    </w:pPr>
    <w:rPr>
      <w:rFonts w:eastAsia="Arial"/>
      <w:sz w:val="32"/>
      <w:szCs w:val="40"/>
    </w:rPr>
  </w:style>
  <w:style w:type="paragraph" w:styleId="Headi1" w:customStyle="1">
    <w:name w:val="Headi1"/>
    <w:basedOn w:val="Head1i"/>
    <w:rsid w:val="00A3095D"/>
  </w:style>
  <w:style w:type="paragraph" w:styleId="FalseH20" w:customStyle="1">
    <w:name w:val="FalseH.2"/>
    <w:rsid w:val="00A3095D"/>
    <w:pPr>
      <w:spacing w:before="240" w:line="259" w:lineRule="auto"/>
    </w:pPr>
    <w:rPr>
      <w:b/>
      <w:sz w:val="26"/>
      <w:szCs w:val="26"/>
    </w:rPr>
  </w:style>
  <w:style w:type="paragraph" w:styleId="AttEFalseH2" w:customStyle="1">
    <w:name w:val="AttE_FalseH2"/>
    <w:rsid w:val="00A3095D"/>
    <w:pPr>
      <w:spacing w:before="360" w:after="0" w:line="240" w:lineRule="auto"/>
    </w:pPr>
    <w:rPr>
      <w:b/>
      <w:sz w:val="26"/>
      <w:szCs w:val="26"/>
    </w:rPr>
  </w:style>
  <w:style w:type="paragraph" w:styleId="AttEFalseH3" w:customStyle="1">
    <w:name w:val="AttE_FalseH3"/>
    <w:rsid w:val="00A3095D"/>
    <w:pPr>
      <w:spacing w:before="240" w:line="240" w:lineRule="auto"/>
      <w:ind w:left="432"/>
    </w:pPr>
    <w:rPr>
      <w:b/>
      <w:sz w:val="24"/>
      <w:szCs w:val="24"/>
    </w:rPr>
  </w:style>
  <w:style w:type="paragraph" w:styleId="AttCFalseH3" w:customStyle="1">
    <w:name w:val="AttC_FalseH3"/>
    <w:rsid w:val="00A3095D"/>
    <w:pPr>
      <w:spacing w:after="0" w:line="259" w:lineRule="auto"/>
    </w:pPr>
    <w:rPr>
      <w:b/>
      <w:sz w:val="28"/>
      <w:szCs w:val="28"/>
    </w:rPr>
  </w:style>
  <w:style w:type="paragraph" w:styleId="AttCFalseH30" w:customStyle="1">
    <w:name w:val="AttC_FalseH3.0"/>
    <w:rsid w:val="00A3095D"/>
    <w:pPr>
      <w:spacing w:before="240" w:after="60" w:line="259" w:lineRule="auto"/>
    </w:pPr>
    <w:rPr>
      <w:b/>
      <w:sz w:val="24"/>
      <w:szCs w:val="24"/>
    </w:rPr>
  </w:style>
  <w:style w:type="paragraph" w:styleId="AttEFalseH4" w:customStyle="1">
    <w:name w:val="AttE_FalseH4"/>
    <w:basedOn w:val="BodyText2"/>
    <w:rsid w:val="00A3095D"/>
    <w:pPr>
      <w:tabs>
        <w:tab w:val="clear" w:pos="1080"/>
      </w:tabs>
      <w:suppressAutoHyphens w:val="0"/>
      <w:ind w:left="1008" w:firstLine="0"/>
      <w:contextualSpacing/>
    </w:pPr>
    <w:rPr>
      <w:b/>
      <w:bCs/>
    </w:rPr>
  </w:style>
  <w:style w:type="paragraph" w:styleId="HeaderG" w:customStyle="1">
    <w:name w:val="HeaderG"/>
    <w:basedOn w:val="Header"/>
    <w:rsid w:val="00A3095D"/>
    <w:pPr>
      <w:tabs>
        <w:tab w:val="clear" w:pos="4680"/>
        <w:tab w:val="clear" w:pos="9360"/>
        <w:tab w:val="right" w:pos="10080"/>
      </w:tabs>
      <w:spacing w:after="720"/>
      <w:jc w:val="center"/>
    </w:pPr>
    <w:rPr>
      <w:rFonts w:cs="Arial"/>
      <w:b/>
      <w:bCs/>
      <w:sz w:val="32"/>
      <w:szCs w:val="24"/>
    </w:rPr>
  </w:style>
  <w:style w:type="paragraph" w:styleId="TMDLRequirements" w:customStyle="1">
    <w:name w:val="TMDL Requirements"/>
    <w:basedOn w:val="Normal"/>
    <w:rsid w:val="00A3095D"/>
    <w:pPr>
      <w:keepNext/>
      <w:spacing w:after="80"/>
    </w:pPr>
    <w:rPr>
      <w:b/>
      <w:bCs/>
      <w:szCs w:val="20"/>
      <w:lang w:eastAsia="en-US"/>
    </w:rPr>
  </w:style>
  <w:style w:type="paragraph" w:styleId="AttGOR" w:customStyle="1">
    <w:name w:val="AttG_OR"/>
    <w:basedOn w:val="ListNormal"/>
    <w:rsid w:val="00A3095D"/>
  </w:style>
  <w:style w:type="paragraph" w:styleId="BodyNumText" w:customStyle="1">
    <w:name w:val="Body NumText"/>
    <w:basedOn w:val="Normal"/>
    <w:rsid w:val="00A3095D"/>
    <w:pPr>
      <w:ind w:left="432" w:hanging="288"/>
    </w:pPr>
    <w:rPr>
      <w:szCs w:val="20"/>
      <w:lang w:eastAsia="en-US"/>
    </w:rPr>
  </w:style>
  <w:style w:type="paragraph" w:styleId="AttCFalseH301" w:customStyle="1">
    <w:name w:val="AttC_FalseH3.01"/>
    <w:rsid w:val="00A3095D"/>
    <w:pPr>
      <w:spacing w:before="240" w:line="259" w:lineRule="auto"/>
      <w:ind w:left="317" w:hanging="317"/>
    </w:pPr>
    <w:rPr>
      <w:bCs/>
      <w:sz w:val="24"/>
      <w:szCs w:val="24"/>
    </w:rPr>
  </w:style>
  <w:style w:type="paragraph" w:styleId="H3Normal" w:customStyle="1">
    <w:name w:val="H3Normal"/>
    <w:basedOn w:val="Normal"/>
    <w:autoRedefine/>
    <w:qFormat/>
    <w:rsid w:val="00A3095D"/>
    <w:pPr>
      <w:spacing w:before="240" w:after="0" w:line="240" w:lineRule="auto"/>
      <w:ind w:left="1267"/>
      <w:outlineLvl w:val="3"/>
    </w:pPr>
    <w:rPr>
      <w:rFonts w:eastAsia="Calibri" w:cs="Arial"/>
      <w:bCs/>
      <w:iCs/>
      <w:lang w:eastAsia="en-US"/>
    </w:rPr>
  </w:style>
  <w:style w:type="paragraph" w:styleId="H2Normal" w:customStyle="1">
    <w:name w:val="H2Normal"/>
    <w:basedOn w:val="Normal"/>
    <w:link w:val="H2NormalChar"/>
    <w:qFormat/>
    <w:rsid w:val="00A3095D"/>
    <w:rPr>
      <w:szCs w:val="20"/>
      <w:lang w:eastAsia="en-US"/>
    </w:rPr>
  </w:style>
  <w:style w:type="character" w:styleId="H2NormalChar" w:customStyle="1">
    <w:name w:val="H2Normal Char"/>
    <w:basedOn w:val="DefaultParagraphFont"/>
    <w:link w:val="H2Normal"/>
    <w:rsid w:val="00A3095D"/>
    <w:rPr>
      <w:sz w:val="24"/>
      <w:szCs w:val="20"/>
    </w:rPr>
  </w:style>
  <w:style w:type="paragraph" w:styleId="BulletsH3" w:customStyle="1">
    <w:name w:val="BulletsH3"/>
    <w:basedOn w:val="Normal"/>
    <w:link w:val="BulletsH3Char"/>
    <w:qFormat/>
    <w:rsid w:val="00A3095D"/>
    <w:pPr>
      <w:numPr>
        <w:numId w:val="39"/>
      </w:numPr>
      <w:spacing w:after="0"/>
    </w:pPr>
    <w:rPr>
      <w:rFonts w:cs="Arial"/>
      <w:lang w:eastAsia="en-US"/>
    </w:rPr>
  </w:style>
  <w:style w:type="paragraph" w:styleId="Letters-LowerCase" w:customStyle="1">
    <w:name w:val="Letters-LowerCase"/>
    <w:basedOn w:val="ListParagraph"/>
    <w:link w:val="Letters-LowerCaseChar"/>
    <w:qFormat/>
    <w:rsid w:val="00A3095D"/>
    <w:pPr>
      <w:numPr>
        <w:ilvl w:val="1"/>
        <w:numId w:val="38"/>
      </w:numPr>
      <w:autoSpaceDE w:val="0"/>
      <w:autoSpaceDN w:val="0"/>
      <w:adjustRightInd w:val="0"/>
      <w:spacing w:after="0" w:line="240" w:lineRule="auto"/>
      <w:ind w:left="2520" w:hanging="720"/>
    </w:pPr>
    <w:rPr>
      <w:rFonts w:cs="Arial"/>
      <w:szCs w:val="24"/>
    </w:rPr>
  </w:style>
  <w:style w:type="character" w:styleId="BulletsH3Char" w:customStyle="1">
    <w:name w:val="BulletsH3 Char"/>
    <w:basedOn w:val="DefaultParagraphFont"/>
    <w:link w:val="BulletsH3"/>
    <w:rsid w:val="00A3095D"/>
    <w:rPr>
      <w:rFonts w:cs="Arial"/>
      <w:sz w:val="24"/>
      <w:szCs w:val="24"/>
    </w:rPr>
  </w:style>
  <w:style w:type="character" w:styleId="ListNumberChar" w:customStyle="1">
    <w:name w:val="List Number Char"/>
    <w:basedOn w:val="DefaultParagraphFont"/>
    <w:link w:val="ListNumber"/>
    <w:uiPriority w:val="99"/>
    <w:rsid w:val="00A3095D"/>
    <w:rPr>
      <w:sz w:val="24"/>
      <w:szCs w:val="20"/>
    </w:rPr>
  </w:style>
  <w:style w:type="character" w:styleId="Letters-LowerCaseChar" w:customStyle="1">
    <w:name w:val="Letters-LowerCase Char"/>
    <w:basedOn w:val="ListParagraphChar"/>
    <w:link w:val="Letters-LowerCase"/>
    <w:rsid w:val="00A3095D"/>
    <w:rPr>
      <w:rFonts w:cs="Arial"/>
      <w:sz w:val="24"/>
      <w:szCs w:val="24"/>
    </w:rPr>
  </w:style>
  <w:style w:type="table" w:styleId="TableGrid41" w:customStyle="1">
    <w:name w:val="Table Grid41"/>
    <w:basedOn w:val="TableNormal"/>
    <w:next w:val="TableGrid"/>
    <w:uiPriority w:val="39"/>
    <w:rsid w:val="00A3095D"/>
    <w:pPr>
      <w:spacing w:after="0" w:line="240" w:lineRule="auto"/>
    </w:pPr>
    <w:rPr>
      <w:rFonts w:ascii="Calibri" w:hAnsi="Calibri" w:eastAsia="Calibri" w:cs="Arial"/>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qFormat/>
    <w:rsid w:val="00A3095D"/>
    <w:pPr>
      <w:pBdr>
        <w:top w:val="single" w:color="4F81BD" w:themeColor="accent1" w:sz="4" w:space="10"/>
        <w:bottom w:val="single" w:color="4F81BD" w:themeColor="accent1" w:sz="4" w:space="10"/>
      </w:pBdr>
      <w:spacing w:before="360" w:after="360"/>
      <w:ind w:left="864" w:right="864"/>
      <w:jc w:val="center"/>
    </w:pPr>
    <w:rPr>
      <w:i/>
      <w:iCs/>
      <w:color w:val="4472C4"/>
      <w:szCs w:val="22"/>
      <w:lang w:eastAsia="en-US"/>
    </w:rPr>
  </w:style>
  <w:style w:type="character" w:styleId="IntenseQuoteChar1" w:customStyle="1">
    <w:name w:val="Intense Quote Char1"/>
    <w:basedOn w:val="DefaultParagraphFont"/>
    <w:uiPriority w:val="30"/>
    <w:rsid w:val="00A3095D"/>
    <w:rPr>
      <w:i/>
      <w:iCs/>
      <w:color w:val="4F81BD" w:themeColor="accent1"/>
      <w:sz w:val="24"/>
      <w:szCs w:val="24"/>
      <w:lang w:eastAsia="zh-CN"/>
    </w:rPr>
  </w:style>
  <w:style w:type="table" w:styleId="TableGrid38" w:customStyle="1">
    <w:name w:val="Table Grid38"/>
    <w:basedOn w:val="TableNormal"/>
    <w:next w:val="TableGrid"/>
    <w:uiPriority w:val="59"/>
    <w:rsid w:val="001C4D10"/>
    <w:pPr>
      <w:spacing w:after="0" w:line="240" w:lineRule="auto"/>
    </w:pPr>
    <w:rPr>
      <w:rFonts w:ascii="Calibri" w:hAnsi="Calibri"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umberingUnderHeading3" w:customStyle="1">
    <w:name w:val="NumberingUnderHeading3"/>
    <w:basedOn w:val="ListParagraph"/>
    <w:qFormat/>
    <w:rsid w:val="00821924"/>
    <w:pPr>
      <w:numPr>
        <w:numId w:val="54"/>
      </w:numPr>
      <w:spacing w:line="247" w:lineRule="auto"/>
      <w:contextualSpacing w:val="0"/>
    </w:pPr>
    <w:rPr>
      <w:rFonts w:eastAsia="Calibri" w:cs="Arial"/>
      <w:szCs w:val="24"/>
    </w:rPr>
  </w:style>
  <w:style w:type="paragraph" w:styleId="N" w:customStyle="1">
    <w:name w:val="N"/>
    <w:basedOn w:val="Normal"/>
    <w:link w:val="NChar"/>
    <w:qFormat/>
    <w:rsid w:val="008F3758"/>
    <w:pPr>
      <w:spacing w:before="0" w:after="0" w:line="320" w:lineRule="atLeast"/>
    </w:pPr>
    <w:rPr>
      <w:rFonts w:cs="Arial"/>
      <w:szCs w:val="20"/>
      <w:lang w:eastAsia="en-US"/>
    </w:rPr>
  </w:style>
  <w:style w:type="character" w:styleId="NChar" w:customStyle="1">
    <w:name w:val="N Char"/>
    <w:link w:val="N"/>
    <w:rsid w:val="008F3758"/>
    <w:rPr>
      <w:rFonts w:cs="Arial"/>
      <w:sz w:val="24"/>
      <w:szCs w:val="20"/>
    </w:rPr>
  </w:style>
  <w:style w:type="character" w:styleId="paragraph-hierarchy" w:customStyle="1">
    <w:name w:val="paragraph-hierarchy"/>
    <w:basedOn w:val="DefaultParagraphFont"/>
    <w:rsid w:val="00EA705E"/>
  </w:style>
  <w:style w:type="character" w:styleId="paren" w:customStyle="1">
    <w:name w:val="paren"/>
    <w:basedOn w:val="DefaultParagraphFont"/>
    <w:rsid w:val="00EA705E"/>
  </w:style>
  <w:style w:type="paragraph" w:styleId="indent-4" w:customStyle="1">
    <w:name w:val="indent-4"/>
    <w:basedOn w:val="Normal"/>
    <w:rsid w:val="0097455D"/>
    <w:pPr>
      <w:spacing w:before="100" w:beforeAutospacing="1" w:after="100" w:afterAutospacing="1" w:line="240" w:lineRule="auto"/>
    </w:pPr>
    <w:rPr>
      <w:rFonts w:ascii="Times New Roman" w:hAnsi="Times New Roman"/>
      <w:lang w:eastAsia="en-US"/>
    </w:rPr>
  </w:style>
  <w:style w:type="paragraph" w:styleId="Heading4-ish" w:customStyle="1">
    <w:name w:val="Heading 4-ish"/>
    <w:basedOn w:val="Heading3"/>
    <w:link w:val="Heading4-ishChar"/>
    <w:qFormat/>
    <w:rsid w:val="00295220"/>
    <w:pPr>
      <w:tabs>
        <w:tab w:val="clear" w:pos="720"/>
        <w:tab w:val="left" w:pos="1260"/>
      </w:tabs>
      <w:ind w:left="1260" w:hanging="1260"/>
    </w:pPr>
    <w:rPr>
      <w:i/>
      <w:iCs/>
    </w:rPr>
  </w:style>
  <w:style w:type="character" w:styleId="Heading4-ishChar" w:customStyle="1">
    <w:name w:val="Heading 4-ish Char"/>
    <w:basedOn w:val="Heading3Char"/>
    <w:link w:val="Heading4-ish"/>
    <w:rsid w:val="00295220"/>
    <w:rPr>
      <w:rFonts w:ascii="Arial Bold" w:hAnsi="Arial Bold" w:eastAsia="Calibri" w:cs="Arial"/>
      <w:b/>
      <w:bCs/>
      <w:i/>
      <w:iCs/>
      <w:sz w:val="24"/>
      <w:szCs w:val="24"/>
    </w:rPr>
  </w:style>
  <w:style w:type="paragraph" w:styleId="StyleBodyTextDarkRed" w:customStyle="1">
    <w:name w:val="Style Body Text + Dark Red"/>
    <w:basedOn w:val="BodyText"/>
    <w:rsid w:val="007701BE"/>
    <w:pPr>
      <w:spacing w:before="0" w:after="480" w:line="240" w:lineRule="auto"/>
      <w:ind w:left="720"/>
    </w:pPr>
    <w:rPr>
      <w:color w:val="C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125">
      <w:bodyDiv w:val="1"/>
      <w:marLeft w:val="0"/>
      <w:marRight w:val="0"/>
      <w:marTop w:val="0"/>
      <w:marBottom w:val="0"/>
      <w:divBdr>
        <w:top w:val="none" w:sz="0" w:space="0" w:color="auto"/>
        <w:left w:val="none" w:sz="0" w:space="0" w:color="auto"/>
        <w:bottom w:val="none" w:sz="0" w:space="0" w:color="auto"/>
        <w:right w:val="none" w:sz="0" w:space="0" w:color="auto"/>
      </w:divBdr>
    </w:div>
    <w:div w:id="18120518">
      <w:bodyDiv w:val="1"/>
      <w:marLeft w:val="0"/>
      <w:marRight w:val="0"/>
      <w:marTop w:val="0"/>
      <w:marBottom w:val="0"/>
      <w:divBdr>
        <w:top w:val="none" w:sz="0" w:space="0" w:color="auto"/>
        <w:left w:val="none" w:sz="0" w:space="0" w:color="auto"/>
        <w:bottom w:val="none" w:sz="0" w:space="0" w:color="auto"/>
        <w:right w:val="none" w:sz="0" w:space="0" w:color="auto"/>
      </w:divBdr>
      <w:divsChild>
        <w:div w:id="1245991712">
          <w:marLeft w:val="0"/>
          <w:marRight w:val="0"/>
          <w:marTop w:val="0"/>
          <w:marBottom w:val="0"/>
          <w:divBdr>
            <w:top w:val="none" w:sz="0" w:space="0" w:color="auto"/>
            <w:left w:val="none" w:sz="0" w:space="0" w:color="auto"/>
            <w:bottom w:val="none" w:sz="0" w:space="0" w:color="auto"/>
            <w:right w:val="none" w:sz="0" w:space="0" w:color="auto"/>
          </w:divBdr>
          <w:divsChild>
            <w:div w:id="545139607">
              <w:marLeft w:val="0"/>
              <w:marRight w:val="0"/>
              <w:marTop w:val="0"/>
              <w:marBottom w:val="0"/>
              <w:divBdr>
                <w:top w:val="none" w:sz="0" w:space="0" w:color="auto"/>
                <w:left w:val="none" w:sz="0" w:space="0" w:color="auto"/>
                <w:bottom w:val="none" w:sz="0" w:space="0" w:color="auto"/>
                <w:right w:val="none" w:sz="0" w:space="0" w:color="auto"/>
              </w:divBdr>
              <w:divsChild>
                <w:div w:id="5419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860">
      <w:bodyDiv w:val="1"/>
      <w:marLeft w:val="0"/>
      <w:marRight w:val="0"/>
      <w:marTop w:val="0"/>
      <w:marBottom w:val="0"/>
      <w:divBdr>
        <w:top w:val="none" w:sz="0" w:space="0" w:color="auto"/>
        <w:left w:val="none" w:sz="0" w:space="0" w:color="auto"/>
        <w:bottom w:val="none" w:sz="0" w:space="0" w:color="auto"/>
        <w:right w:val="none" w:sz="0" w:space="0" w:color="auto"/>
      </w:divBdr>
      <w:divsChild>
        <w:div w:id="169830357">
          <w:marLeft w:val="0"/>
          <w:marRight w:val="0"/>
          <w:marTop w:val="0"/>
          <w:marBottom w:val="0"/>
          <w:divBdr>
            <w:top w:val="none" w:sz="0" w:space="0" w:color="auto"/>
            <w:left w:val="none" w:sz="0" w:space="0" w:color="auto"/>
            <w:bottom w:val="none" w:sz="0" w:space="0" w:color="auto"/>
            <w:right w:val="none" w:sz="0" w:space="0" w:color="auto"/>
          </w:divBdr>
          <w:divsChild>
            <w:div w:id="1862819350">
              <w:marLeft w:val="0"/>
              <w:marRight w:val="0"/>
              <w:marTop w:val="0"/>
              <w:marBottom w:val="0"/>
              <w:divBdr>
                <w:top w:val="none" w:sz="0" w:space="0" w:color="auto"/>
                <w:left w:val="none" w:sz="0" w:space="0" w:color="auto"/>
                <w:bottom w:val="none" w:sz="0" w:space="0" w:color="auto"/>
                <w:right w:val="none" w:sz="0" w:space="0" w:color="auto"/>
              </w:divBdr>
              <w:divsChild>
                <w:div w:id="5737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0293">
      <w:bodyDiv w:val="1"/>
      <w:marLeft w:val="0"/>
      <w:marRight w:val="0"/>
      <w:marTop w:val="0"/>
      <w:marBottom w:val="0"/>
      <w:divBdr>
        <w:top w:val="none" w:sz="0" w:space="0" w:color="auto"/>
        <w:left w:val="none" w:sz="0" w:space="0" w:color="auto"/>
        <w:bottom w:val="none" w:sz="0" w:space="0" w:color="auto"/>
        <w:right w:val="none" w:sz="0" w:space="0" w:color="auto"/>
      </w:divBdr>
    </w:div>
    <w:div w:id="73281859">
      <w:bodyDiv w:val="1"/>
      <w:marLeft w:val="0"/>
      <w:marRight w:val="0"/>
      <w:marTop w:val="0"/>
      <w:marBottom w:val="0"/>
      <w:divBdr>
        <w:top w:val="none" w:sz="0" w:space="0" w:color="auto"/>
        <w:left w:val="none" w:sz="0" w:space="0" w:color="auto"/>
        <w:bottom w:val="none" w:sz="0" w:space="0" w:color="auto"/>
        <w:right w:val="none" w:sz="0" w:space="0" w:color="auto"/>
      </w:divBdr>
      <w:divsChild>
        <w:div w:id="760099937">
          <w:marLeft w:val="0"/>
          <w:marRight w:val="0"/>
          <w:marTop w:val="0"/>
          <w:marBottom w:val="0"/>
          <w:divBdr>
            <w:top w:val="none" w:sz="0" w:space="0" w:color="auto"/>
            <w:left w:val="none" w:sz="0" w:space="0" w:color="auto"/>
            <w:bottom w:val="none" w:sz="0" w:space="0" w:color="auto"/>
            <w:right w:val="none" w:sz="0" w:space="0" w:color="auto"/>
          </w:divBdr>
          <w:divsChild>
            <w:div w:id="661659418">
              <w:marLeft w:val="0"/>
              <w:marRight w:val="0"/>
              <w:marTop w:val="0"/>
              <w:marBottom w:val="0"/>
              <w:divBdr>
                <w:top w:val="none" w:sz="0" w:space="0" w:color="auto"/>
                <w:left w:val="none" w:sz="0" w:space="0" w:color="auto"/>
                <w:bottom w:val="none" w:sz="0" w:space="0" w:color="auto"/>
                <w:right w:val="none" w:sz="0" w:space="0" w:color="auto"/>
              </w:divBdr>
              <w:divsChild>
                <w:div w:id="1567447904">
                  <w:marLeft w:val="0"/>
                  <w:marRight w:val="0"/>
                  <w:marTop w:val="0"/>
                  <w:marBottom w:val="0"/>
                  <w:divBdr>
                    <w:top w:val="none" w:sz="0" w:space="0" w:color="auto"/>
                    <w:left w:val="none" w:sz="0" w:space="0" w:color="auto"/>
                    <w:bottom w:val="none" w:sz="0" w:space="0" w:color="auto"/>
                    <w:right w:val="none" w:sz="0" w:space="0" w:color="auto"/>
                  </w:divBdr>
                  <w:divsChild>
                    <w:div w:id="12392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4246">
      <w:bodyDiv w:val="1"/>
      <w:marLeft w:val="0"/>
      <w:marRight w:val="0"/>
      <w:marTop w:val="0"/>
      <w:marBottom w:val="0"/>
      <w:divBdr>
        <w:top w:val="none" w:sz="0" w:space="0" w:color="auto"/>
        <w:left w:val="none" w:sz="0" w:space="0" w:color="auto"/>
        <w:bottom w:val="none" w:sz="0" w:space="0" w:color="auto"/>
        <w:right w:val="none" w:sz="0" w:space="0" w:color="auto"/>
      </w:divBdr>
      <w:divsChild>
        <w:div w:id="920017976">
          <w:marLeft w:val="0"/>
          <w:marRight w:val="0"/>
          <w:marTop w:val="0"/>
          <w:marBottom w:val="0"/>
          <w:divBdr>
            <w:top w:val="none" w:sz="0" w:space="0" w:color="auto"/>
            <w:left w:val="none" w:sz="0" w:space="0" w:color="auto"/>
            <w:bottom w:val="none" w:sz="0" w:space="0" w:color="auto"/>
            <w:right w:val="none" w:sz="0" w:space="0" w:color="auto"/>
          </w:divBdr>
          <w:divsChild>
            <w:div w:id="1455371472">
              <w:marLeft w:val="0"/>
              <w:marRight w:val="0"/>
              <w:marTop w:val="0"/>
              <w:marBottom w:val="0"/>
              <w:divBdr>
                <w:top w:val="none" w:sz="0" w:space="0" w:color="auto"/>
                <w:left w:val="none" w:sz="0" w:space="0" w:color="auto"/>
                <w:bottom w:val="none" w:sz="0" w:space="0" w:color="auto"/>
                <w:right w:val="none" w:sz="0" w:space="0" w:color="auto"/>
              </w:divBdr>
              <w:divsChild>
                <w:div w:id="353191766">
                  <w:marLeft w:val="0"/>
                  <w:marRight w:val="0"/>
                  <w:marTop w:val="0"/>
                  <w:marBottom w:val="0"/>
                  <w:divBdr>
                    <w:top w:val="none" w:sz="0" w:space="0" w:color="auto"/>
                    <w:left w:val="none" w:sz="0" w:space="0" w:color="auto"/>
                    <w:bottom w:val="none" w:sz="0" w:space="0" w:color="auto"/>
                    <w:right w:val="none" w:sz="0" w:space="0" w:color="auto"/>
                  </w:divBdr>
                  <w:divsChild>
                    <w:div w:id="1809205540">
                      <w:marLeft w:val="0"/>
                      <w:marRight w:val="0"/>
                      <w:marTop w:val="0"/>
                      <w:marBottom w:val="0"/>
                      <w:divBdr>
                        <w:top w:val="none" w:sz="0" w:space="0" w:color="auto"/>
                        <w:left w:val="none" w:sz="0" w:space="0" w:color="auto"/>
                        <w:bottom w:val="none" w:sz="0" w:space="0" w:color="auto"/>
                        <w:right w:val="none" w:sz="0" w:space="0" w:color="auto"/>
                      </w:divBdr>
                    </w:div>
                  </w:divsChild>
                </w:div>
                <w:div w:id="939408951">
                  <w:marLeft w:val="0"/>
                  <w:marRight w:val="0"/>
                  <w:marTop w:val="0"/>
                  <w:marBottom w:val="0"/>
                  <w:divBdr>
                    <w:top w:val="none" w:sz="0" w:space="0" w:color="auto"/>
                    <w:left w:val="none" w:sz="0" w:space="0" w:color="auto"/>
                    <w:bottom w:val="none" w:sz="0" w:space="0" w:color="auto"/>
                    <w:right w:val="none" w:sz="0" w:space="0" w:color="auto"/>
                  </w:divBdr>
                  <w:divsChild>
                    <w:div w:id="16555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484">
      <w:bodyDiv w:val="1"/>
      <w:marLeft w:val="0"/>
      <w:marRight w:val="0"/>
      <w:marTop w:val="0"/>
      <w:marBottom w:val="0"/>
      <w:divBdr>
        <w:top w:val="none" w:sz="0" w:space="0" w:color="auto"/>
        <w:left w:val="none" w:sz="0" w:space="0" w:color="auto"/>
        <w:bottom w:val="none" w:sz="0" w:space="0" w:color="auto"/>
        <w:right w:val="none" w:sz="0" w:space="0" w:color="auto"/>
      </w:divBdr>
      <w:divsChild>
        <w:div w:id="1341934334">
          <w:marLeft w:val="0"/>
          <w:marRight w:val="0"/>
          <w:marTop w:val="0"/>
          <w:marBottom w:val="0"/>
          <w:divBdr>
            <w:top w:val="none" w:sz="0" w:space="0" w:color="auto"/>
            <w:left w:val="none" w:sz="0" w:space="0" w:color="auto"/>
            <w:bottom w:val="none" w:sz="0" w:space="0" w:color="auto"/>
            <w:right w:val="none" w:sz="0" w:space="0" w:color="auto"/>
          </w:divBdr>
          <w:divsChild>
            <w:div w:id="1379158443">
              <w:marLeft w:val="0"/>
              <w:marRight w:val="0"/>
              <w:marTop w:val="0"/>
              <w:marBottom w:val="0"/>
              <w:divBdr>
                <w:top w:val="none" w:sz="0" w:space="0" w:color="auto"/>
                <w:left w:val="none" w:sz="0" w:space="0" w:color="auto"/>
                <w:bottom w:val="none" w:sz="0" w:space="0" w:color="auto"/>
                <w:right w:val="none" w:sz="0" w:space="0" w:color="auto"/>
              </w:divBdr>
              <w:divsChild>
                <w:div w:id="56317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8">
      <w:bodyDiv w:val="1"/>
      <w:marLeft w:val="0"/>
      <w:marRight w:val="0"/>
      <w:marTop w:val="0"/>
      <w:marBottom w:val="0"/>
      <w:divBdr>
        <w:top w:val="none" w:sz="0" w:space="0" w:color="auto"/>
        <w:left w:val="none" w:sz="0" w:space="0" w:color="auto"/>
        <w:bottom w:val="none" w:sz="0" w:space="0" w:color="auto"/>
        <w:right w:val="none" w:sz="0" w:space="0" w:color="auto"/>
      </w:divBdr>
      <w:divsChild>
        <w:div w:id="1918830269">
          <w:marLeft w:val="0"/>
          <w:marRight w:val="0"/>
          <w:marTop w:val="0"/>
          <w:marBottom w:val="0"/>
          <w:divBdr>
            <w:top w:val="none" w:sz="0" w:space="0" w:color="auto"/>
            <w:left w:val="none" w:sz="0" w:space="0" w:color="auto"/>
            <w:bottom w:val="none" w:sz="0" w:space="0" w:color="auto"/>
            <w:right w:val="none" w:sz="0" w:space="0" w:color="auto"/>
          </w:divBdr>
          <w:divsChild>
            <w:div w:id="1491411246">
              <w:marLeft w:val="0"/>
              <w:marRight w:val="0"/>
              <w:marTop w:val="0"/>
              <w:marBottom w:val="0"/>
              <w:divBdr>
                <w:top w:val="none" w:sz="0" w:space="0" w:color="auto"/>
                <w:left w:val="none" w:sz="0" w:space="0" w:color="auto"/>
                <w:bottom w:val="none" w:sz="0" w:space="0" w:color="auto"/>
                <w:right w:val="none" w:sz="0" w:space="0" w:color="auto"/>
              </w:divBdr>
              <w:divsChild>
                <w:div w:id="279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0337">
      <w:bodyDiv w:val="1"/>
      <w:marLeft w:val="0"/>
      <w:marRight w:val="0"/>
      <w:marTop w:val="0"/>
      <w:marBottom w:val="0"/>
      <w:divBdr>
        <w:top w:val="none" w:sz="0" w:space="0" w:color="auto"/>
        <w:left w:val="none" w:sz="0" w:space="0" w:color="auto"/>
        <w:bottom w:val="none" w:sz="0" w:space="0" w:color="auto"/>
        <w:right w:val="none" w:sz="0" w:space="0" w:color="auto"/>
      </w:divBdr>
    </w:div>
    <w:div w:id="218709531">
      <w:bodyDiv w:val="1"/>
      <w:marLeft w:val="0"/>
      <w:marRight w:val="0"/>
      <w:marTop w:val="0"/>
      <w:marBottom w:val="0"/>
      <w:divBdr>
        <w:top w:val="none" w:sz="0" w:space="0" w:color="auto"/>
        <w:left w:val="none" w:sz="0" w:space="0" w:color="auto"/>
        <w:bottom w:val="none" w:sz="0" w:space="0" w:color="auto"/>
        <w:right w:val="none" w:sz="0" w:space="0" w:color="auto"/>
      </w:divBdr>
    </w:div>
    <w:div w:id="225993611">
      <w:bodyDiv w:val="1"/>
      <w:marLeft w:val="0"/>
      <w:marRight w:val="0"/>
      <w:marTop w:val="0"/>
      <w:marBottom w:val="0"/>
      <w:divBdr>
        <w:top w:val="none" w:sz="0" w:space="0" w:color="auto"/>
        <w:left w:val="none" w:sz="0" w:space="0" w:color="auto"/>
        <w:bottom w:val="none" w:sz="0" w:space="0" w:color="auto"/>
        <w:right w:val="none" w:sz="0" w:space="0" w:color="auto"/>
      </w:divBdr>
      <w:divsChild>
        <w:div w:id="1360929131">
          <w:marLeft w:val="0"/>
          <w:marRight w:val="0"/>
          <w:marTop w:val="0"/>
          <w:marBottom w:val="0"/>
          <w:divBdr>
            <w:top w:val="none" w:sz="0" w:space="0" w:color="auto"/>
            <w:left w:val="none" w:sz="0" w:space="0" w:color="auto"/>
            <w:bottom w:val="none" w:sz="0" w:space="0" w:color="auto"/>
            <w:right w:val="none" w:sz="0" w:space="0" w:color="auto"/>
          </w:divBdr>
          <w:divsChild>
            <w:div w:id="314191484">
              <w:marLeft w:val="0"/>
              <w:marRight w:val="0"/>
              <w:marTop w:val="0"/>
              <w:marBottom w:val="0"/>
              <w:divBdr>
                <w:top w:val="none" w:sz="0" w:space="0" w:color="auto"/>
                <w:left w:val="none" w:sz="0" w:space="0" w:color="auto"/>
                <w:bottom w:val="none" w:sz="0" w:space="0" w:color="auto"/>
                <w:right w:val="none" w:sz="0" w:space="0" w:color="auto"/>
              </w:divBdr>
              <w:divsChild>
                <w:div w:id="2108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2959">
      <w:bodyDiv w:val="1"/>
      <w:marLeft w:val="0"/>
      <w:marRight w:val="0"/>
      <w:marTop w:val="0"/>
      <w:marBottom w:val="0"/>
      <w:divBdr>
        <w:top w:val="none" w:sz="0" w:space="0" w:color="auto"/>
        <w:left w:val="none" w:sz="0" w:space="0" w:color="auto"/>
        <w:bottom w:val="none" w:sz="0" w:space="0" w:color="auto"/>
        <w:right w:val="none" w:sz="0" w:space="0" w:color="auto"/>
      </w:divBdr>
    </w:div>
    <w:div w:id="240137259">
      <w:bodyDiv w:val="1"/>
      <w:marLeft w:val="0"/>
      <w:marRight w:val="0"/>
      <w:marTop w:val="0"/>
      <w:marBottom w:val="0"/>
      <w:divBdr>
        <w:top w:val="none" w:sz="0" w:space="0" w:color="auto"/>
        <w:left w:val="none" w:sz="0" w:space="0" w:color="auto"/>
        <w:bottom w:val="none" w:sz="0" w:space="0" w:color="auto"/>
        <w:right w:val="none" w:sz="0" w:space="0" w:color="auto"/>
      </w:divBdr>
    </w:div>
    <w:div w:id="288783658">
      <w:bodyDiv w:val="1"/>
      <w:marLeft w:val="0"/>
      <w:marRight w:val="0"/>
      <w:marTop w:val="0"/>
      <w:marBottom w:val="0"/>
      <w:divBdr>
        <w:top w:val="none" w:sz="0" w:space="0" w:color="auto"/>
        <w:left w:val="none" w:sz="0" w:space="0" w:color="auto"/>
        <w:bottom w:val="none" w:sz="0" w:space="0" w:color="auto"/>
        <w:right w:val="none" w:sz="0" w:space="0" w:color="auto"/>
      </w:divBdr>
      <w:divsChild>
        <w:div w:id="121849541">
          <w:marLeft w:val="0"/>
          <w:marRight w:val="0"/>
          <w:marTop w:val="0"/>
          <w:marBottom w:val="0"/>
          <w:divBdr>
            <w:top w:val="none" w:sz="0" w:space="0" w:color="auto"/>
            <w:left w:val="none" w:sz="0" w:space="0" w:color="auto"/>
            <w:bottom w:val="none" w:sz="0" w:space="0" w:color="auto"/>
            <w:right w:val="none" w:sz="0" w:space="0" w:color="auto"/>
          </w:divBdr>
        </w:div>
        <w:div w:id="214003316">
          <w:marLeft w:val="0"/>
          <w:marRight w:val="0"/>
          <w:marTop w:val="0"/>
          <w:marBottom w:val="0"/>
          <w:divBdr>
            <w:top w:val="none" w:sz="0" w:space="0" w:color="auto"/>
            <w:left w:val="none" w:sz="0" w:space="0" w:color="auto"/>
            <w:bottom w:val="none" w:sz="0" w:space="0" w:color="auto"/>
            <w:right w:val="none" w:sz="0" w:space="0" w:color="auto"/>
          </w:divBdr>
        </w:div>
        <w:div w:id="299920213">
          <w:marLeft w:val="0"/>
          <w:marRight w:val="0"/>
          <w:marTop w:val="0"/>
          <w:marBottom w:val="0"/>
          <w:divBdr>
            <w:top w:val="none" w:sz="0" w:space="0" w:color="auto"/>
            <w:left w:val="none" w:sz="0" w:space="0" w:color="auto"/>
            <w:bottom w:val="none" w:sz="0" w:space="0" w:color="auto"/>
            <w:right w:val="none" w:sz="0" w:space="0" w:color="auto"/>
          </w:divBdr>
        </w:div>
        <w:div w:id="415521772">
          <w:marLeft w:val="0"/>
          <w:marRight w:val="0"/>
          <w:marTop w:val="0"/>
          <w:marBottom w:val="0"/>
          <w:divBdr>
            <w:top w:val="none" w:sz="0" w:space="0" w:color="auto"/>
            <w:left w:val="none" w:sz="0" w:space="0" w:color="auto"/>
            <w:bottom w:val="none" w:sz="0" w:space="0" w:color="auto"/>
            <w:right w:val="none" w:sz="0" w:space="0" w:color="auto"/>
          </w:divBdr>
        </w:div>
        <w:div w:id="431247300">
          <w:marLeft w:val="0"/>
          <w:marRight w:val="0"/>
          <w:marTop w:val="0"/>
          <w:marBottom w:val="0"/>
          <w:divBdr>
            <w:top w:val="none" w:sz="0" w:space="0" w:color="auto"/>
            <w:left w:val="none" w:sz="0" w:space="0" w:color="auto"/>
            <w:bottom w:val="none" w:sz="0" w:space="0" w:color="auto"/>
            <w:right w:val="none" w:sz="0" w:space="0" w:color="auto"/>
          </w:divBdr>
        </w:div>
        <w:div w:id="497187471">
          <w:marLeft w:val="0"/>
          <w:marRight w:val="0"/>
          <w:marTop w:val="0"/>
          <w:marBottom w:val="0"/>
          <w:divBdr>
            <w:top w:val="none" w:sz="0" w:space="0" w:color="auto"/>
            <w:left w:val="none" w:sz="0" w:space="0" w:color="auto"/>
            <w:bottom w:val="none" w:sz="0" w:space="0" w:color="auto"/>
            <w:right w:val="none" w:sz="0" w:space="0" w:color="auto"/>
          </w:divBdr>
        </w:div>
        <w:div w:id="714625634">
          <w:marLeft w:val="0"/>
          <w:marRight w:val="0"/>
          <w:marTop w:val="0"/>
          <w:marBottom w:val="0"/>
          <w:divBdr>
            <w:top w:val="none" w:sz="0" w:space="0" w:color="auto"/>
            <w:left w:val="none" w:sz="0" w:space="0" w:color="auto"/>
            <w:bottom w:val="none" w:sz="0" w:space="0" w:color="auto"/>
            <w:right w:val="none" w:sz="0" w:space="0" w:color="auto"/>
          </w:divBdr>
        </w:div>
        <w:div w:id="927230850">
          <w:marLeft w:val="0"/>
          <w:marRight w:val="0"/>
          <w:marTop w:val="0"/>
          <w:marBottom w:val="0"/>
          <w:divBdr>
            <w:top w:val="none" w:sz="0" w:space="0" w:color="auto"/>
            <w:left w:val="none" w:sz="0" w:space="0" w:color="auto"/>
            <w:bottom w:val="none" w:sz="0" w:space="0" w:color="auto"/>
            <w:right w:val="none" w:sz="0" w:space="0" w:color="auto"/>
          </w:divBdr>
        </w:div>
        <w:div w:id="955527746">
          <w:marLeft w:val="0"/>
          <w:marRight w:val="0"/>
          <w:marTop w:val="0"/>
          <w:marBottom w:val="0"/>
          <w:divBdr>
            <w:top w:val="none" w:sz="0" w:space="0" w:color="auto"/>
            <w:left w:val="none" w:sz="0" w:space="0" w:color="auto"/>
            <w:bottom w:val="none" w:sz="0" w:space="0" w:color="auto"/>
            <w:right w:val="none" w:sz="0" w:space="0" w:color="auto"/>
          </w:divBdr>
        </w:div>
        <w:div w:id="1363239201">
          <w:marLeft w:val="0"/>
          <w:marRight w:val="0"/>
          <w:marTop w:val="0"/>
          <w:marBottom w:val="0"/>
          <w:divBdr>
            <w:top w:val="none" w:sz="0" w:space="0" w:color="auto"/>
            <w:left w:val="none" w:sz="0" w:space="0" w:color="auto"/>
            <w:bottom w:val="none" w:sz="0" w:space="0" w:color="auto"/>
            <w:right w:val="none" w:sz="0" w:space="0" w:color="auto"/>
          </w:divBdr>
        </w:div>
        <w:div w:id="1830631598">
          <w:marLeft w:val="0"/>
          <w:marRight w:val="0"/>
          <w:marTop w:val="0"/>
          <w:marBottom w:val="0"/>
          <w:divBdr>
            <w:top w:val="none" w:sz="0" w:space="0" w:color="auto"/>
            <w:left w:val="none" w:sz="0" w:space="0" w:color="auto"/>
            <w:bottom w:val="none" w:sz="0" w:space="0" w:color="auto"/>
            <w:right w:val="none" w:sz="0" w:space="0" w:color="auto"/>
          </w:divBdr>
        </w:div>
        <w:div w:id="1901789812">
          <w:marLeft w:val="0"/>
          <w:marRight w:val="0"/>
          <w:marTop w:val="0"/>
          <w:marBottom w:val="0"/>
          <w:divBdr>
            <w:top w:val="none" w:sz="0" w:space="0" w:color="auto"/>
            <w:left w:val="none" w:sz="0" w:space="0" w:color="auto"/>
            <w:bottom w:val="none" w:sz="0" w:space="0" w:color="auto"/>
            <w:right w:val="none" w:sz="0" w:space="0" w:color="auto"/>
          </w:divBdr>
        </w:div>
        <w:div w:id="1913078979">
          <w:marLeft w:val="0"/>
          <w:marRight w:val="0"/>
          <w:marTop w:val="0"/>
          <w:marBottom w:val="0"/>
          <w:divBdr>
            <w:top w:val="none" w:sz="0" w:space="0" w:color="auto"/>
            <w:left w:val="none" w:sz="0" w:space="0" w:color="auto"/>
            <w:bottom w:val="none" w:sz="0" w:space="0" w:color="auto"/>
            <w:right w:val="none" w:sz="0" w:space="0" w:color="auto"/>
          </w:divBdr>
        </w:div>
        <w:div w:id="2067099172">
          <w:marLeft w:val="0"/>
          <w:marRight w:val="0"/>
          <w:marTop w:val="0"/>
          <w:marBottom w:val="0"/>
          <w:divBdr>
            <w:top w:val="none" w:sz="0" w:space="0" w:color="auto"/>
            <w:left w:val="none" w:sz="0" w:space="0" w:color="auto"/>
            <w:bottom w:val="none" w:sz="0" w:space="0" w:color="auto"/>
            <w:right w:val="none" w:sz="0" w:space="0" w:color="auto"/>
          </w:divBdr>
        </w:div>
      </w:divsChild>
    </w:div>
    <w:div w:id="307562278">
      <w:bodyDiv w:val="1"/>
      <w:marLeft w:val="0"/>
      <w:marRight w:val="0"/>
      <w:marTop w:val="0"/>
      <w:marBottom w:val="0"/>
      <w:divBdr>
        <w:top w:val="none" w:sz="0" w:space="0" w:color="auto"/>
        <w:left w:val="none" w:sz="0" w:space="0" w:color="auto"/>
        <w:bottom w:val="none" w:sz="0" w:space="0" w:color="auto"/>
        <w:right w:val="none" w:sz="0" w:space="0" w:color="auto"/>
      </w:divBdr>
      <w:divsChild>
        <w:div w:id="142700195">
          <w:marLeft w:val="0"/>
          <w:marRight w:val="0"/>
          <w:marTop w:val="0"/>
          <w:marBottom w:val="0"/>
          <w:divBdr>
            <w:top w:val="none" w:sz="0" w:space="0" w:color="auto"/>
            <w:left w:val="none" w:sz="0" w:space="0" w:color="auto"/>
            <w:bottom w:val="none" w:sz="0" w:space="0" w:color="auto"/>
            <w:right w:val="none" w:sz="0" w:space="0" w:color="auto"/>
          </w:divBdr>
          <w:divsChild>
            <w:div w:id="1764298526">
              <w:marLeft w:val="0"/>
              <w:marRight w:val="0"/>
              <w:marTop w:val="0"/>
              <w:marBottom w:val="0"/>
              <w:divBdr>
                <w:top w:val="none" w:sz="0" w:space="0" w:color="auto"/>
                <w:left w:val="none" w:sz="0" w:space="0" w:color="auto"/>
                <w:bottom w:val="none" w:sz="0" w:space="0" w:color="auto"/>
                <w:right w:val="none" w:sz="0" w:space="0" w:color="auto"/>
              </w:divBdr>
              <w:divsChild>
                <w:div w:id="19051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46634">
      <w:bodyDiv w:val="1"/>
      <w:marLeft w:val="0"/>
      <w:marRight w:val="0"/>
      <w:marTop w:val="0"/>
      <w:marBottom w:val="0"/>
      <w:divBdr>
        <w:top w:val="none" w:sz="0" w:space="0" w:color="auto"/>
        <w:left w:val="none" w:sz="0" w:space="0" w:color="auto"/>
        <w:bottom w:val="none" w:sz="0" w:space="0" w:color="auto"/>
        <w:right w:val="none" w:sz="0" w:space="0" w:color="auto"/>
      </w:divBdr>
      <w:divsChild>
        <w:div w:id="1539705293">
          <w:marLeft w:val="0"/>
          <w:marRight w:val="0"/>
          <w:marTop w:val="0"/>
          <w:marBottom w:val="0"/>
          <w:divBdr>
            <w:top w:val="none" w:sz="0" w:space="0" w:color="auto"/>
            <w:left w:val="none" w:sz="0" w:space="0" w:color="auto"/>
            <w:bottom w:val="none" w:sz="0" w:space="0" w:color="auto"/>
            <w:right w:val="none" w:sz="0" w:space="0" w:color="auto"/>
          </w:divBdr>
          <w:divsChild>
            <w:div w:id="1207376730">
              <w:marLeft w:val="0"/>
              <w:marRight w:val="0"/>
              <w:marTop w:val="0"/>
              <w:marBottom w:val="0"/>
              <w:divBdr>
                <w:top w:val="none" w:sz="0" w:space="0" w:color="auto"/>
                <w:left w:val="none" w:sz="0" w:space="0" w:color="auto"/>
                <w:bottom w:val="none" w:sz="0" w:space="0" w:color="auto"/>
                <w:right w:val="none" w:sz="0" w:space="0" w:color="auto"/>
              </w:divBdr>
              <w:divsChild>
                <w:div w:id="20388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51924">
      <w:bodyDiv w:val="1"/>
      <w:marLeft w:val="0"/>
      <w:marRight w:val="0"/>
      <w:marTop w:val="0"/>
      <w:marBottom w:val="0"/>
      <w:divBdr>
        <w:top w:val="none" w:sz="0" w:space="0" w:color="auto"/>
        <w:left w:val="none" w:sz="0" w:space="0" w:color="auto"/>
        <w:bottom w:val="none" w:sz="0" w:space="0" w:color="auto"/>
        <w:right w:val="none" w:sz="0" w:space="0" w:color="auto"/>
      </w:divBdr>
    </w:div>
    <w:div w:id="346562754">
      <w:bodyDiv w:val="1"/>
      <w:marLeft w:val="0"/>
      <w:marRight w:val="0"/>
      <w:marTop w:val="0"/>
      <w:marBottom w:val="0"/>
      <w:divBdr>
        <w:top w:val="none" w:sz="0" w:space="0" w:color="auto"/>
        <w:left w:val="none" w:sz="0" w:space="0" w:color="auto"/>
        <w:bottom w:val="none" w:sz="0" w:space="0" w:color="auto"/>
        <w:right w:val="none" w:sz="0" w:space="0" w:color="auto"/>
      </w:divBdr>
      <w:divsChild>
        <w:div w:id="1744063520">
          <w:marLeft w:val="0"/>
          <w:marRight w:val="0"/>
          <w:marTop w:val="0"/>
          <w:marBottom w:val="0"/>
          <w:divBdr>
            <w:top w:val="none" w:sz="0" w:space="0" w:color="auto"/>
            <w:left w:val="none" w:sz="0" w:space="0" w:color="auto"/>
            <w:bottom w:val="none" w:sz="0" w:space="0" w:color="auto"/>
            <w:right w:val="none" w:sz="0" w:space="0" w:color="auto"/>
          </w:divBdr>
          <w:divsChild>
            <w:div w:id="206575971">
              <w:marLeft w:val="0"/>
              <w:marRight w:val="0"/>
              <w:marTop w:val="0"/>
              <w:marBottom w:val="0"/>
              <w:divBdr>
                <w:top w:val="none" w:sz="0" w:space="0" w:color="auto"/>
                <w:left w:val="none" w:sz="0" w:space="0" w:color="auto"/>
                <w:bottom w:val="none" w:sz="0" w:space="0" w:color="auto"/>
                <w:right w:val="none" w:sz="0" w:space="0" w:color="auto"/>
              </w:divBdr>
              <w:divsChild>
                <w:div w:id="15351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1404">
      <w:bodyDiv w:val="1"/>
      <w:marLeft w:val="0"/>
      <w:marRight w:val="0"/>
      <w:marTop w:val="0"/>
      <w:marBottom w:val="0"/>
      <w:divBdr>
        <w:top w:val="none" w:sz="0" w:space="0" w:color="auto"/>
        <w:left w:val="none" w:sz="0" w:space="0" w:color="auto"/>
        <w:bottom w:val="none" w:sz="0" w:space="0" w:color="auto"/>
        <w:right w:val="none" w:sz="0" w:space="0" w:color="auto"/>
      </w:divBdr>
    </w:div>
    <w:div w:id="439567268">
      <w:bodyDiv w:val="1"/>
      <w:marLeft w:val="0"/>
      <w:marRight w:val="0"/>
      <w:marTop w:val="0"/>
      <w:marBottom w:val="0"/>
      <w:divBdr>
        <w:top w:val="none" w:sz="0" w:space="0" w:color="auto"/>
        <w:left w:val="none" w:sz="0" w:space="0" w:color="auto"/>
        <w:bottom w:val="none" w:sz="0" w:space="0" w:color="auto"/>
        <w:right w:val="none" w:sz="0" w:space="0" w:color="auto"/>
      </w:divBdr>
      <w:divsChild>
        <w:div w:id="719523908">
          <w:marLeft w:val="0"/>
          <w:marRight w:val="0"/>
          <w:marTop w:val="0"/>
          <w:marBottom w:val="0"/>
          <w:divBdr>
            <w:top w:val="none" w:sz="0" w:space="0" w:color="auto"/>
            <w:left w:val="none" w:sz="0" w:space="0" w:color="auto"/>
            <w:bottom w:val="none" w:sz="0" w:space="0" w:color="auto"/>
            <w:right w:val="none" w:sz="0" w:space="0" w:color="auto"/>
          </w:divBdr>
          <w:divsChild>
            <w:div w:id="580875243">
              <w:marLeft w:val="0"/>
              <w:marRight w:val="0"/>
              <w:marTop w:val="0"/>
              <w:marBottom w:val="0"/>
              <w:divBdr>
                <w:top w:val="none" w:sz="0" w:space="0" w:color="auto"/>
                <w:left w:val="none" w:sz="0" w:space="0" w:color="auto"/>
                <w:bottom w:val="none" w:sz="0" w:space="0" w:color="auto"/>
                <w:right w:val="none" w:sz="0" w:space="0" w:color="auto"/>
              </w:divBdr>
              <w:divsChild>
                <w:div w:id="17746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13915">
      <w:bodyDiv w:val="1"/>
      <w:marLeft w:val="0"/>
      <w:marRight w:val="0"/>
      <w:marTop w:val="0"/>
      <w:marBottom w:val="0"/>
      <w:divBdr>
        <w:top w:val="none" w:sz="0" w:space="0" w:color="auto"/>
        <w:left w:val="none" w:sz="0" w:space="0" w:color="auto"/>
        <w:bottom w:val="none" w:sz="0" w:space="0" w:color="auto"/>
        <w:right w:val="none" w:sz="0" w:space="0" w:color="auto"/>
      </w:divBdr>
      <w:divsChild>
        <w:div w:id="887567978">
          <w:marLeft w:val="0"/>
          <w:marRight w:val="0"/>
          <w:marTop w:val="0"/>
          <w:marBottom w:val="0"/>
          <w:divBdr>
            <w:top w:val="none" w:sz="0" w:space="0" w:color="auto"/>
            <w:left w:val="none" w:sz="0" w:space="0" w:color="auto"/>
            <w:bottom w:val="none" w:sz="0" w:space="0" w:color="auto"/>
            <w:right w:val="none" w:sz="0" w:space="0" w:color="auto"/>
          </w:divBdr>
          <w:divsChild>
            <w:div w:id="277568366">
              <w:marLeft w:val="0"/>
              <w:marRight w:val="0"/>
              <w:marTop w:val="0"/>
              <w:marBottom w:val="0"/>
              <w:divBdr>
                <w:top w:val="none" w:sz="0" w:space="0" w:color="auto"/>
                <w:left w:val="none" w:sz="0" w:space="0" w:color="auto"/>
                <w:bottom w:val="none" w:sz="0" w:space="0" w:color="auto"/>
                <w:right w:val="none" w:sz="0" w:space="0" w:color="auto"/>
              </w:divBdr>
              <w:divsChild>
                <w:div w:id="3649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2288">
      <w:bodyDiv w:val="1"/>
      <w:marLeft w:val="0"/>
      <w:marRight w:val="0"/>
      <w:marTop w:val="0"/>
      <w:marBottom w:val="0"/>
      <w:divBdr>
        <w:top w:val="none" w:sz="0" w:space="0" w:color="auto"/>
        <w:left w:val="none" w:sz="0" w:space="0" w:color="auto"/>
        <w:bottom w:val="none" w:sz="0" w:space="0" w:color="auto"/>
        <w:right w:val="none" w:sz="0" w:space="0" w:color="auto"/>
      </w:divBdr>
    </w:div>
    <w:div w:id="481892379">
      <w:bodyDiv w:val="1"/>
      <w:marLeft w:val="0"/>
      <w:marRight w:val="0"/>
      <w:marTop w:val="0"/>
      <w:marBottom w:val="0"/>
      <w:divBdr>
        <w:top w:val="none" w:sz="0" w:space="0" w:color="auto"/>
        <w:left w:val="none" w:sz="0" w:space="0" w:color="auto"/>
        <w:bottom w:val="none" w:sz="0" w:space="0" w:color="auto"/>
        <w:right w:val="none" w:sz="0" w:space="0" w:color="auto"/>
      </w:divBdr>
      <w:divsChild>
        <w:div w:id="1742211497">
          <w:marLeft w:val="0"/>
          <w:marRight w:val="0"/>
          <w:marTop w:val="0"/>
          <w:marBottom w:val="0"/>
          <w:divBdr>
            <w:top w:val="none" w:sz="0" w:space="0" w:color="auto"/>
            <w:left w:val="none" w:sz="0" w:space="0" w:color="auto"/>
            <w:bottom w:val="none" w:sz="0" w:space="0" w:color="auto"/>
            <w:right w:val="none" w:sz="0" w:space="0" w:color="auto"/>
          </w:divBdr>
          <w:divsChild>
            <w:div w:id="1596864061">
              <w:marLeft w:val="0"/>
              <w:marRight w:val="0"/>
              <w:marTop w:val="0"/>
              <w:marBottom w:val="0"/>
              <w:divBdr>
                <w:top w:val="none" w:sz="0" w:space="0" w:color="auto"/>
                <w:left w:val="none" w:sz="0" w:space="0" w:color="auto"/>
                <w:bottom w:val="none" w:sz="0" w:space="0" w:color="auto"/>
                <w:right w:val="none" w:sz="0" w:space="0" w:color="auto"/>
              </w:divBdr>
              <w:divsChild>
                <w:div w:id="17538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9847">
      <w:bodyDiv w:val="1"/>
      <w:marLeft w:val="0"/>
      <w:marRight w:val="0"/>
      <w:marTop w:val="0"/>
      <w:marBottom w:val="0"/>
      <w:divBdr>
        <w:top w:val="none" w:sz="0" w:space="0" w:color="auto"/>
        <w:left w:val="none" w:sz="0" w:space="0" w:color="auto"/>
        <w:bottom w:val="none" w:sz="0" w:space="0" w:color="auto"/>
        <w:right w:val="none" w:sz="0" w:space="0" w:color="auto"/>
      </w:divBdr>
    </w:div>
    <w:div w:id="551311943">
      <w:bodyDiv w:val="1"/>
      <w:marLeft w:val="0"/>
      <w:marRight w:val="0"/>
      <w:marTop w:val="0"/>
      <w:marBottom w:val="0"/>
      <w:divBdr>
        <w:top w:val="none" w:sz="0" w:space="0" w:color="auto"/>
        <w:left w:val="none" w:sz="0" w:space="0" w:color="auto"/>
        <w:bottom w:val="none" w:sz="0" w:space="0" w:color="auto"/>
        <w:right w:val="none" w:sz="0" w:space="0" w:color="auto"/>
      </w:divBdr>
      <w:divsChild>
        <w:div w:id="204491192">
          <w:marLeft w:val="0"/>
          <w:marRight w:val="0"/>
          <w:marTop w:val="0"/>
          <w:marBottom w:val="0"/>
          <w:divBdr>
            <w:top w:val="none" w:sz="0" w:space="0" w:color="auto"/>
            <w:left w:val="none" w:sz="0" w:space="0" w:color="auto"/>
            <w:bottom w:val="none" w:sz="0" w:space="0" w:color="auto"/>
            <w:right w:val="none" w:sz="0" w:space="0" w:color="auto"/>
          </w:divBdr>
        </w:div>
      </w:divsChild>
    </w:div>
    <w:div w:id="554046670">
      <w:bodyDiv w:val="1"/>
      <w:marLeft w:val="0"/>
      <w:marRight w:val="0"/>
      <w:marTop w:val="0"/>
      <w:marBottom w:val="0"/>
      <w:divBdr>
        <w:top w:val="none" w:sz="0" w:space="0" w:color="auto"/>
        <w:left w:val="none" w:sz="0" w:space="0" w:color="auto"/>
        <w:bottom w:val="none" w:sz="0" w:space="0" w:color="auto"/>
        <w:right w:val="none" w:sz="0" w:space="0" w:color="auto"/>
      </w:divBdr>
    </w:div>
    <w:div w:id="562372175">
      <w:bodyDiv w:val="1"/>
      <w:marLeft w:val="0"/>
      <w:marRight w:val="0"/>
      <w:marTop w:val="0"/>
      <w:marBottom w:val="0"/>
      <w:divBdr>
        <w:top w:val="none" w:sz="0" w:space="0" w:color="auto"/>
        <w:left w:val="none" w:sz="0" w:space="0" w:color="auto"/>
        <w:bottom w:val="none" w:sz="0" w:space="0" w:color="auto"/>
        <w:right w:val="none" w:sz="0" w:space="0" w:color="auto"/>
      </w:divBdr>
    </w:div>
    <w:div w:id="569192608">
      <w:bodyDiv w:val="1"/>
      <w:marLeft w:val="0"/>
      <w:marRight w:val="0"/>
      <w:marTop w:val="0"/>
      <w:marBottom w:val="0"/>
      <w:divBdr>
        <w:top w:val="none" w:sz="0" w:space="0" w:color="auto"/>
        <w:left w:val="none" w:sz="0" w:space="0" w:color="auto"/>
        <w:bottom w:val="none" w:sz="0" w:space="0" w:color="auto"/>
        <w:right w:val="none" w:sz="0" w:space="0" w:color="auto"/>
      </w:divBdr>
      <w:divsChild>
        <w:div w:id="397630852">
          <w:marLeft w:val="0"/>
          <w:marRight w:val="0"/>
          <w:marTop w:val="0"/>
          <w:marBottom w:val="0"/>
          <w:divBdr>
            <w:top w:val="none" w:sz="0" w:space="0" w:color="auto"/>
            <w:left w:val="none" w:sz="0" w:space="0" w:color="auto"/>
            <w:bottom w:val="none" w:sz="0" w:space="0" w:color="auto"/>
            <w:right w:val="none" w:sz="0" w:space="0" w:color="auto"/>
          </w:divBdr>
          <w:divsChild>
            <w:div w:id="1932464653">
              <w:marLeft w:val="0"/>
              <w:marRight w:val="0"/>
              <w:marTop w:val="0"/>
              <w:marBottom w:val="0"/>
              <w:divBdr>
                <w:top w:val="none" w:sz="0" w:space="0" w:color="auto"/>
                <w:left w:val="none" w:sz="0" w:space="0" w:color="auto"/>
                <w:bottom w:val="none" w:sz="0" w:space="0" w:color="auto"/>
                <w:right w:val="none" w:sz="0" w:space="0" w:color="auto"/>
              </w:divBdr>
              <w:divsChild>
                <w:div w:id="1284651949">
                  <w:marLeft w:val="0"/>
                  <w:marRight w:val="0"/>
                  <w:marTop w:val="0"/>
                  <w:marBottom w:val="0"/>
                  <w:divBdr>
                    <w:top w:val="none" w:sz="0" w:space="0" w:color="auto"/>
                    <w:left w:val="none" w:sz="0" w:space="0" w:color="auto"/>
                    <w:bottom w:val="none" w:sz="0" w:space="0" w:color="auto"/>
                    <w:right w:val="none" w:sz="0" w:space="0" w:color="auto"/>
                  </w:divBdr>
                  <w:divsChild>
                    <w:div w:id="9295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48573">
      <w:bodyDiv w:val="1"/>
      <w:marLeft w:val="0"/>
      <w:marRight w:val="0"/>
      <w:marTop w:val="0"/>
      <w:marBottom w:val="0"/>
      <w:divBdr>
        <w:top w:val="none" w:sz="0" w:space="0" w:color="auto"/>
        <w:left w:val="none" w:sz="0" w:space="0" w:color="auto"/>
        <w:bottom w:val="none" w:sz="0" w:space="0" w:color="auto"/>
        <w:right w:val="none" w:sz="0" w:space="0" w:color="auto"/>
      </w:divBdr>
      <w:divsChild>
        <w:div w:id="966013212">
          <w:marLeft w:val="0"/>
          <w:marRight w:val="0"/>
          <w:marTop w:val="0"/>
          <w:marBottom w:val="0"/>
          <w:divBdr>
            <w:top w:val="none" w:sz="0" w:space="0" w:color="auto"/>
            <w:left w:val="none" w:sz="0" w:space="0" w:color="auto"/>
            <w:bottom w:val="none" w:sz="0" w:space="0" w:color="auto"/>
            <w:right w:val="none" w:sz="0" w:space="0" w:color="auto"/>
          </w:divBdr>
          <w:divsChild>
            <w:div w:id="1227573648">
              <w:marLeft w:val="0"/>
              <w:marRight w:val="0"/>
              <w:marTop w:val="0"/>
              <w:marBottom w:val="0"/>
              <w:divBdr>
                <w:top w:val="none" w:sz="0" w:space="0" w:color="auto"/>
                <w:left w:val="none" w:sz="0" w:space="0" w:color="auto"/>
                <w:bottom w:val="none" w:sz="0" w:space="0" w:color="auto"/>
                <w:right w:val="none" w:sz="0" w:space="0" w:color="auto"/>
              </w:divBdr>
              <w:divsChild>
                <w:div w:id="3150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9896">
      <w:bodyDiv w:val="1"/>
      <w:marLeft w:val="0"/>
      <w:marRight w:val="0"/>
      <w:marTop w:val="0"/>
      <w:marBottom w:val="0"/>
      <w:divBdr>
        <w:top w:val="none" w:sz="0" w:space="0" w:color="auto"/>
        <w:left w:val="none" w:sz="0" w:space="0" w:color="auto"/>
        <w:bottom w:val="none" w:sz="0" w:space="0" w:color="auto"/>
        <w:right w:val="none" w:sz="0" w:space="0" w:color="auto"/>
      </w:divBdr>
      <w:divsChild>
        <w:div w:id="1229610962">
          <w:marLeft w:val="0"/>
          <w:marRight w:val="0"/>
          <w:marTop w:val="0"/>
          <w:marBottom w:val="0"/>
          <w:divBdr>
            <w:top w:val="none" w:sz="0" w:space="0" w:color="auto"/>
            <w:left w:val="none" w:sz="0" w:space="0" w:color="auto"/>
            <w:bottom w:val="none" w:sz="0" w:space="0" w:color="auto"/>
            <w:right w:val="none" w:sz="0" w:space="0" w:color="auto"/>
          </w:divBdr>
          <w:divsChild>
            <w:div w:id="2111394300">
              <w:marLeft w:val="0"/>
              <w:marRight w:val="0"/>
              <w:marTop w:val="0"/>
              <w:marBottom w:val="0"/>
              <w:divBdr>
                <w:top w:val="none" w:sz="0" w:space="0" w:color="auto"/>
                <w:left w:val="none" w:sz="0" w:space="0" w:color="auto"/>
                <w:bottom w:val="none" w:sz="0" w:space="0" w:color="auto"/>
                <w:right w:val="none" w:sz="0" w:space="0" w:color="auto"/>
              </w:divBdr>
              <w:divsChild>
                <w:div w:id="21053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5147">
      <w:bodyDiv w:val="1"/>
      <w:marLeft w:val="0"/>
      <w:marRight w:val="0"/>
      <w:marTop w:val="0"/>
      <w:marBottom w:val="0"/>
      <w:divBdr>
        <w:top w:val="none" w:sz="0" w:space="0" w:color="auto"/>
        <w:left w:val="none" w:sz="0" w:space="0" w:color="auto"/>
        <w:bottom w:val="none" w:sz="0" w:space="0" w:color="auto"/>
        <w:right w:val="none" w:sz="0" w:space="0" w:color="auto"/>
      </w:divBdr>
    </w:div>
    <w:div w:id="652562768">
      <w:bodyDiv w:val="1"/>
      <w:marLeft w:val="0"/>
      <w:marRight w:val="0"/>
      <w:marTop w:val="0"/>
      <w:marBottom w:val="0"/>
      <w:divBdr>
        <w:top w:val="none" w:sz="0" w:space="0" w:color="auto"/>
        <w:left w:val="none" w:sz="0" w:space="0" w:color="auto"/>
        <w:bottom w:val="none" w:sz="0" w:space="0" w:color="auto"/>
        <w:right w:val="none" w:sz="0" w:space="0" w:color="auto"/>
      </w:divBdr>
      <w:divsChild>
        <w:div w:id="1755593706">
          <w:marLeft w:val="0"/>
          <w:marRight w:val="0"/>
          <w:marTop w:val="0"/>
          <w:marBottom w:val="0"/>
          <w:divBdr>
            <w:top w:val="none" w:sz="0" w:space="0" w:color="auto"/>
            <w:left w:val="none" w:sz="0" w:space="0" w:color="auto"/>
            <w:bottom w:val="none" w:sz="0" w:space="0" w:color="auto"/>
            <w:right w:val="none" w:sz="0" w:space="0" w:color="auto"/>
          </w:divBdr>
          <w:divsChild>
            <w:div w:id="1624266450">
              <w:marLeft w:val="0"/>
              <w:marRight w:val="0"/>
              <w:marTop w:val="0"/>
              <w:marBottom w:val="0"/>
              <w:divBdr>
                <w:top w:val="none" w:sz="0" w:space="0" w:color="auto"/>
                <w:left w:val="none" w:sz="0" w:space="0" w:color="auto"/>
                <w:bottom w:val="none" w:sz="0" w:space="0" w:color="auto"/>
                <w:right w:val="none" w:sz="0" w:space="0" w:color="auto"/>
              </w:divBdr>
              <w:divsChild>
                <w:div w:id="17979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4022">
      <w:bodyDiv w:val="1"/>
      <w:marLeft w:val="0"/>
      <w:marRight w:val="0"/>
      <w:marTop w:val="0"/>
      <w:marBottom w:val="0"/>
      <w:divBdr>
        <w:top w:val="none" w:sz="0" w:space="0" w:color="auto"/>
        <w:left w:val="none" w:sz="0" w:space="0" w:color="auto"/>
        <w:bottom w:val="none" w:sz="0" w:space="0" w:color="auto"/>
        <w:right w:val="none" w:sz="0" w:space="0" w:color="auto"/>
      </w:divBdr>
      <w:divsChild>
        <w:div w:id="410394660">
          <w:marLeft w:val="0"/>
          <w:marRight w:val="0"/>
          <w:marTop w:val="0"/>
          <w:marBottom w:val="0"/>
          <w:divBdr>
            <w:top w:val="none" w:sz="0" w:space="0" w:color="auto"/>
            <w:left w:val="none" w:sz="0" w:space="0" w:color="auto"/>
            <w:bottom w:val="none" w:sz="0" w:space="0" w:color="auto"/>
            <w:right w:val="none" w:sz="0" w:space="0" w:color="auto"/>
          </w:divBdr>
          <w:divsChild>
            <w:div w:id="1191725368">
              <w:marLeft w:val="0"/>
              <w:marRight w:val="0"/>
              <w:marTop w:val="0"/>
              <w:marBottom w:val="0"/>
              <w:divBdr>
                <w:top w:val="none" w:sz="0" w:space="0" w:color="auto"/>
                <w:left w:val="none" w:sz="0" w:space="0" w:color="auto"/>
                <w:bottom w:val="none" w:sz="0" w:space="0" w:color="auto"/>
                <w:right w:val="none" w:sz="0" w:space="0" w:color="auto"/>
              </w:divBdr>
              <w:divsChild>
                <w:div w:id="2679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0144">
      <w:bodyDiv w:val="1"/>
      <w:marLeft w:val="0"/>
      <w:marRight w:val="0"/>
      <w:marTop w:val="0"/>
      <w:marBottom w:val="0"/>
      <w:divBdr>
        <w:top w:val="none" w:sz="0" w:space="0" w:color="auto"/>
        <w:left w:val="none" w:sz="0" w:space="0" w:color="auto"/>
        <w:bottom w:val="none" w:sz="0" w:space="0" w:color="auto"/>
        <w:right w:val="none" w:sz="0" w:space="0" w:color="auto"/>
      </w:divBdr>
      <w:divsChild>
        <w:div w:id="1204948116">
          <w:marLeft w:val="0"/>
          <w:marRight w:val="0"/>
          <w:marTop w:val="0"/>
          <w:marBottom w:val="0"/>
          <w:divBdr>
            <w:top w:val="none" w:sz="0" w:space="0" w:color="auto"/>
            <w:left w:val="none" w:sz="0" w:space="0" w:color="auto"/>
            <w:bottom w:val="none" w:sz="0" w:space="0" w:color="auto"/>
            <w:right w:val="none" w:sz="0" w:space="0" w:color="auto"/>
          </w:divBdr>
          <w:divsChild>
            <w:div w:id="1677686961">
              <w:marLeft w:val="0"/>
              <w:marRight w:val="0"/>
              <w:marTop w:val="0"/>
              <w:marBottom w:val="0"/>
              <w:divBdr>
                <w:top w:val="none" w:sz="0" w:space="0" w:color="auto"/>
                <w:left w:val="none" w:sz="0" w:space="0" w:color="auto"/>
                <w:bottom w:val="none" w:sz="0" w:space="0" w:color="auto"/>
                <w:right w:val="none" w:sz="0" w:space="0" w:color="auto"/>
              </w:divBdr>
              <w:divsChild>
                <w:div w:id="21009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89167">
      <w:bodyDiv w:val="1"/>
      <w:marLeft w:val="0"/>
      <w:marRight w:val="0"/>
      <w:marTop w:val="0"/>
      <w:marBottom w:val="0"/>
      <w:divBdr>
        <w:top w:val="none" w:sz="0" w:space="0" w:color="auto"/>
        <w:left w:val="none" w:sz="0" w:space="0" w:color="auto"/>
        <w:bottom w:val="none" w:sz="0" w:space="0" w:color="auto"/>
        <w:right w:val="none" w:sz="0" w:space="0" w:color="auto"/>
      </w:divBdr>
    </w:div>
    <w:div w:id="677540974">
      <w:bodyDiv w:val="1"/>
      <w:marLeft w:val="0"/>
      <w:marRight w:val="0"/>
      <w:marTop w:val="0"/>
      <w:marBottom w:val="0"/>
      <w:divBdr>
        <w:top w:val="none" w:sz="0" w:space="0" w:color="auto"/>
        <w:left w:val="none" w:sz="0" w:space="0" w:color="auto"/>
        <w:bottom w:val="none" w:sz="0" w:space="0" w:color="auto"/>
        <w:right w:val="none" w:sz="0" w:space="0" w:color="auto"/>
      </w:divBdr>
      <w:divsChild>
        <w:div w:id="439222700">
          <w:marLeft w:val="0"/>
          <w:marRight w:val="0"/>
          <w:marTop w:val="0"/>
          <w:marBottom w:val="0"/>
          <w:divBdr>
            <w:top w:val="none" w:sz="0" w:space="0" w:color="auto"/>
            <w:left w:val="none" w:sz="0" w:space="0" w:color="auto"/>
            <w:bottom w:val="none" w:sz="0" w:space="0" w:color="auto"/>
            <w:right w:val="none" w:sz="0" w:space="0" w:color="auto"/>
          </w:divBdr>
          <w:divsChild>
            <w:div w:id="144468159">
              <w:marLeft w:val="0"/>
              <w:marRight w:val="0"/>
              <w:marTop w:val="0"/>
              <w:marBottom w:val="0"/>
              <w:divBdr>
                <w:top w:val="none" w:sz="0" w:space="0" w:color="auto"/>
                <w:left w:val="none" w:sz="0" w:space="0" w:color="auto"/>
                <w:bottom w:val="none" w:sz="0" w:space="0" w:color="auto"/>
                <w:right w:val="none" w:sz="0" w:space="0" w:color="auto"/>
              </w:divBdr>
              <w:divsChild>
                <w:div w:id="169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5661">
      <w:bodyDiv w:val="1"/>
      <w:marLeft w:val="0"/>
      <w:marRight w:val="0"/>
      <w:marTop w:val="0"/>
      <w:marBottom w:val="0"/>
      <w:divBdr>
        <w:top w:val="none" w:sz="0" w:space="0" w:color="auto"/>
        <w:left w:val="none" w:sz="0" w:space="0" w:color="auto"/>
        <w:bottom w:val="none" w:sz="0" w:space="0" w:color="auto"/>
        <w:right w:val="none" w:sz="0" w:space="0" w:color="auto"/>
      </w:divBdr>
    </w:div>
    <w:div w:id="715544377">
      <w:bodyDiv w:val="1"/>
      <w:marLeft w:val="0"/>
      <w:marRight w:val="0"/>
      <w:marTop w:val="0"/>
      <w:marBottom w:val="0"/>
      <w:divBdr>
        <w:top w:val="none" w:sz="0" w:space="0" w:color="auto"/>
        <w:left w:val="none" w:sz="0" w:space="0" w:color="auto"/>
        <w:bottom w:val="none" w:sz="0" w:space="0" w:color="auto"/>
        <w:right w:val="none" w:sz="0" w:space="0" w:color="auto"/>
      </w:divBdr>
    </w:div>
    <w:div w:id="728462084">
      <w:bodyDiv w:val="1"/>
      <w:marLeft w:val="0"/>
      <w:marRight w:val="0"/>
      <w:marTop w:val="0"/>
      <w:marBottom w:val="0"/>
      <w:divBdr>
        <w:top w:val="none" w:sz="0" w:space="0" w:color="auto"/>
        <w:left w:val="none" w:sz="0" w:space="0" w:color="auto"/>
        <w:bottom w:val="none" w:sz="0" w:space="0" w:color="auto"/>
        <w:right w:val="none" w:sz="0" w:space="0" w:color="auto"/>
      </w:divBdr>
      <w:divsChild>
        <w:div w:id="1580402953">
          <w:marLeft w:val="0"/>
          <w:marRight w:val="0"/>
          <w:marTop w:val="0"/>
          <w:marBottom w:val="0"/>
          <w:divBdr>
            <w:top w:val="none" w:sz="0" w:space="0" w:color="auto"/>
            <w:left w:val="none" w:sz="0" w:space="0" w:color="auto"/>
            <w:bottom w:val="none" w:sz="0" w:space="0" w:color="auto"/>
            <w:right w:val="none" w:sz="0" w:space="0" w:color="auto"/>
          </w:divBdr>
          <w:divsChild>
            <w:div w:id="715668373">
              <w:marLeft w:val="0"/>
              <w:marRight w:val="0"/>
              <w:marTop w:val="0"/>
              <w:marBottom w:val="0"/>
              <w:divBdr>
                <w:top w:val="none" w:sz="0" w:space="0" w:color="auto"/>
                <w:left w:val="none" w:sz="0" w:space="0" w:color="auto"/>
                <w:bottom w:val="none" w:sz="0" w:space="0" w:color="auto"/>
                <w:right w:val="none" w:sz="0" w:space="0" w:color="auto"/>
              </w:divBdr>
              <w:divsChild>
                <w:div w:id="1655254227">
                  <w:marLeft w:val="0"/>
                  <w:marRight w:val="0"/>
                  <w:marTop w:val="0"/>
                  <w:marBottom w:val="0"/>
                  <w:divBdr>
                    <w:top w:val="none" w:sz="0" w:space="0" w:color="auto"/>
                    <w:left w:val="none" w:sz="0" w:space="0" w:color="auto"/>
                    <w:bottom w:val="none" w:sz="0" w:space="0" w:color="auto"/>
                    <w:right w:val="none" w:sz="0" w:space="0" w:color="auto"/>
                  </w:divBdr>
                  <w:divsChild>
                    <w:div w:id="17441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40725">
      <w:bodyDiv w:val="1"/>
      <w:marLeft w:val="0"/>
      <w:marRight w:val="0"/>
      <w:marTop w:val="0"/>
      <w:marBottom w:val="0"/>
      <w:divBdr>
        <w:top w:val="none" w:sz="0" w:space="0" w:color="auto"/>
        <w:left w:val="none" w:sz="0" w:space="0" w:color="auto"/>
        <w:bottom w:val="none" w:sz="0" w:space="0" w:color="auto"/>
        <w:right w:val="none" w:sz="0" w:space="0" w:color="auto"/>
      </w:divBdr>
      <w:divsChild>
        <w:div w:id="33427768">
          <w:marLeft w:val="0"/>
          <w:marRight w:val="0"/>
          <w:marTop w:val="0"/>
          <w:marBottom w:val="0"/>
          <w:divBdr>
            <w:top w:val="none" w:sz="0" w:space="0" w:color="auto"/>
            <w:left w:val="none" w:sz="0" w:space="0" w:color="auto"/>
            <w:bottom w:val="none" w:sz="0" w:space="0" w:color="auto"/>
            <w:right w:val="none" w:sz="0" w:space="0" w:color="auto"/>
          </w:divBdr>
          <w:divsChild>
            <w:div w:id="720203607">
              <w:marLeft w:val="0"/>
              <w:marRight w:val="0"/>
              <w:marTop w:val="0"/>
              <w:marBottom w:val="0"/>
              <w:divBdr>
                <w:top w:val="none" w:sz="0" w:space="0" w:color="auto"/>
                <w:left w:val="none" w:sz="0" w:space="0" w:color="auto"/>
                <w:bottom w:val="none" w:sz="0" w:space="0" w:color="auto"/>
                <w:right w:val="none" w:sz="0" w:space="0" w:color="auto"/>
              </w:divBdr>
              <w:divsChild>
                <w:div w:id="12604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8733">
      <w:bodyDiv w:val="1"/>
      <w:marLeft w:val="0"/>
      <w:marRight w:val="0"/>
      <w:marTop w:val="0"/>
      <w:marBottom w:val="0"/>
      <w:divBdr>
        <w:top w:val="none" w:sz="0" w:space="0" w:color="auto"/>
        <w:left w:val="none" w:sz="0" w:space="0" w:color="auto"/>
        <w:bottom w:val="none" w:sz="0" w:space="0" w:color="auto"/>
        <w:right w:val="none" w:sz="0" w:space="0" w:color="auto"/>
      </w:divBdr>
      <w:divsChild>
        <w:div w:id="715279253">
          <w:marLeft w:val="0"/>
          <w:marRight w:val="0"/>
          <w:marTop w:val="0"/>
          <w:marBottom w:val="0"/>
          <w:divBdr>
            <w:top w:val="none" w:sz="0" w:space="0" w:color="auto"/>
            <w:left w:val="none" w:sz="0" w:space="0" w:color="auto"/>
            <w:bottom w:val="none" w:sz="0" w:space="0" w:color="auto"/>
            <w:right w:val="none" w:sz="0" w:space="0" w:color="auto"/>
          </w:divBdr>
          <w:divsChild>
            <w:div w:id="55666099">
              <w:marLeft w:val="0"/>
              <w:marRight w:val="0"/>
              <w:marTop w:val="0"/>
              <w:marBottom w:val="0"/>
              <w:divBdr>
                <w:top w:val="none" w:sz="0" w:space="0" w:color="auto"/>
                <w:left w:val="none" w:sz="0" w:space="0" w:color="auto"/>
                <w:bottom w:val="none" w:sz="0" w:space="0" w:color="auto"/>
                <w:right w:val="none" w:sz="0" w:space="0" w:color="auto"/>
              </w:divBdr>
              <w:divsChild>
                <w:div w:id="1963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59870">
      <w:bodyDiv w:val="1"/>
      <w:marLeft w:val="0"/>
      <w:marRight w:val="0"/>
      <w:marTop w:val="0"/>
      <w:marBottom w:val="0"/>
      <w:divBdr>
        <w:top w:val="none" w:sz="0" w:space="0" w:color="auto"/>
        <w:left w:val="none" w:sz="0" w:space="0" w:color="auto"/>
        <w:bottom w:val="none" w:sz="0" w:space="0" w:color="auto"/>
        <w:right w:val="none" w:sz="0" w:space="0" w:color="auto"/>
      </w:divBdr>
      <w:divsChild>
        <w:div w:id="805777262">
          <w:marLeft w:val="0"/>
          <w:marRight w:val="0"/>
          <w:marTop w:val="0"/>
          <w:marBottom w:val="0"/>
          <w:divBdr>
            <w:top w:val="none" w:sz="0" w:space="0" w:color="auto"/>
            <w:left w:val="none" w:sz="0" w:space="0" w:color="auto"/>
            <w:bottom w:val="none" w:sz="0" w:space="0" w:color="auto"/>
            <w:right w:val="none" w:sz="0" w:space="0" w:color="auto"/>
          </w:divBdr>
          <w:divsChild>
            <w:div w:id="59527745">
              <w:marLeft w:val="0"/>
              <w:marRight w:val="0"/>
              <w:marTop w:val="0"/>
              <w:marBottom w:val="0"/>
              <w:divBdr>
                <w:top w:val="none" w:sz="0" w:space="0" w:color="auto"/>
                <w:left w:val="none" w:sz="0" w:space="0" w:color="auto"/>
                <w:bottom w:val="none" w:sz="0" w:space="0" w:color="auto"/>
                <w:right w:val="none" w:sz="0" w:space="0" w:color="auto"/>
              </w:divBdr>
              <w:divsChild>
                <w:div w:id="1664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8102">
      <w:bodyDiv w:val="1"/>
      <w:marLeft w:val="0"/>
      <w:marRight w:val="0"/>
      <w:marTop w:val="0"/>
      <w:marBottom w:val="0"/>
      <w:divBdr>
        <w:top w:val="none" w:sz="0" w:space="0" w:color="auto"/>
        <w:left w:val="none" w:sz="0" w:space="0" w:color="auto"/>
        <w:bottom w:val="none" w:sz="0" w:space="0" w:color="auto"/>
        <w:right w:val="none" w:sz="0" w:space="0" w:color="auto"/>
      </w:divBdr>
      <w:divsChild>
        <w:div w:id="1559440895">
          <w:marLeft w:val="0"/>
          <w:marRight w:val="0"/>
          <w:marTop w:val="0"/>
          <w:marBottom w:val="0"/>
          <w:divBdr>
            <w:top w:val="none" w:sz="0" w:space="0" w:color="auto"/>
            <w:left w:val="none" w:sz="0" w:space="0" w:color="auto"/>
            <w:bottom w:val="none" w:sz="0" w:space="0" w:color="auto"/>
            <w:right w:val="none" w:sz="0" w:space="0" w:color="auto"/>
          </w:divBdr>
          <w:divsChild>
            <w:div w:id="1822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2851">
      <w:bodyDiv w:val="1"/>
      <w:marLeft w:val="0"/>
      <w:marRight w:val="0"/>
      <w:marTop w:val="0"/>
      <w:marBottom w:val="0"/>
      <w:divBdr>
        <w:top w:val="none" w:sz="0" w:space="0" w:color="auto"/>
        <w:left w:val="none" w:sz="0" w:space="0" w:color="auto"/>
        <w:bottom w:val="none" w:sz="0" w:space="0" w:color="auto"/>
        <w:right w:val="none" w:sz="0" w:space="0" w:color="auto"/>
      </w:divBdr>
    </w:div>
    <w:div w:id="877011192">
      <w:bodyDiv w:val="1"/>
      <w:marLeft w:val="0"/>
      <w:marRight w:val="0"/>
      <w:marTop w:val="0"/>
      <w:marBottom w:val="0"/>
      <w:divBdr>
        <w:top w:val="none" w:sz="0" w:space="0" w:color="auto"/>
        <w:left w:val="none" w:sz="0" w:space="0" w:color="auto"/>
        <w:bottom w:val="none" w:sz="0" w:space="0" w:color="auto"/>
        <w:right w:val="none" w:sz="0" w:space="0" w:color="auto"/>
      </w:divBdr>
    </w:div>
    <w:div w:id="888610396">
      <w:bodyDiv w:val="1"/>
      <w:marLeft w:val="0"/>
      <w:marRight w:val="0"/>
      <w:marTop w:val="0"/>
      <w:marBottom w:val="0"/>
      <w:divBdr>
        <w:top w:val="none" w:sz="0" w:space="0" w:color="auto"/>
        <w:left w:val="none" w:sz="0" w:space="0" w:color="auto"/>
        <w:bottom w:val="none" w:sz="0" w:space="0" w:color="auto"/>
        <w:right w:val="none" w:sz="0" w:space="0" w:color="auto"/>
      </w:divBdr>
      <w:divsChild>
        <w:div w:id="1631670389">
          <w:marLeft w:val="0"/>
          <w:marRight w:val="0"/>
          <w:marTop w:val="0"/>
          <w:marBottom w:val="0"/>
          <w:divBdr>
            <w:top w:val="none" w:sz="0" w:space="0" w:color="auto"/>
            <w:left w:val="none" w:sz="0" w:space="0" w:color="auto"/>
            <w:bottom w:val="none" w:sz="0" w:space="0" w:color="auto"/>
            <w:right w:val="none" w:sz="0" w:space="0" w:color="auto"/>
          </w:divBdr>
          <w:divsChild>
            <w:div w:id="730881290">
              <w:marLeft w:val="0"/>
              <w:marRight w:val="0"/>
              <w:marTop w:val="0"/>
              <w:marBottom w:val="0"/>
              <w:divBdr>
                <w:top w:val="none" w:sz="0" w:space="0" w:color="auto"/>
                <w:left w:val="none" w:sz="0" w:space="0" w:color="auto"/>
                <w:bottom w:val="none" w:sz="0" w:space="0" w:color="auto"/>
                <w:right w:val="none" w:sz="0" w:space="0" w:color="auto"/>
              </w:divBdr>
              <w:divsChild>
                <w:div w:id="2117480749">
                  <w:marLeft w:val="0"/>
                  <w:marRight w:val="0"/>
                  <w:marTop w:val="0"/>
                  <w:marBottom w:val="0"/>
                  <w:divBdr>
                    <w:top w:val="none" w:sz="0" w:space="0" w:color="auto"/>
                    <w:left w:val="none" w:sz="0" w:space="0" w:color="auto"/>
                    <w:bottom w:val="none" w:sz="0" w:space="0" w:color="auto"/>
                    <w:right w:val="none" w:sz="0" w:space="0" w:color="auto"/>
                  </w:divBdr>
                  <w:divsChild>
                    <w:div w:id="5964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39710">
      <w:bodyDiv w:val="1"/>
      <w:marLeft w:val="0"/>
      <w:marRight w:val="0"/>
      <w:marTop w:val="0"/>
      <w:marBottom w:val="0"/>
      <w:divBdr>
        <w:top w:val="none" w:sz="0" w:space="0" w:color="auto"/>
        <w:left w:val="none" w:sz="0" w:space="0" w:color="auto"/>
        <w:bottom w:val="none" w:sz="0" w:space="0" w:color="auto"/>
        <w:right w:val="none" w:sz="0" w:space="0" w:color="auto"/>
      </w:divBdr>
      <w:divsChild>
        <w:div w:id="1777670047">
          <w:marLeft w:val="0"/>
          <w:marRight w:val="0"/>
          <w:marTop w:val="0"/>
          <w:marBottom w:val="0"/>
          <w:divBdr>
            <w:top w:val="none" w:sz="0" w:space="0" w:color="auto"/>
            <w:left w:val="none" w:sz="0" w:space="0" w:color="auto"/>
            <w:bottom w:val="none" w:sz="0" w:space="0" w:color="auto"/>
            <w:right w:val="none" w:sz="0" w:space="0" w:color="auto"/>
          </w:divBdr>
          <w:divsChild>
            <w:div w:id="1944721549">
              <w:marLeft w:val="0"/>
              <w:marRight w:val="0"/>
              <w:marTop w:val="0"/>
              <w:marBottom w:val="0"/>
              <w:divBdr>
                <w:top w:val="none" w:sz="0" w:space="0" w:color="auto"/>
                <w:left w:val="none" w:sz="0" w:space="0" w:color="auto"/>
                <w:bottom w:val="none" w:sz="0" w:space="0" w:color="auto"/>
                <w:right w:val="none" w:sz="0" w:space="0" w:color="auto"/>
              </w:divBdr>
              <w:divsChild>
                <w:div w:id="4501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5678">
      <w:bodyDiv w:val="1"/>
      <w:marLeft w:val="0"/>
      <w:marRight w:val="0"/>
      <w:marTop w:val="0"/>
      <w:marBottom w:val="0"/>
      <w:divBdr>
        <w:top w:val="none" w:sz="0" w:space="0" w:color="auto"/>
        <w:left w:val="none" w:sz="0" w:space="0" w:color="auto"/>
        <w:bottom w:val="none" w:sz="0" w:space="0" w:color="auto"/>
        <w:right w:val="none" w:sz="0" w:space="0" w:color="auto"/>
      </w:divBdr>
    </w:div>
    <w:div w:id="929972463">
      <w:bodyDiv w:val="1"/>
      <w:marLeft w:val="0"/>
      <w:marRight w:val="0"/>
      <w:marTop w:val="0"/>
      <w:marBottom w:val="0"/>
      <w:divBdr>
        <w:top w:val="none" w:sz="0" w:space="0" w:color="auto"/>
        <w:left w:val="none" w:sz="0" w:space="0" w:color="auto"/>
        <w:bottom w:val="none" w:sz="0" w:space="0" w:color="auto"/>
        <w:right w:val="none" w:sz="0" w:space="0" w:color="auto"/>
      </w:divBdr>
      <w:divsChild>
        <w:div w:id="1243446259">
          <w:marLeft w:val="0"/>
          <w:marRight w:val="0"/>
          <w:marTop w:val="0"/>
          <w:marBottom w:val="0"/>
          <w:divBdr>
            <w:top w:val="none" w:sz="0" w:space="0" w:color="auto"/>
            <w:left w:val="none" w:sz="0" w:space="0" w:color="auto"/>
            <w:bottom w:val="none" w:sz="0" w:space="0" w:color="auto"/>
            <w:right w:val="none" w:sz="0" w:space="0" w:color="auto"/>
          </w:divBdr>
          <w:divsChild>
            <w:div w:id="1269005019">
              <w:marLeft w:val="0"/>
              <w:marRight w:val="0"/>
              <w:marTop w:val="0"/>
              <w:marBottom w:val="0"/>
              <w:divBdr>
                <w:top w:val="none" w:sz="0" w:space="0" w:color="auto"/>
                <w:left w:val="none" w:sz="0" w:space="0" w:color="auto"/>
                <w:bottom w:val="none" w:sz="0" w:space="0" w:color="auto"/>
                <w:right w:val="none" w:sz="0" w:space="0" w:color="auto"/>
              </w:divBdr>
              <w:divsChild>
                <w:div w:id="13509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3791">
      <w:bodyDiv w:val="1"/>
      <w:marLeft w:val="0"/>
      <w:marRight w:val="0"/>
      <w:marTop w:val="0"/>
      <w:marBottom w:val="0"/>
      <w:divBdr>
        <w:top w:val="none" w:sz="0" w:space="0" w:color="auto"/>
        <w:left w:val="none" w:sz="0" w:space="0" w:color="auto"/>
        <w:bottom w:val="none" w:sz="0" w:space="0" w:color="auto"/>
        <w:right w:val="none" w:sz="0" w:space="0" w:color="auto"/>
      </w:divBdr>
    </w:div>
    <w:div w:id="935015782">
      <w:bodyDiv w:val="1"/>
      <w:marLeft w:val="0"/>
      <w:marRight w:val="0"/>
      <w:marTop w:val="0"/>
      <w:marBottom w:val="0"/>
      <w:divBdr>
        <w:top w:val="none" w:sz="0" w:space="0" w:color="auto"/>
        <w:left w:val="none" w:sz="0" w:space="0" w:color="auto"/>
        <w:bottom w:val="none" w:sz="0" w:space="0" w:color="auto"/>
        <w:right w:val="none" w:sz="0" w:space="0" w:color="auto"/>
      </w:divBdr>
      <w:divsChild>
        <w:div w:id="1793547168">
          <w:marLeft w:val="0"/>
          <w:marRight w:val="0"/>
          <w:marTop w:val="0"/>
          <w:marBottom w:val="0"/>
          <w:divBdr>
            <w:top w:val="none" w:sz="0" w:space="0" w:color="auto"/>
            <w:left w:val="none" w:sz="0" w:space="0" w:color="auto"/>
            <w:bottom w:val="none" w:sz="0" w:space="0" w:color="auto"/>
            <w:right w:val="none" w:sz="0" w:space="0" w:color="auto"/>
          </w:divBdr>
          <w:divsChild>
            <w:div w:id="1706953178">
              <w:marLeft w:val="0"/>
              <w:marRight w:val="0"/>
              <w:marTop w:val="0"/>
              <w:marBottom w:val="0"/>
              <w:divBdr>
                <w:top w:val="none" w:sz="0" w:space="0" w:color="auto"/>
                <w:left w:val="none" w:sz="0" w:space="0" w:color="auto"/>
                <w:bottom w:val="none" w:sz="0" w:space="0" w:color="auto"/>
                <w:right w:val="none" w:sz="0" w:space="0" w:color="auto"/>
              </w:divBdr>
              <w:divsChild>
                <w:div w:id="237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7453">
      <w:bodyDiv w:val="1"/>
      <w:marLeft w:val="0"/>
      <w:marRight w:val="0"/>
      <w:marTop w:val="0"/>
      <w:marBottom w:val="0"/>
      <w:divBdr>
        <w:top w:val="none" w:sz="0" w:space="0" w:color="auto"/>
        <w:left w:val="none" w:sz="0" w:space="0" w:color="auto"/>
        <w:bottom w:val="none" w:sz="0" w:space="0" w:color="auto"/>
        <w:right w:val="none" w:sz="0" w:space="0" w:color="auto"/>
      </w:divBdr>
      <w:divsChild>
        <w:div w:id="697699897">
          <w:marLeft w:val="0"/>
          <w:marRight w:val="0"/>
          <w:marTop w:val="0"/>
          <w:marBottom w:val="0"/>
          <w:divBdr>
            <w:top w:val="none" w:sz="0" w:space="0" w:color="auto"/>
            <w:left w:val="none" w:sz="0" w:space="0" w:color="auto"/>
            <w:bottom w:val="none" w:sz="0" w:space="0" w:color="auto"/>
            <w:right w:val="none" w:sz="0" w:space="0" w:color="auto"/>
          </w:divBdr>
          <w:divsChild>
            <w:div w:id="1020468581">
              <w:marLeft w:val="0"/>
              <w:marRight w:val="0"/>
              <w:marTop w:val="0"/>
              <w:marBottom w:val="0"/>
              <w:divBdr>
                <w:top w:val="none" w:sz="0" w:space="0" w:color="auto"/>
                <w:left w:val="none" w:sz="0" w:space="0" w:color="auto"/>
                <w:bottom w:val="none" w:sz="0" w:space="0" w:color="auto"/>
                <w:right w:val="none" w:sz="0" w:space="0" w:color="auto"/>
              </w:divBdr>
              <w:divsChild>
                <w:div w:id="6948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591">
      <w:bodyDiv w:val="1"/>
      <w:marLeft w:val="0"/>
      <w:marRight w:val="0"/>
      <w:marTop w:val="0"/>
      <w:marBottom w:val="0"/>
      <w:divBdr>
        <w:top w:val="none" w:sz="0" w:space="0" w:color="auto"/>
        <w:left w:val="none" w:sz="0" w:space="0" w:color="auto"/>
        <w:bottom w:val="none" w:sz="0" w:space="0" w:color="auto"/>
        <w:right w:val="none" w:sz="0" w:space="0" w:color="auto"/>
      </w:divBdr>
      <w:divsChild>
        <w:div w:id="1624655288">
          <w:marLeft w:val="0"/>
          <w:marRight w:val="0"/>
          <w:marTop w:val="0"/>
          <w:marBottom w:val="0"/>
          <w:divBdr>
            <w:top w:val="none" w:sz="0" w:space="0" w:color="auto"/>
            <w:left w:val="none" w:sz="0" w:space="0" w:color="auto"/>
            <w:bottom w:val="none" w:sz="0" w:space="0" w:color="auto"/>
            <w:right w:val="none" w:sz="0" w:space="0" w:color="auto"/>
          </w:divBdr>
          <w:divsChild>
            <w:div w:id="1315068143">
              <w:marLeft w:val="0"/>
              <w:marRight w:val="0"/>
              <w:marTop w:val="0"/>
              <w:marBottom w:val="0"/>
              <w:divBdr>
                <w:top w:val="none" w:sz="0" w:space="0" w:color="auto"/>
                <w:left w:val="none" w:sz="0" w:space="0" w:color="auto"/>
                <w:bottom w:val="none" w:sz="0" w:space="0" w:color="auto"/>
                <w:right w:val="none" w:sz="0" w:space="0" w:color="auto"/>
              </w:divBdr>
              <w:divsChild>
                <w:div w:id="14724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7839">
      <w:bodyDiv w:val="1"/>
      <w:marLeft w:val="0"/>
      <w:marRight w:val="0"/>
      <w:marTop w:val="0"/>
      <w:marBottom w:val="0"/>
      <w:divBdr>
        <w:top w:val="none" w:sz="0" w:space="0" w:color="auto"/>
        <w:left w:val="none" w:sz="0" w:space="0" w:color="auto"/>
        <w:bottom w:val="none" w:sz="0" w:space="0" w:color="auto"/>
        <w:right w:val="none" w:sz="0" w:space="0" w:color="auto"/>
      </w:divBdr>
      <w:divsChild>
        <w:div w:id="897858769">
          <w:marLeft w:val="0"/>
          <w:marRight w:val="0"/>
          <w:marTop w:val="0"/>
          <w:marBottom w:val="0"/>
          <w:divBdr>
            <w:top w:val="none" w:sz="0" w:space="0" w:color="auto"/>
            <w:left w:val="none" w:sz="0" w:space="0" w:color="auto"/>
            <w:bottom w:val="none" w:sz="0" w:space="0" w:color="auto"/>
            <w:right w:val="none" w:sz="0" w:space="0" w:color="auto"/>
          </w:divBdr>
          <w:divsChild>
            <w:div w:id="1691684182">
              <w:marLeft w:val="0"/>
              <w:marRight w:val="0"/>
              <w:marTop w:val="0"/>
              <w:marBottom w:val="0"/>
              <w:divBdr>
                <w:top w:val="none" w:sz="0" w:space="0" w:color="auto"/>
                <w:left w:val="none" w:sz="0" w:space="0" w:color="auto"/>
                <w:bottom w:val="none" w:sz="0" w:space="0" w:color="auto"/>
                <w:right w:val="none" w:sz="0" w:space="0" w:color="auto"/>
              </w:divBdr>
              <w:divsChild>
                <w:div w:id="11649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5484">
      <w:bodyDiv w:val="1"/>
      <w:marLeft w:val="0"/>
      <w:marRight w:val="0"/>
      <w:marTop w:val="0"/>
      <w:marBottom w:val="0"/>
      <w:divBdr>
        <w:top w:val="none" w:sz="0" w:space="0" w:color="auto"/>
        <w:left w:val="none" w:sz="0" w:space="0" w:color="auto"/>
        <w:bottom w:val="none" w:sz="0" w:space="0" w:color="auto"/>
        <w:right w:val="none" w:sz="0" w:space="0" w:color="auto"/>
      </w:divBdr>
      <w:divsChild>
        <w:div w:id="338313896">
          <w:marLeft w:val="0"/>
          <w:marRight w:val="0"/>
          <w:marTop w:val="0"/>
          <w:marBottom w:val="0"/>
          <w:divBdr>
            <w:top w:val="none" w:sz="0" w:space="0" w:color="auto"/>
            <w:left w:val="none" w:sz="0" w:space="0" w:color="auto"/>
            <w:bottom w:val="none" w:sz="0" w:space="0" w:color="auto"/>
            <w:right w:val="none" w:sz="0" w:space="0" w:color="auto"/>
          </w:divBdr>
          <w:divsChild>
            <w:div w:id="1764690411">
              <w:marLeft w:val="0"/>
              <w:marRight w:val="0"/>
              <w:marTop w:val="0"/>
              <w:marBottom w:val="0"/>
              <w:divBdr>
                <w:top w:val="none" w:sz="0" w:space="0" w:color="auto"/>
                <w:left w:val="none" w:sz="0" w:space="0" w:color="auto"/>
                <w:bottom w:val="none" w:sz="0" w:space="0" w:color="auto"/>
                <w:right w:val="none" w:sz="0" w:space="0" w:color="auto"/>
              </w:divBdr>
              <w:divsChild>
                <w:div w:id="10010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3204">
      <w:bodyDiv w:val="1"/>
      <w:marLeft w:val="0"/>
      <w:marRight w:val="0"/>
      <w:marTop w:val="0"/>
      <w:marBottom w:val="0"/>
      <w:divBdr>
        <w:top w:val="none" w:sz="0" w:space="0" w:color="auto"/>
        <w:left w:val="none" w:sz="0" w:space="0" w:color="auto"/>
        <w:bottom w:val="none" w:sz="0" w:space="0" w:color="auto"/>
        <w:right w:val="none" w:sz="0" w:space="0" w:color="auto"/>
      </w:divBdr>
    </w:div>
    <w:div w:id="1035430047">
      <w:bodyDiv w:val="1"/>
      <w:marLeft w:val="0"/>
      <w:marRight w:val="0"/>
      <w:marTop w:val="0"/>
      <w:marBottom w:val="0"/>
      <w:divBdr>
        <w:top w:val="none" w:sz="0" w:space="0" w:color="auto"/>
        <w:left w:val="none" w:sz="0" w:space="0" w:color="auto"/>
        <w:bottom w:val="none" w:sz="0" w:space="0" w:color="auto"/>
        <w:right w:val="none" w:sz="0" w:space="0" w:color="auto"/>
      </w:divBdr>
      <w:divsChild>
        <w:div w:id="243075544">
          <w:marLeft w:val="0"/>
          <w:marRight w:val="0"/>
          <w:marTop w:val="0"/>
          <w:marBottom w:val="0"/>
          <w:divBdr>
            <w:top w:val="none" w:sz="0" w:space="0" w:color="auto"/>
            <w:left w:val="none" w:sz="0" w:space="0" w:color="auto"/>
            <w:bottom w:val="none" w:sz="0" w:space="0" w:color="auto"/>
            <w:right w:val="none" w:sz="0" w:space="0" w:color="auto"/>
          </w:divBdr>
          <w:divsChild>
            <w:div w:id="583223922">
              <w:marLeft w:val="0"/>
              <w:marRight w:val="0"/>
              <w:marTop w:val="0"/>
              <w:marBottom w:val="0"/>
              <w:divBdr>
                <w:top w:val="none" w:sz="0" w:space="0" w:color="auto"/>
                <w:left w:val="none" w:sz="0" w:space="0" w:color="auto"/>
                <w:bottom w:val="none" w:sz="0" w:space="0" w:color="auto"/>
                <w:right w:val="none" w:sz="0" w:space="0" w:color="auto"/>
              </w:divBdr>
              <w:divsChild>
                <w:div w:id="4461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9385">
      <w:bodyDiv w:val="1"/>
      <w:marLeft w:val="0"/>
      <w:marRight w:val="0"/>
      <w:marTop w:val="0"/>
      <w:marBottom w:val="0"/>
      <w:divBdr>
        <w:top w:val="none" w:sz="0" w:space="0" w:color="auto"/>
        <w:left w:val="none" w:sz="0" w:space="0" w:color="auto"/>
        <w:bottom w:val="none" w:sz="0" w:space="0" w:color="auto"/>
        <w:right w:val="none" w:sz="0" w:space="0" w:color="auto"/>
      </w:divBdr>
      <w:divsChild>
        <w:div w:id="1917787436">
          <w:marLeft w:val="0"/>
          <w:marRight w:val="0"/>
          <w:marTop w:val="0"/>
          <w:marBottom w:val="0"/>
          <w:divBdr>
            <w:top w:val="none" w:sz="0" w:space="0" w:color="auto"/>
            <w:left w:val="none" w:sz="0" w:space="0" w:color="auto"/>
            <w:bottom w:val="none" w:sz="0" w:space="0" w:color="auto"/>
            <w:right w:val="none" w:sz="0" w:space="0" w:color="auto"/>
          </w:divBdr>
          <w:divsChild>
            <w:div w:id="250091017">
              <w:marLeft w:val="0"/>
              <w:marRight w:val="0"/>
              <w:marTop w:val="0"/>
              <w:marBottom w:val="0"/>
              <w:divBdr>
                <w:top w:val="none" w:sz="0" w:space="0" w:color="auto"/>
                <w:left w:val="none" w:sz="0" w:space="0" w:color="auto"/>
                <w:bottom w:val="none" w:sz="0" w:space="0" w:color="auto"/>
                <w:right w:val="none" w:sz="0" w:space="0" w:color="auto"/>
              </w:divBdr>
              <w:divsChild>
                <w:div w:id="1906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7038">
      <w:bodyDiv w:val="1"/>
      <w:marLeft w:val="0"/>
      <w:marRight w:val="0"/>
      <w:marTop w:val="0"/>
      <w:marBottom w:val="0"/>
      <w:divBdr>
        <w:top w:val="none" w:sz="0" w:space="0" w:color="auto"/>
        <w:left w:val="none" w:sz="0" w:space="0" w:color="auto"/>
        <w:bottom w:val="none" w:sz="0" w:space="0" w:color="auto"/>
        <w:right w:val="none" w:sz="0" w:space="0" w:color="auto"/>
      </w:divBdr>
    </w:div>
    <w:div w:id="1116369653">
      <w:bodyDiv w:val="1"/>
      <w:marLeft w:val="0"/>
      <w:marRight w:val="0"/>
      <w:marTop w:val="0"/>
      <w:marBottom w:val="0"/>
      <w:divBdr>
        <w:top w:val="none" w:sz="0" w:space="0" w:color="auto"/>
        <w:left w:val="none" w:sz="0" w:space="0" w:color="auto"/>
        <w:bottom w:val="none" w:sz="0" w:space="0" w:color="auto"/>
        <w:right w:val="none" w:sz="0" w:space="0" w:color="auto"/>
      </w:divBdr>
    </w:div>
    <w:div w:id="1146819511">
      <w:bodyDiv w:val="1"/>
      <w:marLeft w:val="0"/>
      <w:marRight w:val="0"/>
      <w:marTop w:val="0"/>
      <w:marBottom w:val="0"/>
      <w:divBdr>
        <w:top w:val="none" w:sz="0" w:space="0" w:color="auto"/>
        <w:left w:val="none" w:sz="0" w:space="0" w:color="auto"/>
        <w:bottom w:val="none" w:sz="0" w:space="0" w:color="auto"/>
        <w:right w:val="none" w:sz="0" w:space="0" w:color="auto"/>
      </w:divBdr>
    </w:div>
    <w:div w:id="1170027652">
      <w:bodyDiv w:val="1"/>
      <w:marLeft w:val="0"/>
      <w:marRight w:val="0"/>
      <w:marTop w:val="0"/>
      <w:marBottom w:val="0"/>
      <w:divBdr>
        <w:top w:val="none" w:sz="0" w:space="0" w:color="auto"/>
        <w:left w:val="none" w:sz="0" w:space="0" w:color="auto"/>
        <w:bottom w:val="none" w:sz="0" w:space="0" w:color="auto"/>
        <w:right w:val="none" w:sz="0" w:space="0" w:color="auto"/>
      </w:divBdr>
    </w:div>
    <w:div w:id="1181897516">
      <w:bodyDiv w:val="1"/>
      <w:marLeft w:val="0"/>
      <w:marRight w:val="0"/>
      <w:marTop w:val="0"/>
      <w:marBottom w:val="0"/>
      <w:divBdr>
        <w:top w:val="none" w:sz="0" w:space="0" w:color="auto"/>
        <w:left w:val="none" w:sz="0" w:space="0" w:color="auto"/>
        <w:bottom w:val="none" w:sz="0" w:space="0" w:color="auto"/>
        <w:right w:val="none" w:sz="0" w:space="0" w:color="auto"/>
      </w:divBdr>
    </w:div>
    <w:div w:id="1191802404">
      <w:bodyDiv w:val="1"/>
      <w:marLeft w:val="0"/>
      <w:marRight w:val="0"/>
      <w:marTop w:val="0"/>
      <w:marBottom w:val="0"/>
      <w:divBdr>
        <w:top w:val="none" w:sz="0" w:space="0" w:color="auto"/>
        <w:left w:val="none" w:sz="0" w:space="0" w:color="auto"/>
        <w:bottom w:val="none" w:sz="0" w:space="0" w:color="auto"/>
        <w:right w:val="none" w:sz="0" w:space="0" w:color="auto"/>
      </w:divBdr>
    </w:div>
    <w:div w:id="1194537760">
      <w:bodyDiv w:val="1"/>
      <w:marLeft w:val="0"/>
      <w:marRight w:val="0"/>
      <w:marTop w:val="0"/>
      <w:marBottom w:val="0"/>
      <w:divBdr>
        <w:top w:val="none" w:sz="0" w:space="0" w:color="auto"/>
        <w:left w:val="none" w:sz="0" w:space="0" w:color="auto"/>
        <w:bottom w:val="none" w:sz="0" w:space="0" w:color="auto"/>
        <w:right w:val="none" w:sz="0" w:space="0" w:color="auto"/>
      </w:divBdr>
    </w:div>
    <w:div w:id="1216117529">
      <w:bodyDiv w:val="1"/>
      <w:marLeft w:val="0"/>
      <w:marRight w:val="0"/>
      <w:marTop w:val="0"/>
      <w:marBottom w:val="0"/>
      <w:divBdr>
        <w:top w:val="none" w:sz="0" w:space="0" w:color="auto"/>
        <w:left w:val="none" w:sz="0" w:space="0" w:color="auto"/>
        <w:bottom w:val="none" w:sz="0" w:space="0" w:color="auto"/>
        <w:right w:val="none" w:sz="0" w:space="0" w:color="auto"/>
      </w:divBdr>
    </w:div>
    <w:div w:id="1218511310">
      <w:bodyDiv w:val="1"/>
      <w:marLeft w:val="0"/>
      <w:marRight w:val="0"/>
      <w:marTop w:val="0"/>
      <w:marBottom w:val="0"/>
      <w:divBdr>
        <w:top w:val="none" w:sz="0" w:space="0" w:color="auto"/>
        <w:left w:val="none" w:sz="0" w:space="0" w:color="auto"/>
        <w:bottom w:val="none" w:sz="0" w:space="0" w:color="auto"/>
        <w:right w:val="none" w:sz="0" w:space="0" w:color="auto"/>
      </w:divBdr>
    </w:div>
    <w:div w:id="1222790191">
      <w:bodyDiv w:val="1"/>
      <w:marLeft w:val="0"/>
      <w:marRight w:val="0"/>
      <w:marTop w:val="0"/>
      <w:marBottom w:val="0"/>
      <w:divBdr>
        <w:top w:val="none" w:sz="0" w:space="0" w:color="auto"/>
        <w:left w:val="none" w:sz="0" w:space="0" w:color="auto"/>
        <w:bottom w:val="none" w:sz="0" w:space="0" w:color="auto"/>
        <w:right w:val="none" w:sz="0" w:space="0" w:color="auto"/>
      </w:divBdr>
    </w:div>
    <w:div w:id="1239287835">
      <w:bodyDiv w:val="1"/>
      <w:marLeft w:val="0"/>
      <w:marRight w:val="0"/>
      <w:marTop w:val="0"/>
      <w:marBottom w:val="0"/>
      <w:divBdr>
        <w:top w:val="none" w:sz="0" w:space="0" w:color="auto"/>
        <w:left w:val="none" w:sz="0" w:space="0" w:color="auto"/>
        <w:bottom w:val="none" w:sz="0" w:space="0" w:color="auto"/>
        <w:right w:val="none" w:sz="0" w:space="0" w:color="auto"/>
      </w:divBdr>
      <w:divsChild>
        <w:div w:id="1156413203">
          <w:marLeft w:val="0"/>
          <w:marRight w:val="0"/>
          <w:marTop w:val="0"/>
          <w:marBottom w:val="0"/>
          <w:divBdr>
            <w:top w:val="none" w:sz="0" w:space="0" w:color="auto"/>
            <w:left w:val="none" w:sz="0" w:space="0" w:color="auto"/>
            <w:bottom w:val="none" w:sz="0" w:space="0" w:color="auto"/>
            <w:right w:val="none" w:sz="0" w:space="0" w:color="auto"/>
          </w:divBdr>
          <w:divsChild>
            <w:div w:id="179856429">
              <w:marLeft w:val="0"/>
              <w:marRight w:val="0"/>
              <w:marTop w:val="0"/>
              <w:marBottom w:val="0"/>
              <w:divBdr>
                <w:top w:val="none" w:sz="0" w:space="0" w:color="auto"/>
                <w:left w:val="none" w:sz="0" w:space="0" w:color="auto"/>
                <w:bottom w:val="none" w:sz="0" w:space="0" w:color="auto"/>
                <w:right w:val="none" w:sz="0" w:space="0" w:color="auto"/>
              </w:divBdr>
              <w:divsChild>
                <w:div w:id="11024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6236">
      <w:bodyDiv w:val="1"/>
      <w:marLeft w:val="0"/>
      <w:marRight w:val="0"/>
      <w:marTop w:val="0"/>
      <w:marBottom w:val="0"/>
      <w:divBdr>
        <w:top w:val="none" w:sz="0" w:space="0" w:color="auto"/>
        <w:left w:val="none" w:sz="0" w:space="0" w:color="auto"/>
        <w:bottom w:val="none" w:sz="0" w:space="0" w:color="auto"/>
        <w:right w:val="none" w:sz="0" w:space="0" w:color="auto"/>
      </w:divBdr>
    </w:div>
    <w:div w:id="1335960910">
      <w:bodyDiv w:val="1"/>
      <w:marLeft w:val="0"/>
      <w:marRight w:val="0"/>
      <w:marTop w:val="0"/>
      <w:marBottom w:val="0"/>
      <w:divBdr>
        <w:top w:val="none" w:sz="0" w:space="0" w:color="auto"/>
        <w:left w:val="none" w:sz="0" w:space="0" w:color="auto"/>
        <w:bottom w:val="none" w:sz="0" w:space="0" w:color="auto"/>
        <w:right w:val="none" w:sz="0" w:space="0" w:color="auto"/>
      </w:divBdr>
      <w:divsChild>
        <w:div w:id="2077967877">
          <w:marLeft w:val="0"/>
          <w:marRight w:val="0"/>
          <w:marTop w:val="0"/>
          <w:marBottom w:val="0"/>
          <w:divBdr>
            <w:top w:val="none" w:sz="0" w:space="0" w:color="auto"/>
            <w:left w:val="none" w:sz="0" w:space="0" w:color="auto"/>
            <w:bottom w:val="none" w:sz="0" w:space="0" w:color="auto"/>
            <w:right w:val="none" w:sz="0" w:space="0" w:color="auto"/>
          </w:divBdr>
          <w:divsChild>
            <w:div w:id="1121922515">
              <w:marLeft w:val="0"/>
              <w:marRight w:val="0"/>
              <w:marTop w:val="0"/>
              <w:marBottom w:val="0"/>
              <w:divBdr>
                <w:top w:val="none" w:sz="0" w:space="0" w:color="auto"/>
                <w:left w:val="none" w:sz="0" w:space="0" w:color="auto"/>
                <w:bottom w:val="none" w:sz="0" w:space="0" w:color="auto"/>
                <w:right w:val="none" w:sz="0" w:space="0" w:color="auto"/>
              </w:divBdr>
              <w:divsChild>
                <w:div w:id="367338640">
                  <w:marLeft w:val="0"/>
                  <w:marRight w:val="0"/>
                  <w:marTop w:val="0"/>
                  <w:marBottom w:val="0"/>
                  <w:divBdr>
                    <w:top w:val="none" w:sz="0" w:space="0" w:color="auto"/>
                    <w:left w:val="none" w:sz="0" w:space="0" w:color="auto"/>
                    <w:bottom w:val="none" w:sz="0" w:space="0" w:color="auto"/>
                    <w:right w:val="none" w:sz="0" w:space="0" w:color="auto"/>
                  </w:divBdr>
                  <w:divsChild>
                    <w:div w:id="14548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90301">
      <w:bodyDiv w:val="1"/>
      <w:marLeft w:val="0"/>
      <w:marRight w:val="0"/>
      <w:marTop w:val="0"/>
      <w:marBottom w:val="0"/>
      <w:divBdr>
        <w:top w:val="none" w:sz="0" w:space="0" w:color="auto"/>
        <w:left w:val="none" w:sz="0" w:space="0" w:color="auto"/>
        <w:bottom w:val="none" w:sz="0" w:space="0" w:color="auto"/>
        <w:right w:val="none" w:sz="0" w:space="0" w:color="auto"/>
      </w:divBdr>
      <w:divsChild>
        <w:div w:id="460196753">
          <w:marLeft w:val="0"/>
          <w:marRight w:val="0"/>
          <w:marTop w:val="0"/>
          <w:marBottom w:val="0"/>
          <w:divBdr>
            <w:top w:val="none" w:sz="0" w:space="0" w:color="auto"/>
            <w:left w:val="none" w:sz="0" w:space="0" w:color="auto"/>
            <w:bottom w:val="none" w:sz="0" w:space="0" w:color="auto"/>
            <w:right w:val="none" w:sz="0" w:space="0" w:color="auto"/>
          </w:divBdr>
          <w:divsChild>
            <w:div w:id="767510120">
              <w:marLeft w:val="0"/>
              <w:marRight w:val="0"/>
              <w:marTop w:val="0"/>
              <w:marBottom w:val="0"/>
              <w:divBdr>
                <w:top w:val="none" w:sz="0" w:space="0" w:color="auto"/>
                <w:left w:val="none" w:sz="0" w:space="0" w:color="auto"/>
                <w:bottom w:val="none" w:sz="0" w:space="0" w:color="auto"/>
                <w:right w:val="none" w:sz="0" w:space="0" w:color="auto"/>
              </w:divBdr>
              <w:divsChild>
                <w:div w:id="5036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2370">
      <w:bodyDiv w:val="1"/>
      <w:marLeft w:val="0"/>
      <w:marRight w:val="0"/>
      <w:marTop w:val="0"/>
      <w:marBottom w:val="0"/>
      <w:divBdr>
        <w:top w:val="none" w:sz="0" w:space="0" w:color="auto"/>
        <w:left w:val="none" w:sz="0" w:space="0" w:color="auto"/>
        <w:bottom w:val="none" w:sz="0" w:space="0" w:color="auto"/>
        <w:right w:val="none" w:sz="0" w:space="0" w:color="auto"/>
      </w:divBdr>
      <w:divsChild>
        <w:div w:id="1857499872">
          <w:marLeft w:val="0"/>
          <w:marRight w:val="0"/>
          <w:marTop w:val="0"/>
          <w:marBottom w:val="0"/>
          <w:divBdr>
            <w:top w:val="none" w:sz="0" w:space="0" w:color="auto"/>
            <w:left w:val="none" w:sz="0" w:space="0" w:color="auto"/>
            <w:bottom w:val="none" w:sz="0" w:space="0" w:color="auto"/>
            <w:right w:val="none" w:sz="0" w:space="0" w:color="auto"/>
          </w:divBdr>
          <w:divsChild>
            <w:div w:id="1688409426">
              <w:marLeft w:val="0"/>
              <w:marRight w:val="0"/>
              <w:marTop w:val="0"/>
              <w:marBottom w:val="0"/>
              <w:divBdr>
                <w:top w:val="none" w:sz="0" w:space="0" w:color="auto"/>
                <w:left w:val="none" w:sz="0" w:space="0" w:color="auto"/>
                <w:bottom w:val="none" w:sz="0" w:space="0" w:color="auto"/>
                <w:right w:val="none" w:sz="0" w:space="0" w:color="auto"/>
              </w:divBdr>
              <w:divsChild>
                <w:div w:id="2081171685">
                  <w:marLeft w:val="0"/>
                  <w:marRight w:val="0"/>
                  <w:marTop w:val="0"/>
                  <w:marBottom w:val="0"/>
                  <w:divBdr>
                    <w:top w:val="none" w:sz="0" w:space="0" w:color="auto"/>
                    <w:left w:val="none" w:sz="0" w:space="0" w:color="auto"/>
                    <w:bottom w:val="none" w:sz="0" w:space="0" w:color="auto"/>
                    <w:right w:val="none" w:sz="0" w:space="0" w:color="auto"/>
                  </w:divBdr>
                  <w:divsChild>
                    <w:div w:id="19687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61052">
      <w:bodyDiv w:val="1"/>
      <w:marLeft w:val="0"/>
      <w:marRight w:val="0"/>
      <w:marTop w:val="0"/>
      <w:marBottom w:val="0"/>
      <w:divBdr>
        <w:top w:val="none" w:sz="0" w:space="0" w:color="auto"/>
        <w:left w:val="none" w:sz="0" w:space="0" w:color="auto"/>
        <w:bottom w:val="none" w:sz="0" w:space="0" w:color="auto"/>
        <w:right w:val="none" w:sz="0" w:space="0" w:color="auto"/>
      </w:divBdr>
      <w:divsChild>
        <w:div w:id="361132976">
          <w:marLeft w:val="0"/>
          <w:marRight w:val="0"/>
          <w:marTop w:val="0"/>
          <w:marBottom w:val="0"/>
          <w:divBdr>
            <w:top w:val="none" w:sz="0" w:space="0" w:color="auto"/>
            <w:left w:val="none" w:sz="0" w:space="0" w:color="auto"/>
            <w:bottom w:val="none" w:sz="0" w:space="0" w:color="auto"/>
            <w:right w:val="none" w:sz="0" w:space="0" w:color="auto"/>
          </w:divBdr>
          <w:divsChild>
            <w:div w:id="898321847">
              <w:marLeft w:val="0"/>
              <w:marRight w:val="0"/>
              <w:marTop w:val="0"/>
              <w:marBottom w:val="0"/>
              <w:divBdr>
                <w:top w:val="none" w:sz="0" w:space="0" w:color="auto"/>
                <w:left w:val="none" w:sz="0" w:space="0" w:color="auto"/>
                <w:bottom w:val="none" w:sz="0" w:space="0" w:color="auto"/>
                <w:right w:val="none" w:sz="0" w:space="0" w:color="auto"/>
              </w:divBdr>
              <w:divsChild>
                <w:div w:id="5384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91329">
      <w:bodyDiv w:val="1"/>
      <w:marLeft w:val="0"/>
      <w:marRight w:val="0"/>
      <w:marTop w:val="0"/>
      <w:marBottom w:val="0"/>
      <w:divBdr>
        <w:top w:val="none" w:sz="0" w:space="0" w:color="auto"/>
        <w:left w:val="none" w:sz="0" w:space="0" w:color="auto"/>
        <w:bottom w:val="none" w:sz="0" w:space="0" w:color="auto"/>
        <w:right w:val="none" w:sz="0" w:space="0" w:color="auto"/>
      </w:divBdr>
      <w:divsChild>
        <w:div w:id="1619218740">
          <w:marLeft w:val="0"/>
          <w:marRight w:val="0"/>
          <w:marTop w:val="0"/>
          <w:marBottom w:val="0"/>
          <w:divBdr>
            <w:top w:val="none" w:sz="0" w:space="0" w:color="auto"/>
            <w:left w:val="none" w:sz="0" w:space="0" w:color="auto"/>
            <w:bottom w:val="none" w:sz="0" w:space="0" w:color="auto"/>
            <w:right w:val="none" w:sz="0" w:space="0" w:color="auto"/>
          </w:divBdr>
          <w:divsChild>
            <w:div w:id="644774459">
              <w:marLeft w:val="0"/>
              <w:marRight w:val="0"/>
              <w:marTop w:val="0"/>
              <w:marBottom w:val="0"/>
              <w:divBdr>
                <w:top w:val="none" w:sz="0" w:space="0" w:color="auto"/>
                <w:left w:val="none" w:sz="0" w:space="0" w:color="auto"/>
                <w:bottom w:val="none" w:sz="0" w:space="0" w:color="auto"/>
                <w:right w:val="none" w:sz="0" w:space="0" w:color="auto"/>
              </w:divBdr>
              <w:divsChild>
                <w:div w:id="1377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1391">
      <w:bodyDiv w:val="1"/>
      <w:marLeft w:val="0"/>
      <w:marRight w:val="0"/>
      <w:marTop w:val="0"/>
      <w:marBottom w:val="0"/>
      <w:divBdr>
        <w:top w:val="none" w:sz="0" w:space="0" w:color="auto"/>
        <w:left w:val="none" w:sz="0" w:space="0" w:color="auto"/>
        <w:bottom w:val="none" w:sz="0" w:space="0" w:color="auto"/>
        <w:right w:val="none" w:sz="0" w:space="0" w:color="auto"/>
      </w:divBdr>
    </w:div>
    <w:div w:id="1423523316">
      <w:bodyDiv w:val="1"/>
      <w:marLeft w:val="0"/>
      <w:marRight w:val="0"/>
      <w:marTop w:val="0"/>
      <w:marBottom w:val="0"/>
      <w:divBdr>
        <w:top w:val="none" w:sz="0" w:space="0" w:color="auto"/>
        <w:left w:val="none" w:sz="0" w:space="0" w:color="auto"/>
        <w:bottom w:val="none" w:sz="0" w:space="0" w:color="auto"/>
        <w:right w:val="none" w:sz="0" w:space="0" w:color="auto"/>
      </w:divBdr>
    </w:div>
    <w:div w:id="1423721347">
      <w:bodyDiv w:val="1"/>
      <w:marLeft w:val="0"/>
      <w:marRight w:val="0"/>
      <w:marTop w:val="0"/>
      <w:marBottom w:val="0"/>
      <w:divBdr>
        <w:top w:val="none" w:sz="0" w:space="0" w:color="auto"/>
        <w:left w:val="none" w:sz="0" w:space="0" w:color="auto"/>
        <w:bottom w:val="none" w:sz="0" w:space="0" w:color="auto"/>
        <w:right w:val="none" w:sz="0" w:space="0" w:color="auto"/>
      </w:divBdr>
      <w:divsChild>
        <w:div w:id="521284035">
          <w:marLeft w:val="0"/>
          <w:marRight w:val="0"/>
          <w:marTop w:val="0"/>
          <w:marBottom w:val="0"/>
          <w:divBdr>
            <w:top w:val="none" w:sz="0" w:space="0" w:color="auto"/>
            <w:left w:val="none" w:sz="0" w:space="0" w:color="auto"/>
            <w:bottom w:val="none" w:sz="0" w:space="0" w:color="auto"/>
            <w:right w:val="none" w:sz="0" w:space="0" w:color="auto"/>
          </w:divBdr>
        </w:div>
        <w:div w:id="907885011">
          <w:marLeft w:val="0"/>
          <w:marRight w:val="0"/>
          <w:marTop w:val="0"/>
          <w:marBottom w:val="0"/>
          <w:divBdr>
            <w:top w:val="none" w:sz="0" w:space="0" w:color="auto"/>
            <w:left w:val="none" w:sz="0" w:space="0" w:color="auto"/>
            <w:bottom w:val="none" w:sz="0" w:space="0" w:color="auto"/>
            <w:right w:val="none" w:sz="0" w:space="0" w:color="auto"/>
          </w:divBdr>
        </w:div>
        <w:div w:id="973945042">
          <w:marLeft w:val="0"/>
          <w:marRight w:val="0"/>
          <w:marTop w:val="0"/>
          <w:marBottom w:val="0"/>
          <w:divBdr>
            <w:top w:val="none" w:sz="0" w:space="0" w:color="auto"/>
            <w:left w:val="none" w:sz="0" w:space="0" w:color="auto"/>
            <w:bottom w:val="none" w:sz="0" w:space="0" w:color="auto"/>
            <w:right w:val="none" w:sz="0" w:space="0" w:color="auto"/>
          </w:divBdr>
        </w:div>
        <w:div w:id="1359620448">
          <w:marLeft w:val="0"/>
          <w:marRight w:val="0"/>
          <w:marTop w:val="0"/>
          <w:marBottom w:val="0"/>
          <w:divBdr>
            <w:top w:val="none" w:sz="0" w:space="0" w:color="auto"/>
            <w:left w:val="none" w:sz="0" w:space="0" w:color="auto"/>
            <w:bottom w:val="none" w:sz="0" w:space="0" w:color="auto"/>
            <w:right w:val="none" w:sz="0" w:space="0" w:color="auto"/>
          </w:divBdr>
          <w:divsChild>
            <w:div w:id="1880437429">
              <w:marLeft w:val="0"/>
              <w:marRight w:val="0"/>
              <w:marTop w:val="0"/>
              <w:marBottom w:val="0"/>
              <w:divBdr>
                <w:top w:val="none" w:sz="0" w:space="0" w:color="auto"/>
                <w:left w:val="none" w:sz="0" w:space="0" w:color="auto"/>
                <w:bottom w:val="none" w:sz="0" w:space="0" w:color="auto"/>
                <w:right w:val="none" w:sz="0" w:space="0" w:color="auto"/>
              </w:divBdr>
            </w:div>
          </w:divsChild>
        </w:div>
        <w:div w:id="1686857893">
          <w:marLeft w:val="0"/>
          <w:marRight w:val="0"/>
          <w:marTop w:val="0"/>
          <w:marBottom w:val="0"/>
          <w:divBdr>
            <w:top w:val="none" w:sz="0" w:space="0" w:color="auto"/>
            <w:left w:val="none" w:sz="0" w:space="0" w:color="auto"/>
            <w:bottom w:val="none" w:sz="0" w:space="0" w:color="auto"/>
            <w:right w:val="none" w:sz="0" w:space="0" w:color="auto"/>
          </w:divBdr>
        </w:div>
      </w:divsChild>
    </w:div>
    <w:div w:id="1427265711">
      <w:bodyDiv w:val="1"/>
      <w:marLeft w:val="0"/>
      <w:marRight w:val="0"/>
      <w:marTop w:val="0"/>
      <w:marBottom w:val="0"/>
      <w:divBdr>
        <w:top w:val="none" w:sz="0" w:space="0" w:color="auto"/>
        <w:left w:val="none" w:sz="0" w:space="0" w:color="auto"/>
        <w:bottom w:val="none" w:sz="0" w:space="0" w:color="auto"/>
        <w:right w:val="none" w:sz="0" w:space="0" w:color="auto"/>
      </w:divBdr>
      <w:divsChild>
        <w:div w:id="780538710">
          <w:marLeft w:val="0"/>
          <w:marRight w:val="0"/>
          <w:marTop w:val="0"/>
          <w:marBottom w:val="0"/>
          <w:divBdr>
            <w:top w:val="none" w:sz="0" w:space="0" w:color="auto"/>
            <w:left w:val="none" w:sz="0" w:space="0" w:color="auto"/>
            <w:bottom w:val="none" w:sz="0" w:space="0" w:color="auto"/>
            <w:right w:val="none" w:sz="0" w:space="0" w:color="auto"/>
          </w:divBdr>
          <w:divsChild>
            <w:div w:id="1203593991">
              <w:marLeft w:val="0"/>
              <w:marRight w:val="0"/>
              <w:marTop w:val="0"/>
              <w:marBottom w:val="0"/>
              <w:divBdr>
                <w:top w:val="none" w:sz="0" w:space="0" w:color="auto"/>
                <w:left w:val="none" w:sz="0" w:space="0" w:color="auto"/>
                <w:bottom w:val="none" w:sz="0" w:space="0" w:color="auto"/>
                <w:right w:val="none" w:sz="0" w:space="0" w:color="auto"/>
              </w:divBdr>
              <w:divsChild>
                <w:div w:id="13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9323">
      <w:bodyDiv w:val="1"/>
      <w:marLeft w:val="0"/>
      <w:marRight w:val="0"/>
      <w:marTop w:val="0"/>
      <w:marBottom w:val="0"/>
      <w:divBdr>
        <w:top w:val="none" w:sz="0" w:space="0" w:color="auto"/>
        <w:left w:val="none" w:sz="0" w:space="0" w:color="auto"/>
        <w:bottom w:val="none" w:sz="0" w:space="0" w:color="auto"/>
        <w:right w:val="none" w:sz="0" w:space="0" w:color="auto"/>
      </w:divBdr>
      <w:divsChild>
        <w:div w:id="1166826301">
          <w:marLeft w:val="0"/>
          <w:marRight w:val="0"/>
          <w:marTop w:val="0"/>
          <w:marBottom w:val="0"/>
          <w:divBdr>
            <w:top w:val="none" w:sz="0" w:space="0" w:color="auto"/>
            <w:left w:val="none" w:sz="0" w:space="0" w:color="auto"/>
            <w:bottom w:val="none" w:sz="0" w:space="0" w:color="auto"/>
            <w:right w:val="none" w:sz="0" w:space="0" w:color="auto"/>
          </w:divBdr>
          <w:divsChild>
            <w:div w:id="304743399">
              <w:marLeft w:val="0"/>
              <w:marRight w:val="0"/>
              <w:marTop w:val="0"/>
              <w:marBottom w:val="0"/>
              <w:divBdr>
                <w:top w:val="none" w:sz="0" w:space="0" w:color="auto"/>
                <w:left w:val="none" w:sz="0" w:space="0" w:color="auto"/>
                <w:bottom w:val="none" w:sz="0" w:space="0" w:color="auto"/>
                <w:right w:val="none" w:sz="0" w:space="0" w:color="auto"/>
              </w:divBdr>
              <w:divsChild>
                <w:div w:id="39868077">
                  <w:marLeft w:val="0"/>
                  <w:marRight w:val="0"/>
                  <w:marTop w:val="0"/>
                  <w:marBottom w:val="0"/>
                  <w:divBdr>
                    <w:top w:val="none" w:sz="0" w:space="0" w:color="auto"/>
                    <w:left w:val="none" w:sz="0" w:space="0" w:color="auto"/>
                    <w:bottom w:val="none" w:sz="0" w:space="0" w:color="auto"/>
                    <w:right w:val="none" w:sz="0" w:space="0" w:color="auto"/>
                  </w:divBdr>
                  <w:divsChild>
                    <w:div w:id="2027560555">
                      <w:marLeft w:val="0"/>
                      <w:marRight w:val="0"/>
                      <w:marTop w:val="0"/>
                      <w:marBottom w:val="0"/>
                      <w:divBdr>
                        <w:top w:val="none" w:sz="0" w:space="0" w:color="auto"/>
                        <w:left w:val="none" w:sz="0" w:space="0" w:color="auto"/>
                        <w:bottom w:val="none" w:sz="0" w:space="0" w:color="auto"/>
                        <w:right w:val="none" w:sz="0" w:space="0" w:color="auto"/>
                      </w:divBdr>
                    </w:div>
                  </w:divsChild>
                </w:div>
                <w:div w:id="1942295003">
                  <w:marLeft w:val="0"/>
                  <w:marRight w:val="0"/>
                  <w:marTop w:val="0"/>
                  <w:marBottom w:val="0"/>
                  <w:divBdr>
                    <w:top w:val="none" w:sz="0" w:space="0" w:color="auto"/>
                    <w:left w:val="none" w:sz="0" w:space="0" w:color="auto"/>
                    <w:bottom w:val="none" w:sz="0" w:space="0" w:color="auto"/>
                    <w:right w:val="none" w:sz="0" w:space="0" w:color="auto"/>
                  </w:divBdr>
                  <w:divsChild>
                    <w:div w:id="10776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5320">
      <w:bodyDiv w:val="1"/>
      <w:marLeft w:val="0"/>
      <w:marRight w:val="0"/>
      <w:marTop w:val="0"/>
      <w:marBottom w:val="0"/>
      <w:divBdr>
        <w:top w:val="none" w:sz="0" w:space="0" w:color="auto"/>
        <w:left w:val="none" w:sz="0" w:space="0" w:color="auto"/>
        <w:bottom w:val="none" w:sz="0" w:space="0" w:color="auto"/>
        <w:right w:val="none" w:sz="0" w:space="0" w:color="auto"/>
      </w:divBdr>
      <w:divsChild>
        <w:div w:id="1312179394">
          <w:marLeft w:val="0"/>
          <w:marRight w:val="0"/>
          <w:marTop w:val="0"/>
          <w:marBottom w:val="0"/>
          <w:divBdr>
            <w:top w:val="none" w:sz="0" w:space="0" w:color="auto"/>
            <w:left w:val="none" w:sz="0" w:space="0" w:color="auto"/>
            <w:bottom w:val="none" w:sz="0" w:space="0" w:color="auto"/>
            <w:right w:val="none" w:sz="0" w:space="0" w:color="auto"/>
          </w:divBdr>
          <w:divsChild>
            <w:div w:id="309287074">
              <w:marLeft w:val="0"/>
              <w:marRight w:val="0"/>
              <w:marTop w:val="0"/>
              <w:marBottom w:val="0"/>
              <w:divBdr>
                <w:top w:val="none" w:sz="0" w:space="0" w:color="auto"/>
                <w:left w:val="none" w:sz="0" w:space="0" w:color="auto"/>
                <w:bottom w:val="none" w:sz="0" w:space="0" w:color="auto"/>
                <w:right w:val="none" w:sz="0" w:space="0" w:color="auto"/>
              </w:divBdr>
              <w:divsChild>
                <w:div w:id="1240141712">
                  <w:marLeft w:val="0"/>
                  <w:marRight w:val="0"/>
                  <w:marTop w:val="0"/>
                  <w:marBottom w:val="0"/>
                  <w:divBdr>
                    <w:top w:val="none" w:sz="0" w:space="0" w:color="auto"/>
                    <w:left w:val="none" w:sz="0" w:space="0" w:color="auto"/>
                    <w:bottom w:val="none" w:sz="0" w:space="0" w:color="auto"/>
                    <w:right w:val="none" w:sz="0" w:space="0" w:color="auto"/>
                  </w:divBdr>
                  <w:divsChild>
                    <w:div w:id="2005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1434">
      <w:bodyDiv w:val="1"/>
      <w:marLeft w:val="0"/>
      <w:marRight w:val="0"/>
      <w:marTop w:val="0"/>
      <w:marBottom w:val="0"/>
      <w:divBdr>
        <w:top w:val="none" w:sz="0" w:space="0" w:color="auto"/>
        <w:left w:val="none" w:sz="0" w:space="0" w:color="auto"/>
        <w:bottom w:val="none" w:sz="0" w:space="0" w:color="auto"/>
        <w:right w:val="none" w:sz="0" w:space="0" w:color="auto"/>
      </w:divBdr>
    </w:div>
    <w:div w:id="1570505180">
      <w:bodyDiv w:val="1"/>
      <w:marLeft w:val="0"/>
      <w:marRight w:val="0"/>
      <w:marTop w:val="0"/>
      <w:marBottom w:val="0"/>
      <w:divBdr>
        <w:top w:val="none" w:sz="0" w:space="0" w:color="auto"/>
        <w:left w:val="none" w:sz="0" w:space="0" w:color="auto"/>
        <w:bottom w:val="none" w:sz="0" w:space="0" w:color="auto"/>
        <w:right w:val="none" w:sz="0" w:space="0" w:color="auto"/>
      </w:divBdr>
      <w:divsChild>
        <w:div w:id="1390958527">
          <w:marLeft w:val="0"/>
          <w:marRight w:val="0"/>
          <w:marTop w:val="0"/>
          <w:marBottom w:val="0"/>
          <w:divBdr>
            <w:top w:val="none" w:sz="0" w:space="0" w:color="auto"/>
            <w:left w:val="none" w:sz="0" w:space="0" w:color="auto"/>
            <w:bottom w:val="none" w:sz="0" w:space="0" w:color="auto"/>
            <w:right w:val="none" w:sz="0" w:space="0" w:color="auto"/>
          </w:divBdr>
          <w:divsChild>
            <w:div w:id="186405412">
              <w:marLeft w:val="0"/>
              <w:marRight w:val="0"/>
              <w:marTop w:val="0"/>
              <w:marBottom w:val="0"/>
              <w:divBdr>
                <w:top w:val="none" w:sz="0" w:space="0" w:color="auto"/>
                <w:left w:val="none" w:sz="0" w:space="0" w:color="auto"/>
                <w:bottom w:val="none" w:sz="0" w:space="0" w:color="auto"/>
                <w:right w:val="none" w:sz="0" w:space="0" w:color="auto"/>
              </w:divBdr>
              <w:divsChild>
                <w:div w:id="12018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9561">
      <w:bodyDiv w:val="1"/>
      <w:marLeft w:val="0"/>
      <w:marRight w:val="0"/>
      <w:marTop w:val="0"/>
      <w:marBottom w:val="0"/>
      <w:divBdr>
        <w:top w:val="none" w:sz="0" w:space="0" w:color="auto"/>
        <w:left w:val="none" w:sz="0" w:space="0" w:color="auto"/>
        <w:bottom w:val="none" w:sz="0" w:space="0" w:color="auto"/>
        <w:right w:val="none" w:sz="0" w:space="0" w:color="auto"/>
      </w:divBdr>
      <w:divsChild>
        <w:div w:id="1943490017">
          <w:marLeft w:val="0"/>
          <w:marRight w:val="0"/>
          <w:marTop w:val="0"/>
          <w:marBottom w:val="0"/>
          <w:divBdr>
            <w:top w:val="none" w:sz="0" w:space="0" w:color="auto"/>
            <w:left w:val="none" w:sz="0" w:space="0" w:color="auto"/>
            <w:bottom w:val="none" w:sz="0" w:space="0" w:color="auto"/>
            <w:right w:val="none" w:sz="0" w:space="0" w:color="auto"/>
          </w:divBdr>
          <w:divsChild>
            <w:div w:id="1490750501">
              <w:marLeft w:val="0"/>
              <w:marRight w:val="0"/>
              <w:marTop w:val="0"/>
              <w:marBottom w:val="0"/>
              <w:divBdr>
                <w:top w:val="none" w:sz="0" w:space="0" w:color="auto"/>
                <w:left w:val="none" w:sz="0" w:space="0" w:color="auto"/>
                <w:bottom w:val="none" w:sz="0" w:space="0" w:color="auto"/>
                <w:right w:val="none" w:sz="0" w:space="0" w:color="auto"/>
              </w:divBdr>
              <w:divsChild>
                <w:div w:id="898243945">
                  <w:marLeft w:val="0"/>
                  <w:marRight w:val="0"/>
                  <w:marTop w:val="0"/>
                  <w:marBottom w:val="0"/>
                  <w:divBdr>
                    <w:top w:val="none" w:sz="0" w:space="0" w:color="auto"/>
                    <w:left w:val="none" w:sz="0" w:space="0" w:color="auto"/>
                    <w:bottom w:val="none" w:sz="0" w:space="0" w:color="auto"/>
                    <w:right w:val="none" w:sz="0" w:space="0" w:color="auto"/>
                  </w:divBdr>
                  <w:divsChild>
                    <w:div w:id="1821772956">
                      <w:marLeft w:val="0"/>
                      <w:marRight w:val="0"/>
                      <w:marTop w:val="0"/>
                      <w:marBottom w:val="0"/>
                      <w:divBdr>
                        <w:top w:val="none" w:sz="0" w:space="0" w:color="auto"/>
                        <w:left w:val="none" w:sz="0" w:space="0" w:color="auto"/>
                        <w:bottom w:val="none" w:sz="0" w:space="0" w:color="auto"/>
                        <w:right w:val="none" w:sz="0" w:space="0" w:color="auto"/>
                      </w:divBdr>
                    </w:div>
                  </w:divsChild>
                </w:div>
                <w:div w:id="1148520187">
                  <w:marLeft w:val="0"/>
                  <w:marRight w:val="0"/>
                  <w:marTop w:val="0"/>
                  <w:marBottom w:val="0"/>
                  <w:divBdr>
                    <w:top w:val="none" w:sz="0" w:space="0" w:color="auto"/>
                    <w:left w:val="none" w:sz="0" w:space="0" w:color="auto"/>
                    <w:bottom w:val="none" w:sz="0" w:space="0" w:color="auto"/>
                    <w:right w:val="none" w:sz="0" w:space="0" w:color="auto"/>
                  </w:divBdr>
                  <w:divsChild>
                    <w:div w:id="15706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51207">
      <w:bodyDiv w:val="1"/>
      <w:marLeft w:val="0"/>
      <w:marRight w:val="0"/>
      <w:marTop w:val="0"/>
      <w:marBottom w:val="0"/>
      <w:divBdr>
        <w:top w:val="none" w:sz="0" w:space="0" w:color="auto"/>
        <w:left w:val="none" w:sz="0" w:space="0" w:color="auto"/>
        <w:bottom w:val="none" w:sz="0" w:space="0" w:color="auto"/>
        <w:right w:val="none" w:sz="0" w:space="0" w:color="auto"/>
      </w:divBdr>
    </w:div>
    <w:div w:id="1613319847">
      <w:bodyDiv w:val="1"/>
      <w:marLeft w:val="0"/>
      <w:marRight w:val="0"/>
      <w:marTop w:val="0"/>
      <w:marBottom w:val="0"/>
      <w:divBdr>
        <w:top w:val="none" w:sz="0" w:space="0" w:color="auto"/>
        <w:left w:val="none" w:sz="0" w:space="0" w:color="auto"/>
        <w:bottom w:val="none" w:sz="0" w:space="0" w:color="auto"/>
        <w:right w:val="none" w:sz="0" w:space="0" w:color="auto"/>
      </w:divBdr>
      <w:divsChild>
        <w:div w:id="1336302407">
          <w:marLeft w:val="0"/>
          <w:marRight w:val="0"/>
          <w:marTop w:val="0"/>
          <w:marBottom w:val="0"/>
          <w:divBdr>
            <w:top w:val="none" w:sz="0" w:space="0" w:color="auto"/>
            <w:left w:val="none" w:sz="0" w:space="0" w:color="auto"/>
            <w:bottom w:val="none" w:sz="0" w:space="0" w:color="auto"/>
            <w:right w:val="none" w:sz="0" w:space="0" w:color="auto"/>
          </w:divBdr>
          <w:divsChild>
            <w:div w:id="610353989">
              <w:marLeft w:val="0"/>
              <w:marRight w:val="0"/>
              <w:marTop w:val="0"/>
              <w:marBottom w:val="0"/>
              <w:divBdr>
                <w:top w:val="none" w:sz="0" w:space="0" w:color="auto"/>
                <w:left w:val="none" w:sz="0" w:space="0" w:color="auto"/>
                <w:bottom w:val="none" w:sz="0" w:space="0" w:color="auto"/>
                <w:right w:val="none" w:sz="0" w:space="0" w:color="auto"/>
              </w:divBdr>
              <w:divsChild>
                <w:div w:id="19235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99493">
      <w:bodyDiv w:val="1"/>
      <w:marLeft w:val="0"/>
      <w:marRight w:val="0"/>
      <w:marTop w:val="0"/>
      <w:marBottom w:val="0"/>
      <w:divBdr>
        <w:top w:val="none" w:sz="0" w:space="0" w:color="auto"/>
        <w:left w:val="none" w:sz="0" w:space="0" w:color="auto"/>
        <w:bottom w:val="none" w:sz="0" w:space="0" w:color="auto"/>
        <w:right w:val="none" w:sz="0" w:space="0" w:color="auto"/>
      </w:divBdr>
      <w:divsChild>
        <w:div w:id="1393115417">
          <w:marLeft w:val="0"/>
          <w:marRight w:val="0"/>
          <w:marTop w:val="0"/>
          <w:marBottom w:val="0"/>
          <w:divBdr>
            <w:top w:val="none" w:sz="0" w:space="0" w:color="auto"/>
            <w:left w:val="none" w:sz="0" w:space="0" w:color="auto"/>
            <w:bottom w:val="none" w:sz="0" w:space="0" w:color="auto"/>
            <w:right w:val="none" w:sz="0" w:space="0" w:color="auto"/>
          </w:divBdr>
          <w:divsChild>
            <w:div w:id="854466521">
              <w:marLeft w:val="0"/>
              <w:marRight w:val="0"/>
              <w:marTop w:val="0"/>
              <w:marBottom w:val="0"/>
              <w:divBdr>
                <w:top w:val="none" w:sz="0" w:space="0" w:color="auto"/>
                <w:left w:val="none" w:sz="0" w:space="0" w:color="auto"/>
                <w:bottom w:val="none" w:sz="0" w:space="0" w:color="auto"/>
                <w:right w:val="none" w:sz="0" w:space="0" w:color="auto"/>
              </w:divBdr>
              <w:divsChild>
                <w:div w:id="13425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14236">
      <w:bodyDiv w:val="1"/>
      <w:marLeft w:val="0"/>
      <w:marRight w:val="0"/>
      <w:marTop w:val="0"/>
      <w:marBottom w:val="0"/>
      <w:divBdr>
        <w:top w:val="none" w:sz="0" w:space="0" w:color="auto"/>
        <w:left w:val="none" w:sz="0" w:space="0" w:color="auto"/>
        <w:bottom w:val="none" w:sz="0" w:space="0" w:color="auto"/>
        <w:right w:val="none" w:sz="0" w:space="0" w:color="auto"/>
      </w:divBdr>
      <w:divsChild>
        <w:div w:id="761537014">
          <w:marLeft w:val="0"/>
          <w:marRight w:val="0"/>
          <w:marTop w:val="0"/>
          <w:marBottom w:val="0"/>
          <w:divBdr>
            <w:top w:val="none" w:sz="0" w:space="0" w:color="auto"/>
            <w:left w:val="none" w:sz="0" w:space="0" w:color="auto"/>
            <w:bottom w:val="none" w:sz="0" w:space="0" w:color="auto"/>
            <w:right w:val="none" w:sz="0" w:space="0" w:color="auto"/>
          </w:divBdr>
          <w:divsChild>
            <w:div w:id="1551570550">
              <w:marLeft w:val="0"/>
              <w:marRight w:val="0"/>
              <w:marTop w:val="0"/>
              <w:marBottom w:val="0"/>
              <w:divBdr>
                <w:top w:val="none" w:sz="0" w:space="0" w:color="auto"/>
                <w:left w:val="none" w:sz="0" w:space="0" w:color="auto"/>
                <w:bottom w:val="none" w:sz="0" w:space="0" w:color="auto"/>
                <w:right w:val="none" w:sz="0" w:space="0" w:color="auto"/>
              </w:divBdr>
              <w:divsChild>
                <w:div w:id="927806633">
                  <w:marLeft w:val="0"/>
                  <w:marRight w:val="0"/>
                  <w:marTop w:val="0"/>
                  <w:marBottom w:val="0"/>
                  <w:divBdr>
                    <w:top w:val="none" w:sz="0" w:space="0" w:color="auto"/>
                    <w:left w:val="none" w:sz="0" w:space="0" w:color="auto"/>
                    <w:bottom w:val="none" w:sz="0" w:space="0" w:color="auto"/>
                    <w:right w:val="none" w:sz="0" w:space="0" w:color="auto"/>
                  </w:divBdr>
                  <w:divsChild>
                    <w:div w:id="20017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54527">
      <w:bodyDiv w:val="1"/>
      <w:marLeft w:val="0"/>
      <w:marRight w:val="0"/>
      <w:marTop w:val="0"/>
      <w:marBottom w:val="0"/>
      <w:divBdr>
        <w:top w:val="none" w:sz="0" w:space="0" w:color="auto"/>
        <w:left w:val="none" w:sz="0" w:space="0" w:color="auto"/>
        <w:bottom w:val="none" w:sz="0" w:space="0" w:color="auto"/>
        <w:right w:val="none" w:sz="0" w:space="0" w:color="auto"/>
      </w:divBdr>
      <w:divsChild>
        <w:div w:id="1226990004">
          <w:marLeft w:val="0"/>
          <w:marRight w:val="0"/>
          <w:marTop w:val="0"/>
          <w:marBottom w:val="0"/>
          <w:divBdr>
            <w:top w:val="none" w:sz="0" w:space="0" w:color="auto"/>
            <w:left w:val="none" w:sz="0" w:space="0" w:color="auto"/>
            <w:bottom w:val="none" w:sz="0" w:space="0" w:color="auto"/>
            <w:right w:val="none" w:sz="0" w:space="0" w:color="auto"/>
          </w:divBdr>
          <w:divsChild>
            <w:div w:id="1867019698">
              <w:marLeft w:val="0"/>
              <w:marRight w:val="0"/>
              <w:marTop w:val="0"/>
              <w:marBottom w:val="0"/>
              <w:divBdr>
                <w:top w:val="none" w:sz="0" w:space="0" w:color="auto"/>
                <w:left w:val="none" w:sz="0" w:space="0" w:color="auto"/>
                <w:bottom w:val="none" w:sz="0" w:space="0" w:color="auto"/>
                <w:right w:val="none" w:sz="0" w:space="0" w:color="auto"/>
              </w:divBdr>
              <w:divsChild>
                <w:div w:id="11905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8313">
      <w:bodyDiv w:val="1"/>
      <w:marLeft w:val="0"/>
      <w:marRight w:val="0"/>
      <w:marTop w:val="0"/>
      <w:marBottom w:val="0"/>
      <w:divBdr>
        <w:top w:val="none" w:sz="0" w:space="0" w:color="auto"/>
        <w:left w:val="none" w:sz="0" w:space="0" w:color="auto"/>
        <w:bottom w:val="none" w:sz="0" w:space="0" w:color="auto"/>
        <w:right w:val="none" w:sz="0" w:space="0" w:color="auto"/>
      </w:divBdr>
    </w:div>
    <w:div w:id="1798374186">
      <w:bodyDiv w:val="1"/>
      <w:marLeft w:val="0"/>
      <w:marRight w:val="0"/>
      <w:marTop w:val="0"/>
      <w:marBottom w:val="0"/>
      <w:divBdr>
        <w:top w:val="none" w:sz="0" w:space="0" w:color="auto"/>
        <w:left w:val="none" w:sz="0" w:space="0" w:color="auto"/>
        <w:bottom w:val="none" w:sz="0" w:space="0" w:color="auto"/>
        <w:right w:val="none" w:sz="0" w:space="0" w:color="auto"/>
      </w:divBdr>
      <w:divsChild>
        <w:div w:id="1102459537">
          <w:marLeft w:val="0"/>
          <w:marRight w:val="0"/>
          <w:marTop w:val="0"/>
          <w:marBottom w:val="0"/>
          <w:divBdr>
            <w:top w:val="none" w:sz="0" w:space="0" w:color="auto"/>
            <w:left w:val="none" w:sz="0" w:space="0" w:color="auto"/>
            <w:bottom w:val="none" w:sz="0" w:space="0" w:color="auto"/>
            <w:right w:val="none" w:sz="0" w:space="0" w:color="auto"/>
          </w:divBdr>
          <w:divsChild>
            <w:div w:id="168715066">
              <w:marLeft w:val="0"/>
              <w:marRight w:val="0"/>
              <w:marTop w:val="0"/>
              <w:marBottom w:val="0"/>
              <w:divBdr>
                <w:top w:val="none" w:sz="0" w:space="0" w:color="auto"/>
                <w:left w:val="none" w:sz="0" w:space="0" w:color="auto"/>
                <w:bottom w:val="none" w:sz="0" w:space="0" w:color="auto"/>
                <w:right w:val="none" w:sz="0" w:space="0" w:color="auto"/>
              </w:divBdr>
              <w:divsChild>
                <w:div w:id="4543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08799">
      <w:bodyDiv w:val="1"/>
      <w:marLeft w:val="0"/>
      <w:marRight w:val="0"/>
      <w:marTop w:val="0"/>
      <w:marBottom w:val="0"/>
      <w:divBdr>
        <w:top w:val="none" w:sz="0" w:space="0" w:color="auto"/>
        <w:left w:val="none" w:sz="0" w:space="0" w:color="auto"/>
        <w:bottom w:val="none" w:sz="0" w:space="0" w:color="auto"/>
        <w:right w:val="none" w:sz="0" w:space="0" w:color="auto"/>
      </w:divBdr>
      <w:divsChild>
        <w:div w:id="567036159">
          <w:marLeft w:val="0"/>
          <w:marRight w:val="0"/>
          <w:marTop w:val="0"/>
          <w:marBottom w:val="0"/>
          <w:divBdr>
            <w:top w:val="none" w:sz="0" w:space="0" w:color="auto"/>
            <w:left w:val="none" w:sz="0" w:space="0" w:color="auto"/>
            <w:bottom w:val="none" w:sz="0" w:space="0" w:color="auto"/>
            <w:right w:val="none" w:sz="0" w:space="0" w:color="auto"/>
          </w:divBdr>
          <w:divsChild>
            <w:div w:id="687562052">
              <w:marLeft w:val="0"/>
              <w:marRight w:val="0"/>
              <w:marTop w:val="0"/>
              <w:marBottom w:val="0"/>
              <w:divBdr>
                <w:top w:val="none" w:sz="0" w:space="0" w:color="auto"/>
                <w:left w:val="none" w:sz="0" w:space="0" w:color="auto"/>
                <w:bottom w:val="none" w:sz="0" w:space="0" w:color="auto"/>
                <w:right w:val="none" w:sz="0" w:space="0" w:color="auto"/>
              </w:divBdr>
              <w:divsChild>
                <w:div w:id="509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11249">
      <w:bodyDiv w:val="1"/>
      <w:marLeft w:val="0"/>
      <w:marRight w:val="0"/>
      <w:marTop w:val="0"/>
      <w:marBottom w:val="0"/>
      <w:divBdr>
        <w:top w:val="none" w:sz="0" w:space="0" w:color="auto"/>
        <w:left w:val="none" w:sz="0" w:space="0" w:color="auto"/>
        <w:bottom w:val="none" w:sz="0" w:space="0" w:color="auto"/>
        <w:right w:val="none" w:sz="0" w:space="0" w:color="auto"/>
      </w:divBdr>
      <w:divsChild>
        <w:div w:id="1378621815">
          <w:marLeft w:val="0"/>
          <w:marRight w:val="0"/>
          <w:marTop w:val="0"/>
          <w:marBottom w:val="0"/>
          <w:divBdr>
            <w:top w:val="none" w:sz="0" w:space="0" w:color="auto"/>
            <w:left w:val="none" w:sz="0" w:space="0" w:color="auto"/>
            <w:bottom w:val="none" w:sz="0" w:space="0" w:color="auto"/>
            <w:right w:val="none" w:sz="0" w:space="0" w:color="auto"/>
          </w:divBdr>
          <w:divsChild>
            <w:div w:id="341250385">
              <w:marLeft w:val="0"/>
              <w:marRight w:val="0"/>
              <w:marTop w:val="0"/>
              <w:marBottom w:val="0"/>
              <w:divBdr>
                <w:top w:val="none" w:sz="0" w:space="0" w:color="auto"/>
                <w:left w:val="none" w:sz="0" w:space="0" w:color="auto"/>
                <w:bottom w:val="none" w:sz="0" w:space="0" w:color="auto"/>
                <w:right w:val="none" w:sz="0" w:space="0" w:color="auto"/>
              </w:divBdr>
              <w:divsChild>
                <w:div w:id="954336600">
                  <w:marLeft w:val="0"/>
                  <w:marRight w:val="0"/>
                  <w:marTop w:val="0"/>
                  <w:marBottom w:val="0"/>
                  <w:divBdr>
                    <w:top w:val="none" w:sz="0" w:space="0" w:color="auto"/>
                    <w:left w:val="none" w:sz="0" w:space="0" w:color="auto"/>
                    <w:bottom w:val="none" w:sz="0" w:space="0" w:color="auto"/>
                    <w:right w:val="none" w:sz="0" w:space="0" w:color="auto"/>
                  </w:divBdr>
                  <w:divsChild>
                    <w:div w:id="17932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58056">
      <w:bodyDiv w:val="1"/>
      <w:marLeft w:val="0"/>
      <w:marRight w:val="0"/>
      <w:marTop w:val="0"/>
      <w:marBottom w:val="0"/>
      <w:divBdr>
        <w:top w:val="none" w:sz="0" w:space="0" w:color="auto"/>
        <w:left w:val="none" w:sz="0" w:space="0" w:color="auto"/>
        <w:bottom w:val="none" w:sz="0" w:space="0" w:color="auto"/>
        <w:right w:val="none" w:sz="0" w:space="0" w:color="auto"/>
      </w:divBdr>
      <w:divsChild>
        <w:div w:id="1083531684">
          <w:marLeft w:val="0"/>
          <w:marRight w:val="0"/>
          <w:marTop w:val="0"/>
          <w:marBottom w:val="0"/>
          <w:divBdr>
            <w:top w:val="none" w:sz="0" w:space="0" w:color="auto"/>
            <w:left w:val="none" w:sz="0" w:space="0" w:color="auto"/>
            <w:bottom w:val="none" w:sz="0" w:space="0" w:color="auto"/>
            <w:right w:val="none" w:sz="0" w:space="0" w:color="auto"/>
          </w:divBdr>
          <w:divsChild>
            <w:div w:id="1083723673">
              <w:marLeft w:val="0"/>
              <w:marRight w:val="0"/>
              <w:marTop w:val="0"/>
              <w:marBottom w:val="0"/>
              <w:divBdr>
                <w:top w:val="none" w:sz="0" w:space="0" w:color="auto"/>
                <w:left w:val="none" w:sz="0" w:space="0" w:color="auto"/>
                <w:bottom w:val="none" w:sz="0" w:space="0" w:color="auto"/>
                <w:right w:val="none" w:sz="0" w:space="0" w:color="auto"/>
              </w:divBdr>
              <w:divsChild>
                <w:div w:id="100884048">
                  <w:marLeft w:val="0"/>
                  <w:marRight w:val="0"/>
                  <w:marTop w:val="0"/>
                  <w:marBottom w:val="0"/>
                  <w:divBdr>
                    <w:top w:val="none" w:sz="0" w:space="0" w:color="auto"/>
                    <w:left w:val="none" w:sz="0" w:space="0" w:color="auto"/>
                    <w:bottom w:val="none" w:sz="0" w:space="0" w:color="auto"/>
                    <w:right w:val="none" w:sz="0" w:space="0" w:color="auto"/>
                  </w:divBdr>
                  <w:divsChild>
                    <w:div w:id="8951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65755">
      <w:bodyDiv w:val="1"/>
      <w:marLeft w:val="0"/>
      <w:marRight w:val="0"/>
      <w:marTop w:val="0"/>
      <w:marBottom w:val="0"/>
      <w:divBdr>
        <w:top w:val="none" w:sz="0" w:space="0" w:color="auto"/>
        <w:left w:val="none" w:sz="0" w:space="0" w:color="auto"/>
        <w:bottom w:val="none" w:sz="0" w:space="0" w:color="auto"/>
        <w:right w:val="none" w:sz="0" w:space="0" w:color="auto"/>
      </w:divBdr>
    </w:div>
    <w:div w:id="1825311883">
      <w:bodyDiv w:val="1"/>
      <w:marLeft w:val="0"/>
      <w:marRight w:val="0"/>
      <w:marTop w:val="0"/>
      <w:marBottom w:val="0"/>
      <w:divBdr>
        <w:top w:val="none" w:sz="0" w:space="0" w:color="auto"/>
        <w:left w:val="none" w:sz="0" w:space="0" w:color="auto"/>
        <w:bottom w:val="none" w:sz="0" w:space="0" w:color="auto"/>
        <w:right w:val="none" w:sz="0" w:space="0" w:color="auto"/>
      </w:divBdr>
    </w:div>
    <w:div w:id="1883783757">
      <w:bodyDiv w:val="1"/>
      <w:marLeft w:val="0"/>
      <w:marRight w:val="0"/>
      <w:marTop w:val="0"/>
      <w:marBottom w:val="0"/>
      <w:divBdr>
        <w:top w:val="none" w:sz="0" w:space="0" w:color="auto"/>
        <w:left w:val="none" w:sz="0" w:space="0" w:color="auto"/>
        <w:bottom w:val="none" w:sz="0" w:space="0" w:color="auto"/>
        <w:right w:val="none" w:sz="0" w:space="0" w:color="auto"/>
      </w:divBdr>
      <w:divsChild>
        <w:div w:id="1822502101">
          <w:marLeft w:val="0"/>
          <w:marRight w:val="0"/>
          <w:marTop w:val="0"/>
          <w:marBottom w:val="0"/>
          <w:divBdr>
            <w:top w:val="none" w:sz="0" w:space="0" w:color="auto"/>
            <w:left w:val="none" w:sz="0" w:space="0" w:color="auto"/>
            <w:bottom w:val="none" w:sz="0" w:space="0" w:color="auto"/>
            <w:right w:val="none" w:sz="0" w:space="0" w:color="auto"/>
          </w:divBdr>
          <w:divsChild>
            <w:div w:id="1542402258">
              <w:marLeft w:val="0"/>
              <w:marRight w:val="0"/>
              <w:marTop w:val="0"/>
              <w:marBottom w:val="0"/>
              <w:divBdr>
                <w:top w:val="none" w:sz="0" w:space="0" w:color="auto"/>
                <w:left w:val="none" w:sz="0" w:space="0" w:color="auto"/>
                <w:bottom w:val="none" w:sz="0" w:space="0" w:color="auto"/>
                <w:right w:val="none" w:sz="0" w:space="0" w:color="auto"/>
              </w:divBdr>
              <w:divsChild>
                <w:div w:id="208228927">
                  <w:marLeft w:val="0"/>
                  <w:marRight w:val="0"/>
                  <w:marTop w:val="0"/>
                  <w:marBottom w:val="0"/>
                  <w:divBdr>
                    <w:top w:val="none" w:sz="0" w:space="0" w:color="auto"/>
                    <w:left w:val="none" w:sz="0" w:space="0" w:color="auto"/>
                    <w:bottom w:val="none" w:sz="0" w:space="0" w:color="auto"/>
                    <w:right w:val="none" w:sz="0" w:space="0" w:color="auto"/>
                  </w:divBdr>
                  <w:divsChild>
                    <w:div w:id="5804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92836">
      <w:bodyDiv w:val="1"/>
      <w:marLeft w:val="0"/>
      <w:marRight w:val="0"/>
      <w:marTop w:val="0"/>
      <w:marBottom w:val="0"/>
      <w:divBdr>
        <w:top w:val="none" w:sz="0" w:space="0" w:color="auto"/>
        <w:left w:val="none" w:sz="0" w:space="0" w:color="auto"/>
        <w:bottom w:val="none" w:sz="0" w:space="0" w:color="auto"/>
        <w:right w:val="none" w:sz="0" w:space="0" w:color="auto"/>
      </w:divBdr>
      <w:divsChild>
        <w:div w:id="1329360646">
          <w:marLeft w:val="0"/>
          <w:marRight w:val="0"/>
          <w:marTop w:val="0"/>
          <w:marBottom w:val="0"/>
          <w:divBdr>
            <w:top w:val="none" w:sz="0" w:space="0" w:color="auto"/>
            <w:left w:val="none" w:sz="0" w:space="0" w:color="auto"/>
            <w:bottom w:val="none" w:sz="0" w:space="0" w:color="auto"/>
            <w:right w:val="none" w:sz="0" w:space="0" w:color="auto"/>
          </w:divBdr>
          <w:divsChild>
            <w:div w:id="1678652612">
              <w:marLeft w:val="0"/>
              <w:marRight w:val="0"/>
              <w:marTop w:val="0"/>
              <w:marBottom w:val="0"/>
              <w:divBdr>
                <w:top w:val="none" w:sz="0" w:space="0" w:color="auto"/>
                <w:left w:val="none" w:sz="0" w:space="0" w:color="auto"/>
                <w:bottom w:val="none" w:sz="0" w:space="0" w:color="auto"/>
                <w:right w:val="none" w:sz="0" w:space="0" w:color="auto"/>
              </w:divBdr>
              <w:divsChild>
                <w:div w:id="1944995097">
                  <w:marLeft w:val="0"/>
                  <w:marRight w:val="0"/>
                  <w:marTop w:val="0"/>
                  <w:marBottom w:val="0"/>
                  <w:divBdr>
                    <w:top w:val="none" w:sz="0" w:space="0" w:color="auto"/>
                    <w:left w:val="none" w:sz="0" w:space="0" w:color="auto"/>
                    <w:bottom w:val="none" w:sz="0" w:space="0" w:color="auto"/>
                    <w:right w:val="none" w:sz="0" w:space="0" w:color="auto"/>
                  </w:divBdr>
                  <w:divsChild>
                    <w:div w:id="3488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496353">
      <w:bodyDiv w:val="1"/>
      <w:marLeft w:val="0"/>
      <w:marRight w:val="0"/>
      <w:marTop w:val="0"/>
      <w:marBottom w:val="0"/>
      <w:divBdr>
        <w:top w:val="none" w:sz="0" w:space="0" w:color="auto"/>
        <w:left w:val="none" w:sz="0" w:space="0" w:color="auto"/>
        <w:bottom w:val="none" w:sz="0" w:space="0" w:color="auto"/>
        <w:right w:val="none" w:sz="0" w:space="0" w:color="auto"/>
      </w:divBdr>
    </w:div>
    <w:div w:id="1905796793">
      <w:bodyDiv w:val="1"/>
      <w:marLeft w:val="0"/>
      <w:marRight w:val="0"/>
      <w:marTop w:val="0"/>
      <w:marBottom w:val="0"/>
      <w:divBdr>
        <w:top w:val="none" w:sz="0" w:space="0" w:color="auto"/>
        <w:left w:val="none" w:sz="0" w:space="0" w:color="auto"/>
        <w:bottom w:val="none" w:sz="0" w:space="0" w:color="auto"/>
        <w:right w:val="none" w:sz="0" w:space="0" w:color="auto"/>
      </w:divBdr>
      <w:divsChild>
        <w:div w:id="1771468478">
          <w:marLeft w:val="0"/>
          <w:marRight w:val="0"/>
          <w:marTop w:val="0"/>
          <w:marBottom w:val="0"/>
          <w:divBdr>
            <w:top w:val="none" w:sz="0" w:space="0" w:color="auto"/>
            <w:left w:val="none" w:sz="0" w:space="0" w:color="auto"/>
            <w:bottom w:val="none" w:sz="0" w:space="0" w:color="auto"/>
            <w:right w:val="none" w:sz="0" w:space="0" w:color="auto"/>
          </w:divBdr>
          <w:divsChild>
            <w:div w:id="472060425">
              <w:marLeft w:val="0"/>
              <w:marRight w:val="0"/>
              <w:marTop w:val="0"/>
              <w:marBottom w:val="0"/>
              <w:divBdr>
                <w:top w:val="none" w:sz="0" w:space="0" w:color="auto"/>
                <w:left w:val="none" w:sz="0" w:space="0" w:color="auto"/>
                <w:bottom w:val="none" w:sz="0" w:space="0" w:color="auto"/>
                <w:right w:val="none" w:sz="0" w:space="0" w:color="auto"/>
              </w:divBdr>
              <w:divsChild>
                <w:div w:id="14720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3647">
      <w:bodyDiv w:val="1"/>
      <w:marLeft w:val="0"/>
      <w:marRight w:val="0"/>
      <w:marTop w:val="0"/>
      <w:marBottom w:val="0"/>
      <w:divBdr>
        <w:top w:val="none" w:sz="0" w:space="0" w:color="auto"/>
        <w:left w:val="none" w:sz="0" w:space="0" w:color="auto"/>
        <w:bottom w:val="none" w:sz="0" w:space="0" w:color="auto"/>
        <w:right w:val="none" w:sz="0" w:space="0" w:color="auto"/>
      </w:divBdr>
      <w:divsChild>
        <w:div w:id="1348872405">
          <w:marLeft w:val="0"/>
          <w:marRight w:val="0"/>
          <w:marTop w:val="0"/>
          <w:marBottom w:val="0"/>
          <w:divBdr>
            <w:top w:val="none" w:sz="0" w:space="0" w:color="auto"/>
            <w:left w:val="none" w:sz="0" w:space="0" w:color="auto"/>
            <w:bottom w:val="none" w:sz="0" w:space="0" w:color="auto"/>
            <w:right w:val="none" w:sz="0" w:space="0" w:color="auto"/>
          </w:divBdr>
          <w:divsChild>
            <w:div w:id="1989480755">
              <w:marLeft w:val="0"/>
              <w:marRight w:val="0"/>
              <w:marTop w:val="0"/>
              <w:marBottom w:val="0"/>
              <w:divBdr>
                <w:top w:val="none" w:sz="0" w:space="0" w:color="auto"/>
                <w:left w:val="none" w:sz="0" w:space="0" w:color="auto"/>
                <w:bottom w:val="none" w:sz="0" w:space="0" w:color="auto"/>
                <w:right w:val="none" w:sz="0" w:space="0" w:color="auto"/>
              </w:divBdr>
              <w:divsChild>
                <w:div w:id="11203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0191">
      <w:bodyDiv w:val="1"/>
      <w:marLeft w:val="0"/>
      <w:marRight w:val="0"/>
      <w:marTop w:val="0"/>
      <w:marBottom w:val="0"/>
      <w:divBdr>
        <w:top w:val="none" w:sz="0" w:space="0" w:color="auto"/>
        <w:left w:val="none" w:sz="0" w:space="0" w:color="auto"/>
        <w:bottom w:val="none" w:sz="0" w:space="0" w:color="auto"/>
        <w:right w:val="none" w:sz="0" w:space="0" w:color="auto"/>
      </w:divBdr>
    </w:div>
    <w:div w:id="2011366044">
      <w:bodyDiv w:val="1"/>
      <w:marLeft w:val="0"/>
      <w:marRight w:val="0"/>
      <w:marTop w:val="0"/>
      <w:marBottom w:val="0"/>
      <w:divBdr>
        <w:top w:val="none" w:sz="0" w:space="0" w:color="auto"/>
        <w:left w:val="none" w:sz="0" w:space="0" w:color="auto"/>
        <w:bottom w:val="none" w:sz="0" w:space="0" w:color="auto"/>
        <w:right w:val="none" w:sz="0" w:space="0" w:color="auto"/>
      </w:divBdr>
    </w:div>
    <w:div w:id="2031488010">
      <w:bodyDiv w:val="1"/>
      <w:marLeft w:val="0"/>
      <w:marRight w:val="0"/>
      <w:marTop w:val="0"/>
      <w:marBottom w:val="0"/>
      <w:divBdr>
        <w:top w:val="none" w:sz="0" w:space="0" w:color="auto"/>
        <w:left w:val="none" w:sz="0" w:space="0" w:color="auto"/>
        <w:bottom w:val="none" w:sz="0" w:space="0" w:color="auto"/>
        <w:right w:val="none" w:sz="0" w:space="0" w:color="auto"/>
      </w:divBdr>
      <w:divsChild>
        <w:div w:id="1179731522">
          <w:marLeft w:val="0"/>
          <w:marRight w:val="0"/>
          <w:marTop w:val="0"/>
          <w:marBottom w:val="0"/>
          <w:divBdr>
            <w:top w:val="none" w:sz="0" w:space="0" w:color="auto"/>
            <w:left w:val="none" w:sz="0" w:space="0" w:color="auto"/>
            <w:bottom w:val="none" w:sz="0" w:space="0" w:color="auto"/>
            <w:right w:val="none" w:sz="0" w:space="0" w:color="auto"/>
          </w:divBdr>
          <w:divsChild>
            <w:div w:id="116530693">
              <w:marLeft w:val="0"/>
              <w:marRight w:val="0"/>
              <w:marTop w:val="0"/>
              <w:marBottom w:val="0"/>
              <w:divBdr>
                <w:top w:val="none" w:sz="0" w:space="0" w:color="auto"/>
                <w:left w:val="none" w:sz="0" w:space="0" w:color="auto"/>
                <w:bottom w:val="none" w:sz="0" w:space="0" w:color="auto"/>
                <w:right w:val="none" w:sz="0" w:space="0" w:color="auto"/>
              </w:divBdr>
              <w:divsChild>
                <w:div w:id="1238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4376">
      <w:bodyDiv w:val="1"/>
      <w:marLeft w:val="0"/>
      <w:marRight w:val="0"/>
      <w:marTop w:val="0"/>
      <w:marBottom w:val="0"/>
      <w:divBdr>
        <w:top w:val="none" w:sz="0" w:space="0" w:color="auto"/>
        <w:left w:val="none" w:sz="0" w:space="0" w:color="auto"/>
        <w:bottom w:val="none" w:sz="0" w:space="0" w:color="auto"/>
        <w:right w:val="none" w:sz="0" w:space="0" w:color="auto"/>
      </w:divBdr>
      <w:divsChild>
        <w:div w:id="529531914">
          <w:marLeft w:val="0"/>
          <w:marRight w:val="0"/>
          <w:marTop w:val="0"/>
          <w:marBottom w:val="0"/>
          <w:divBdr>
            <w:top w:val="none" w:sz="0" w:space="0" w:color="auto"/>
            <w:left w:val="none" w:sz="0" w:space="0" w:color="auto"/>
            <w:bottom w:val="none" w:sz="0" w:space="0" w:color="auto"/>
            <w:right w:val="none" w:sz="0" w:space="0" w:color="auto"/>
          </w:divBdr>
        </w:div>
        <w:div w:id="1356926061">
          <w:marLeft w:val="0"/>
          <w:marRight w:val="0"/>
          <w:marTop w:val="0"/>
          <w:marBottom w:val="0"/>
          <w:divBdr>
            <w:top w:val="none" w:sz="0" w:space="0" w:color="auto"/>
            <w:left w:val="none" w:sz="0" w:space="0" w:color="auto"/>
            <w:bottom w:val="none" w:sz="0" w:space="0" w:color="auto"/>
            <w:right w:val="none" w:sz="0" w:space="0" w:color="auto"/>
          </w:divBdr>
        </w:div>
        <w:div w:id="1500927439">
          <w:marLeft w:val="0"/>
          <w:marRight w:val="0"/>
          <w:marTop w:val="0"/>
          <w:marBottom w:val="0"/>
          <w:divBdr>
            <w:top w:val="none" w:sz="0" w:space="0" w:color="auto"/>
            <w:left w:val="none" w:sz="0" w:space="0" w:color="auto"/>
            <w:bottom w:val="none" w:sz="0" w:space="0" w:color="auto"/>
            <w:right w:val="none" w:sz="0" w:space="0" w:color="auto"/>
          </w:divBdr>
        </w:div>
      </w:divsChild>
    </w:div>
    <w:div w:id="2045671891">
      <w:bodyDiv w:val="1"/>
      <w:marLeft w:val="0"/>
      <w:marRight w:val="0"/>
      <w:marTop w:val="0"/>
      <w:marBottom w:val="0"/>
      <w:divBdr>
        <w:top w:val="none" w:sz="0" w:space="0" w:color="auto"/>
        <w:left w:val="none" w:sz="0" w:space="0" w:color="auto"/>
        <w:bottom w:val="none" w:sz="0" w:space="0" w:color="auto"/>
        <w:right w:val="none" w:sz="0" w:space="0" w:color="auto"/>
      </w:divBdr>
      <w:divsChild>
        <w:div w:id="188372613">
          <w:marLeft w:val="0"/>
          <w:marRight w:val="0"/>
          <w:marTop w:val="0"/>
          <w:marBottom w:val="0"/>
          <w:divBdr>
            <w:top w:val="none" w:sz="0" w:space="0" w:color="auto"/>
            <w:left w:val="none" w:sz="0" w:space="0" w:color="auto"/>
            <w:bottom w:val="none" w:sz="0" w:space="0" w:color="auto"/>
            <w:right w:val="none" w:sz="0" w:space="0" w:color="auto"/>
          </w:divBdr>
        </w:div>
        <w:div w:id="191311972">
          <w:marLeft w:val="0"/>
          <w:marRight w:val="0"/>
          <w:marTop w:val="0"/>
          <w:marBottom w:val="0"/>
          <w:divBdr>
            <w:top w:val="none" w:sz="0" w:space="0" w:color="auto"/>
            <w:left w:val="none" w:sz="0" w:space="0" w:color="auto"/>
            <w:bottom w:val="none" w:sz="0" w:space="0" w:color="auto"/>
            <w:right w:val="none" w:sz="0" w:space="0" w:color="auto"/>
          </w:divBdr>
        </w:div>
        <w:div w:id="301427414">
          <w:marLeft w:val="0"/>
          <w:marRight w:val="0"/>
          <w:marTop w:val="0"/>
          <w:marBottom w:val="0"/>
          <w:divBdr>
            <w:top w:val="none" w:sz="0" w:space="0" w:color="auto"/>
            <w:left w:val="none" w:sz="0" w:space="0" w:color="auto"/>
            <w:bottom w:val="none" w:sz="0" w:space="0" w:color="auto"/>
            <w:right w:val="none" w:sz="0" w:space="0" w:color="auto"/>
          </w:divBdr>
        </w:div>
      </w:divsChild>
    </w:div>
    <w:div w:id="2055738249">
      <w:bodyDiv w:val="1"/>
      <w:marLeft w:val="0"/>
      <w:marRight w:val="0"/>
      <w:marTop w:val="0"/>
      <w:marBottom w:val="0"/>
      <w:divBdr>
        <w:top w:val="none" w:sz="0" w:space="0" w:color="auto"/>
        <w:left w:val="none" w:sz="0" w:space="0" w:color="auto"/>
        <w:bottom w:val="none" w:sz="0" w:space="0" w:color="auto"/>
        <w:right w:val="none" w:sz="0" w:space="0" w:color="auto"/>
      </w:divBdr>
      <w:divsChild>
        <w:div w:id="1087460544">
          <w:marLeft w:val="0"/>
          <w:marRight w:val="0"/>
          <w:marTop w:val="0"/>
          <w:marBottom w:val="0"/>
          <w:divBdr>
            <w:top w:val="none" w:sz="0" w:space="0" w:color="auto"/>
            <w:left w:val="none" w:sz="0" w:space="0" w:color="auto"/>
            <w:bottom w:val="none" w:sz="0" w:space="0" w:color="auto"/>
            <w:right w:val="none" w:sz="0" w:space="0" w:color="auto"/>
          </w:divBdr>
          <w:divsChild>
            <w:div w:id="717702674">
              <w:marLeft w:val="0"/>
              <w:marRight w:val="0"/>
              <w:marTop w:val="0"/>
              <w:marBottom w:val="0"/>
              <w:divBdr>
                <w:top w:val="none" w:sz="0" w:space="0" w:color="auto"/>
                <w:left w:val="none" w:sz="0" w:space="0" w:color="auto"/>
                <w:bottom w:val="none" w:sz="0" w:space="0" w:color="auto"/>
                <w:right w:val="none" w:sz="0" w:space="0" w:color="auto"/>
              </w:divBdr>
              <w:divsChild>
                <w:div w:id="5797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5015">
      <w:bodyDiv w:val="1"/>
      <w:marLeft w:val="0"/>
      <w:marRight w:val="0"/>
      <w:marTop w:val="0"/>
      <w:marBottom w:val="0"/>
      <w:divBdr>
        <w:top w:val="none" w:sz="0" w:space="0" w:color="auto"/>
        <w:left w:val="none" w:sz="0" w:space="0" w:color="auto"/>
        <w:bottom w:val="none" w:sz="0" w:space="0" w:color="auto"/>
        <w:right w:val="none" w:sz="0" w:space="0" w:color="auto"/>
      </w:divBdr>
    </w:div>
    <w:div w:id="2072998737">
      <w:bodyDiv w:val="1"/>
      <w:marLeft w:val="0"/>
      <w:marRight w:val="0"/>
      <w:marTop w:val="0"/>
      <w:marBottom w:val="0"/>
      <w:divBdr>
        <w:top w:val="none" w:sz="0" w:space="0" w:color="auto"/>
        <w:left w:val="none" w:sz="0" w:space="0" w:color="auto"/>
        <w:bottom w:val="none" w:sz="0" w:space="0" w:color="auto"/>
        <w:right w:val="none" w:sz="0" w:space="0" w:color="auto"/>
      </w:divBdr>
      <w:divsChild>
        <w:div w:id="906652209">
          <w:marLeft w:val="0"/>
          <w:marRight w:val="0"/>
          <w:marTop w:val="0"/>
          <w:marBottom w:val="0"/>
          <w:divBdr>
            <w:top w:val="none" w:sz="0" w:space="0" w:color="auto"/>
            <w:left w:val="none" w:sz="0" w:space="0" w:color="auto"/>
            <w:bottom w:val="none" w:sz="0" w:space="0" w:color="auto"/>
            <w:right w:val="none" w:sz="0" w:space="0" w:color="auto"/>
          </w:divBdr>
          <w:divsChild>
            <w:div w:id="1150318735">
              <w:marLeft w:val="0"/>
              <w:marRight w:val="0"/>
              <w:marTop w:val="0"/>
              <w:marBottom w:val="0"/>
              <w:divBdr>
                <w:top w:val="none" w:sz="0" w:space="0" w:color="auto"/>
                <w:left w:val="none" w:sz="0" w:space="0" w:color="auto"/>
                <w:bottom w:val="none" w:sz="0" w:space="0" w:color="auto"/>
                <w:right w:val="none" w:sz="0" w:space="0" w:color="auto"/>
              </w:divBdr>
              <w:divsChild>
                <w:div w:id="14833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31154">
      <w:bodyDiv w:val="1"/>
      <w:marLeft w:val="0"/>
      <w:marRight w:val="0"/>
      <w:marTop w:val="0"/>
      <w:marBottom w:val="0"/>
      <w:divBdr>
        <w:top w:val="none" w:sz="0" w:space="0" w:color="auto"/>
        <w:left w:val="none" w:sz="0" w:space="0" w:color="auto"/>
        <w:bottom w:val="none" w:sz="0" w:space="0" w:color="auto"/>
        <w:right w:val="none" w:sz="0" w:space="0" w:color="auto"/>
      </w:divBdr>
    </w:div>
    <w:div w:id="2132745309">
      <w:bodyDiv w:val="1"/>
      <w:marLeft w:val="0"/>
      <w:marRight w:val="0"/>
      <w:marTop w:val="0"/>
      <w:marBottom w:val="0"/>
      <w:divBdr>
        <w:top w:val="none" w:sz="0" w:space="0" w:color="auto"/>
        <w:left w:val="none" w:sz="0" w:space="0" w:color="auto"/>
        <w:bottom w:val="none" w:sz="0" w:space="0" w:color="auto"/>
        <w:right w:val="none" w:sz="0" w:space="0" w:color="auto"/>
      </w:divBdr>
      <w:divsChild>
        <w:div w:id="1598638352">
          <w:marLeft w:val="0"/>
          <w:marRight w:val="0"/>
          <w:marTop w:val="0"/>
          <w:marBottom w:val="0"/>
          <w:divBdr>
            <w:top w:val="none" w:sz="0" w:space="0" w:color="auto"/>
            <w:left w:val="none" w:sz="0" w:space="0" w:color="auto"/>
            <w:bottom w:val="none" w:sz="0" w:space="0" w:color="auto"/>
            <w:right w:val="none" w:sz="0" w:space="0" w:color="auto"/>
          </w:divBdr>
          <w:divsChild>
            <w:div w:id="1106582272">
              <w:marLeft w:val="0"/>
              <w:marRight w:val="0"/>
              <w:marTop w:val="0"/>
              <w:marBottom w:val="0"/>
              <w:divBdr>
                <w:top w:val="none" w:sz="0" w:space="0" w:color="auto"/>
                <w:left w:val="none" w:sz="0" w:space="0" w:color="auto"/>
                <w:bottom w:val="none" w:sz="0" w:space="0" w:color="auto"/>
                <w:right w:val="none" w:sz="0" w:space="0" w:color="auto"/>
              </w:divBdr>
              <w:divsChild>
                <w:div w:id="821896687">
                  <w:marLeft w:val="0"/>
                  <w:marRight w:val="0"/>
                  <w:marTop w:val="0"/>
                  <w:marBottom w:val="0"/>
                  <w:divBdr>
                    <w:top w:val="none" w:sz="0" w:space="0" w:color="auto"/>
                    <w:left w:val="none" w:sz="0" w:space="0" w:color="auto"/>
                    <w:bottom w:val="none" w:sz="0" w:space="0" w:color="auto"/>
                    <w:right w:val="none" w:sz="0" w:space="0" w:color="auto"/>
                  </w:divBdr>
                  <w:divsChild>
                    <w:div w:id="18025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cfr.gov/current/title-40/section-122.26" TargetMode="External" Id="rId13" /><Relationship Type="http://schemas.openxmlformats.org/officeDocument/2006/relationships/hyperlink" Target="https://www.bls.gov/data/inflation_calculator.htm" TargetMode="External" Id="rId18" /><Relationship Type="http://schemas.openxmlformats.org/officeDocument/2006/relationships/hyperlink" Target="https://www.waterboards.ca.gov/water_issues/programs/ocean/docs/oceanplan2019.pdf" TargetMode="External" Id="rId26" /><Relationship Type="http://schemas.openxmlformats.org/officeDocument/2006/relationships/image" Target="media/image2.png" Id="rId39" /><Relationship Type="http://schemas.openxmlformats.org/officeDocument/2006/relationships/hyperlink" Target="https://www.waterboards.ca.gov/board_decisions/adopted_orders/resolutions/2013/rs2013_0029.pdf" TargetMode="External" Id="rId21" /><Relationship Type="http://schemas.openxmlformats.org/officeDocument/2006/relationships/hyperlink" Target="https://www.waterboards.ca.gov/centralcoast/publications_forms/publications/basin_plan/docs/2019_basin_plan_r3_complete_webaccess.pdf" TargetMode="External" Id="rId34" /><Relationship Type="http://schemas.openxmlformats.org/officeDocument/2006/relationships/hyperlink" Target="mailto:LB.Nye@waterboards.ca.gov" TargetMode="External" Id="rId42" /><Relationship Type="http://schemas.openxmlformats.org/officeDocument/2006/relationships/hyperlink" Target="https://www.waterboards.ca.gov/centralvalley/water_issues/basin_plans/sacsjr_201902.pdf" TargetMode="External" Id="rId47" /><Relationship Type="http://schemas.openxmlformats.org/officeDocument/2006/relationships/hyperlink" Target="https://www.waterboards.ca.gov/santaana/water_issues/programs/basin_plan/docs/2019/New/Chapter_6_June_2019.pdf" TargetMode="External" Id="rId50" /><Relationship Type="http://schemas.microsoft.com/office/2019/05/relationships/documenttasks" Target="documenttasks/documenttasks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waterboards.ca.gov/board_decisions/adopted_orders/resolutions/1968/rs68_016.pdf" TargetMode="External" Id="rId16" /><Relationship Type="http://schemas.openxmlformats.org/officeDocument/2006/relationships/hyperlink" Target="https://www.waterboards.ca.gov/board_decisions/adopted_orders/resolutions/2025/rs2025-0005.pdf" TargetMode="External" Id="rId29" /><Relationship Type="http://schemas.openxmlformats.org/officeDocument/2006/relationships/hyperlink" Target="https://www.waterboards.ca.gov/board_decisions/adopted_orders/water_quality/2003/wqo/wqo2003_0005dwq.pdf" TargetMode="External" Id="rId11" /><Relationship Type="http://schemas.openxmlformats.org/officeDocument/2006/relationships/hyperlink" Target="https://www.waterboards.ca.gov/water_issues/programs/trash_control/docs/trash_c_040715.pdf" TargetMode="External" Id="rId24" /><Relationship Type="http://schemas.openxmlformats.org/officeDocument/2006/relationships/hyperlink" Target="https://www.waterboards.ca.gov/sanfranciscobay/water_issues/programs/planningtmdls/basinplan/web/docs/ADA_compliant/BP_chapter_7.pdf" TargetMode="External" Id="rId32" /><Relationship Type="http://schemas.openxmlformats.org/officeDocument/2006/relationships/footer" Target="footer2.xml" Id="rId37" /><Relationship Type="http://schemas.openxmlformats.org/officeDocument/2006/relationships/hyperlink" Target="https://www.waterboards.ca.gov/losangeles/water_issues/programs/basin_plan/2020/Chapter_7/Chapter_7.pdf" TargetMode="External" Id="rId40" /><Relationship Type="http://schemas.openxmlformats.org/officeDocument/2006/relationships/hyperlink" Target="https://www.waterboards.ca.gov/rwqcb5/board_decisions/adopted_orders/lake/r5-2020-0902.pdf" TargetMode="External" Id="rId45" /><Relationship Type="http://schemas.openxmlformats.org/officeDocument/2006/relationships/fontTable" Target="fontTable.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waterboards.ca.gov/board_decisions/adopted_orders/water_quality/2000/wq2000_11.pdf" TargetMode="External" Id="rId19" /><Relationship Type="http://schemas.openxmlformats.org/officeDocument/2006/relationships/hyperlink" Target="https://19january2017snapshot.epa.gov/www3/region9/water/tmdl/final.html" TargetMode="External" Id="rId31" /><Relationship Type="http://schemas.openxmlformats.org/officeDocument/2006/relationships/image" Target="media/image3.wmf" Id="rId44" /><Relationship Type="http://schemas.openxmlformats.org/officeDocument/2006/relationships/hyperlink" Target="https://www.waterboards.ca.gov/sandiego/water_issues/programs/basin_plan/" TargetMode="Externa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cfr.gov/current/title-40/section-122.26" TargetMode="External" Id="rId14" /><Relationship Type="http://schemas.openxmlformats.org/officeDocument/2006/relationships/hyperlink" Target="https://www.epa.gov/sites/default/files/2018-01/documents/overcoming-barriers-to-development-and-implementation-of-asset-management-plans.pdf" TargetMode="External" Id="rId22" /><Relationship Type="http://schemas.openxmlformats.org/officeDocument/2006/relationships/hyperlink" Target="https://www.waterboards.ca.gov/board_decisions/adopted_orders/resolutions/2012/rs2012_0012.pdf" TargetMode="External" Id="rId27" /><Relationship Type="http://schemas.openxmlformats.org/officeDocument/2006/relationships/hyperlink" Target="https://www.waterboards.ca.gov/northcoast/water_issues/programs/basin_plan/basin_plan_documents/" TargetMode="External" Id="rId30" /><Relationship Type="http://schemas.openxmlformats.org/officeDocument/2006/relationships/header" Target="header1.xml" Id="rId35" /><Relationship Type="http://schemas.openxmlformats.org/officeDocument/2006/relationships/hyperlink" Target="https://www.waterboards.ca.gov/centralvalley/water_issues/basin_plans/sacsjr_201902.pdf" TargetMode="External" Id="rId43" /><Relationship Type="http://schemas.openxmlformats.org/officeDocument/2006/relationships/hyperlink" Target="https://www.waterboards.ca.gov/centralvalley/water_issues/basin_plans/sacsjr_201902.pdf" TargetMode="External" Id="rId48" /><Relationship Type="http://schemas.microsoft.com/office/2019/09/relationships/intelligence" Target="intelligence.xml" Id="Rc2eb5025d9a94db2" /><Relationship Type="http://schemas.openxmlformats.org/officeDocument/2006/relationships/webSettings" Target="webSettings.xml" Id="rId8" /><Relationship Type="http://schemas.openxmlformats.org/officeDocument/2006/relationships/hyperlink" Target="https://19january2017snapshot.epa.gov/www3/region9/water/tmdl/final.html" TargetMode="External" Id="rId51" /><Relationship Type="http://schemas.openxmlformats.org/officeDocument/2006/relationships/customXml" Target="../customXml/item3.xml" Id="rId3" /><Relationship Type="http://schemas.openxmlformats.org/officeDocument/2006/relationships/hyperlink" Target="https://www.waterboards.ca.gov/board_decisions/adopted_orders/water_quality/2013/wqo2013_0001dwq.pdf" TargetMode="External" Id="rId12" /><Relationship Type="http://schemas.openxmlformats.org/officeDocument/2006/relationships/hyperlink" Target="https://www.owp.csus.edu/research/papers/papers/NPDES_Stormwater_costsurvey.pdf" TargetMode="External" Id="rId17" /><Relationship Type="http://schemas.openxmlformats.org/officeDocument/2006/relationships/hyperlink" Target="https://www.waterboards.ca.gov/board_decisions/adopted_orders/water_quality/2000/wq2000_11.pdf" TargetMode="External" Id="rId25" /><Relationship Type="http://schemas.openxmlformats.org/officeDocument/2006/relationships/hyperlink" Target="https://19january2017snapshot.epa.gov/www3/region9/water/tmdl/final.html" TargetMode="External" Id="rId33" /><Relationship Type="http://schemas.openxmlformats.org/officeDocument/2006/relationships/image" Target="media/image1.png" Id="rId38" /><Relationship Type="http://schemas.openxmlformats.org/officeDocument/2006/relationships/hyperlink" Target="https://www.waterboards.ca.gov/rwqcb5/board_decisions/adopted_orders/resolutions/r5-2017-0057_res.pdf" TargetMode="External" Id="rId46" /><Relationship Type="http://schemas.openxmlformats.org/officeDocument/2006/relationships/hyperlink" Target="https://www.waterboards.ca.gov/water_issues/programs/trash_control/documentation.html" TargetMode="External" Id="rId20" /><Relationship Type="http://schemas.openxmlformats.org/officeDocument/2006/relationships/hyperlink" Target="https://19january2017snapshot.epa.gov/www3/region9/water/tmdl/final.html"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current/title-40/section-122.26" TargetMode="External" Id="rId15" /><Relationship Type="http://schemas.openxmlformats.org/officeDocument/2006/relationships/hyperlink" Target="https://www.waterboards.ca.gov/laws_regulations/docs/portercologne.pdf" TargetMode="External" Id="rId23" /><Relationship Type="http://schemas.openxmlformats.org/officeDocument/2006/relationships/hyperlink" Target="https://www.sfpuc.gov/programs/san-franciscos-urban-watersheds/stormwater-schoolyards" TargetMode="External" Id="rId28" /><Relationship Type="http://schemas.openxmlformats.org/officeDocument/2006/relationships/footer" Target="footer1.xml" Id="rId36" /><Relationship Type="http://schemas.openxmlformats.org/officeDocument/2006/relationships/hyperlink" Target="https://www.waterboards.ca.gov/lahontan/water_issues/programs/basin_plan/references.html" TargetMode="External" Id="rId49" /></Relationships>
</file>

<file path=word/_rels/footnotes.xml.rels><?xml version="1.0" encoding="UTF-8" standalone="yes"?>
<Relationships xmlns="http://schemas.openxmlformats.org/package/2006/relationships"><Relationship Id="rId8" Type="http://schemas.openxmlformats.org/officeDocument/2006/relationships/hyperlink" Target="https://www.waterboards.ca.gov/water_issues/programs/trash_control/docs/trash_appendix_e_121615.pdf" TargetMode="External"/><Relationship Id="rId13" Type="http://schemas.openxmlformats.org/officeDocument/2006/relationships/hyperlink" Target="https://www.waterboards.ca.gov/sanfranciscobay/water_issues/programs/planningtmdls/basinplan/web/docs/ADA_compliant/BP_chapter_7.pdf" TargetMode="External"/><Relationship Id="rId18" Type="http://schemas.openxmlformats.org/officeDocument/2006/relationships/hyperlink" Target="https://www.waterboards.ca.gov/centralcoast/board_decisions/adopted_orders/2022/Resolution-No-R3-2022-0002.pdf" TargetMode="External"/><Relationship Id="rId3" Type="http://schemas.openxmlformats.org/officeDocument/2006/relationships/hyperlink" Target="https://www.waterboards.ca.gov/water_issues/programs/trash_control/docs/trash_appendix_e_121615.pdf" TargetMode="External"/><Relationship Id="rId21" Type="http://schemas.openxmlformats.org/officeDocument/2006/relationships/hyperlink" Target="https://www.waterboards.ca.gov/losangeles/water_issues/programs/basin_plan/2020/Chapter_7/Chapter_7.pdf" TargetMode="External"/><Relationship Id="rId7" Type="http://schemas.openxmlformats.org/officeDocument/2006/relationships/hyperlink" Target="https://www.waterboards.ca.gov/water_issues/programs/ocean/docs/oceanplan2019.pdf" TargetMode="External"/><Relationship Id="rId12" Type="http://schemas.openxmlformats.org/officeDocument/2006/relationships/hyperlink" Target="https://www.waterboards.ca.gov/northcoast/water_issues/programs/tmdls/eel_river_lower/pdf/LER-TMDL-final-121807-signed.pdf" TargetMode="External"/><Relationship Id="rId17" Type="http://schemas.openxmlformats.org/officeDocument/2006/relationships/hyperlink" Target="https://www.waterboards.ca.gov/centralcoast/water_issues/programs/tmdl/docs/salinas/turbidity/docs/tmdl_map.pdf" TargetMode="External"/><Relationship Id="rId25" Type="http://schemas.openxmlformats.org/officeDocument/2006/relationships/hyperlink" Target="https://www.waterboards.ca.gov/santaana/water_issues/programs/basin_plan/docs/2019/New/Chapter_6_June_2019.pdf" TargetMode="External"/><Relationship Id="rId2" Type="http://schemas.openxmlformats.org/officeDocument/2006/relationships/hyperlink" Target="https://www.waterboards.ca.gov/water_issues/programs/ocean/docs/oceanplan2019.pdf" TargetMode="External"/><Relationship Id="rId16" Type="http://schemas.openxmlformats.org/officeDocument/2006/relationships/hyperlink" Target="https://www.waterboards.ca.gov/centralcoast/water_issues/programs/tmdl/docs/pinto_lake/2020/item9_att1.pdf" TargetMode="External"/><Relationship Id="rId20" Type="http://schemas.openxmlformats.org/officeDocument/2006/relationships/hyperlink" Target="https://www.waterboards.ca.gov/losangeles/water_issues/programs/tmdl/Established/San%20Gabriel%20River%20Metals%20TMDL/final_sangabriel_metalstmdl_3-27-07.pdf" TargetMode="External"/><Relationship Id="rId1" Type="http://schemas.openxmlformats.org/officeDocument/2006/relationships/hyperlink" Target="https://www.epa.gov/system/files/documents/2023-09/EPA-Stormwater-Phase-II-Final-Rule-Factsheet-2.9-Permitting-and-Reporting.pdf" TargetMode="External"/><Relationship Id="rId6" Type="http://schemas.openxmlformats.org/officeDocument/2006/relationships/hyperlink" Target="https://www.waterboards.ca.gov/laws_regulations/docs/portercologne.pdf" TargetMode="External"/><Relationship Id="rId11" Type="http://schemas.openxmlformats.org/officeDocument/2006/relationships/hyperlink" Target="https://www.waterboards.ca.gov/northcoast/water_issues/programs/tmdls/eel_river_lower/pdf/LER-TMDL-final-121807-signed.pdf" TargetMode="External"/><Relationship Id="rId24" Type="http://schemas.openxmlformats.org/officeDocument/2006/relationships/hyperlink" Target="mailto:Jagroop.Khela@waterboards.ca.gov" TargetMode="External"/><Relationship Id="rId5" Type="http://schemas.openxmlformats.org/officeDocument/2006/relationships/hyperlink" Target="https://dot.ca.gov/-/media/dot-media/programs/construction/documents/environmental-compliance/construction-site-bmps_final-march-2024_a11y.pdf" TargetMode="External"/><Relationship Id="rId15" Type="http://schemas.openxmlformats.org/officeDocument/2006/relationships/hyperlink" Target="https://www.waterboards.ca.gov/centralcoast/water_issues/programs/tmdl/docs/san_luis_obsipo/nutrient/slo_nut_tmdl_proj_report.pdf" TargetMode="External"/><Relationship Id="rId23" Type="http://schemas.openxmlformats.org/officeDocument/2006/relationships/hyperlink" Target="https://www.waterboards.ca.gov/centralvalley/water_issues/basin_plans/sacsjr_201902.pdf" TargetMode="External"/><Relationship Id="rId10" Type="http://schemas.openxmlformats.org/officeDocument/2006/relationships/hyperlink" Target="../Final%20Draft%20Water%20Quality%20Control%20Policy%20for%20Standardized%20Cost%20Reporting%20in%20Municipal%20Stormwater%20Permits,%20December%202024." TargetMode="External"/><Relationship Id="rId19" Type="http://schemas.openxmlformats.org/officeDocument/2006/relationships/hyperlink" Target="https://cfpub.epa.gov/si/si_public_record_report.cfm?Lab=ORD&amp;dirEntryId=34346" TargetMode="External"/><Relationship Id="rId4" Type="http://schemas.openxmlformats.org/officeDocument/2006/relationships/hyperlink" Target="https://tahoebmp.org/Documents/BMPHandbook/BMP_Handbook.pdf" TargetMode="External"/><Relationship Id="rId9" Type="http://schemas.openxmlformats.org/officeDocument/2006/relationships/hyperlink" Target="https://www.waterboards.ca.gov/sanfranciscobay/board_decisions/adopted_orders/2022/R2-2022-0018.pdf" TargetMode="External"/><Relationship Id="rId14" Type="http://schemas.openxmlformats.org/officeDocument/2006/relationships/hyperlink" Target="https://www.waterboards.ca.gov/sanfranciscobay/water_issues/programs/planningtmdls/basinplan/web/docs/ADA_compliant/BP_chapter_7.pdf" TargetMode="External"/><Relationship Id="rId22" Type="http://schemas.openxmlformats.org/officeDocument/2006/relationships/hyperlink" Target="https://www.waterboards.ca.gov/losangeles/water_issues/programs/basin_plan/2020/Chapter_7/Chapter_7.pdf" TargetMode="External"/></Relationships>
</file>

<file path=word/documenttasks/documenttasks1.xml><?xml version="1.0" encoding="utf-8"?>
<t:Tasks xmlns:t="http://schemas.microsoft.com/office/tasks/2019/documenttasks" xmlns:oel="http://schemas.microsoft.com/office/2019/extlst">
  <t:Task id="{E9373BCA-3A76-4554-A7AD-F110790B013D}">
    <t:Anchor>
      <t:Comment id="1158405663"/>
    </t:Anchor>
    <t:History>
      <t:Event id="{7D8EF2E3-F6D9-4B18-99F7-22371CCD3ABC}" time="2025-08-15T18:07:47.617Z">
        <t:Attribution userId="S::mary.boyd@waterboards.ca.gov::151c4e08-95a5-4cd5-9e42-6a1d01b9eae9" userProvider="AD" userName="Boyd, Mary@Waterboards"/>
        <t:Anchor>
          <t:Comment id="555623126"/>
        </t:Anchor>
        <t:Create/>
      </t:Event>
      <t:Event id="{A56E58B6-5F0F-4C9C-893F-D59DCAF0E77E}" time="2025-08-15T18:07:47.617Z">
        <t:Attribution userId="S::mary.boyd@waterboards.ca.gov::151c4e08-95a5-4cd5-9e42-6a1d01b9eae9" userProvider="AD" userName="Boyd, Mary@Waterboards"/>
        <t:Anchor>
          <t:Comment id="555623126"/>
        </t:Anchor>
        <t:Assign userId="S::Paul.Levy@Waterboards.ca.gov::aaecba86-49aa-4265-8966-08f1c3931207" userProvider="AD" userName="Levy, Paul@Waterboards"/>
      </t:Event>
      <t:Event id="{B8CA6F7F-96A7-447A-93A5-400E1228E599}" time="2025-08-15T18:07:47.617Z">
        <t:Attribution userId="S::mary.boyd@waterboards.ca.gov::151c4e08-95a5-4cd5-9e42-6a1d01b9eae9" userProvider="AD" userName="Boyd, Mary@Waterboards"/>
        <t:Anchor>
          <t:Comment id="555623126"/>
        </t:Anchor>
        <t:SetTitle title="@Levy, Paul@Waterboards "/>
      </t:Event>
      <t:Event id="{5A519772-0265-4183-BEFD-03CFF8730D16}" time="2025-11-21T00:38:05.891Z">
        <t:Attribution userId="S::Paul.Levy@Waterboards.ca.gov::aaecba86-49aa-4265-8966-08f1c3931207" userProvider="AD" userName="Levy, Paul@Waterboard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Mallory-Jones, Ryan@Waterboards</DisplayName>
        <AccountId>19</AccountId>
        <AccountType/>
      </UserInfo>
      <UserInfo>
        <DisplayName>Bennett, Jarma@Waterboards</DisplayName>
        <AccountId>14</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E557-50E6-4EDD-9624-F3D7FBD8C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23E30-E247-4050-B8D9-5A1EC2D39EFA}">
  <ds:schemaRefs>
    <ds:schemaRef ds:uri="http://schemas.microsoft.com/sharepoint/v3/contenttype/forms"/>
  </ds:schemaRefs>
</ds:datastoreItem>
</file>

<file path=customXml/itemProps3.xml><?xml version="1.0" encoding="utf-8"?>
<ds:datastoreItem xmlns:ds="http://schemas.openxmlformats.org/officeDocument/2006/customXml" ds:itemID="{C0F7EE2B-C187-43A0-AF00-7DAB439D8967}">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customXml/itemProps4.xml><?xml version="1.0" encoding="utf-8"?>
<ds:datastoreItem xmlns:ds="http://schemas.openxmlformats.org/officeDocument/2006/customXml" ds:itemID="{610D5199-FB30-46EC-A74F-810C988CD3E3}">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A - Fact Sheet</dc:title>
  <dc:subject/>
  <dc:creator>State Water Resources Control Board</dc:creator>
  <keywords>Caltrans</keywords>
  <lastModifiedBy>Wong, Nicholas@Waterboards</lastModifiedBy>
  <revision>9892</revision>
  <lastPrinted>2024-10-21T22:24:00.0000000Z</lastPrinted>
  <dcterms:created xsi:type="dcterms:W3CDTF">2020-12-23T00:19:00.0000000Z</dcterms:created>
  <dcterms:modified xsi:type="dcterms:W3CDTF">2026-05-21T16:42:01.3248683Z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DWQ_Projects">
    <vt:lpwstr/>
  </property>
  <property fmtid="{D5CDD505-2E9C-101B-9397-08002B2CF9AE}" pid="4" name="DWQ_Unit">
    <vt:lpwstr>10;#Municipal Storm Water|da43827d-3b42-41e1-8f23-d535c2d1c052</vt:lpwstr>
  </property>
  <property fmtid="{D5CDD505-2E9C-101B-9397-08002B2CF9AE}" pid="5" name="DWQ_Section">
    <vt:lpwstr>58;#Surface Water|9bce0fbf-6fe3-4252-8e87-5a2ab9e78f62</vt:lpwstr>
  </property>
  <property fmtid="{D5CDD505-2E9C-101B-9397-08002B2CF9AE}" pid="6" name="TaxKeyword">
    <vt:lpwstr>207;#Caltrans|f389fbbb-f5ed-4c28-a5f3-c5572287e7db</vt:lpwstr>
  </property>
  <property fmtid="{D5CDD505-2E9C-101B-9397-08002B2CF9AE}" pid="7" name="Approval Level">
    <vt:lpwstr/>
  </property>
  <property fmtid="{D5CDD505-2E9C-101B-9397-08002B2CF9AE}" pid="8" name="DWQ_DocType">
    <vt:lpwstr>171;#Permit|4755381e-aa60-4dbf-86d6-7772ba4431a7</vt:lpwstr>
  </property>
  <property fmtid="{D5CDD505-2E9C-101B-9397-08002B2CF9AE}" pid="9" name="_docset_NoMedatataSyncRequired">
    <vt:lpwstr>False</vt:lpwstr>
  </property>
  <property fmtid="{D5CDD505-2E9C-101B-9397-08002B2CF9AE}" pid="10" name="Order">
    <vt:r8>6100</vt:r8>
  </property>
  <property fmtid="{D5CDD505-2E9C-101B-9397-08002B2CF9AE}" pid="11" name="xd_Signature">
    <vt:bool>false</vt:bool>
  </property>
  <property fmtid="{D5CDD505-2E9C-101B-9397-08002B2CF9AE}" pid="12" name="xd_ProgID">
    <vt:lpwstr/>
  </property>
  <property fmtid="{D5CDD505-2E9C-101B-9397-08002B2CF9AE}" pid="13" name="DocumentSetDescription">
    <vt:lpwstr/>
  </property>
  <property fmtid="{D5CDD505-2E9C-101B-9397-08002B2CF9AE}" pid="14" name="Task Link">
    <vt:lpwstr/>
  </property>
  <property fmtid="{D5CDD505-2E9C-101B-9397-08002B2CF9AE}" pid="15" name="ComplianceAssetId">
    <vt:lpwstr/>
  </property>
  <property fmtid="{D5CDD505-2E9C-101B-9397-08002B2CF9AE}" pid="16" name="TemplateUrl">
    <vt:lpwstr/>
  </property>
  <property fmtid="{D5CDD505-2E9C-101B-9397-08002B2CF9AE}" pid="17" name="TaskComments">
    <vt:lpwstr/>
  </property>
  <property fmtid="{D5CDD505-2E9C-101B-9397-08002B2CF9AE}" pid="18" name="MediaServiceImageTags">
    <vt:lpwstr/>
  </property>
  <property fmtid="{D5CDD505-2E9C-101B-9397-08002B2CF9AE}" pid="19" name="_ExtendedDescription">
    <vt:lpwstr/>
  </property>
  <property fmtid="{D5CDD505-2E9C-101B-9397-08002B2CF9AE}" pid="20" name="docLang">
    <vt:lpwstr>en</vt:lpwstr>
  </property>
</Properties>
</file>