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7D0" w14:textId="66B1B1E2" w:rsidR="00942073" w:rsidRPr="004A00F4" w:rsidRDefault="00942073" w:rsidP="00C12FC8">
      <w:pPr>
        <w:pStyle w:val="Heading1"/>
      </w:pPr>
      <w:bookmarkStart w:id="0" w:name="_Hlk172818873"/>
      <w:r w:rsidRPr="004A00F4">
        <w:t xml:space="preserve">ATTACHMENT </w:t>
      </w:r>
      <w:r w:rsidR="00C425B2">
        <w:t>F</w:t>
      </w:r>
      <w:r w:rsidR="00FA2275" w:rsidRPr="004A00F4">
        <w:br/>
      </w:r>
      <w:r w:rsidRPr="004A00F4">
        <w:t xml:space="preserve">AREAS OF SPECIAL BIOLOGICAL SIGNIFICANCE </w:t>
      </w:r>
      <w:r w:rsidR="008F67D3">
        <w:br/>
      </w:r>
      <w:r w:rsidR="00901200" w:rsidRPr="004A00F4">
        <w:t xml:space="preserve">IMPLEMENTATION </w:t>
      </w:r>
      <w:r w:rsidRPr="004A00F4">
        <w:t>REQUIREMENTS</w:t>
      </w:r>
    </w:p>
    <w:p w14:paraId="407F5AD4" w14:textId="2CD31157" w:rsidR="00942073" w:rsidRPr="00850A61" w:rsidRDefault="002A5A1F" w:rsidP="00C12FC8">
      <w:pPr>
        <w:pStyle w:val="Heading2"/>
      </w:pPr>
      <w:bookmarkStart w:id="1" w:name="_Hlk172818874"/>
      <w:bookmarkEnd w:id="0"/>
      <w:r w:rsidRPr="00850A61">
        <w:t>OVERVIEW</w:t>
      </w:r>
    </w:p>
    <w:p w14:paraId="2EAC9D21" w14:textId="6AEAA30A" w:rsidR="00942073" w:rsidRDefault="00942073" w:rsidP="00084E02">
      <w:pPr>
        <w:ind w:left="0"/>
      </w:pPr>
      <w:bookmarkStart w:id="2" w:name="_Hlk172818901"/>
      <w:bookmarkEnd w:id="1"/>
      <w:r>
        <w:t xml:space="preserve">The requirements in this Attachment implement State Water Board Resolution </w:t>
      </w:r>
      <w:r w:rsidR="00AC53F1">
        <w:t>No.</w:t>
      </w:r>
      <w:r w:rsidR="0046415C">
        <w:t> </w:t>
      </w:r>
      <w:r w:rsidR="00A43E87">
        <w:t>2012-0012</w:t>
      </w:r>
      <w:r w:rsidR="00F82349">
        <w:t xml:space="preserve"> (as amended by </w:t>
      </w:r>
      <w:r w:rsidR="00AC53F1">
        <w:t>State Water Board Resolution No. 2012-0031)</w:t>
      </w:r>
      <w:r w:rsidR="00A43E87">
        <w:t xml:space="preserve">, the </w:t>
      </w:r>
      <w:r w:rsidR="004C15AC">
        <w:t xml:space="preserve">General </w:t>
      </w:r>
      <w:r w:rsidR="00A43E87">
        <w:t>Exception to the California Ocean Plan for Selected Discharges into Areas of Special Biological Significance, Including Special Protections for Beneficial Uses (</w:t>
      </w:r>
      <w:bookmarkStart w:id="3" w:name="_Hlk172818889"/>
      <w:bookmarkStart w:id="4" w:name="_Hlk172818902"/>
      <w:bookmarkEnd w:id="2"/>
      <w:r w:rsidR="00275A2A">
        <w:fldChar w:fldCharType="begin"/>
      </w:r>
      <w:r w:rsidR="00275A2A">
        <w:instrText>HYPERLINK "https://www.waterboards.ca.gov/board_decisions/adopted_orders/resolutions/2012/rs2012_0031.pdf"</w:instrText>
      </w:r>
      <w:r w:rsidR="00275A2A">
        <w:fldChar w:fldCharType="separate"/>
      </w:r>
      <w:r w:rsidR="00A43E87" w:rsidRPr="000A7697">
        <w:rPr>
          <w:rStyle w:val="Hyperlink"/>
        </w:rPr>
        <w:t>General Exception</w:t>
      </w:r>
      <w:r w:rsidR="00275A2A">
        <w:rPr>
          <w:rStyle w:val="Hyperlink"/>
        </w:rPr>
        <w:fldChar w:fldCharType="end"/>
      </w:r>
      <w:bookmarkEnd w:id="3"/>
      <w:r w:rsidR="00A43E87">
        <w:t xml:space="preserve">). </w:t>
      </w:r>
    </w:p>
    <w:bookmarkEnd w:id="4"/>
    <w:p w14:paraId="71133063" w14:textId="439DBEBD" w:rsidR="007A2387" w:rsidRPr="002954CB" w:rsidRDefault="00930136" w:rsidP="008F67D3">
      <w:pPr>
        <w:pStyle w:val="Heading2"/>
      </w:pPr>
      <w:r>
        <w:t>F1</w:t>
      </w:r>
      <w:r w:rsidR="00063C8F">
        <w:t>.</w:t>
      </w:r>
      <w:r w:rsidR="00063C8F">
        <w:tab/>
      </w:r>
      <w:r w:rsidR="002954CB" w:rsidRPr="002954CB">
        <w:t>SUBMITTALS</w:t>
      </w:r>
    </w:p>
    <w:p w14:paraId="71210B9C" w14:textId="21E91A2B" w:rsidR="002237AD" w:rsidRDefault="002237AD" w:rsidP="00CD3639">
      <w:pPr>
        <w:shd w:val="clear" w:color="auto" w:fill="auto"/>
      </w:pPr>
      <w:bookmarkStart w:id="5" w:name="_Hlk172818903"/>
      <w:r>
        <w:t xml:space="preserve">All reports and plans shall be uploaded to SMARTS under the </w:t>
      </w:r>
      <w:r w:rsidR="00EB250F">
        <w:t>“</w:t>
      </w:r>
      <w:r>
        <w:t>attachments</w:t>
      </w:r>
      <w:r w:rsidR="00EB250F">
        <w:t>”</w:t>
      </w:r>
      <w:r>
        <w:t xml:space="preserve"> tab </w:t>
      </w:r>
      <w:r w:rsidR="00FE303B">
        <w:t>unless notified otherwise</w:t>
      </w:r>
      <w:r>
        <w:t xml:space="preserve"> </w:t>
      </w:r>
      <w:r w:rsidR="00007E6B">
        <w:t xml:space="preserve">by </w:t>
      </w:r>
      <w:r>
        <w:t>the State Water Board Executive Director.</w:t>
      </w:r>
      <w:r w:rsidR="555C82AE">
        <w:t xml:space="preserve"> </w:t>
      </w:r>
      <w:r w:rsidR="4B4E4FD2">
        <w:t>In addition to SMARTS, report</w:t>
      </w:r>
      <w:r w:rsidR="53EAC51A">
        <w:t>s</w:t>
      </w:r>
      <w:r w:rsidR="4B4E4FD2">
        <w:t xml:space="preserve"> and plans shall be submitted in writing to applicable Regional Water Board Executive Officer for review and consideration of approval.</w:t>
      </w:r>
    </w:p>
    <w:p w14:paraId="724ACEA5" w14:textId="3F8EF5C1" w:rsidR="00942073" w:rsidRPr="00C12FC8" w:rsidRDefault="00930136" w:rsidP="00C12FC8">
      <w:pPr>
        <w:pStyle w:val="Heading2"/>
      </w:pPr>
      <w:bookmarkStart w:id="6" w:name="_Hlk172818875"/>
      <w:bookmarkEnd w:id="5"/>
      <w:r w:rsidRPr="00C12FC8">
        <w:t>F</w:t>
      </w:r>
      <w:r>
        <w:t>2</w:t>
      </w:r>
      <w:r w:rsidR="00942073" w:rsidRPr="00C12FC8">
        <w:t>.</w:t>
      </w:r>
      <w:r w:rsidR="00942073" w:rsidRPr="00C12FC8">
        <w:tab/>
      </w:r>
      <w:r w:rsidR="0044307C" w:rsidRPr="00C12FC8">
        <w:t>APPLICABLE PERMITTEES</w:t>
      </w:r>
    </w:p>
    <w:p w14:paraId="047613CB" w14:textId="4FAB2467" w:rsidR="00537BA2" w:rsidRDefault="002F38F8" w:rsidP="00084E02">
      <w:pPr>
        <w:pStyle w:val="ListParagraph"/>
        <w:numPr>
          <w:ilvl w:val="0"/>
          <w:numId w:val="0"/>
        </w:numPr>
        <w:tabs>
          <w:tab w:val="clear" w:pos="360"/>
        </w:tabs>
        <w:spacing w:before="120" w:after="120"/>
        <w:ind w:left="720"/>
      </w:pPr>
      <w:bookmarkStart w:id="7" w:name="_Hlk172818897"/>
      <w:bookmarkEnd w:id="6"/>
      <w:r>
        <w:t>S</w:t>
      </w:r>
      <w:r w:rsidR="00964F86">
        <w:t xml:space="preserve">mall MS4 </w:t>
      </w:r>
      <w:r w:rsidR="00AF4844">
        <w:t>Permittee</w:t>
      </w:r>
      <w:r w:rsidR="00A43E87">
        <w:t xml:space="preserve">s </w:t>
      </w:r>
      <w:r w:rsidR="00C6043F">
        <w:t>granted an exception</w:t>
      </w:r>
      <w:r w:rsidR="00537BA2">
        <w:t xml:space="preserve"> to the Ocean Plan</w:t>
      </w:r>
      <w:r w:rsidR="002237AD">
        <w:t xml:space="preserve"> </w:t>
      </w:r>
      <w:r w:rsidR="00073306">
        <w:t xml:space="preserve">and subject to the provisions of this attachment </w:t>
      </w:r>
      <w:r w:rsidR="002237AD">
        <w:t>are listed below</w:t>
      </w:r>
      <w:r w:rsidR="00537BA2">
        <w:t>.</w:t>
      </w:r>
    </w:p>
    <w:p w14:paraId="1403C643" w14:textId="751ABB59" w:rsidR="00C312A8" w:rsidRDefault="00C106D8" w:rsidP="007B7251">
      <w:pPr>
        <w:pStyle w:val="Heading3"/>
        <w:spacing w:after="0"/>
      </w:pPr>
      <w:bookmarkStart w:id="8" w:name="_Table_F1._Small"/>
      <w:bookmarkStart w:id="9" w:name="_Hlk172818898"/>
      <w:bookmarkEnd w:id="7"/>
      <w:bookmarkEnd w:id="8"/>
      <w:r>
        <w:t xml:space="preserve">Table </w:t>
      </w:r>
      <w:r w:rsidR="00063C8F">
        <w:t>F2</w:t>
      </w:r>
      <w:r>
        <w:t xml:space="preserve">. </w:t>
      </w:r>
      <w:r w:rsidR="00C312A8" w:rsidRPr="00537BA2">
        <w:t>Small MS4 Permittees Granted an Exception to the Ocean Plan</w:t>
      </w:r>
    </w:p>
    <w:tbl>
      <w:tblPr>
        <w:tblW w:w="9450" w:type="dxa"/>
        <w:tblInd w:w="-5" w:type="dxa"/>
        <w:tblLayout w:type="fixed"/>
        <w:tblCellMar>
          <w:top w:w="29" w:type="dxa"/>
          <w:left w:w="58" w:type="dxa"/>
          <w:bottom w:w="29" w:type="dxa"/>
          <w:right w:w="58" w:type="dxa"/>
        </w:tblCellMar>
        <w:tblLook w:val="0620" w:firstRow="1" w:lastRow="0" w:firstColumn="0" w:lastColumn="0" w:noHBand="1" w:noVBand="1"/>
        <w:tblCaption w:val="Attachment D Phase II Small MS4 Entities Authorized to Discharge to Areas of Special Biological Significance (ASBS)"/>
      </w:tblPr>
      <w:tblGrid>
        <w:gridCol w:w="1620"/>
        <w:gridCol w:w="4860"/>
        <w:gridCol w:w="2970"/>
      </w:tblGrid>
      <w:tr w:rsidR="000137F1" w:rsidRPr="00C3115C" w14:paraId="57923188" w14:textId="77777777" w:rsidTr="00205AA8">
        <w:trPr>
          <w:cantSplit/>
          <w:trHeight w:val="245"/>
          <w:tblHeader/>
        </w:trPr>
        <w:tc>
          <w:tcPr>
            <w:tcW w:w="162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2EFD9" w:themeFill="accent6" w:themeFillTint="33"/>
            <w:vAlign w:val="center"/>
          </w:tcPr>
          <w:p w14:paraId="31A9DBBF" w14:textId="768EEC8B" w:rsidR="00C312A8" w:rsidRPr="00C3115C" w:rsidRDefault="00C312A8" w:rsidP="00F85DB6">
            <w:pPr>
              <w:pStyle w:val="TableText"/>
              <w:widowControl w:val="0"/>
              <w:spacing w:before="60" w:after="60" w:line="259" w:lineRule="auto"/>
              <w:contextualSpacing w:val="0"/>
              <w:rPr>
                <w:b/>
                <w:sz w:val="22"/>
                <w:szCs w:val="22"/>
              </w:rPr>
            </w:pPr>
            <w:bookmarkStart w:id="10" w:name="_Hlk172819052"/>
            <w:bookmarkEnd w:id="9"/>
            <w:r w:rsidRPr="00C3115C">
              <w:rPr>
                <w:b/>
                <w:sz w:val="22"/>
                <w:szCs w:val="22"/>
              </w:rPr>
              <w:t>Regional</w:t>
            </w:r>
            <w:r w:rsidR="007B7251">
              <w:rPr>
                <w:b/>
                <w:sz w:val="22"/>
                <w:szCs w:val="22"/>
              </w:rPr>
              <w:t xml:space="preserve"> Water</w:t>
            </w:r>
            <w:r w:rsidRPr="00C3115C">
              <w:rPr>
                <w:b/>
                <w:w w:val="99"/>
                <w:sz w:val="22"/>
                <w:szCs w:val="22"/>
              </w:rPr>
              <w:t xml:space="preserve"> </w:t>
            </w:r>
            <w:r w:rsidRPr="00C3115C">
              <w:rPr>
                <w:b/>
                <w:sz w:val="22"/>
                <w:szCs w:val="22"/>
              </w:rPr>
              <w:t>Board</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C5FFF3C" w14:textId="07C4FCE3" w:rsidR="00C312A8" w:rsidRPr="00C3115C" w:rsidRDefault="007B7251" w:rsidP="00F85DB6">
            <w:pPr>
              <w:pStyle w:val="TableText"/>
              <w:widowControl w:val="0"/>
              <w:spacing w:before="60" w:after="60" w:line="259" w:lineRule="auto"/>
              <w:contextualSpacing w:val="0"/>
              <w:jc w:val="center"/>
              <w:rPr>
                <w:b/>
                <w:sz w:val="22"/>
                <w:szCs w:val="22"/>
              </w:rPr>
            </w:pPr>
            <w:r>
              <w:rPr>
                <w:b/>
                <w:sz w:val="22"/>
                <w:szCs w:val="22"/>
              </w:rPr>
              <w:t>Applicable Small MS4 Permittee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9CF7A42" w14:textId="77777777" w:rsidR="00C312A8" w:rsidRPr="00C3115C" w:rsidRDefault="00C312A8" w:rsidP="00F85DB6">
            <w:pPr>
              <w:pStyle w:val="TableText"/>
              <w:widowControl w:val="0"/>
              <w:spacing w:before="60" w:after="60" w:line="259" w:lineRule="auto"/>
              <w:contextualSpacing w:val="0"/>
              <w:jc w:val="center"/>
              <w:rPr>
                <w:b/>
                <w:sz w:val="22"/>
                <w:szCs w:val="22"/>
              </w:rPr>
            </w:pPr>
            <w:r w:rsidRPr="00C3115C">
              <w:rPr>
                <w:b/>
                <w:sz w:val="22"/>
                <w:szCs w:val="22"/>
              </w:rPr>
              <w:t>ASBS</w:t>
            </w:r>
          </w:p>
        </w:tc>
      </w:tr>
      <w:tr w:rsidR="00937975" w:rsidRPr="00C3115C" w14:paraId="0CC323FB" w14:textId="77777777" w:rsidTr="00205AA8">
        <w:trPr>
          <w:cantSplit/>
          <w:trHeight w:val="236"/>
        </w:trPr>
        <w:tc>
          <w:tcPr>
            <w:tcW w:w="1620" w:type="dxa"/>
            <w:tcBorders>
              <w:top w:val="single" w:sz="4" w:space="0" w:color="auto"/>
              <w:left w:val="single" w:sz="4" w:space="0" w:color="auto"/>
              <w:bottom w:val="single" w:sz="4" w:space="0" w:color="auto"/>
              <w:right w:val="single" w:sz="4" w:space="0" w:color="auto"/>
            </w:tcBorders>
            <w:vAlign w:val="center"/>
          </w:tcPr>
          <w:p w14:paraId="1B7A4FB7" w14:textId="2B7E4330" w:rsidR="00937975" w:rsidRPr="00C3115C" w:rsidRDefault="00937975" w:rsidP="00F85DB6">
            <w:pPr>
              <w:pStyle w:val="TableText"/>
              <w:widowControl w:val="0"/>
              <w:spacing w:before="60" w:after="60" w:line="259" w:lineRule="auto"/>
              <w:contextualSpacing w:val="0"/>
              <w:rPr>
                <w:sz w:val="22"/>
                <w:szCs w:val="22"/>
              </w:rPr>
            </w:pPr>
            <w:r>
              <w:rPr>
                <w:sz w:val="22"/>
                <w:szCs w:val="22"/>
              </w:rPr>
              <w:t>North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50DF78" w14:textId="665E01C6" w:rsidR="00937975" w:rsidRPr="00C3115C" w:rsidRDefault="000844F3" w:rsidP="00F85DB6">
            <w:pPr>
              <w:pStyle w:val="TableText"/>
              <w:widowControl w:val="0"/>
              <w:spacing w:before="60" w:after="60" w:line="259" w:lineRule="auto"/>
              <w:contextualSpacing w:val="0"/>
              <w:rPr>
                <w:sz w:val="22"/>
                <w:szCs w:val="22"/>
              </w:rPr>
            </w:pPr>
            <w:r w:rsidRPr="00C3115C">
              <w:rPr>
                <w:sz w:val="22"/>
                <w:szCs w:val="22"/>
              </w:rPr>
              <w:t>City of</w:t>
            </w:r>
            <w:r w:rsidRPr="00C3115C">
              <w:rPr>
                <w:spacing w:val="-12"/>
                <w:sz w:val="22"/>
                <w:szCs w:val="22"/>
              </w:rPr>
              <w:t xml:space="preserve"> </w:t>
            </w:r>
            <w:r w:rsidRPr="00C3115C">
              <w:rPr>
                <w:sz w:val="22"/>
                <w:szCs w:val="22"/>
              </w:rPr>
              <w:t>Trinidad</w:t>
            </w:r>
            <w:r>
              <w:rPr>
                <w:sz w:val="22"/>
                <w:szCs w:val="22"/>
              </w:rPr>
              <w:t>, Trinidad Head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9DD14" w14:textId="6010B185" w:rsidR="00937975" w:rsidRPr="00C3115C" w:rsidRDefault="00E7301C" w:rsidP="00F85DB6">
            <w:pPr>
              <w:pStyle w:val="TableText"/>
              <w:widowControl w:val="0"/>
              <w:spacing w:before="60" w:after="60" w:line="259" w:lineRule="auto"/>
              <w:contextualSpacing w:val="0"/>
              <w:rPr>
                <w:sz w:val="22"/>
                <w:szCs w:val="22"/>
              </w:rPr>
            </w:pPr>
            <w:r w:rsidRPr="00C3115C">
              <w:rPr>
                <w:sz w:val="22"/>
                <w:szCs w:val="22"/>
              </w:rPr>
              <w:t>Trinidad</w:t>
            </w:r>
            <w:r w:rsidRPr="00C3115C">
              <w:rPr>
                <w:spacing w:val="-11"/>
                <w:sz w:val="22"/>
                <w:szCs w:val="22"/>
              </w:rPr>
              <w:t xml:space="preserve"> </w:t>
            </w:r>
            <w:r w:rsidRPr="00C3115C">
              <w:rPr>
                <w:sz w:val="22"/>
                <w:szCs w:val="22"/>
              </w:rPr>
              <w:t>Head</w:t>
            </w:r>
          </w:p>
        </w:tc>
      </w:tr>
      <w:tr w:rsidR="00C312A8" w:rsidRPr="00C3115C" w14:paraId="6033FFE3" w14:textId="77777777" w:rsidTr="00205AA8">
        <w:trPr>
          <w:cantSplit/>
          <w:trHeight w:val="236"/>
        </w:trPr>
        <w:tc>
          <w:tcPr>
            <w:tcW w:w="1620" w:type="dxa"/>
            <w:tcBorders>
              <w:top w:val="single" w:sz="4" w:space="0" w:color="auto"/>
              <w:left w:val="single" w:sz="4" w:space="0" w:color="auto"/>
              <w:bottom w:val="single" w:sz="4" w:space="0" w:color="auto"/>
              <w:right w:val="single" w:sz="4" w:space="0" w:color="auto"/>
            </w:tcBorders>
            <w:vAlign w:val="center"/>
          </w:tcPr>
          <w:p w14:paraId="4801B164" w14:textId="77777777" w:rsidR="00C312A8" w:rsidRPr="00C3115C" w:rsidRDefault="00C312A8" w:rsidP="00F85DB6">
            <w:pPr>
              <w:pStyle w:val="TableText"/>
              <w:widowControl w:val="0"/>
              <w:spacing w:before="60" w:after="60" w:line="259" w:lineRule="auto"/>
              <w:contextualSpacing w:val="0"/>
              <w:rPr>
                <w:sz w:val="22"/>
                <w:szCs w:val="22"/>
              </w:rPr>
            </w:pPr>
            <w:bookmarkStart w:id="11" w:name="_Hlk172819054"/>
            <w:bookmarkEnd w:id="10"/>
            <w:r w:rsidRPr="00C3115C">
              <w:rPr>
                <w:sz w:val="22"/>
                <w:szCs w:val="22"/>
              </w:rPr>
              <w:t>North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FF292A" w14:textId="7A8EAC8D"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County of</w:t>
            </w:r>
            <w:r w:rsidRPr="00C3115C">
              <w:rPr>
                <w:spacing w:val="-13"/>
                <w:sz w:val="22"/>
                <w:szCs w:val="22"/>
              </w:rPr>
              <w:t xml:space="preserve"> </w:t>
            </w:r>
            <w:r w:rsidRPr="00C3115C">
              <w:rPr>
                <w:sz w:val="22"/>
                <w:szCs w:val="22"/>
              </w:rPr>
              <w:t>Humboldt</w:t>
            </w:r>
            <w:r w:rsidR="008A346C">
              <w:rPr>
                <w:sz w:val="22"/>
                <w:szCs w:val="22"/>
              </w:rPr>
              <w:t>, Shelter Cove Community Area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AEFF2"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King</w:t>
            </w:r>
            <w:r w:rsidRPr="00C3115C">
              <w:rPr>
                <w:spacing w:val="-7"/>
                <w:sz w:val="22"/>
                <w:szCs w:val="22"/>
              </w:rPr>
              <w:t xml:space="preserve"> </w:t>
            </w:r>
            <w:r w:rsidRPr="00C3115C">
              <w:rPr>
                <w:sz w:val="22"/>
                <w:szCs w:val="22"/>
              </w:rPr>
              <w:t>Range</w:t>
            </w:r>
          </w:p>
        </w:tc>
      </w:tr>
      <w:tr w:rsidR="00C312A8" w:rsidRPr="00C3115C" w14:paraId="584E05E3"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5DBF3626" w14:textId="77777777" w:rsidR="00C312A8" w:rsidRPr="00C3115C" w:rsidRDefault="00C312A8" w:rsidP="00F85DB6">
            <w:pPr>
              <w:pStyle w:val="TableText"/>
              <w:widowControl w:val="0"/>
              <w:spacing w:before="60" w:after="60" w:line="259" w:lineRule="auto"/>
              <w:contextualSpacing w:val="0"/>
              <w:rPr>
                <w:sz w:val="22"/>
                <w:szCs w:val="22"/>
              </w:rPr>
            </w:pPr>
            <w:bookmarkStart w:id="12" w:name="_Hlk172819055"/>
            <w:bookmarkEnd w:id="11"/>
            <w:r w:rsidRPr="00C3115C">
              <w:rPr>
                <w:sz w:val="22"/>
                <w:szCs w:val="22"/>
              </w:rPr>
              <w:t>North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B8D3D34" w14:textId="633FFF77" w:rsidR="00C312A8" w:rsidRPr="00C3115C" w:rsidRDefault="0063153F"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E55E5E">
              <w:rPr>
                <w:sz w:val="22"/>
                <w:szCs w:val="22"/>
              </w:rPr>
              <w:t xml:space="preserve">, </w:t>
            </w:r>
            <w:r w:rsidR="00A51BA1">
              <w:rPr>
                <w:sz w:val="22"/>
                <w:szCs w:val="22"/>
              </w:rPr>
              <w:t>Gerstle Cove State Marine Conservation Area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1AEDC"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Gerstle</w:t>
            </w:r>
            <w:r w:rsidRPr="00C3115C">
              <w:rPr>
                <w:spacing w:val="-11"/>
                <w:sz w:val="22"/>
                <w:szCs w:val="22"/>
              </w:rPr>
              <w:t xml:space="preserve"> </w:t>
            </w:r>
            <w:r w:rsidRPr="00C3115C">
              <w:rPr>
                <w:sz w:val="22"/>
                <w:szCs w:val="22"/>
              </w:rPr>
              <w:t>Cove</w:t>
            </w:r>
          </w:p>
        </w:tc>
      </w:tr>
      <w:tr w:rsidR="00C312A8" w:rsidRPr="00C3115C" w14:paraId="195311AD"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4444B8BF" w14:textId="77777777" w:rsidR="00C312A8" w:rsidRPr="00C3115C" w:rsidRDefault="00C312A8" w:rsidP="00F85DB6">
            <w:pPr>
              <w:pStyle w:val="TableText"/>
              <w:widowControl w:val="0"/>
              <w:spacing w:before="60" w:after="60" w:line="259" w:lineRule="auto"/>
              <w:contextualSpacing w:val="0"/>
              <w:rPr>
                <w:sz w:val="22"/>
                <w:szCs w:val="22"/>
              </w:rPr>
            </w:pPr>
            <w:bookmarkStart w:id="13" w:name="_Hlk172819056"/>
            <w:bookmarkEnd w:id="12"/>
            <w:r w:rsidRPr="00C3115C">
              <w:rPr>
                <w:sz w:val="22"/>
                <w:szCs w:val="22"/>
              </w:rPr>
              <w:t>North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B7044B7" w14:textId="0AC91324" w:rsidR="00C312A8" w:rsidRPr="00C3115C" w:rsidRDefault="00C7237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A51BA1">
              <w:rPr>
                <w:sz w:val="22"/>
                <w:szCs w:val="22"/>
              </w:rPr>
              <w:t xml:space="preserve">, </w:t>
            </w:r>
            <w:r w:rsidR="001F7AEF">
              <w:rPr>
                <w:sz w:val="22"/>
                <w:szCs w:val="22"/>
              </w:rPr>
              <w:t>Jug</w:t>
            </w:r>
            <w:r w:rsidR="00585EC4">
              <w:rPr>
                <w:sz w:val="22"/>
                <w:szCs w:val="22"/>
              </w:rPr>
              <w:t xml:space="preserve"> H</w:t>
            </w:r>
            <w:r w:rsidR="001F7AEF">
              <w:rPr>
                <w:sz w:val="22"/>
                <w:szCs w:val="22"/>
              </w:rPr>
              <w:t>andle State Natural Reserve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E557" w14:textId="1069AAAA"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Jug</w:t>
            </w:r>
            <w:r w:rsidR="00E50086">
              <w:rPr>
                <w:sz w:val="22"/>
                <w:szCs w:val="22"/>
              </w:rPr>
              <w:t xml:space="preserve"> H</w:t>
            </w:r>
            <w:r w:rsidRPr="00C3115C">
              <w:rPr>
                <w:sz w:val="22"/>
                <w:szCs w:val="22"/>
              </w:rPr>
              <w:t>andle</w:t>
            </w:r>
            <w:r w:rsidRPr="00C3115C">
              <w:rPr>
                <w:spacing w:val="-12"/>
                <w:sz w:val="22"/>
                <w:szCs w:val="22"/>
              </w:rPr>
              <w:t xml:space="preserve"> </w:t>
            </w:r>
            <w:r w:rsidRPr="00C3115C">
              <w:rPr>
                <w:sz w:val="22"/>
                <w:szCs w:val="22"/>
              </w:rPr>
              <w:t>Cove</w:t>
            </w:r>
          </w:p>
        </w:tc>
      </w:tr>
      <w:tr w:rsidR="00C312A8" w:rsidRPr="00C3115C" w14:paraId="5F583A01"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32FDEF28" w14:textId="77777777" w:rsidR="00C312A8" w:rsidRPr="00C3115C" w:rsidRDefault="00C312A8" w:rsidP="00F85DB6">
            <w:pPr>
              <w:pStyle w:val="TableText"/>
              <w:widowControl w:val="0"/>
              <w:spacing w:before="60" w:after="60" w:line="259" w:lineRule="auto"/>
              <w:contextualSpacing w:val="0"/>
              <w:rPr>
                <w:sz w:val="22"/>
                <w:szCs w:val="22"/>
              </w:rPr>
            </w:pPr>
            <w:bookmarkStart w:id="14" w:name="_Hlk172819057"/>
            <w:bookmarkEnd w:id="13"/>
            <w:r w:rsidRPr="00C3115C">
              <w:rPr>
                <w:sz w:val="22"/>
                <w:szCs w:val="22"/>
              </w:rPr>
              <w:t>North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CCA167" w14:textId="334488AE" w:rsidR="00C312A8" w:rsidRPr="00C3115C" w:rsidRDefault="00C7237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87677D">
              <w:rPr>
                <w:sz w:val="22"/>
                <w:szCs w:val="22"/>
              </w:rPr>
              <w:t>, Trinidad State Beach</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8DE63"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Trinidad</w:t>
            </w:r>
            <w:r w:rsidRPr="00C3115C">
              <w:rPr>
                <w:spacing w:val="-11"/>
                <w:sz w:val="22"/>
                <w:szCs w:val="22"/>
              </w:rPr>
              <w:t xml:space="preserve"> </w:t>
            </w:r>
            <w:r w:rsidRPr="00C3115C">
              <w:rPr>
                <w:sz w:val="22"/>
                <w:szCs w:val="22"/>
              </w:rPr>
              <w:t>Head</w:t>
            </w:r>
          </w:p>
        </w:tc>
      </w:tr>
      <w:tr w:rsidR="00C312A8" w:rsidRPr="00C3115C" w14:paraId="57A01FFB" w14:textId="77777777" w:rsidTr="00205AA8">
        <w:trPr>
          <w:cantSplit/>
          <w:trHeight w:val="491"/>
        </w:trPr>
        <w:tc>
          <w:tcPr>
            <w:tcW w:w="1620" w:type="dxa"/>
            <w:tcBorders>
              <w:top w:val="single" w:sz="4" w:space="0" w:color="auto"/>
              <w:left w:val="single" w:sz="4" w:space="0" w:color="auto"/>
              <w:bottom w:val="single" w:sz="4" w:space="0" w:color="auto"/>
              <w:right w:val="single" w:sz="4" w:space="0" w:color="auto"/>
            </w:tcBorders>
            <w:vAlign w:val="center"/>
          </w:tcPr>
          <w:p w14:paraId="56B6217D" w14:textId="77777777" w:rsidR="00C312A8" w:rsidRPr="00C3115C" w:rsidRDefault="00C312A8" w:rsidP="00F85DB6">
            <w:pPr>
              <w:pStyle w:val="TableText"/>
              <w:widowControl w:val="0"/>
              <w:spacing w:before="60" w:after="60" w:line="259" w:lineRule="auto"/>
              <w:contextualSpacing w:val="0"/>
              <w:rPr>
                <w:sz w:val="22"/>
                <w:szCs w:val="22"/>
              </w:rPr>
            </w:pPr>
            <w:bookmarkStart w:id="15" w:name="_Hlk172819058"/>
            <w:bookmarkEnd w:id="14"/>
            <w:r w:rsidRPr="00C3115C">
              <w:rPr>
                <w:sz w:val="22"/>
                <w:szCs w:val="22"/>
              </w:rPr>
              <w:t>North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2F8C2F" w14:textId="0BA4A6AE" w:rsidR="00C312A8" w:rsidRPr="00C3115C" w:rsidRDefault="00C7237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1AA39DDA" w:rsidRPr="00C3115C">
              <w:rPr>
                <w:sz w:val="22"/>
                <w:szCs w:val="22"/>
              </w:rPr>
              <w:t>,</w:t>
            </w:r>
            <w:r w:rsidR="0087677D">
              <w:rPr>
                <w:sz w:val="22"/>
                <w:szCs w:val="22"/>
              </w:rPr>
              <w:t xml:space="preserve"> Del Norte Coast Redwoods State Park</w:t>
            </w:r>
            <w:r w:rsidR="009E3DCF">
              <w:rPr>
                <w:sz w:val="22"/>
                <w:szCs w:val="22"/>
              </w:rPr>
              <w:t xml:space="preserve"> and </w:t>
            </w:r>
            <w:r w:rsidR="0087677D">
              <w:rPr>
                <w:sz w:val="22"/>
                <w:szCs w:val="22"/>
              </w:rPr>
              <w:t>Prairie Creek Redwoods State Park</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19D66"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Redwoods State and National</w:t>
            </w:r>
            <w:r w:rsidRPr="00C3115C">
              <w:rPr>
                <w:spacing w:val="-23"/>
                <w:sz w:val="22"/>
                <w:szCs w:val="22"/>
              </w:rPr>
              <w:t xml:space="preserve"> </w:t>
            </w:r>
            <w:r w:rsidRPr="00C3115C">
              <w:rPr>
                <w:sz w:val="22"/>
                <w:szCs w:val="22"/>
              </w:rPr>
              <w:t>Park</w:t>
            </w:r>
          </w:p>
        </w:tc>
      </w:tr>
      <w:tr w:rsidR="00C312A8" w:rsidRPr="00C3115C" w14:paraId="64FB83FC" w14:textId="77777777" w:rsidTr="00205AA8">
        <w:trPr>
          <w:cantSplit/>
          <w:trHeight w:val="236"/>
        </w:trPr>
        <w:tc>
          <w:tcPr>
            <w:tcW w:w="1620" w:type="dxa"/>
            <w:tcBorders>
              <w:top w:val="single" w:sz="4" w:space="0" w:color="auto"/>
              <w:left w:val="single" w:sz="4" w:space="0" w:color="auto"/>
              <w:bottom w:val="single" w:sz="4" w:space="0" w:color="auto"/>
              <w:right w:val="single" w:sz="4" w:space="0" w:color="auto"/>
            </w:tcBorders>
            <w:vAlign w:val="center"/>
          </w:tcPr>
          <w:p w14:paraId="34F7B66D" w14:textId="531A2349" w:rsidR="00C312A8" w:rsidRPr="00C3115C" w:rsidRDefault="00C312A8" w:rsidP="00F85DB6">
            <w:pPr>
              <w:pStyle w:val="TableText"/>
              <w:widowControl w:val="0"/>
              <w:spacing w:before="60" w:after="60" w:line="259" w:lineRule="auto"/>
              <w:contextualSpacing w:val="0"/>
              <w:rPr>
                <w:sz w:val="22"/>
                <w:szCs w:val="22"/>
              </w:rPr>
            </w:pPr>
            <w:bookmarkStart w:id="16" w:name="_Hlk172819059"/>
            <w:bookmarkEnd w:id="15"/>
            <w:r w:rsidRPr="00C3115C">
              <w:rPr>
                <w:sz w:val="22"/>
                <w:szCs w:val="22"/>
              </w:rPr>
              <w:lastRenderedPageBreak/>
              <w:t>San</w:t>
            </w:r>
            <w:r w:rsidRPr="00C3115C">
              <w:rPr>
                <w:spacing w:val="-5"/>
                <w:sz w:val="22"/>
                <w:szCs w:val="22"/>
              </w:rPr>
              <w:t xml:space="preserve"> </w:t>
            </w:r>
            <w:r w:rsidRPr="00C3115C">
              <w:rPr>
                <w:sz w:val="22"/>
                <w:szCs w:val="22"/>
              </w:rPr>
              <w:t>Francisco</w:t>
            </w:r>
            <w:r w:rsidR="00CB3F38">
              <w:rPr>
                <w:sz w:val="22"/>
                <w:szCs w:val="22"/>
              </w:rPr>
              <w:t xml:space="preserve"> Bay</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E1E5010" w14:textId="26123362"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County of</w:t>
            </w:r>
            <w:r w:rsidRPr="00C3115C">
              <w:rPr>
                <w:spacing w:val="-10"/>
                <w:sz w:val="22"/>
                <w:szCs w:val="22"/>
              </w:rPr>
              <w:t xml:space="preserve"> </w:t>
            </w:r>
            <w:r w:rsidRPr="00C3115C">
              <w:rPr>
                <w:sz w:val="22"/>
                <w:szCs w:val="22"/>
              </w:rPr>
              <w:t>Marin</w:t>
            </w:r>
            <w:r w:rsidR="0087677D">
              <w:rPr>
                <w:sz w:val="22"/>
                <w:szCs w:val="22"/>
              </w:rPr>
              <w:t>, Duxbury Reef</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22ED6"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Duxbury</w:t>
            </w:r>
            <w:r w:rsidRPr="00C3115C">
              <w:rPr>
                <w:spacing w:val="-12"/>
                <w:sz w:val="22"/>
                <w:szCs w:val="22"/>
              </w:rPr>
              <w:t xml:space="preserve"> </w:t>
            </w:r>
            <w:r w:rsidRPr="00C3115C">
              <w:rPr>
                <w:sz w:val="22"/>
                <w:szCs w:val="22"/>
              </w:rPr>
              <w:t>Reef</w:t>
            </w:r>
          </w:p>
        </w:tc>
      </w:tr>
      <w:tr w:rsidR="00F82B92" w:rsidRPr="00C3115C" w14:paraId="07B0D198" w14:textId="77777777" w:rsidTr="00205AA8">
        <w:trPr>
          <w:cantSplit/>
          <w:trHeight w:val="491"/>
        </w:trPr>
        <w:tc>
          <w:tcPr>
            <w:tcW w:w="1620" w:type="dxa"/>
            <w:tcBorders>
              <w:top w:val="single" w:sz="4" w:space="0" w:color="auto"/>
              <w:left w:val="single" w:sz="4" w:space="0" w:color="auto"/>
              <w:bottom w:val="single" w:sz="4" w:space="0" w:color="auto"/>
              <w:right w:val="single" w:sz="4" w:space="0" w:color="auto"/>
            </w:tcBorders>
            <w:vAlign w:val="center"/>
          </w:tcPr>
          <w:p w14:paraId="7F13C3F3" w14:textId="59FBB88C" w:rsidR="00F82B92" w:rsidRPr="00C3115C" w:rsidRDefault="00F82B92" w:rsidP="00F85DB6">
            <w:pPr>
              <w:pStyle w:val="TableText"/>
              <w:widowControl w:val="0"/>
              <w:spacing w:before="60" w:after="60" w:line="259" w:lineRule="auto"/>
              <w:contextualSpacing w:val="0"/>
              <w:rPr>
                <w:sz w:val="22"/>
                <w:szCs w:val="22"/>
              </w:rPr>
            </w:pPr>
            <w:bookmarkStart w:id="17" w:name="_Hlk172819060"/>
            <w:bookmarkEnd w:id="16"/>
            <w:r>
              <w:rPr>
                <w:sz w:val="22"/>
                <w:szCs w:val="22"/>
              </w:rPr>
              <w:t>San Francisco Bay</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5130D9" w14:textId="52545C41" w:rsidR="00F82B92" w:rsidRPr="00C3115C" w:rsidRDefault="00831CCC" w:rsidP="00F85DB6">
            <w:pPr>
              <w:pStyle w:val="TableText"/>
              <w:widowControl w:val="0"/>
              <w:spacing w:before="60" w:after="60" w:line="259" w:lineRule="auto"/>
              <w:contextualSpacing w:val="0"/>
              <w:rPr>
                <w:sz w:val="22"/>
                <w:szCs w:val="22"/>
              </w:rPr>
            </w:pPr>
            <w:r>
              <w:rPr>
                <w:sz w:val="22"/>
                <w:szCs w:val="22"/>
              </w:rPr>
              <w:t xml:space="preserve">California </w:t>
            </w:r>
            <w:r w:rsidR="004162DE">
              <w:rPr>
                <w:sz w:val="22"/>
                <w:szCs w:val="22"/>
              </w:rPr>
              <w:t>Department of Parks and Recreation</w:t>
            </w:r>
            <w:r w:rsidR="0015204C">
              <w:rPr>
                <w:sz w:val="22"/>
                <w:szCs w:val="22"/>
              </w:rPr>
              <w:t xml:space="preserve">, </w:t>
            </w:r>
            <w:proofErr w:type="spellStart"/>
            <w:r w:rsidR="0015204C">
              <w:rPr>
                <w:sz w:val="22"/>
                <w:szCs w:val="22"/>
              </w:rPr>
              <w:t>Montara</w:t>
            </w:r>
            <w:proofErr w:type="spellEnd"/>
            <w:r w:rsidR="0015204C">
              <w:rPr>
                <w:sz w:val="22"/>
                <w:szCs w:val="22"/>
              </w:rPr>
              <w:t xml:space="preserve"> State Beach</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BBA24" w14:textId="1B8CC0C1" w:rsidR="00F82B92" w:rsidRPr="00C3115C" w:rsidRDefault="0015204C" w:rsidP="00F85DB6">
            <w:pPr>
              <w:pStyle w:val="TableText"/>
              <w:widowControl w:val="0"/>
              <w:spacing w:before="60" w:after="60" w:line="259" w:lineRule="auto"/>
              <w:contextualSpacing w:val="0"/>
              <w:rPr>
                <w:sz w:val="22"/>
                <w:szCs w:val="22"/>
              </w:rPr>
            </w:pPr>
            <w:r w:rsidRPr="00C3115C">
              <w:rPr>
                <w:sz w:val="22"/>
                <w:szCs w:val="22"/>
              </w:rPr>
              <w:t>James V.</w:t>
            </w:r>
            <w:r w:rsidRPr="00C3115C">
              <w:rPr>
                <w:spacing w:val="-11"/>
                <w:sz w:val="22"/>
                <w:szCs w:val="22"/>
              </w:rPr>
              <w:t xml:space="preserve"> </w:t>
            </w:r>
            <w:r w:rsidRPr="00C3115C">
              <w:rPr>
                <w:sz w:val="22"/>
                <w:szCs w:val="22"/>
              </w:rPr>
              <w:t>Fitzgerald</w:t>
            </w:r>
          </w:p>
        </w:tc>
      </w:tr>
      <w:tr w:rsidR="00C312A8" w:rsidRPr="00C3115C" w14:paraId="49B3E901" w14:textId="77777777" w:rsidTr="00205AA8">
        <w:trPr>
          <w:cantSplit/>
          <w:trHeight w:val="236"/>
        </w:trPr>
        <w:tc>
          <w:tcPr>
            <w:tcW w:w="1620" w:type="dxa"/>
            <w:tcBorders>
              <w:top w:val="single" w:sz="4" w:space="0" w:color="auto"/>
              <w:left w:val="single" w:sz="4" w:space="0" w:color="auto"/>
              <w:bottom w:val="single" w:sz="4" w:space="0" w:color="auto"/>
              <w:right w:val="single" w:sz="4" w:space="0" w:color="auto"/>
            </w:tcBorders>
            <w:vAlign w:val="center"/>
          </w:tcPr>
          <w:p w14:paraId="5EEF32A4" w14:textId="77777777" w:rsidR="00C312A8" w:rsidRPr="00C3115C" w:rsidRDefault="00C312A8" w:rsidP="00F85DB6">
            <w:pPr>
              <w:pStyle w:val="TableText"/>
              <w:widowControl w:val="0"/>
              <w:spacing w:before="60" w:after="60" w:line="259" w:lineRule="auto"/>
              <w:contextualSpacing w:val="0"/>
              <w:rPr>
                <w:sz w:val="22"/>
                <w:szCs w:val="22"/>
              </w:rPr>
            </w:pPr>
            <w:bookmarkStart w:id="18" w:name="_Hlk172819062"/>
            <w:bookmarkEnd w:id="17"/>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76AA87" w14:textId="0B99D593"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City of</w:t>
            </w:r>
            <w:r w:rsidRPr="00C3115C">
              <w:rPr>
                <w:spacing w:val="-4"/>
                <w:sz w:val="22"/>
                <w:szCs w:val="22"/>
              </w:rPr>
              <w:t xml:space="preserve"> </w:t>
            </w:r>
            <w:r w:rsidRPr="00C3115C">
              <w:rPr>
                <w:sz w:val="22"/>
                <w:szCs w:val="22"/>
              </w:rPr>
              <w:t>Monterey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8B490"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Pacific</w:t>
            </w:r>
            <w:r w:rsidRPr="00C3115C">
              <w:rPr>
                <w:spacing w:val="-10"/>
                <w:sz w:val="22"/>
                <w:szCs w:val="22"/>
              </w:rPr>
              <w:t xml:space="preserve"> </w:t>
            </w:r>
            <w:r w:rsidRPr="00C3115C">
              <w:rPr>
                <w:sz w:val="22"/>
                <w:szCs w:val="22"/>
              </w:rPr>
              <w:t>Grove</w:t>
            </w:r>
          </w:p>
        </w:tc>
      </w:tr>
      <w:tr w:rsidR="00C312A8" w:rsidRPr="00C3115C" w14:paraId="0BB12916"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15FEAC66" w14:textId="77777777" w:rsidR="00C312A8" w:rsidRPr="00C3115C" w:rsidRDefault="00C312A8" w:rsidP="00F85DB6">
            <w:pPr>
              <w:pStyle w:val="TableText"/>
              <w:widowControl w:val="0"/>
              <w:spacing w:before="60" w:after="60" w:line="259" w:lineRule="auto"/>
              <w:contextualSpacing w:val="0"/>
              <w:rPr>
                <w:sz w:val="22"/>
                <w:szCs w:val="22"/>
              </w:rPr>
            </w:pPr>
            <w:bookmarkStart w:id="19" w:name="_Hlk172819063"/>
            <w:bookmarkEnd w:id="18"/>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6288125" w14:textId="709B70C6"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City of Pacific</w:t>
            </w:r>
            <w:r w:rsidRPr="00C3115C">
              <w:rPr>
                <w:spacing w:val="-14"/>
                <w:sz w:val="22"/>
                <w:szCs w:val="22"/>
              </w:rPr>
              <w:t xml:space="preserve"> </w:t>
            </w:r>
            <w:r w:rsidRPr="00C3115C">
              <w:rPr>
                <w:sz w:val="22"/>
                <w:szCs w:val="22"/>
              </w:rPr>
              <w:t>Grove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F5C35"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Pacific</w:t>
            </w:r>
            <w:r w:rsidRPr="00C3115C">
              <w:rPr>
                <w:spacing w:val="-10"/>
                <w:sz w:val="22"/>
                <w:szCs w:val="22"/>
              </w:rPr>
              <w:t xml:space="preserve"> </w:t>
            </w:r>
            <w:r w:rsidRPr="00C3115C">
              <w:rPr>
                <w:sz w:val="22"/>
                <w:szCs w:val="22"/>
              </w:rPr>
              <w:t>Grove</w:t>
            </w:r>
          </w:p>
        </w:tc>
      </w:tr>
      <w:tr w:rsidR="00C312A8" w:rsidRPr="00C3115C" w14:paraId="50AF9F4A"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2681DD94" w14:textId="77777777" w:rsidR="00C312A8" w:rsidRPr="00C3115C" w:rsidRDefault="00C312A8" w:rsidP="00F85DB6">
            <w:pPr>
              <w:pStyle w:val="TableText"/>
              <w:widowControl w:val="0"/>
              <w:spacing w:before="60" w:after="60" w:line="259" w:lineRule="auto"/>
              <w:contextualSpacing w:val="0"/>
              <w:rPr>
                <w:sz w:val="22"/>
                <w:szCs w:val="22"/>
              </w:rPr>
            </w:pPr>
            <w:bookmarkStart w:id="20" w:name="_Hlk172819064"/>
            <w:bookmarkEnd w:id="19"/>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1E2D29" w14:textId="1E833CD5"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City of Carmel</w:t>
            </w:r>
            <w:r w:rsidR="002F258E">
              <w:rPr>
                <w:sz w:val="22"/>
                <w:szCs w:val="22"/>
              </w:rPr>
              <w:t>-</w:t>
            </w:r>
            <w:r w:rsidR="00721A26">
              <w:rPr>
                <w:sz w:val="22"/>
                <w:szCs w:val="22"/>
              </w:rPr>
              <w:t>b</w:t>
            </w:r>
            <w:r w:rsidRPr="00C3115C">
              <w:rPr>
                <w:sz w:val="22"/>
                <w:szCs w:val="22"/>
              </w:rPr>
              <w:t>y</w:t>
            </w:r>
            <w:r w:rsidR="002F258E">
              <w:rPr>
                <w:sz w:val="22"/>
                <w:szCs w:val="22"/>
              </w:rPr>
              <w:t>-</w:t>
            </w:r>
            <w:r w:rsidR="00721A26">
              <w:rPr>
                <w:sz w:val="22"/>
                <w:szCs w:val="22"/>
              </w:rPr>
              <w:t>t</w:t>
            </w:r>
            <w:r w:rsidRPr="00C3115C">
              <w:rPr>
                <w:sz w:val="22"/>
                <w:szCs w:val="22"/>
              </w:rPr>
              <w:t>he</w:t>
            </w:r>
            <w:r w:rsidRPr="00C3115C">
              <w:rPr>
                <w:spacing w:val="-17"/>
                <w:sz w:val="22"/>
                <w:szCs w:val="22"/>
              </w:rPr>
              <w:t xml:space="preserve"> </w:t>
            </w:r>
            <w:r w:rsidRPr="00C3115C">
              <w:rPr>
                <w:sz w:val="22"/>
                <w:szCs w:val="22"/>
              </w:rPr>
              <w:t>Sea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77927"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Carmel</w:t>
            </w:r>
            <w:r w:rsidRPr="00C3115C">
              <w:rPr>
                <w:spacing w:val="-5"/>
                <w:sz w:val="22"/>
                <w:szCs w:val="22"/>
              </w:rPr>
              <w:t xml:space="preserve"> </w:t>
            </w:r>
            <w:r w:rsidRPr="00C3115C">
              <w:rPr>
                <w:sz w:val="22"/>
                <w:szCs w:val="22"/>
              </w:rPr>
              <w:t>Bay</w:t>
            </w:r>
          </w:p>
        </w:tc>
      </w:tr>
      <w:tr w:rsidR="00C312A8" w:rsidRPr="00C3115C" w14:paraId="127C8E12"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7C7EB6B7" w14:textId="77777777" w:rsidR="00C312A8" w:rsidRPr="00C3115C" w:rsidRDefault="00C312A8" w:rsidP="00F85DB6">
            <w:pPr>
              <w:pStyle w:val="TableText"/>
              <w:widowControl w:val="0"/>
              <w:spacing w:before="60" w:after="60" w:line="259" w:lineRule="auto"/>
              <w:contextualSpacing w:val="0"/>
              <w:rPr>
                <w:sz w:val="22"/>
                <w:szCs w:val="22"/>
              </w:rPr>
            </w:pPr>
            <w:bookmarkStart w:id="21" w:name="_Hlk172819065"/>
            <w:bookmarkEnd w:id="20"/>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348CB5"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County of</w:t>
            </w:r>
            <w:r w:rsidRPr="00C3115C">
              <w:rPr>
                <w:spacing w:val="-9"/>
                <w:sz w:val="22"/>
                <w:szCs w:val="22"/>
              </w:rPr>
              <w:t xml:space="preserve"> </w:t>
            </w:r>
            <w:r w:rsidRPr="00C3115C">
              <w:rPr>
                <w:sz w:val="22"/>
                <w:szCs w:val="22"/>
              </w:rPr>
              <w:t>Monterey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6C9E8"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Carmel</w:t>
            </w:r>
            <w:r w:rsidRPr="00C3115C">
              <w:rPr>
                <w:spacing w:val="-5"/>
                <w:sz w:val="22"/>
                <w:szCs w:val="22"/>
              </w:rPr>
              <w:t xml:space="preserve"> </w:t>
            </w:r>
            <w:r w:rsidRPr="00C3115C">
              <w:rPr>
                <w:sz w:val="22"/>
                <w:szCs w:val="22"/>
              </w:rPr>
              <w:t>Bay</w:t>
            </w:r>
          </w:p>
        </w:tc>
      </w:tr>
      <w:tr w:rsidR="00C312A8" w:rsidRPr="00C3115C" w14:paraId="728A8D51"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4F62F246" w14:textId="77777777" w:rsidR="00C312A8" w:rsidRPr="00C3115C" w:rsidRDefault="00C312A8" w:rsidP="00F85DB6">
            <w:pPr>
              <w:pStyle w:val="TableText"/>
              <w:widowControl w:val="0"/>
              <w:spacing w:before="60" w:after="60" w:line="259" w:lineRule="auto"/>
              <w:contextualSpacing w:val="0"/>
              <w:rPr>
                <w:sz w:val="22"/>
                <w:szCs w:val="22"/>
              </w:rPr>
            </w:pPr>
            <w:bookmarkStart w:id="22" w:name="_Hlk172819066"/>
            <w:bookmarkEnd w:id="21"/>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F547F1" w14:textId="5B3C80CE" w:rsidR="00C312A8" w:rsidRPr="00C3115C" w:rsidRDefault="00831CC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767CCD">
              <w:rPr>
                <w:sz w:val="22"/>
                <w:szCs w:val="22"/>
              </w:rPr>
              <w:t xml:space="preserve">, </w:t>
            </w:r>
            <w:r w:rsidR="00767CCD" w:rsidRPr="00C3115C">
              <w:rPr>
                <w:sz w:val="22"/>
                <w:szCs w:val="22"/>
              </w:rPr>
              <w:t>Año</w:t>
            </w:r>
            <w:r w:rsidR="00767CCD" w:rsidRPr="00C3115C">
              <w:rPr>
                <w:spacing w:val="-9"/>
                <w:sz w:val="22"/>
                <w:szCs w:val="22"/>
              </w:rPr>
              <w:t xml:space="preserve"> </w:t>
            </w:r>
            <w:r w:rsidR="00767CCD" w:rsidRPr="00C3115C">
              <w:rPr>
                <w:sz w:val="22"/>
                <w:szCs w:val="22"/>
              </w:rPr>
              <w:t>Nuevo</w:t>
            </w:r>
            <w:r w:rsidR="00767CCD">
              <w:rPr>
                <w:sz w:val="22"/>
                <w:szCs w:val="22"/>
              </w:rPr>
              <w:t xml:space="preserve"> State Park</w:t>
            </w:r>
            <w:r w:rsidR="000A22D6">
              <w:rPr>
                <w:sz w:val="22"/>
                <w:szCs w:val="22"/>
              </w:rPr>
              <w:t xml:space="preserve"> and </w:t>
            </w:r>
            <w:r w:rsidR="000A22D6" w:rsidRPr="00C3115C">
              <w:rPr>
                <w:sz w:val="22"/>
                <w:szCs w:val="22"/>
              </w:rPr>
              <w:t>Año</w:t>
            </w:r>
            <w:r w:rsidR="000A22D6" w:rsidRPr="00C3115C">
              <w:rPr>
                <w:spacing w:val="-9"/>
                <w:sz w:val="22"/>
                <w:szCs w:val="22"/>
              </w:rPr>
              <w:t xml:space="preserve"> </w:t>
            </w:r>
            <w:r w:rsidR="000A22D6" w:rsidRPr="00C3115C">
              <w:rPr>
                <w:sz w:val="22"/>
                <w:szCs w:val="22"/>
              </w:rPr>
              <w:t>Nuevo</w:t>
            </w:r>
            <w:r w:rsidR="00D24BDD">
              <w:rPr>
                <w:sz w:val="22"/>
                <w:szCs w:val="22"/>
              </w:rPr>
              <w:t xml:space="preserve"> State Reserve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59A3A"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Año</w:t>
            </w:r>
            <w:r w:rsidRPr="00C3115C">
              <w:rPr>
                <w:spacing w:val="-9"/>
                <w:sz w:val="22"/>
                <w:szCs w:val="22"/>
              </w:rPr>
              <w:t xml:space="preserve"> </w:t>
            </w:r>
            <w:r w:rsidRPr="00C3115C">
              <w:rPr>
                <w:sz w:val="22"/>
                <w:szCs w:val="22"/>
              </w:rPr>
              <w:t>Nuevo</w:t>
            </w:r>
          </w:p>
        </w:tc>
      </w:tr>
      <w:tr w:rsidR="00C312A8" w:rsidRPr="00C3115C" w14:paraId="5F24AF9F" w14:textId="77777777" w:rsidTr="00205AA8">
        <w:trPr>
          <w:cantSplit/>
          <w:trHeight w:val="236"/>
        </w:trPr>
        <w:tc>
          <w:tcPr>
            <w:tcW w:w="1620" w:type="dxa"/>
            <w:tcBorders>
              <w:top w:val="single" w:sz="4" w:space="0" w:color="auto"/>
              <w:left w:val="single" w:sz="4" w:space="0" w:color="auto"/>
              <w:bottom w:val="single" w:sz="4" w:space="0" w:color="auto"/>
              <w:right w:val="single" w:sz="4" w:space="0" w:color="auto"/>
            </w:tcBorders>
            <w:vAlign w:val="center"/>
          </w:tcPr>
          <w:p w14:paraId="485C4BFE" w14:textId="77777777" w:rsidR="00C312A8" w:rsidRPr="00C3115C" w:rsidRDefault="00C312A8" w:rsidP="00F85DB6">
            <w:pPr>
              <w:pStyle w:val="TableText"/>
              <w:widowControl w:val="0"/>
              <w:spacing w:before="60" w:after="60" w:line="259" w:lineRule="auto"/>
              <w:contextualSpacing w:val="0"/>
              <w:rPr>
                <w:sz w:val="22"/>
                <w:szCs w:val="22"/>
              </w:rPr>
            </w:pPr>
            <w:bookmarkStart w:id="23" w:name="_Hlk172819067"/>
            <w:bookmarkEnd w:id="22"/>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7DC3AF3" w14:textId="1FFC8BC1" w:rsidR="00C312A8" w:rsidRPr="00C3115C" w:rsidRDefault="00831CC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DA7FE5">
              <w:rPr>
                <w:sz w:val="22"/>
                <w:szCs w:val="22"/>
              </w:rPr>
              <w:t>, Carmel River State Beach</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E306D"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Carmel</w:t>
            </w:r>
            <w:r w:rsidRPr="00C3115C">
              <w:rPr>
                <w:spacing w:val="-5"/>
                <w:sz w:val="22"/>
                <w:szCs w:val="22"/>
              </w:rPr>
              <w:t xml:space="preserve"> </w:t>
            </w:r>
            <w:r w:rsidRPr="00C3115C">
              <w:rPr>
                <w:sz w:val="22"/>
                <w:szCs w:val="22"/>
              </w:rPr>
              <w:t>Bay</w:t>
            </w:r>
          </w:p>
        </w:tc>
      </w:tr>
      <w:tr w:rsidR="00C312A8" w:rsidRPr="00C3115C" w14:paraId="4A62910A"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1D724181" w14:textId="77777777" w:rsidR="00C312A8" w:rsidRPr="00C3115C" w:rsidRDefault="00C312A8" w:rsidP="00F85DB6">
            <w:pPr>
              <w:pStyle w:val="TableText"/>
              <w:widowControl w:val="0"/>
              <w:spacing w:before="60" w:after="60" w:line="259" w:lineRule="auto"/>
              <w:contextualSpacing w:val="0"/>
              <w:rPr>
                <w:sz w:val="22"/>
                <w:szCs w:val="22"/>
              </w:rPr>
            </w:pPr>
            <w:bookmarkStart w:id="24" w:name="_Hlk172819068"/>
            <w:bookmarkEnd w:id="23"/>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47A411" w14:textId="6D75801C" w:rsidR="00C312A8" w:rsidRPr="00C3115C" w:rsidRDefault="00831CC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DA7FE5">
              <w:rPr>
                <w:sz w:val="22"/>
                <w:szCs w:val="22"/>
              </w:rPr>
              <w:t>, Jul</w:t>
            </w:r>
            <w:r w:rsidR="00932353">
              <w:rPr>
                <w:sz w:val="22"/>
                <w:szCs w:val="22"/>
              </w:rPr>
              <w:t>ia</w:t>
            </w:r>
            <w:r w:rsidR="00DA7FE5">
              <w:rPr>
                <w:sz w:val="22"/>
                <w:szCs w:val="22"/>
              </w:rPr>
              <w:t xml:space="preserve"> Pfeiffer Burns State Park</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DEE7A"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Julia Pfeiffer</w:t>
            </w:r>
            <w:r w:rsidRPr="00C3115C">
              <w:rPr>
                <w:spacing w:val="-13"/>
                <w:sz w:val="22"/>
                <w:szCs w:val="22"/>
              </w:rPr>
              <w:t xml:space="preserve"> </w:t>
            </w:r>
            <w:r w:rsidRPr="00C3115C">
              <w:rPr>
                <w:sz w:val="22"/>
                <w:szCs w:val="22"/>
              </w:rPr>
              <w:t>Burns</w:t>
            </w:r>
          </w:p>
        </w:tc>
      </w:tr>
      <w:tr w:rsidR="00C312A8" w:rsidRPr="00C3115C" w14:paraId="01FB1B32"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42631ADA" w14:textId="77777777" w:rsidR="00C312A8" w:rsidRPr="00C3115C" w:rsidRDefault="00C312A8" w:rsidP="00F85DB6">
            <w:pPr>
              <w:pStyle w:val="TableText"/>
              <w:widowControl w:val="0"/>
              <w:spacing w:before="60" w:after="60" w:line="259" w:lineRule="auto"/>
              <w:contextualSpacing w:val="0"/>
              <w:rPr>
                <w:sz w:val="22"/>
                <w:szCs w:val="22"/>
              </w:rPr>
            </w:pPr>
            <w:bookmarkStart w:id="25" w:name="_Hlk172819069"/>
            <w:bookmarkEnd w:id="24"/>
            <w:r w:rsidRPr="00C3115C">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09FE73" w14:textId="7BC4BC09" w:rsidR="00C312A8" w:rsidRPr="00C3115C" w:rsidRDefault="00831CC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C85D79">
              <w:rPr>
                <w:sz w:val="22"/>
                <w:szCs w:val="22"/>
              </w:rPr>
              <w:t>, Point Lobos State Natural Reserve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37923"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Point</w:t>
            </w:r>
            <w:r w:rsidRPr="00C3115C">
              <w:rPr>
                <w:spacing w:val="-9"/>
                <w:sz w:val="22"/>
                <w:szCs w:val="22"/>
              </w:rPr>
              <w:t xml:space="preserve"> </w:t>
            </w:r>
            <w:r w:rsidRPr="00C3115C">
              <w:rPr>
                <w:sz w:val="22"/>
                <w:szCs w:val="22"/>
              </w:rPr>
              <w:t>Lobos</w:t>
            </w:r>
          </w:p>
        </w:tc>
      </w:tr>
      <w:tr w:rsidR="0024751D" w:rsidRPr="00C3115C" w14:paraId="5ADD500B" w14:textId="77777777" w:rsidTr="00205AA8">
        <w:trPr>
          <w:cantSplit/>
          <w:trHeight w:val="245"/>
        </w:trPr>
        <w:tc>
          <w:tcPr>
            <w:tcW w:w="1620" w:type="dxa"/>
            <w:tcBorders>
              <w:top w:val="single" w:sz="4" w:space="0" w:color="auto"/>
              <w:left w:val="single" w:sz="4" w:space="0" w:color="auto"/>
              <w:bottom w:val="single" w:sz="4" w:space="0" w:color="auto"/>
              <w:right w:val="single" w:sz="4" w:space="0" w:color="auto"/>
            </w:tcBorders>
            <w:vAlign w:val="center"/>
          </w:tcPr>
          <w:p w14:paraId="0FF1E68C" w14:textId="1E72E5C8" w:rsidR="0024751D" w:rsidRPr="00C3115C" w:rsidRDefault="00EF2397" w:rsidP="00F85DB6">
            <w:pPr>
              <w:pStyle w:val="TableText"/>
              <w:widowControl w:val="0"/>
              <w:spacing w:before="60" w:after="60" w:line="259" w:lineRule="auto"/>
              <w:contextualSpacing w:val="0"/>
              <w:rPr>
                <w:sz w:val="22"/>
                <w:szCs w:val="22"/>
              </w:rPr>
            </w:pPr>
            <w:bookmarkStart w:id="26" w:name="_Hlk172819070"/>
            <w:bookmarkEnd w:id="25"/>
            <w:r>
              <w:rPr>
                <w:sz w:val="22"/>
                <w:szCs w:val="22"/>
              </w:rPr>
              <w:t>Central Coast</w:t>
            </w:r>
          </w:p>
        </w:tc>
        <w:tc>
          <w:tcPr>
            <w:tcW w:w="48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264661" w14:textId="598D8029" w:rsidR="0024751D" w:rsidRPr="00C3115C" w:rsidRDefault="00EF2397" w:rsidP="00F85DB6">
            <w:pPr>
              <w:pStyle w:val="TableText"/>
              <w:widowControl w:val="0"/>
              <w:spacing w:before="60" w:after="60" w:line="259" w:lineRule="auto"/>
              <w:contextualSpacing w:val="0"/>
              <w:rPr>
                <w:sz w:val="22"/>
                <w:szCs w:val="22"/>
              </w:rPr>
            </w:pPr>
            <w:r>
              <w:rPr>
                <w:sz w:val="22"/>
                <w:szCs w:val="22"/>
              </w:rPr>
              <w:t xml:space="preserve">Pillar Point Air Force </w:t>
            </w:r>
            <w:r w:rsidR="009729DC">
              <w:rPr>
                <w:sz w:val="22"/>
                <w:szCs w:val="22"/>
              </w:rPr>
              <w:t>Station</w:t>
            </w:r>
            <w:r>
              <w:rPr>
                <w:sz w:val="22"/>
                <w:szCs w:val="22"/>
              </w:rPr>
              <w:t xml:space="preserve">, </w:t>
            </w:r>
            <w:r w:rsidRPr="00C3115C">
              <w:rPr>
                <w:sz w:val="22"/>
                <w:szCs w:val="22"/>
              </w:rPr>
              <w:t>Vandenberg</w:t>
            </w:r>
            <w:r w:rsidRPr="0024751D">
              <w:rPr>
                <w:sz w:val="22"/>
                <w:szCs w:val="22"/>
              </w:rPr>
              <w:t xml:space="preserve"> </w:t>
            </w:r>
            <w:r w:rsidRPr="00C3115C">
              <w:rPr>
                <w:sz w:val="22"/>
                <w:szCs w:val="22"/>
              </w:rPr>
              <w:t>Air Force</w:t>
            </w:r>
            <w:r w:rsidRPr="0024751D">
              <w:rPr>
                <w:sz w:val="22"/>
                <w:szCs w:val="22"/>
              </w:rPr>
              <w:t xml:space="preserve"> </w:t>
            </w:r>
            <w:r w:rsidRPr="00C3115C">
              <w:rPr>
                <w:sz w:val="22"/>
                <w:szCs w:val="22"/>
              </w:rPr>
              <w:t>Base</w:t>
            </w:r>
            <w:r>
              <w:rPr>
                <w:sz w:val="22"/>
                <w:szCs w:val="22"/>
              </w:rPr>
              <w:t xml:space="preserve"> (Department of Defense)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6C697" w14:textId="72F0AE46" w:rsidR="0024751D" w:rsidRPr="00C3115C" w:rsidRDefault="00EF2397" w:rsidP="00F85DB6">
            <w:pPr>
              <w:pStyle w:val="TableText"/>
              <w:widowControl w:val="0"/>
              <w:spacing w:before="60" w:after="60" w:line="259" w:lineRule="auto"/>
              <w:contextualSpacing w:val="0"/>
              <w:rPr>
                <w:sz w:val="22"/>
                <w:szCs w:val="22"/>
              </w:rPr>
            </w:pPr>
            <w:r w:rsidRPr="00C3115C">
              <w:rPr>
                <w:sz w:val="22"/>
                <w:szCs w:val="22"/>
              </w:rPr>
              <w:t>James V.</w:t>
            </w:r>
            <w:r w:rsidRPr="0024751D">
              <w:rPr>
                <w:sz w:val="22"/>
                <w:szCs w:val="22"/>
              </w:rPr>
              <w:t xml:space="preserve"> </w:t>
            </w:r>
            <w:r w:rsidRPr="00C3115C">
              <w:rPr>
                <w:sz w:val="22"/>
                <w:szCs w:val="22"/>
              </w:rPr>
              <w:t>Fitzgerald</w:t>
            </w:r>
          </w:p>
        </w:tc>
      </w:tr>
      <w:tr w:rsidR="00C312A8" w:rsidRPr="00C3115C" w14:paraId="58796322" w14:textId="77777777" w:rsidTr="00205AA8">
        <w:trPr>
          <w:cantSplit/>
          <w:trHeight w:val="245"/>
        </w:trPr>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52E3E" w14:textId="77777777" w:rsidR="00C312A8" w:rsidRPr="00C3115C" w:rsidRDefault="00C312A8" w:rsidP="00F85DB6">
            <w:pPr>
              <w:pStyle w:val="TableText"/>
              <w:widowControl w:val="0"/>
              <w:spacing w:before="60" w:after="60" w:line="259" w:lineRule="auto"/>
              <w:contextualSpacing w:val="0"/>
              <w:rPr>
                <w:sz w:val="22"/>
                <w:szCs w:val="22"/>
              </w:rPr>
            </w:pPr>
            <w:bookmarkStart w:id="27" w:name="_Hlk172819071"/>
            <w:bookmarkEnd w:id="26"/>
            <w:r w:rsidRPr="00C3115C">
              <w:rPr>
                <w:sz w:val="22"/>
                <w:szCs w:val="22"/>
              </w:rPr>
              <w:t>Santa</w:t>
            </w:r>
            <w:r w:rsidRPr="00C3115C">
              <w:rPr>
                <w:spacing w:val="-2"/>
                <w:sz w:val="22"/>
                <w:szCs w:val="22"/>
              </w:rPr>
              <w:t xml:space="preserve"> </w:t>
            </w:r>
            <w:r w:rsidRPr="00C3115C">
              <w:rPr>
                <w:sz w:val="22"/>
                <w:szCs w:val="22"/>
              </w:rPr>
              <w:t>Ana</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BC861" w14:textId="7658E999" w:rsidR="00C312A8" w:rsidRPr="00C3115C" w:rsidRDefault="00831CCC" w:rsidP="00F85DB6">
            <w:pPr>
              <w:pStyle w:val="TableText"/>
              <w:widowControl w:val="0"/>
              <w:spacing w:before="60" w:after="60" w:line="259" w:lineRule="auto"/>
              <w:contextualSpacing w:val="0"/>
              <w:rPr>
                <w:sz w:val="22"/>
                <w:szCs w:val="22"/>
              </w:rPr>
            </w:pPr>
            <w:r>
              <w:rPr>
                <w:sz w:val="22"/>
                <w:szCs w:val="22"/>
              </w:rPr>
              <w:t xml:space="preserve">California </w:t>
            </w:r>
            <w:r w:rsidR="00C312A8" w:rsidRPr="00C3115C">
              <w:rPr>
                <w:sz w:val="22"/>
                <w:szCs w:val="22"/>
              </w:rPr>
              <w:t>Department of Parks and</w:t>
            </w:r>
            <w:r w:rsidR="00C312A8" w:rsidRPr="00C3115C">
              <w:rPr>
                <w:spacing w:val="-20"/>
                <w:sz w:val="22"/>
                <w:szCs w:val="22"/>
              </w:rPr>
              <w:t xml:space="preserve"> </w:t>
            </w:r>
            <w:r w:rsidR="00C312A8" w:rsidRPr="00C3115C">
              <w:rPr>
                <w:sz w:val="22"/>
                <w:szCs w:val="22"/>
              </w:rPr>
              <w:t>Recreation</w:t>
            </w:r>
            <w:r w:rsidR="00C85D79">
              <w:rPr>
                <w:sz w:val="22"/>
                <w:szCs w:val="22"/>
              </w:rPr>
              <w:t>, Crystal Cove State Park</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3127F" w14:textId="77777777" w:rsidR="00C312A8" w:rsidRPr="00C3115C" w:rsidRDefault="00C312A8" w:rsidP="00F85DB6">
            <w:pPr>
              <w:pStyle w:val="TableText"/>
              <w:widowControl w:val="0"/>
              <w:spacing w:before="60" w:after="60" w:line="259" w:lineRule="auto"/>
              <w:contextualSpacing w:val="0"/>
              <w:rPr>
                <w:sz w:val="22"/>
                <w:szCs w:val="22"/>
              </w:rPr>
            </w:pPr>
            <w:r w:rsidRPr="00C3115C">
              <w:rPr>
                <w:sz w:val="22"/>
                <w:szCs w:val="22"/>
              </w:rPr>
              <w:t>Irvine</w:t>
            </w:r>
            <w:r w:rsidRPr="00C3115C">
              <w:rPr>
                <w:spacing w:val="-9"/>
                <w:sz w:val="22"/>
                <w:szCs w:val="22"/>
              </w:rPr>
              <w:t xml:space="preserve"> </w:t>
            </w:r>
            <w:r w:rsidRPr="00C3115C">
              <w:rPr>
                <w:sz w:val="22"/>
                <w:szCs w:val="22"/>
              </w:rPr>
              <w:t>Coast</w:t>
            </w:r>
          </w:p>
        </w:tc>
      </w:tr>
      <w:bookmarkEnd w:id="27"/>
    </w:tbl>
    <w:p w14:paraId="1102C0C4" w14:textId="77777777" w:rsidR="00C312A8" w:rsidRPr="000D5E1A" w:rsidRDefault="00C312A8" w:rsidP="00C312A8">
      <w:pPr>
        <w:pStyle w:val="ListParagraph"/>
        <w:numPr>
          <w:ilvl w:val="0"/>
          <w:numId w:val="0"/>
        </w:numPr>
        <w:ind w:left="720"/>
        <w:rPr>
          <w:color w:val="FFFFFF" w:themeColor="background1"/>
        </w:rPr>
      </w:pPr>
    </w:p>
    <w:p w14:paraId="4CC35992" w14:textId="1D9235A7" w:rsidR="00C12287" w:rsidRDefault="00930136" w:rsidP="00C12FC8">
      <w:pPr>
        <w:pStyle w:val="Heading2"/>
      </w:pPr>
      <w:bookmarkStart w:id="28" w:name="_Hlk172818876"/>
      <w:r>
        <w:t>F3</w:t>
      </w:r>
      <w:r w:rsidR="00F34D9B">
        <w:t>.</w:t>
      </w:r>
      <w:r w:rsidR="00F34D9B">
        <w:tab/>
        <w:t>DISCHARGE PROHIBITION</w:t>
      </w:r>
      <w:r w:rsidR="00964F86">
        <w:t>S</w:t>
      </w:r>
    </w:p>
    <w:p w14:paraId="19589910" w14:textId="154821C5" w:rsidR="00FE73C8" w:rsidRDefault="00FE73C8" w:rsidP="00DB72AC">
      <w:bookmarkStart w:id="29" w:name="_Hlk172818904"/>
      <w:bookmarkEnd w:id="28"/>
      <w:r>
        <w:t xml:space="preserve">ASBS-specific prohibitions are provided in section </w:t>
      </w:r>
      <w:r w:rsidR="00730EA9">
        <w:t>5</w:t>
      </w:r>
      <w:r>
        <w:t>.2 of this Order.</w:t>
      </w:r>
    </w:p>
    <w:p w14:paraId="0705BEDC" w14:textId="29DBAF2C" w:rsidR="00942073" w:rsidRPr="00A47AC7" w:rsidRDefault="001D10C5" w:rsidP="00C12FC8">
      <w:pPr>
        <w:pStyle w:val="Heading2"/>
      </w:pPr>
      <w:bookmarkStart w:id="30" w:name="_Hlk172818877"/>
      <w:bookmarkEnd w:id="29"/>
      <w:r>
        <w:t>F</w:t>
      </w:r>
      <w:r w:rsidR="00F4627F">
        <w:t>4</w:t>
      </w:r>
      <w:r w:rsidR="00942073">
        <w:t>.</w:t>
      </w:r>
      <w:r w:rsidR="00942073" w:rsidRPr="00A47AC7">
        <w:tab/>
      </w:r>
      <w:r w:rsidR="0044307C">
        <w:t xml:space="preserve">UPDATED </w:t>
      </w:r>
      <w:r w:rsidR="00FE73C8">
        <w:t>ASBS</w:t>
      </w:r>
      <w:r w:rsidR="00942073" w:rsidRPr="00A47AC7">
        <w:t xml:space="preserve"> </w:t>
      </w:r>
      <w:r w:rsidR="0044307C">
        <w:t>COMPLIANCE PLAN</w:t>
      </w:r>
    </w:p>
    <w:p w14:paraId="0C359B27" w14:textId="184C5525" w:rsidR="00BA0AEF" w:rsidRDefault="00F2750E" w:rsidP="00DB72AC">
      <w:bookmarkStart w:id="31" w:name="_Hlk172818905"/>
      <w:bookmarkEnd w:id="30"/>
      <w:r>
        <w:t>Within 1 year of</w:t>
      </w:r>
      <w:r w:rsidR="00942073" w:rsidRPr="00A47AC7">
        <w:t xml:space="preserve"> the </w:t>
      </w:r>
      <w:r w:rsidR="00106B0D">
        <w:t>effective date</w:t>
      </w:r>
      <w:r w:rsidR="00942073" w:rsidRPr="00A47AC7">
        <w:t xml:space="preserve"> of this Order, the </w:t>
      </w:r>
      <w:r w:rsidR="00C67B56">
        <w:t>P</w:t>
      </w:r>
      <w:r w:rsidR="002C77D3">
        <w:t>ermittee</w:t>
      </w:r>
      <w:r w:rsidR="00942073" w:rsidRPr="00A47AC7">
        <w:t xml:space="preserve"> shall submit an </w:t>
      </w:r>
      <w:r w:rsidR="002C77D3">
        <w:t xml:space="preserve">updated </w:t>
      </w:r>
      <w:r w:rsidR="00123CBC">
        <w:t>ASBS</w:t>
      </w:r>
      <w:r w:rsidR="00942073" w:rsidRPr="00A47AC7">
        <w:t xml:space="preserve"> Compliance Plan</w:t>
      </w:r>
      <w:r w:rsidR="00137A65">
        <w:t>, including the monitoring plan</w:t>
      </w:r>
      <w:r w:rsidR="003B0EA6">
        <w:t>.</w:t>
      </w:r>
      <w:r w:rsidR="00942073" w:rsidRPr="00A47AC7">
        <w:t xml:space="preserve"> </w:t>
      </w:r>
    </w:p>
    <w:p w14:paraId="1F497E77" w14:textId="3150EB99" w:rsidR="005566FF" w:rsidRDefault="00BA0AEF" w:rsidP="00D3621A">
      <w:bookmarkStart w:id="32" w:name="_Hlk172818907"/>
      <w:bookmarkEnd w:id="31"/>
      <w:r w:rsidRPr="00A47AC7">
        <w:t xml:space="preserve">The </w:t>
      </w:r>
      <w:r w:rsidR="00AF4844">
        <w:t>Permittee</w:t>
      </w:r>
      <w:r>
        <w:t>’s updated ASBS</w:t>
      </w:r>
      <w:r w:rsidRPr="00A47AC7">
        <w:t xml:space="preserve"> Compliance Plan shall</w:t>
      </w:r>
      <w:r w:rsidR="00285AEF">
        <w:t xml:space="preserve"> </w:t>
      </w:r>
      <w:r w:rsidR="004C7B71">
        <w:t>address</w:t>
      </w:r>
      <w:r w:rsidR="00285AEF">
        <w:t xml:space="preserve"> the following</w:t>
      </w:r>
      <w:r w:rsidR="00A41CDE">
        <w:t xml:space="preserve"> requirements</w:t>
      </w:r>
      <w:r>
        <w:t>:</w:t>
      </w:r>
    </w:p>
    <w:bookmarkEnd w:id="32"/>
    <w:p w14:paraId="1C618D3C" w14:textId="17780E7A" w:rsidR="00FC051E" w:rsidRPr="00FC051E" w:rsidRDefault="00777451" w:rsidP="00DB72AC">
      <w:pPr>
        <w:pStyle w:val="ListParagraph"/>
        <w:numPr>
          <w:ilvl w:val="0"/>
          <w:numId w:val="37"/>
        </w:numPr>
        <w:tabs>
          <w:tab w:val="clear" w:pos="360"/>
        </w:tabs>
        <w:spacing w:before="120" w:after="120"/>
        <w:ind w:left="1080"/>
      </w:pPr>
      <w:r>
        <w:t>General</w:t>
      </w:r>
    </w:p>
    <w:p w14:paraId="475F9734" w14:textId="3DA96FAB" w:rsidR="004A283D" w:rsidRDefault="00BE43A1" w:rsidP="00BE43A1">
      <w:pPr>
        <w:pStyle w:val="ListParagraph"/>
        <w:numPr>
          <w:ilvl w:val="0"/>
          <w:numId w:val="0"/>
        </w:numPr>
        <w:tabs>
          <w:tab w:val="clear" w:pos="360"/>
        </w:tabs>
        <w:spacing w:before="120" w:after="120"/>
        <w:ind w:left="1080"/>
      </w:pPr>
      <w:r>
        <w:lastRenderedPageBreak/>
        <w:t>The updated ASBS Compliance Plan shall b</w:t>
      </w:r>
      <w:r w:rsidR="004A283D">
        <w:t xml:space="preserve">e submitted </w:t>
      </w:r>
      <w:r w:rsidR="00BA0AEF">
        <w:t>in</w:t>
      </w:r>
      <w:r w:rsidR="004A283D">
        <w:t xml:space="preserve"> </w:t>
      </w:r>
      <w:r w:rsidR="007F79B3">
        <w:t>track changes</w:t>
      </w:r>
      <w:r w:rsidR="004A283D">
        <w:t xml:space="preserve"> or as an addendum to the plan submitted under the previous permit. In either case, the ASBS Compliance Plan submitted under the previous permit must be included (either with the </w:t>
      </w:r>
      <w:r w:rsidR="007F79B3">
        <w:t>track changes</w:t>
      </w:r>
      <w:r w:rsidR="004A283D">
        <w:t xml:space="preserve"> or with the addendum).</w:t>
      </w:r>
    </w:p>
    <w:p w14:paraId="21135FDC" w14:textId="438AC17D" w:rsidR="0016538F" w:rsidRPr="00A822E9" w:rsidRDefault="009E0CC3" w:rsidP="00962743">
      <w:pPr>
        <w:pStyle w:val="ListParagraph"/>
        <w:numPr>
          <w:ilvl w:val="0"/>
          <w:numId w:val="38"/>
        </w:numPr>
        <w:tabs>
          <w:tab w:val="clear" w:pos="360"/>
        </w:tabs>
        <w:spacing w:before="120" w:after="120"/>
      </w:pPr>
      <w:r>
        <w:rPr>
          <w:bCs w:val="0"/>
        </w:rPr>
        <w:t xml:space="preserve">Monitoring </w:t>
      </w:r>
      <w:r w:rsidR="00B34402">
        <w:rPr>
          <w:bCs w:val="0"/>
        </w:rPr>
        <w:t>P</w:t>
      </w:r>
      <w:r>
        <w:rPr>
          <w:bCs w:val="0"/>
        </w:rPr>
        <w:t>lan</w:t>
      </w:r>
    </w:p>
    <w:p w14:paraId="0DC35845" w14:textId="7AA91B81" w:rsidR="00A822E9" w:rsidRPr="009E0CC3" w:rsidRDefault="00A822E9" w:rsidP="00A822E9">
      <w:pPr>
        <w:ind w:left="1080"/>
      </w:pPr>
      <w:r>
        <w:t>The Monitoring Plan shall include the following:</w:t>
      </w:r>
    </w:p>
    <w:p w14:paraId="66DF7318" w14:textId="656FFD7A" w:rsidR="009E0CC3" w:rsidRDefault="00A822E9" w:rsidP="009D43FD">
      <w:pPr>
        <w:pStyle w:val="ListParagraph"/>
        <w:widowControl/>
        <w:numPr>
          <w:ilvl w:val="1"/>
          <w:numId w:val="38"/>
        </w:numPr>
        <w:tabs>
          <w:tab w:val="clear" w:pos="360"/>
        </w:tabs>
        <w:spacing w:before="120" w:after="120"/>
        <w:ind w:left="1440"/>
      </w:pPr>
      <w:r>
        <w:t>R</w:t>
      </w:r>
      <w:r w:rsidR="009E0CC3">
        <w:t xml:space="preserve">evisions to the monitoring plan for resampling in the event the Permittee has not completed required resampling for any exceedances of natural ocean water quality under the previous permit. Use the </w:t>
      </w:r>
      <w:hyperlink w:anchor="FlowChart" w:history="1">
        <w:r w:rsidR="009E0CC3" w:rsidRPr="00B321FA">
          <w:rPr>
            <w:rStyle w:val="Hyperlink"/>
          </w:rPr>
          <w:t>flowchart</w:t>
        </w:r>
      </w:hyperlink>
      <w:r w:rsidR="009E0CC3">
        <w:t xml:space="preserve"> in this Attachment to determine an exceedance of natural ocean water quality.</w:t>
      </w:r>
    </w:p>
    <w:p w14:paraId="464D92B4" w14:textId="4D5B7888" w:rsidR="009E0CC3" w:rsidRDefault="00A822E9" w:rsidP="002D368E">
      <w:pPr>
        <w:pStyle w:val="ListParagraph"/>
        <w:numPr>
          <w:ilvl w:val="1"/>
          <w:numId w:val="38"/>
        </w:numPr>
        <w:ind w:left="1440"/>
      </w:pPr>
      <w:r>
        <w:t>R</w:t>
      </w:r>
      <w:r w:rsidR="009E0CC3">
        <w:t xml:space="preserve">evisions to the monitoring plan to continue Core and Receiving Water monitoring if the </w:t>
      </w:r>
      <w:r w:rsidR="009E0CC3" w:rsidRPr="00F93795">
        <w:t xml:space="preserve">Executive Director of the State Water Board </w:t>
      </w:r>
      <w:r w:rsidR="009E0CC3">
        <w:t xml:space="preserve">has not </w:t>
      </w:r>
      <w:r w:rsidR="009E0CC3" w:rsidRPr="00F93795">
        <w:t>reduce</w:t>
      </w:r>
      <w:r w:rsidR="009E0CC3">
        <w:t>d</w:t>
      </w:r>
      <w:r w:rsidR="009E0CC3" w:rsidRPr="00F93795">
        <w:t xml:space="preserve"> or suspend</w:t>
      </w:r>
      <w:r w:rsidR="009E0CC3">
        <w:t>ed</w:t>
      </w:r>
      <w:r w:rsidR="009E0CC3" w:rsidRPr="00F93795">
        <w:t xml:space="preserve"> monitoring once the storm runoff is fully characterized.</w:t>
      </w:r>
    </w:p>
    <w:p w14:paraId="7802A767" w14:textId="1ADA8DD7" w:rsidR="009E0CC3" w:rsidRDefault="00A822E9" w:rsidP="002D368E">
      <w:pPr>
        <w:pStyle w:val="ListParagraph"/>
        <w:numPr>
          <w:ilvl w:val="1"/>
          <w:numId w:val="38"/>
        </w:numPr>
        <w:ind w:left="1440"/>
      </w:pPr>
      <w:r>
        <w:t>A</w:t>
      </w:r>
      <w:r w:rsidR="009E0CC3">
        <w:t xml:space="preserve">n updated monitoring plan with </w:t>
      </w:r>
      <w:r w:rsidR="7642CB41">
        <w:t xml:space="preserve">a </w:t>
      </w:r>
      <w:r w:rsidR="009E0CC3">
        <w:t>schedule for resampling the receiving water for constituent-location pairs that exceed the 85th percentile of reference sample concentrations.</w:t>
      </w:r>
    </w:p>
    <w:p w14:paraId="4C570EB1" w14:textId="4C1EC99E" w:rsidR="009E0CC3" w:rsidRDefault="009E0CC3" w:rsidP="00DB72AC">
      <w:pPr>
        <w:pStyle w:val="ListParagraph"/>
        <w:numPr>
          <w:ilvl w:val="2"/>
          <w:numId w:val="38"/>
        </w:numPr>
        <w:tabs>
          <w:tab w:val="clear" w:pos="360"/>
        </w:tabs>
        <w:spacing w:before="120" w:after="120"/>
        <w:ind w:left="1800"/>
      </w:pPr>
      <w:r>
        <w:t>Include a schedule for pre-and post-storm monitoring of constituent-location pairs that exceed natural ocean water quality in receiving water.</w:t>
      </w:r>
    </w:p>
    <w:p w14:paraId="33C08BA4" w14:textId="3E0989EC" w:rsidR="009E0CC3" w:rsidRDefault="009E0CC3" w:rsidP="00DB72AC">
      <w:pPr>
        <w:pStyle w:val="ListParagraph"/>
        <w:numPr>
          <w:ilvl w:val="2"/>
          <w:numId w:val="38"/>
        </w:numPr>
        <w:tabs>
          <w:tab w:val="clear" w:pos="360"/>
        </w:tabs>
        <w:spacing w:before="120" w:after="120"/>
        <w:ind w:left="1800"/>
      </w:pPr>
      <w:r>
        <w:t xml:space="preserve">Include </w:t>
      </w:r>
      <w:r w:rsidR="00CB6E42" w:rsidRPr="00D61192">
        <w:t>US</w:t>
      </w:r>
      <w:r w:rsidR="00CB6E42">
        <w:t xml:space="preserve">EPA </w:t>
      </w:r>
      <w:r>
        <w:t>analytical methods and the lowest minimum detection limits comparable to the Ocean Plan water quality objectives. For metal analysis, all samples, including stormwater effluent, reference samples, and ocean receiving water samples, shall be analyzed using Inductively Coupled Plasma/Mass Spectrometry or other approved method with the lowest minimum detection limit described in the Ocean Plan.</w:t>
      </w:r>
    </w:p>
    <w:p w14:paraId="4F327A2E" w14:textId="2FF8A776" w:rsidR="009E0CC3" w:rsidRDefault="009E0CC3" w:rsidP="00DB72AC">
      <w:pPr>
        <w:pStyle w:val="ListParagraph"/>
        <w:numPr>
          <w:ilvl w:val="0"/>
          <w:numId w:val="38"/>
        </w:numPr>
        <w:tabs>
          <w:tab w:val="clear" w:pos="360"/>
        </w:tabs>
        <w:spacing w:before="120" w:after="120"/>
        <w:ind w:left="1080" w:hanging="360"/>
      </w:pPr>
      <w:r>
        <w:t xml:space="preserve">Best </w:t>
      </w:r>
      <w:r w:rsidR="00B34402">
        <w:t>M</w:t>
      </w:r>
      <w:r>
        <w:t xml:space="preserve">anagement </w:t>
      </w:r>
      <w:r w:rsidR="00B34402">
        <w:t>P</w:t>
      </w:r>
      <w:r>
        <w:t>ractices</w:t>
      </w:r>
    </w:p>
    <w:p w14:paraId="4B905925" w14:textId="284EA8B4" w:rsidR="008E21B1" w:rsidRDefault="008E21B1" w:rsidP="00DB094A">
      <w:pPr>
        <w:ind w:left="1080"/>
      </w:pPr>
      <w:r>
        <w:t xml:space="preserve">The following information shall be included to address </w:t>
      </w:r>
      <w:r w:rsidR="00522D2D">
        <w:t>the best management practices requirements</w:t>
      </w:r>
      <w:r w:rsidR="00962743">
        <w:t>:</w:t>
      </w:r>
    </w:p>
    <w:p w14:paraId="69E1C8F7" w14:textId="0FFE8849" w:rsidR="00211BFC" w:rsidRDefault="00522D2D" w:rsidP="00DB72AC">
      <w:pPr>
        <w:pStyle w:val="ListParagraph"/>
        <w:numPr>
          <w:ilvl w:val="1"/>
          <w:numId w:val="38"/>
        </w:numPr>
        <w:tabs>
          <w:tab w:val="clear" w:pos="360"/>
        </w:tabs>
        <w:spacing w:before="120" w:after="120"/>
        <w:ind w:left="1440"/>
      </w:pPr>
      <w:r>
        <w:t>A</w:t>
      </w:r>
      <w:r w:rsidR="00211BFC">
        <w:t>n updated best management practices map for</w:t>
      </w:r>
      <w:r w:rsidR="00211BFC" w:rsidRPr="00A47AC7">
        <w:t xml:space="preserve"> the location and monitoring result</w:t>
      </w:r>
      <w:r w:rsidR="00211BFC">
        <w:t xml:space="preserve"> pairs</w:t>
      </w:r>
      <w:r w:rsidR="00211BFC" w:rsidRPr="00A47AC7">
        <w:t xml:space="preserve"> </w:t>
      </w:r>
      <w:r w:rsidR="00211BFC">
        <w:t>that</w:t>
      </w:r>
      <w:r w:rsidR="00211BFC" w:rsidRPr="00A47AC7">
        <w:t xml:space="preserve"> indicate that discharges</w:t>
      </w:r>
      <w:r w:rsidR="00211BFC" w:rsidRPr="00BD72EC">
        <w:t xml:space="preserve"> may be </w:t>
      </w:r>
      <w:r w:rsidR="00211BFC" w:rsidRPr="00A47AC7">
        <w:t xml:space="preserve">causing or contributing to alterations of natural ocean water </w:t>
      </w:r>
      <w:r w:rsidR="00211BFC">
        <w:t xml:space="preserve">quality, including priority discharge locations. </w:t>
      </w:r>
      <w:r w:rsidR="00211BFC" w:rsidRPr="00094A7C">
        <w:t>Priority discharges are those that pose the greatest water quality threat and which are identified to require installation of structural BMPs.</w:t>
      </w:r>
    </w:p>
    <w:p w14:paraId="30F930D0" w14:textId="58FB6B69" w:rsidR="00211BFC" w:rsidRDefault="00211BFC" w:rsidP="00DB72AC">
      <w:pPr>
        <w:pStyle w:val="ListParagraph"/>
        <w:numPr>
          <w:ilvl w:val="2"/>
          <w:numId w:val="38"/>
        </w:numPr>
        <w:tabs>
          <w:tab w:val="clear" w:pos="360"/>
        </w:tabs>
        <w:spacing w:before="120" w:after="120"/>
        <w:ind w:left="1800"/>
      </w:pPr>
      <w:r>
        <w:t xml:space="preserve">The </w:t>
      </w:r>
      <w:proofErr w:type="gramStart"/>
      <w:r>
        <w:t>map shall</w:t>
      </w:r>
      <w:proofErr w:type="gramEnd"/>
      <w:r>
        <w:t xml:space="preserve"> show </w:t>
      </w:r>
      <w:r w:rsidRPr="0085544A">
        <w:t xml:space="preserve">surface drainage of stormwater runoff, areas of sheet flow of stormwater runoff, structural best management practices </w:t>
      </w:r>
      <w:r w:rsidRPr="0085544A">
        <w:lastRenderedPageBreak/>
        <w:t>already implemented, and any best management practices to be installed in the future to control the pollutants that are causing exceedance of the natural ocean water quality.</w:t>
      </w:r>
    </w:p>
    <w:p w14:paraId="07EADA8E" w14:textId="05E98142" w:rsidR="00211BFC" w:rsidRDefault="00211BFC" w:rsidP="00DB72AC">
      <w:pPr>
        <w:pStyle w:val="ListParagraph"/>
        <w:numPr>
          <w:ilvl w:val="2"/>
          <w:numId w:val="38"/>
        </w:numPr>
        <w:tabs>
          <w:tab w:val="clear" w:pos="360"/>
        </w:tabs>
        <w:spacing w:before="120" w:after="120"/>
        <w:ind w:left="1800"/>
      </w:pPr>
      <w:r w:rsidRPr="00CC0B3E">
        <w:t xml:space="preserve">The map shall also show the storm water conveyances in relation to other features such as service areas, sewage conveyances and treatment facilities, landslides, areas prone to erosion, and waste and hazardous material storage areas, if applicable. The </w:t>
      </w:r>
      <w:r>
        <w:t>Compliance Plan</w:t>
      </w:r>
      <w:r w:rsidRPr="00CC0B3E">
        <w:t xml:space="preserve"> shall also include a procedure for updating the map and plan when changes are made to the storm water conveyance facilities</w:t>
      </w:r>
      <w:r>
        <w:t>.</w:t>
      </w:r>
      <w:r>
        <w:rPr>
          <w:rStyle w:val="FootnoteReference"/>
        </w:rPr>
        <w:footnoteReference w:id="2"/>
      </w:r>
    </w:p>
    <w:p w14:paraId="795FD0D2" w14:textId="0903EC2D" w:rsidR="00211BFC" w:rsidRDefault="00522D2D" w:rsidP="00DB72AC">
      <w:pPr>
        <w:pStyle w:val="ListParagraph"/>
        <w:numPr>
          <w:ilvl w:val="1"/>
          <w:numId w:val="38"/>
        </w:numPr>
        <w:tabs>
          <w:tab w:val="clear" w:pos="360"/>
        </w:tabs>
        <w:spacing w:before="120" w:after="120"/>
        <w:ind w:left="1440"/>
      </w:pPr>
      <w:r>
        <w:t xml:space="preserve">A </w:t>
      </w:r>
      <w:r w:rsidR="00211BFC">
        <w:t>d</w:t>
      </w:r>
      <w:r w:rsidR="00211BFC" w:rsidRPr="00A47AC7">
        <w:t xml:space="preserve">escription of existing and planned </w:t>
      </w:r>
      <w:r w:rsidR="00211BFC">
        <w:t xml:space="preserve">non-structural </w:t>
      </w:r>
      <w:r w:rsidR="00211BFC" w:rsidRPr="00A47AC7">
        <w:t xml:space="preserve">best management practices, including </w:t>
      </w:r>
      <w:r w:rsidR="00211BFC">
        <w:t xml:space="preserve">those for any </w:t>
      </w:r>
      <w:r w:rsidR="00211BFC" w:rsidRPr="00A47AC7">
        <w:t xml:space="preserve">construction </w:t>
      </w:r>
      <w:r w:rsidR="00211BFC">
        <w:t xml:space="preserve">site </w:t>
      </w:r>
      <w:r w:rsidR="00211BFC" w:rsidRPr="00A47AC7">
        <w:t>activities, and a corresponding implementation schedule.</w:t>
      </w:r>
    </w:p>
    <w:p w14:paraId="0CA8CFED" w14:textId="4D75D028" w:rsidR="00211BFC" w:rsidRDefault="008C59C9" w:rsidP="00191FC6">
      <w:pPr>
        <w:pStyle w:val="ListParagraph"/>
        <w:numPr>
          <w:ilvl w:val="1"/>
          <w:numId w:val="38"/>
        </w:numPr>
        <w:ind w:left="1440"/>
      </w:pPr>
      <w:r>
        <w:t xml:space="preserve">A </w:t>
      </w:r>
      <w:r w:rsidR="00211BFC">
        <w:t>t</w:t>
      </w:r>
      <w:r w:rsidR="00211BFC" w:rsidRPr="00A47AC7">
        <w:t xml:space="preserve">echnical description of best management practices to control stormwater runoff </w:t>
      </w:r>
      <w:r w:rsidR="7C0F4B0E">
        <w:t xml:space="preserve">(at the end-of-pipe) </w:t>
      </w:r>
      <w:r w:rsidR="00211BFC" w:rsidRPr="00A47AC7">
        <w:t>during a design storm</w:t>
      </w:r>
      <w:r w:rsidR="00CA2721">
        <w:t xml:space="preserve"> </w:t>
      </w:r>
      <w:r w:rsidR="7B9F09AC">
        <w:t>designed to achieve</w:t>
      </w:r>
      <w:r w:rsidR="00211BFC" w:rsidRPr="00A47AC7">
        <w:t xml:space="preserve"> on average of the following target levels</w:t>
      </w:r>
      <w:r w:rsidR="00211BFC" w:rsidRPr="00D269A9">
        <w:t>:</w:t>
      </w:r>
    </w:p>
    <w:p w14:paraId="71490ED6" w14:textId="6F1F5ADB" w:rsidR="00211BFC" w:rsidRDefault="00211BFC" w:rsidP="004007B2">
      <w:pPr>
        <w:pStyle w:val="ListParagraph"/>
        <w:numPr>
          <w:ilvl w:val="2"/>
          <w:numId w:val="38"/>
        </w:numPr>
        <w:tabs>
          <w:tab w:val="clear" w:pos="360"/>
        </w:tabs>
        <w:ind w:left="1800"/>
      </w:pPr>
      <w:r w:rsidRPr="00A47AC7">
        <w:t xml:space="preserve">Instantaneous Maximum Water Quality Objectives in Chapter II, </w:t>
      </w:r>
      <w:hyperlink w:anchor="Tables" w:history="1">
        <w:r w:rsidRPr="00D17855">
          <w:rPr>
            <w:rStyle w:val="Hyperlink"/>
          </w:rPr>
          <w:t>Table</w:t>
        </w:r>
        <w:r w:rsidR="00DB72AC">
          <w:rPr>
            <w:rStyle w:val="Hyperlink"/>
          </w:rPr>
          <w:t> </w:t>
        </w:r>
        <w:r w:rsidRPr="00D17855">
          <w:rPr>
            <w:rStyle w:val="Hyperlink"/>
          </w:rPr>
          <w:t>3</w:t>
        </w:r>
      </w:hyperlink>
      <w:r w:rsidRPr="00A47AC7">
        <w:t>, of the Ocean Plan; or</w:t>
      </w:r>
    </w:p>
    <w:p w14:paraId="517CE45D" w14:textId="7283DFB3" w:rsidR="00211BFC" w:rsidRDefault="00211BFC" w:rsidP="004007B2">
      <w:pPr>
        <w:pStyle w:val="ListParagraph"/>
        <w:numPr>
          <w:ilvl w:val="2"/>
          <w:numId w:val="38"/>
        </w:numPr>
        <w:tabs>
          <w:tab w:val="clear" w:pos="360"/>
        </w:tabs>
        <w:ind w:left="1800"/>
      </w:pPr>
      <w:r w:rsidRPr="00A47AC7">
        <w:t xml:space="preserve">A 90 percent reduction in pollutant loading during storm events, for the </w:t>
      </w:r>
      <w:r>
        <w:t>Permittee’s</w:t>
      </w:r>
      <w:r w:rsidRPr="00A47AC7">
        <w:t xml:space="preserve"> total discharges.</w:t>
      </w:r>
    </w:p>
    <w:p w14:paraId="4B2A1773" w14:textId="29B13A93" w:rsidR="00DA46E7" w:rsidRDefault="009E0526" w:rsidP="004007B2">
      <w:pPr>
        <w:pStyle w:val="ListParagraph"/>
        <w:numPr>
          <w:ilvl w:val="0"/>
          <w:numId w:val="38"/>
        </w:numPr>
        <w:tabs>
          <w:tab w:val="clear" w:pos="360"/>
        </w:tabs>
        <w:ind w:left="1080" w:hanging="360"/>
      </w:pPr>
      <w:r>
        <w:t>Implementation Schedule</w:t>
      </w:r>
    </w:p>
    <w:p w14:paraId="7F579581" w14:textId="50A11AC4" w:rsidR="00EC4748" w:rsidRDefault="003567B3" w:rsidP="00DB094A">
      <w:pPr>
        <w:ind w:left="1080"/>
      </w:pPr>
      <w:r>
        <w:t xml:space="preserve">The Implementation Schedule shall include: </w:t>
      </w:r>
    </w:p>
    <w:p w14:paraId="6CB9A346" w14:textId="4144EA7A" w:rsidR="00211BFC" w:rsidRDefault="003567B3" w:rsidP="00191FC6">
      <w:pPr>
        <w:pStyle w:val="ListParagraph"/>
        <w:numPr>
          <w:ilvl w:val="1"/>
          <w:numId w:val="38"/>
        </w:numPr>
        <w:ind w:left="1440"/>
      </w:pPr>
      <w:r>
        <w:t>A</w:t>
      </w:r>
      <w:r w:rsidR="00211BFC">
        <w:t xml:space="preserve">n updated implementation schedule for the type and installation date of structural best management practices and practices/measures. The </w:t>
      </w:r>
      <w:r w:rsidR="00FB1074">
        <w:t>best management practices</w:t>
      </w:r>
      <w:r w:rsidR="00211BFC">
        <w:t xml:space="preserve"> shall be designed to either achieve and maintain natural ocean water quality or to ensure that the permittee’s discharge is not causing or contributing to alterations of natural ocean water quality by either reducing flows from impervious surfaces, reducing pollutant loading, or a combination thereof. The implementation schedule shall be designed to bring the Permittee’s discharges into compliance with the requirements of </w:t>
      </w:r>
      <w:r w:rsidR="00574DAF">
        <w:t xml:space="preserve">the </w:t>
      </w:r>
      <w:r w:rsidR="00211BFC">
        <w:t>General Exception as soon as is practicable. The Permittee shall include documentation verifying that selected structural best management practices are designed such that the effluent will meet the natural ocean water qualities in the receiving water.</w:t>
      </w:r>
    </w:p>
    <w:p w14:paraId="6B102D4A" w14:textId="6305DA1D" w:rsidR="00211BFC" w:rsidRDefault="003567B3" w:rsidP="00191FC6">
      <w:pPr>
        <w:pStyle w:val="ListParagraph"/>
        <w:numPr>
          <w:ilvl w:val="1"/>
          <w:numId w:val="47"/>
        </w:numPr>
        <w:ind w:left="1440"/>
      </w:pPr>
      <w:r>
        <w:t>D</w:t>
      </w:r>
      <w:r w:rsidR="00211BFC" w:rsidRPr="00A47AC7">
        <w:t xml:space="preserve">escription of and an implementation schedule for any low impact development measures currently employed </w:t>
      </w:r>
      <w:r w:rsidR="00211BFC">
        <w:t>or</w:t>
      </w:r>
      <w:r w:rsidR="00211BFC" w:rsidRPr="00A47AC7">
        <w:t xml:space="preserve"> planned. To control stormwater runoff discharges (at the end-of-pipe) during a design storm, the </w:t>
      </w:r>
      <w:r w:rsidR="00211BFC">
        <w:t>Permittee</w:t>
      </w:r>
      <w:r w:rsidR="00211BFC" w:rsidRPr="00A47AC7">
        <w:t xml:space="preserve"> must first consider, and use where feasible, low impact </w:t>
      </w:r>
      <w:r w:rsidR="00211BFC" w:rsidRPr="00A47AC7">
        <w:lastRenderedPageBreak/>
        <w:t xml:space="preserve">development practices to infiltrate, use, or </w:t>
      </w:r>
      <w:proofErr w:type="spellStart"/>
      <w:r w:rsidR="00211BFC" w:rsidRPr="00A47AC7">
        <w:t>evapotranspire</w:t>
      </w:r>
      <w:proofErr w:type="spellEnd"/>
      <w:r w:rsidR="00211BFC" w:rsidRPr="00A47AC7">
        <w:t xml:space="preserve"> stormwater runoff on-site.</w:t>
      </w:r>
    </w:p>
    <w:p w14:paraId="25AE2040" w14:textId="2B83222F" w:rsidR="009E0526" w:rsidRDefault="007C5023" w:rsidP="00D3621A">
      <w:pPr>
        <w:pStyle w:val="ListParagraph"/>
        <w:numPr>
          <w:ilvl w:val="0"/>
          <w:numId w:val="47"/>
        </w:numPr>
        <w:tabs>
          <w:tab w:val="clear" w:pos="360"/>
        </w:tabs>
        <w:ind w:left="1080" w:hanging="360"/>
      </w:pPr>
      <w:r>
        <w:t>Include</w:t>
      </w:r>
      <w:r w:rsidR="009E0526">
        <w:t xml:space="preserve"> an </w:t>
      </w:r>
      <w:r w:rsidR="007143F8">
        <w:t>U</w:t>
      </w:r>
      <w:r w:rsidR="009E0526">
        <w:t xml:space="preserve">pdated </w:t>
      </w:r>
      <w:r w:rsidR="007143F8">
        <w:t>D</w:t>
      </w:r>
      <w:r w:rsidR="009E0526">
        <w:t xml:space="preserve">escription of the </w:t>
      </w:r>
      <w:r w:rsidR="007143F8">
        <w:t>F</w:t>
      </w:r>
      <w:r w:rsidR="009E0526">
        <w:t>ollowing</w:t>
      </w:r>
      <w:r>
        <w:t xml:space="preserve"> Requirements</w:t>
      </w:r>
      <w:r w:rsidR="00D73290">
        <w:t>:</w:t>
      </w:r>
    </w:p>
    <w:p w14:paraId="7DF2A7AB" w14:textId="40D47426" w:rsidR="00D73290" w:rsidRDefault="00AC190B" w:rsidP="00D3621A">
      <w:pPr>
        <w:pStyle w:val="ListParagraph"/>
        <w:numPr>
          <w:ilvl w:val="1"/>
          <w:numId w:val="48"/>
        </w:numPr>
        <w:tabs>
          <w:tab w:val="clear" w:pos="360"/>
        </w:tabs>
        <w:spacing w:before="120" w:after="120"/>
        <w:ind w:left="1440"/>
      </w:pPr>
      <w:r>
        <w:t>Statement indicating whether the Permittee completed the core discharge monitoring, ocean receiving monitoring, and resampling that was required under the previous permit. If the Permittee concluded that all required resampling was completed, the Permittee shall provide details to support that conclusion.</w:t>
      </w:r>
    </w:p>
    <w:p w14:paraId="19C51CCF" w14:textId="4DE1FA8E" w:rsidR="00AC190B" w:rsidRDefault="00F81CEE" w:rsidP="00D3621A">
      <w:pPr>
        <w:pStyle w:val="ListParagraph"/>
        <w:numPr>
          <w:ilvl w:val="1"/>
          <w:numId w:val="48"/>
        </w:numPr>
        <w:tabs>
          <w:tab w:val="clear" w:pos="360"/>
        </w:tabs>
        <w:spacing w:before="120" w:after="120"/>
        <w:ind w:left="1440"/>
      </w:pPr>
      <w:r>
        <w:t>Table</w:t>
      </w:r>
      <w:r w:rsidRPr="00A47AC7">
        <w:t xml:space="preserve"> </w:t>
      </w:r>
      <w:r>
        <w:t xml:space="preserve">with post-storm receiving water samples that exceed the 85th percentile of reference sample concentrations for which best management practices were not installed under the previous permit. The table shall include the </w:t>
      </w:r>
      <w:r w:rsidRPr="00A47AC7">
        <w:t>constituent</w:t>
      </w:r>
      <w:r>
        <w:t>-location pair, ASBS location name, and the ocean receiving water site identification number</w:t>
      </w:r>
      <w:r w:rsidRPr="00A47AC7">
        <w:t>.</w:t>
      </w:r>
    </w:p>
    <w:p w14:paraId="0AEAB4A2" w14:textId="0607DEB8" w:rsidR="00F81CEE" w:rsidRDefault="00AE7567" w:rsidP="00191FC6">
      <w:pPr>
        <w:pStyle w:val="ListParagraph"/>
        <w:numPr>
          <w:ilvl w:val="1"/>
          <w:numId w:val="48"/>
        </w:numPr>
        <w:tabs>
          <w:tab w:val="left" w:pos="900"/>
        </w:tabs>
        <w:ind w:left="1440"/>
      </w:pPr>
      <w:r>
        <w:t xml:space="preserve">Description of </w:t>
      </w:r>
      <w:r w:rsidR="00A33A5F">
        <w:t>m</w:t>
      </w:r>
      <w:r w:rsidR="0097303B" w:rsidRPr="00A47AC7">
        <w:t xml:space="preserve">easures by which </w:t>
      </w:r>
      <w:r w:rsidR="0D7D853E">
        <w:t xml:space="preserve">any </w:t>
      </w:r>
      <w:r w:rsidR="00584185">
        <w:t>n</w:t>
      </w:r>
      <w:r w:rsidR="00584185" w:rsidRPr="000768D4">
        <w:t>on</w:t>
      </w:r>
      <w:r w:rsidR="0097303B" w:rsidRPr="000768D4">
        <w:t xml:space="preserve">-authorized non-storm water </w:t>
      </w:r>
      <w:r w:rsidR="3AA5834E">
        <w:t xml:space="preserve">discharges </w:t>
      </w:r>
      <w:r w:rsidR="0097303B" w:rsidRPr="000768D4">
        <w:t>(e.g. dry weather flows)</w:t>
      </w:r>
      <w:r w:rsidR="0097303B" w:rsidRPr="00A47AC7">
        <w:t xml:space="preserve"> </w:t>
      </w:r>
      <w:r w:rsidR="5DC99612">
        <w:t xml:space="preserve">have been </w:t>
      </w:r>
      <w:r w:rsidR="4F53CAE8">
        <w:t xml:space="preserve">or </w:t>
      </w:r>
      <w:r w:rsidR="0097303B" w:rsidRPr="00A47AC7">
        <w:t xml:space="preserve">will be eliminated, </w:t>
      </w:r>
      <w:r w:rsidR="0097303B" w:rsidRPr="00BD72EC">
        <w:t xml:space="preserve">how </w:t>
      </w:r>
      <w:r w:rsidR="008D39AB">
        <w:t xml:space="preserve">these </w:t>
      </w:r>
      <w:r w:rsidR="0097303B" w:rsidRPr="00BD72EC">
        <w:t xml:space="preserve">measures will be </w:t>
      </w:r>
      <w:r w:rsidR="0097303B" w:rsidRPr="00A47AC7">
        <w:t>maintained</w:t>
      </w:r>
      <w:r w:rsidR="008D39AB">
        <w:t xml:space="preserve"> over </w:t>
      </w:r>
      <w:r w:rsidR="001C6508">
        <w:t>time</w:t>
      </w:r>
      <w:r w:rsidR="001C6508" w:rsidRPr="00A47AC7">
        <w:t xml:space="preserve">, </w:t>
      </w:r>
      <w:r w:rsidR="001C6508">
        <w:t>monitored</w:t>
      </w:r>
      <w:r w:rsidR="0097303B" w:rsidRPr="00A47AC7">
        <w:t>, and documented.</w:t>
      </w:r>
    </w:p>
    <w:p w14:paraId="64C434A4" w14:textId="43BE67A3" w:rsidR="008452E8" w:rsidRDefault="00107F3F" w:rsidP="00191FC6">
      <w:pPr>
        <w:pStyle w:val="ListParagraph"/>
        <w:numPr>
          <w:ilvl w:val="1"/>
          <w:numId w:val="48"/>
        </w:numPr>
        <w:tabs>
          <w:tab w:val="left" w:pos="900"/>
        </w:tabs>
        <w:ind w:left="1440"/>
      </w:pPr>
      <w:r>
        <w:t>Description of s</w:t>
      </w:r>
      <w:r w:rsidR="005A6DEC">
        <w:t>tormwater outfall drains equal to or greater than 18 inches in diameter or width inspected once prior to the beginning of the rainy season and once during the rainy season</w:t>
      </w:r>
      <w:r w:rsidR="00B04F52">
        <w:t>.</w:t>
      </w:r>
    </w:p>
    <w:p w14:paraId="37887587" w14:textId="775D639D" w:rsidR="00B04F52" w:rsidRDefault="00AE7567" w:rsidP="00191FC6">
      <w:pPr>
        <w:pStyle w:val="ListParagraph"/>
        <w:numPr>
          <w:ilvl w:val="1"/>
          <w:numId w:val="48"/>
        </w:numPr>
        <w:tabs>
          <w:tab w:val="left" w:pos="900"/>
        </w:tabs>
        <w:ind w:left="1440"/>
      </w:pPr>
      <w:r>
        <w:t xml:space="preserve">Description of </w:t>
      </w:r>
      <w:r w:rsidR="00373AA2">
        <w:t xml:space="preserve">how </w:t>
      </w:r>
      <w:r w:rsidR="003E4977">
        <w:t>pollutant reductions in stormwater runoff will be achieved through best management practices to comply with the</w:t>
      </w:r>
      <w:r w:rsidR="00245556">
        <w:t xml:space="preserve"> special conditions in the General Exception.</w:t>
      </w:r>
    </w:p>
    <w:p w14:paraId="5C3F0B82" w14:textId="53108FD9" w:rsidR="00201F6D" w:rsidRDefault="00201F6D" w:rsidP="00D3621A">
      <w:pPr>
        <w:pStyle w:val="ListParagraph"/>
        <w:numPr>
          <w:ilvl w:val="1"/>
          <w:numId w:val="48"/>
        </w:numPr>
        <w:tabs>
          <w:tab w:val="left" w:pos="900"/>
        </w:tabs>
        <w:spacing w:before="120" w:after="120"/>
        <w:ind w:left="1440"/>
      </w:pPr>
      <w:r>
        <w:t xml:space="preserve">Description of </w:t>
      </w:r>
      <w:r w:rsidR="00652FEA">
        <w:t>how to address erosion control and prevent anthropogenic sedimentation</w:t>
      </w:r>
      <w:r w:rsidR="00CB3814">
        <w:t>. The natural habitat conditions in the ASBS shall not be altered because of anthropogenic sedimentation.</w:t>
      </w:r>
      <w:r w:rsidR="007703B1">
        <w:t xml:space="preserve"> </w:t>
      </w:r>
    </w:p>
    <w:p w14:paraId="53AAAEA8" w14:textId="37F58598" w:rsidR="009E5EA7" w:rsidRPr="00D269A9" w:rsidRDefault="006A0DE8" w:rsidP="00D3621A">
      <w:pPr>
        <w:pStyle w:val="ListParagraph"/>
        <w:numPr>
          <w:ilvl w:val="1"/>
          <w:numId w:val="48"/>
        </w:numPr>
        <w:tabs>
          <w:tab w:val="left" w:pos="900"/>
        </w:tabs>
        <w:spacing w:before="120" w:after="120"/>
        <w:ind w:left="1440"/>
      </w:pPr>
      <w:r>
        <w:t xml:space="preserve">Description of </w:t>
      </w:r>
      <w:r w:rsidR="00DA2F02">
        <w:t xml:space="preserve">the Permittee’s </w:t>
      </w:r>
      <w:r>
        <w:t xml:space="preserve">strategy </w:t>
      </w:r>
      <w:r w:rsidR="000133A8">
        <w:t xml:space="preserve">to ensure </w:t>
      </w:r>
      <w:r w:rsidR="001C6508">
        <w:t>the discharges</w:t>
      </w:r>
      <w:r w:rsidR="000133A8">
        <w:t xml:space="preserve"> to the areas listed in the table required under section F4, item </w:t>
      </w:r>
      <w:r w:rsidR="00F0078A">
        <w:t xml:space="preserve">5.b., above, </w:t>
      </w:r>
      <w:r w:rsidR="00D8208D">
        <w:t>comply with the special conditions in the General Exception, including the requirement to maintain natural ocean water quality in the affected ASBS.</w:t>
      </w:r>
      <w:bookmarkStart w:id="33" w:name="_Hlk172818923"/>
    </w:p>
    <w:p w14:paraId="4183E6A1" w14:textId="7A3CBA77" w:rsidR="00946AA7" w:rsidRDefault="001D10C5" w:rsidP="00C12FC8">
      <w:pPr>
        <w:pStyle w:val="Heading2"/>
      </w:pPr>
      <w:bookmarkStart w:id="34" w:name="_Hlk172818878"/>
      <w:bookmarkEnd w:id="33"/>
      <w:r>
        <w:t>F</w:t>
      </w:r>
      <w:r w:rsidR="00556EC2">
        <w:t>5</w:t>
      </w:r>
      <w:r w:rsidR="00D269A9" w:rsidRPr="00212C55">
        <w:t>.</w:t>
      </w:r>
      <w:r w:rsidR="00946AA7" w:rsidRPr="00212C55">
        <w:tab/>
      </w:r>
      <w:bookmarkStart w:id="35" w:name="_Hlk146013438"/>
      <w:r w:rsidR="00212C55">
        <w:t>ADDITIONAL REQUIREMENTS FOR WATERFRONT AND MARINE OPERATIONS PERMITTEES</w:t>
      </w:r>
      <w:bookmarkEnd w:id="35"/>
    </w:p>
    <w:p w14:paraId="7A562EE6" w14:textId="46B3DDFA" w:rsidR="00657C3C" w:rsidRPr="00657C3C" w:rsidRDefault="00657C3C" w:rsidP="000D636D">
      <w:bookmarkStart w:id="36" w:name="_Hlk172818926"/>
      <w:bookmarkEnd w:id="34"/>
      <w:r>
        <w:t>The</w:t>
      </w:r>
      <w:r w:rsidR="00934553">
        <w:t xml:space="preserve"> following</w:t>
      </w:r>
      <w:r>
        <w:t xml:space="preserve"> requirements are </w:t>
      </w:r>
      <w:r w:rsidR="00DA3663">
        <w:t xml:space="preserve">adapted </w:t>
      </w:r>
      <w:r>
        <w:t xml:space="preserve">from the General Exception, </w:t>
      </w:r>
      <w:r w:rsidRPr="006F362E">
        <w:t>section III</w:t>
      </w:r>
      <w:r>
        <w:t>.</w:t>
      </w:r>
    </w:p>
    <w:p w14:paraId="04A8E9E6" w14:textId="703080EB" w:rsidR="00D41C0E" w:rsidRPr="00BA0AEF" w:rsidRDefault="00227791" w:rsidP="000D636D">
      <w:pPr>
        <w:ind w:left="1080" w:hanging="360"/>
      </w:pPr>
      <w:bookmarkStart w:id="37" w:name="_Hlk172818927"/>
      <w:bookmarkEnd w:id="36"/>
      <w:r w:rsidRPr="00BA0AEF">
        <w:rPr>
          <w:bCs/>
        </w:rPr>
        <w:t>1.</w:t>
      </w:r>
      <w:r w:rsidRPr="00BA0AEF">
        <w:rPr>
          <w:bCs/>
        </w:rPr>
        <w:tab/>
      </w:r>
      <w:r w:rsidR="00956188">
        <w:t>Any</w:t>
      </w:r>
      <w:r w:rsidR="00D41C0E" w:rsidRPr="00BA0AEF">
        <w:t xml:space="preserve"> </w:t>
      </w:r>
      <w:r w:rsidR="00AF4844">
        <w:t>Permittee</w:t>
      </w:r>
      <w:r w:rsidR="00956188">
        <w:t xml:space="preserve"> engaged in waterfront and marine operations</w:t>
      </w:r>
      <w:r w:rsidR="00D41C0E" w:rsidRPr="00BA0AEF">
        <w:t xml:space="preserve"> shall update its Waterfront and Marine Operations Management Plan (updated Waterfront Plan)</w:t>
      </w:r>
      <w:r w:rsidR="00032CA6">
        <w:t xml:space="preserve"> </w:t>
      </w:r>
      <w:r w:rsidR="005E0A5B">
        <w:t>to include the updates identified below</w:t>
      </w:r>
      <w:r w:rsidR="00144171">
        <w:t xml:space="preserve"> in paragraph</w:t>
      </w:r>
      <w:r w:rsidR="00F13385">
        <w:t>s</w:t>
      </w:r>
      <w:r w:rsidR="00144171">
        <w:t xml:space="preserve"> </w:t>
      </w:r>
      <w:r w:rsidR="00295C32">
        <w:t>F</w:t>
      </w:r>
      <w:r w:rsidR="003B680A">
        <w:t>5</w:t>
      </w:r>
      <w:r w:rsidR="00295C32">
        <w:t>.</w:t>
      </w:r>
      <w:r w:rsidR="00144171">
        <w:t>1.a.</w:t>
      </w:r>
      <w:r w:rsidR="00F13385">
        <w:t xml:space="preserve"> </w:t>
      </w:r>
      <w:r w:rsidR="00353B0E">
        <w:t>through</w:t>
      </w:r>
      <w:r w:rsidR="00F13385">
        <w:t xml:space="preserve"> </w:t>
      </w:r>
      <w:r w:rsidR="00151C6B">
        <w:t>F</w:t>
      </w:r>
      <w:r w:rsidR="003B680A">
        <w:t>5</w:t>
      </w:r>
      <w:r w:rsidR="00151C6B">
        <w:t>.</w:t>
      </w:r>
      <w:r w:rsidR="00144171">
        <w:t>1.d</w:t>
      </w:r>
      <w:r w:rsidR="00980534" w:rsidRPr="00BA0AEF">
        <w:t>.</w:t>
      </w:r>
      <w:r w:rsidR="00D41C0E" w:rsidRPr="00BA0AEF">
        <w:t xml:space="preserve"> </w:t>
      </w:r>
      <w:bookmarkStart w:id="38" w:name="_Hlk146014616"/>
      <w:r w:rsidR="00D41C0E" w:rsidRPr="00BA0AEF">
        <w:t xml:space="preserve">Updates shall reflect any procedural changes </w:t>
      </w:r>
      <w:r w:rsidR="00945E67" w:rsidRPr="00BA0AEF">
        <w:t xml:space="preserve">since submittal of the </w:t>
      </w:r>
      <w:r w:rsidR="00945E67" w:rsidRPr="00BA0AEF">
        <w:lastRenderedPageBreak/>
        <w:t xml:space="preserve">existing Waterfront Plan under the previous permit. Updates may </w:t>
      </w:r>
      <w:r w:rsidR="008608EA">
        <w:t xml:space="preserve">be added in </w:t>
      </w:r>
      <w:r w:rsidR="00945E67" w:rsidRPr="00BA0AEF">
        <w:t xml:space="preserve">redline/strikethrough format or as an addendum to the existing Waterfront Plan. If submitting an addendum, the </w:t>
      </w:r>
      <w:r w:rsidR="00AF4844">
        <w:t>Permittee</w:t>
      </w:r>
      <w:r w:rsidR="00945E67" w:rsidRPr="00BA0AEF">
        <w:t xml:space="preserve"> shall include the existing Waterfront Plan. </w:t>
      </w:r>
      <w:bookmarkEnd w:id="38"/>
    </w:p>
    <w:p w14:paraId="3FAB98E0" w14:textId="48009182" w:rsidR="001B3FED" w:rsidRPr="00640EAB" w:rsidRDefault="00227791" w:rsidP="009F74F8">
      <w:pPr>
        <w:ind w:left="1440" w:hanging="450"/>
      </w:pPr>
      <w:bookmarkStart w:id="39" w:name="_Hlk172818928"/>
      <w:bookmarkEnd w:id="37"/>
      <w:r w:rsidRPr="00640EAB">
        <w:rPr>
          <w:bCs/>
        </w:rPr>
        <w:t>a.</w:t>
      </w:r>
      <w:r w:rsidRPr="00640EAB">
        <w:rPr>
          <w:bCs/>
        </w:rPr>
        <w:tab/>
      </w:r>
      <w:r w:rsidR="001B3FED">
        <w:t>Update</w:t>
      </w:r>
      <w:r w:rsidR="00D41C0E">
        <w:t xml:space="preserve"> the</w:t>
      </w:r>
      <w:r w:rsidR="001B3FED">
        <w:t xml:space="preserve"> </w:t>
      </w:r>
      <w:bookmarkStart w:id="40" w:name="_Hlk146029193"/>
      <w:r w:rsidR="009F375B">
        <w:t>M</w:t>
      </w:r>
      <w:r w:rsidR="009F375B" w:rsidRPr="00640EAB">
        <w:t xml:space="preserve">anagement </w:t>
      </w:r>
      <w:r w:rsidR="008C4F2E">
        <w:t>P</w:t>
      </w:r>
      <w:r w:rsidR="008C4F2E" w:rsidRPr="00640EAB">
        <w:t>ractices</w:t>
      </w:r>
      <w:r w:rsidR="001B3FED" w:rsidRPr="00640EAB">
        <w:t xml:space="preserve"> </w:t>
      </w:r>
      <w:bookmarkEnd w:id="40"/>
      <w:r w:rsidR="001B3FED" w:rsidRPr="00640EAB">
        <w:t xml:space="preserve">for any waste discharges associated with the operation and maintenance of vessels, moorings, piers, launch ramps, and cleaning stations </w:t>
      </w:r>
      <w:proofErr w:type="gramStart"/>
      <w:r w:rsidR="001B3FED" w:rsidRPr="00640EAB">
        <w:t>in order to</w:t>
      </w:r>
      <w:proofErr w:type="gramEnd"/>
      <w:r w:rsidR="001B3FED" w:rsidRPr="00640EAB">
        <w:t xml:space="preserve"> ensure that beneficial uses are </w:t>
      </w:r>
      <w:r w:rsidR="00353B0E" w:rsidRPr="00640EAB">
        <w:t>protected,</w:t>
      </w:r>
      <w:r w:rsidR="001B3FED" w:rsidRPr="00640EAB">
        <w:t xml:space="preserve"> and natural water quality is maintained in the affected ASBS.</w:t>
      </w:r>
    </w:p>
    <w:p w14:paraId="35149607" w14:textId="233EE7A4" w:rsidR="001B3FED" w:rsidRPr="00640EAB" w:rsidRDefault="00227791" w:rsidP="009F74F8">
      <w:pPr>
        <w:ind w:left="1440" w:hanging="450"/>
      </w:pPr>
      <w:bookmarkStart w:id="41" w:name="_Hlk172818929"/>
      <w:bookmarkEnd w:id="39"/>
      <w:r w:rsidRPr="00640EAB">
        <w:rPr>
          <w:bCs/>
        </w:rPr>
        <w:t>b.</w:t>
      </w:r>
      <w:r w:rsidRPr="00640EAB">
        <w:rPr>
          <w:bCs/>
        </w:rPr>
        <w:tab/>
      </w:r>
      <w:r w:rsidR="001B3FED">
        <w:t>Update</w:t>
      </w:r>
      <w:r w:rsidR="00D41C0E">
        <w:t xml:space="preserve"> the</w:t>
      </w:r>
      <w:r w:rsidR="001B3FED">
        <w:t xml:space="preserve"> a</w:t>
      </w:r>
      <w:r w:rsidR="001B3FED" w:rsidRPr="00640EAB">
        <w:t xml:space="preserve">ppropriate Management </w:t>
      </w:r>
      <w:r w:rsidR="00D21441">
        <w:t>Practices</w:t>
      </w:r>
      <w:r w:rsidR="001B3FED" w:rsidRPr="00640EAB">
        <w:t xml:space="preserve">, described in </w:t>
      </w:r>
      <w:hyperlink r:id="rId11" w:history="1">
        <w:r w:rsidR="001B3FED" w:rsidRPr="00316A55">
          <w:rPr>
            <w:rStyle w:val="Hyperlink"/>
          </w:rPr>
          <w:t>The Plan for California’s Nonpoint Source Pollution Control Program</w:t>
        </w:r>
      </w:hyperlink>
      <w:r w:rsidR="001B3FED" w:rsidRPr="00640EAB">
        <w:t>, (https://www.waterboards.ca.gov/water_issues/programs/nps/plans_policies.html) for marinas and recreational boating</w:t>
      </w:r>
      <w:r w:rsidR="001B3FED">
        <w:t xml:space="preserve"> activities</w:t>
      </w:r>
      <w:r w:rsidR="001B3FED" w:rsidRPr="00640EAB">
        <w:t>, or equivalent practices, to ensure that nonpoint source pollutant discharges do not alter natural water quality in the affected ASBS.</w:t>
      </w:r>
    </w:p>
    <w:p w14:paraId="71CC5D69" w14:textId="2E55D88C" w:rsidR="001B3FED" w:rsidRPr="00640EAB" w:rsidRDefault="00227791" w:rsidP="009F74F8">
      <w:pPr>
        <w:ind w:left="1440" w:hanging="450"/>
      </w:pPr>
      <w:bookmarkStart w:id="42" w:name="_Hlk172818930"/>
      <w:bookmarkEnd w:id="41"/>
      <w:r w:rsidRPr="00640EAB">
        <w:rPr>
          <w:bCs/>
        </w:rPr>
        <w:t>c.</w:t>
      </w:r>
      <w:r w:rsidRPr="00640EAB">
        <w:rPr>
          <w:bCs/>
        </w:rPr>
        <w:tab/>
      </w:r>
      <w:r w:rsidR="00781698">
        <w:t>Update</w:t>
      </w:r>
      <w:r w:rsidR="00D41C0E">
        <w:t xml:space="preserve"> the</w:t>
      </w:r>
      <w:r w:rsidR="001B3FED">
        <w:t xml:space="preserve"> </w:t>
      </w:r>
      <w:r w:rsidR="001B3FED" w:rsidRPr="00640EAB">
        <w:t>Management Practices to address public education and outreach to ensure that the public is adequately informed that waste discharges to the affected ASBS are prohibited or limited by special conditions in the General Exception, Special Protections</w:t>
      </w:r>
      <w:r w:rsidR="00657C3C">
        <w:t xml:space="preserve"> (General Exception, B)</w:t>
      </w:r>
      <w:r w:rsidR="001B3FED" w:rsidRPr="00640EAB">
        <w:t xml:space="preserve">. The </w:t>
      </w:r>
      <w:r w:rsidR="00F15816">
        <w:t>M</w:t>
      </w:r>
      <w:r w:rsidR="00F15816" w:rsidRPr="00640EAB">
        <w:t xml:space="preserve">anagement </w:t>
      </w:r>
      <w:r w:rsidR="00F15816">
        <w:t>P</w:t>
      </w:r>
      <w:r w:rsidR="00F15816" w:rsidRPr="00640EAB">
        <w:t>ractices</w:t>
      </w:r>
      <w:r w:rsidR="001B3FED" w:rsidRPr="00640EAB">
        <w:t xml:space="preserve"> shall include appropriate signage, or similar measures, to inform the public of the ASBS restrictions and to identify the ASBS boundaries.</w:t>
      </w:r>
    </w:p>
    <w:p w14:paraId="4828814D" w14:textId="13545290" w:rsidR="001B3FED" w:rsidRPr="00640EAB" w:rsidRDefault="00227791" w:rsidP="009F74F8">
      <w:pPr>
        <w:ind w:left="1440" w:hanging="450"/>
      </w:pPr>
      <w:bookmarkStart w:id="43" w:name="_Hlk172818931"/>
      <w:bookmarkEnd w:id="42"/>
      <w:r w:rsidRPr="00640EAB">
        <w:rPr>
          <w:bCs/>
        </w:rPr>
        <w:t>d.</w:t>
      </w:r>
      <w:r w:rsidRPr="00640EAB">
        <w:rPr>
          <w:bCs/>
        </w:rPr>
        <w:tab/>
      </w:r>
      <w:r w:rsidR="001B3FED">
        <w:t>Update</w:t>
      </w:r>
      <w:r w:rsidR="00D41C0E">
        <w:t xml:space="preserve"> the</w:t>
      </w:r>
      <w:r w:rsidR="001B3FED" w:rsidRPr="00640EAB">
        <w:t xml:space="preserve"> Management Practices to address the prohibition against trash discharges to ASBS. The Management Practices shall include the provision of adequate trash receptacles for marine recreation areas, including parking areas, launch ramps, and docks. The </w:t>
      </w:r>
      <w:r w:rsidR="00062863">
        <w:t>updated</w:t>
      </w:r>
      <w:r w:rsidR="001B3FED">
        <w:t xml:space="preserve"> Management Practices </w:t>
      </w:r>
      <w:r w:rsidR="001B3FED" w:rsidRPr="00640EAB">
        <w:t xml:space="preserve">shall also include appropriate Management Practices to ensure that the receptacles are adequately maintained and secured </w:t>
      </w:r>
      <w:proofErr w:type="gramStart"/>
      <w:r w:rsidR="001B3FED" w:rsidRPr="00640EAB">
        <w:t>in order to</w:t>
      </w:r>
      <w:proofErr w:type="gramEnd"/>
      <w:r w:rsidR="001B3FED" w:rsidRPr="00640EAB">
        <w:t xml:space="preserve"> prevent trash discharges into the ASBS. Appropriate Management Practices include covering the trash receptacles to prevent trash from being windblown, staking or securing the trash receptacles so they don’t tip over, and </w:t>
      </w:r>
      <w:r w:rsidR="00CC78C7">
        <w:t>routinely</w:t>
      </w:r>
      <w:r w:rsidR="00CC78C7" w:rsidRPr="00640EAB">
        <w:t xml:space="preserve"> </w:t>
      </w:r>
      <w:r w:rsidR="001B3FED" w:rsidRPr="00640EAB">
        <w:t>emptying the receptacles to prevent overflow.</w:t>
      </w:r>
    </w:p>
    <w:p w14:paraId="66F64C3C" w14:textId="454EB654" w:rsidR="00945E67" w:rsidRDefault="00227791" w:rsidP="000D636D">
      <w:pPr>
        <w:ind w:left="1080" w:hanging="360"/>
      </w:pPr>
      <w:bookmarkStart w:id="44" w:name="_Hlk172818932"/>
      <w:bookmarkEnd w:id="43"/>
      <w:r>
        <w:rPr>
          <w:bCs/>
        </w:rPr>
        <w:t>2.</w:t>
      </w:r>
      <w:r>
        <w:rPr>
          <w:bCs/>
        </w:rPr>
        <w:tab/>
      </w:r>
      <w:r w:rsidR="00945E67">
        <w:t>Conditions</w:t>
      </w:r>
      <w:r w:rsidR="00111148">
        <w:t xml:space="preserve"> for Waterfront and Marine Operations Permittees</w:t>
      </w:r>
    </w:p>
    <w:p w14:paraId="5FA77E87" w14:textId="4937B163" w:rsidR="001B3FED" w:rsidRPr="00640EAB" w:rsidRDefault="00227791" w:rsidP="000D636D">
      <w:pPr>
        <w:ind w:left="1440" w:hanging="360"/>
      </w:pPr>
      <w:bookmarkStart w:id="45" w:name="_Hlk172818933"/>
      <w:bookmarkEnd w:id="44"/>
      <w:r w:rsidRPr="00640EAB">
        <w:rPr>
          <w:bCs/>
        </w:rPr>
        <w:t>a.</w:t>
      </w:r>
      <w:r w:rsidRPr="00640EAB">
        <w:rPr>
          <w:bCs/>
        </w:rPr>
        <w:tab/>
      </w:r>
      <w:r w:rsidR="001B3FED" w:rsidRPr="00640EAB">
        <w:t xml:space="preserve">The discharge of chlorine, soaps, petroleum, other chemical contaminants, trash, fish offal, or human sewage to ASBS is prohibited. Sinks and fish cleaning stations are point source discharges of </w:t>
      </w:r>
      <w:proofErr w:type="gramStart"/>
      <w:r w:rsidR="001B3FED" w:rsidRPr="00640EAB">
        <w:t>wastes</w:t>
      </w:r>
      <w:proofErr w:type="gramEnd"/>
      <w:r w:rsidR="001B3FED" w:rsidRPr="00640EAB">
        <w:t xml:space="preserve"> and are prohibited from discharging into ASBS. Anthropogenic accumulations of discarded fouling organisms on the sea floor must be minimized. </w:t>
      </w:r>
    </w:p>
    <w:p w14:paraId="37ADDD48" w14:textId="14454755" w:rsidR="001B3FED" w:rsidRPr="00640EAB" w:rsidRDefault="00227791" w:rsidP="000D636D">
      <w:pPr>
        <w:ind w:left="1440" w:hanging="360"/>
      </w:pPr>
      <w:r w:rsidRPr="00640EAB">
        <w:rPr>
          <w:bCs/>
        </w:rPr>
        <w:t>b.</w:t>
      </w:r>
      <w:r w:rsidRPr="00640EAB">
        <w:rPr>
          <w:bCs/>
        </w:rPr>
        <w:tab/>
      </w:r>
      <w:r w:rsidR="001B3FED" w:rsidRPr="00640EAB">
        <w:t xml:space="preserve">Limited-term activities, such as the repair, renovation, or maintenance of waterfront facilities, including, but not limited to, piers, docks, moorings, </w:t>
      </w:r>
      <w:r w:rsidR="001B3FED" w:rsidRPr="00640EAB">
        <w:lastRenderedPageBreak/>
        <w:t>and breakwaters, are authorized only in accordance with Chapter III.E.2 of the</w:t>
      </w:r>
      <w:r w:rsidR="00111148">
        <w:t xml:space="preserve"> 2019</w:t>
      </w:r>
      <w:r w:rsidR="001B3FED" w:rsidRPr="00640EAB">
        <w:t xml:space="preserve"> </w:t>
      </w:r>
      <w:bookmarkStart w:id="46" w:name="_Hlk172818891"/>
      <w:bookmarkStart w:id="47" w:name="_Hlk172818934"/>
      <w:bookmarkEnd w:id="45"/>
      <w:r w:rsidR="00275A2A">
        <w:fldChar w:fldCharType="begin"/>
      </w:r>
      <w:r w:rsidR="00275A2A">
        <w:instrText>HYPERLINK "https://www.waterboards.ca.gov/water_issues/programs/ocean/docs/oceanplan2019.pdf"</w:instrText>
      </w:r>
      <w:r w:rsidR="00275A2A">
        <w:fldChar w:fldCharType="separate"/>
      </w:r>
      <w:r w:rsidR="001B3FED" w:rsidRPr="00111148">
        <w:rPr>
          <w:rStyle w:val="Hyperlink"/>
        </w:rPr>
        <w:t>Ocean Plan</w:t>
      </w:r>
      <w:r w:rsidR="00275A2A">
        <w:rPr>
          <w:rStyle w:val="Hyperlink"/>
        </w:rPr>
        <w:fldChar w:fldCharType="end"/>
      </w:r>
      <w:bookmarkEnd w:id="46"/>
      <w:r w:rsidR="001B3FED" w:rsidRPr="00640EAB">
        <w:t xml:space="preserve">. </w:t>
      </w:r>
      <w:bookmarkEnd w:id="47"/>
    </w:p>
    <w:p w14:paraId="66925243" w14:textId="6F8BAF08" w:rsidR="00AE4BA6" w:rsidRPr="000D5E1A" w:rsidRDefault="00111148" w:rsidP="000D636D">
      <w:pPr>
        <w:ind w:left="1440" w:hanging="360"/>
        <w:rPr>
          <w:bCs/>
        </w:rPr>
      </w:pPr>
      <w:bookmarkStart w:id="48" w:name="_Hlk172818935"/>
      <w:r>
        <w:t>c</w:t>
      </w:r>
      <w:r w:rsidR="001B3FED" w:rsidRPr="00640EAB">
        <w:t>.</w:t>
      </w:r>
      <w:r w:rsidR="00980534">
        <w:tab/>
      </w:r>
      <w:r w:rsidR="001B3FED" w:rsidRPr="000D5E1A">
        <w:rPr>
          <w:bCs/>
        </w:rPr>
        <w:t xml:space="preserve">The </w:t>
      </w:r>
      <w:r w:rsidR="573A3D74">
        <w:t>State</w:t>
      </w:r>
      <w:r w:rsidR="16452DFA">
        <w:t xml:space="preserve"> Water</w:t>
      </w:r>
      <w:r w:rsidR="573A3D74">
        <w:t xml:space="preserve"> Board Executive Director </w:t>
      </w:r>
      <w:r w:rsidR="001B3FED" w:rsidRPr="000D5E1A">
        <w:rPr>
          <w:bCs/>
        </w:rPr>
        <w:t>may, for good cause, authorize additional time to comply with the Waterfront Plan. Good cause means a physical impossibility or lack of funding.</w:t>
      </w:r>
    </w:p>
    <w:p w14:paraId="037B7F19" w14:textId="1615C96D" w:rsidR="00925338" w:rsidRDefault="001D10C5" w:rsidP="00C12FC8">
      <w:pPr>
        <w:pStyle w:val="Heading2"/>
      </w:pPr>
      <w:bookmarkStart w:id="49" w:name="_Hlk172818879"/>
      <w:bookmarkEnd w:id="48"/>
      <w:r>
        <w:t>F</w:t>
      </w:r>
      <w:r w:rsidR="00F4627F">
        <w:t>6</w:t>
      </w:r>
      <w:r w:rsidR="00925338">
        <w:t>.</w:t>
      </w:r>
      <w:r w:rsidR="00B8602E">
        <w:tab/>
      </w:r>
      <w:r w:rsidR="00212C55">
        <w:t>ADDITIONAL REQUIREMENTS FOR PARKS AND RECREATION FACILITIES</w:t>
      </w:r>
      <w:r w:rsidR="00E923FB">
        <w:t> </w:t>
      </w:r>
      <w:r w:rsidR="00212C55">
        <w:t>– UPDATED ASBS COMPLIANCE PLAN</w:t>
      </w:r>
    </w:p>
    <w:p w14:paraId="0B451425" w14:textId="08A43676" w:rsidR="008608EA" w:rsidRPr="00657C3C" w:rsidRDefault="008608EA" w:rsidP="00E923FB">
      <w:bookmarkStart w:id="50" w:name="_Hlk172818936"/>
      <w:bookmarkEnd w:id="49"/>
      <w:r>
        <w:t xml:space="preserve">The following requirements are </w:t>
      </w:r>
      <w:r w:rsidR="00956188">
        <w:t xml:space="preserve">adapted </w:t>
      </w:r>
      <w:r>
        <w:t xml:space="preserve">from the General Exception, </w:t>
      </w:r>
      <w:r w:rsidRPr="006F362E">
        <w:t>section III</w:t>
      </w:r>
      <w:r>
        <w:t>.</w:t>
      </w:r>
    </w:p>
    <w:p w14:paraId="16BC6761" w14:textId="5F40D45F" w:rsidR="00B8602E" w:rsidRPr="00227791" w:rsidRDefault="00227791" w:rsidP="00B51979">
      <w:pPr>
        <w:ind w:left="1080" w:hanging="360"/>
        <w:rPr>
          <w:sz w:val="22"/>
          <w:szCs w:val="22"/>
        </w:rPr>
      </w:pPr>
      <w:bookmarkStart w:id="51" w:name="_Hlk172818937"/>
      <w:bookmarkEnd w:id="50"/>
      <w:r w:rsidRPr="000D5E1A">
        <w:rPr>
          <w:bCs/>
          <w:sz w:val="22"/>
          <w:szCs w:val="22"/>
        </w:rPr>
        <w:t>1.</w:t>
      </w:r>
      <w:r>
        <w:tab/>
      </w:r>
      <w:r w:rsidR="00646257">
        <w:t>Any</w:t>
      </w:r>
      <w:r w:rsidR="00646257" w:rsidRPr="00BA0AEF">
        <w:t xml:space="preserve"> </w:t>
      </w:r>
      <w:r w:rsidR="00AF4844">
        <w:t>Permittee</w:t>
      </w:r>
      <w:r w:rsidR="00646257">
        <w:t xml:space="preserve"> engaged in</w:t>
      </w:r>
      <w:r w:rsidR="00646257" w:rsidRPr="00227791" w:rsidDel="00646257">
        <w:rPr>
          <w:rFonts w:eastAsia="Times New Roman" w:cs="Times New Roman"/>
        </w:rPr>
        <w:t xml:space="preserve"> </w:t>
      </w:r>
      <w:r w:rsidR="00B8602E" w:rsidRPr="00227791">
        <w:rPr>
          <w:rFonts w:eastAsia="Times New Roman" w:cs="Times New Roman"/>
        </w:rPr>
        <w:t>parks and recreation facilities shall provide an update, as applicable, to the requirements listed below</w:t>
      </w:r>
      <w:r w:rsidR="00660932" w:rsidRPr="00227791">
        <w:rPr>
          <w:rFonts w:eastAsia="Times New Roman" w:cs="Times New Roman"/>
        </w:rPr>
        <w:t xml:space="preserve"> </w:t>
      </w:r>
      <w:proofErr w:type="gramStart"/>
      <w:r w:rsidR="00660932" w:rsidRPr="00227791">
        <w:rPr>
          <w:rFonts w:eastAsia="Times New Roman" w:cs="Times New Roman"/>
        </w:rPr>
        <w:t>in</w:t>
      </w:r>
      <w:proofErr w:type="gramEnd"/>
      <w:r w:rsidR="00660932" w:rsidRPr="00227791">
        <w:rPr>
          <w:rFonts w:eastAsia="Times New Roman" w:cs="Times New Roman"/>
        </w:rPr>
        <w:t xml:space="preserve"> </w:t>
      </w:r>
      <w:r w:rsidR="00221B1E" w:rsidRPr="00227791">
        <w:rPr>
          <w:rFonts w:eastAsia="Times New Roman" w:cs="Times New Roman"/>
        </w:rPr>
        <w:t>F</w:t>
      </w:r>
      <w:r w:rsidR="008E1D39">
        <w:rPr>
          <w:rFonts w:eastAsia="Times New Roman" w:cs="Times New Roman"/>
        </w:rPr>
        <w:t>6</w:t>
      </w:r>
      <w:r w:rsidR="00221B1E" w:rsidRPr="00227791">
        <w:rPr>
          <w:rFonts w:eastAsia="Times New Roman" w:cs="Times New Roman"/>
        </w:rPr>
        <w:t>.</w:t>
      </w:r>
      <w:r w:rsidR="00660932" w:rsidRPr="00227791">
        <w:rPr>
          <w:rFonts w:eastAsia="Times New Roman" w:cs="Times New Roman"/>
        </w:rPr>
        <w:t xml:space="preserve">1.a through </w:t>
      </w:r>
      <w:r w:rsidR="00221B1E" w:rsidRPr="00227791">
        <w:rPr>
          <w:rFonts w:eastAsia="Times New Roman" w:cs="Times New Roman"/>
        </w:rPr>
        <w:t>F</w:t>
      </w:r>
      <w:r w:rsidR="008E1D39">
        <w:rPr>
          <w:rFonts w:eastAsia="Times New Roman" w:cs="Times New Roman"/>
        </w:rPr>
        <w:t>6</w:t>
      </w:r>
      <w:r w:rsidR="00221B1E" w:rsidRPr="00227791">
        <w:rPr>
          <w:rFonts w:eastAsia="Times New Roman" w:cs="Times New Roman"/>
        </w:rPr>
        <w:t>.</w:t>
      </w:r>
      <w:r w:rsidR="00660932" w:rsidRPr="00227791">
        <w:rPr>
          <w:rFonts w:eastAsia="Times New Roman" w:cs="Times New Roman"/>
        </w:rPr>
        <w:t>1.f</w:t>
      </w:r>
      <w:r w:rsidR="00B8602E" w:rsidRPr="00227791">
        <w:rPr>
          <w:rFonts w:eastAsia="Times New Roman" w:cs="Times New Roman"/>
        </w:rPr>
        <w:t xml:space="preserve">. The </w:t>
      </w:r>
      <w:r w:rsidR="00AF4844" w:rsidRPr="00227791">
        <w:rPr>
          <w:rFonts w:eastAsia="Times New Roman" w:cs="Times New Roman"/>
        </w:rPr>
        <w:t>Permittee</w:t>
      </w:r>
      <w:r w:rsidR="00B8602E" w:rsidRPr="00227791">
        <w:rPr>
          <w:rFonts w:eastAsia="Times New Roman" w:cs="Times New Roman"/>
        </w:rPr>
        <w:t xml:space="preserve"> shall include a section in the updated ASBS Compliance Plan to address any changes to stormwater runoff from parks and recreation facilities. </w:t>
      </w:r>
      <w:r w:rsidR="00B8602E" w:rsidRPr="00E05612">
        <w:t xml:space="preserve">Updates shall reflect any procedural changes to the existing ASBS Plan, which was submitted under the previous permit. Updates may be in redline/strikethrough format or as an addendum to the existing ASBS Compliance Plan. If submitting an addendum, the </w:t>
      </w:r>
      <w:r w:rsidR="00AF4844">
        <w:t>Permittee</w:t>
      </w:r>
      <w:r w:rsidR="00B8602E" w:rsidRPr="00E05612">
        <w:t xml:space="preserve"> shall include the existing ASBS Compliance Plan. If no updates are made to the existing ASBS Compliance Plan, the </w:t>
      </w:r>
      <w:r w:rsidR="00AF4844">
        <w:t>Permittee</w:t>
      </w:r>
      <w:r w:rsidR="00B8602E" w:rsidRPr="00E05612">
        <w:t xml:space="preserve"> shall send a letter to the </w:t>
      </w:r>
      <w:r w:rsidR="53EE822A">
        <w:t>State Water Board Executive Director</w:t>
      </w:r>
      <w:r w:rsidR="00B8602E" w:rsidRPr="00E05612">
        <w:t xml:space="preserve"> and shall upload the letter to SMART as an attachment. </w:t>
      </w:r>
    </w:p>
    <w:p w14:paraId="03670AA3" w14:textId="62E5AF20" w:rsidR="00B8602E" w:rsidRPr="00227791" w:rsidRDefault="00227791" w:rsidP="00B51979">
      <w:pPr>
        <w:ind w:left="1440" w:hanging="360"/>
        <w:rPr>
          <w:rFonts w:eastAsia="Times New Roman" w:cs="Times New Roman"/>
        </w:rPr>
      </w:pPr>
      <w:bookmarkStart w:id="52" w:name="_Hlk172818938"/>
      <w:bookmarkEnd w:id="51"/>
      <w:r w:rsidRPr="00B8602E">
        <w:rPr>
          <w:rFonts w:eastAsia="Times New Roman" w:cs="Times New Roman"/>
          <w:bCs/>
        </w:rPr>
        <w:t>a.</w:t>
      </w:r>
      <w:r w:rsidRPr="00B8602E">
        <w:rPr>
          <w:rFonts w:eastAsia="Times New Roman" w:cs="Times New Roman"/>
          <w:bCs/>
        </w:rPr>
        <w:tab/>
      </w:r>
      <w:r w:rsidR="00B8602E" w:rsidRPr="00227791">
        <w:rPr>
          <w:rFonts w:eastAsia="Times New Roman" w:cs="Times New Roman"/>
        </w:rPr>
        <w:t>Update a</w:t>
      </w:r>
      <w:r w:rsidR="00BA3021" w:rsidRPr="00227791">
        <w:rPr>
          <w:rFonts w:eastAsia="Times New Roman" w:cs="Times New Roman"/>
        </w:rPr>
        <w:t>ny</w:t>
      </w:r>
      <w:r w:rsidR="00B8602E" w:rsidRPr="00227791">
        <w:rPr>
          <w:rFonts w:eastAsia="Times New Roman" w:cs="Times New Roman"/>
        </w:rPr>
        <w:t xml:space="preserve"> </w:t>
      </w:r>
      <w:r w:rsidR="00353B0E" w:rsidRPr="00227791">
        <w:rPr>
          <w:rFonts w:eastAsia="Times New Roman" w:cs="Times New Roman"/>
        </w:rPr>
        <w:t>newly identified</w:t>
      </w:r>
      <w:r w:rsidR="00B8602E" w:rsidRPr="00227791">
        <w:rPr>
          <w:rFonts w:eastAsia="Times New Roman" w:cs="Times New Roman"/>
        </w:rPr>
        <w:t xml:space="preserve"> pollutant sources, including sediment sources, which may result in waste entering</w:t>
      </w:r>
      <w:r w:rsidR="00E37556" w:rsidRPr="00227791">
        <w:rPr>
          <w:rFonts w:eastAsia="Times New Roman" w:cs="Times New Roman"/>
        </w:rPr>
        <w:t xml:space="preserve"> stormwater </w:t>
      </w:r>
      <w:r w:rsidR="00B8602E" w:rsidRPr="00227791">
        <w:rPr>
          <w:rFonts w:eastAsia="Times New Roman" w:cs="Times New Roman"/>
        </w:rPr>
        <w:t>runoff. Pollutant sources include, but are not limited to, roadside rest areas and vistas, picnic areas, campgrounds, trash receptacles, maintenance facilities, park personnel housing, portable toilets, leach fields, fuel tanks, roads, piers, and boat launch facilities.</w:t>
      </w:r>
    </w:p>
    <w:p w14:paraId="230FCF0E" w14:textId="2C2D599E" w:rsidR="00B8602E" w:rsidRPr="00227791" w:rsidRDefault="00227791" w:rsidP="00B51979">
      <w:pPr>
        <w:ind w:left="1440" w:hanging="360"/>
        <w:rPr>
          <w:rFonts w:eastAsia="Times New Roman" w:cs="Times New Roman"/>
        </w:rPr>
      </w:pPr>
      <w:bookmarkStart w:id="53" w:name="_Hlk172818939"/>
      <w:bookmarkEnd w:id="52"/>
      <w:r w:rsidRPr="00B8602E">
        <w:rPr>
          <w:rFonts w:eastAsia="Times New Roman" w:cs="Times New Roman"/>
          <w:bCs/>
        </w:rPr>
        <w:t>b.</w:t>
      </w:r>
      <w:r w:rsidRPr="00B8602E">
        <w:rPr>
          <w:rFonts w:eastAsia="Times New Roman" w:cs="Times New Roman"/>
          <w:bCs/>
        </w:rPr>
        <w:tab/>
      </w:r>
      <w:r w:rsidR="007D154E">
        <w:rPr>
          <w:rFonts w:eastAsia="Times New Roman" w:cs="Times New Roman"/>
        </w:rPr>
        <w:t xml:space="preserve">Add </w:t>
      </w:r>
      <w:r w:rsidR="00BA3021" w:rsidRPr="00227791">
        <w:rPr>
          <w:rFonts w:eastAsia="Times New Roman" w:cs="Times New Roman"/>
        </w:rPr>
        <w:t>new</w:t>
      </w:r>
      <w:r w:rsidR="007D154E">
        <w:rPr>
          <w:rFonts w:eastAsia="Times New Roman" w:cs="Times New Roman"/>
        </w:rPr>
        <w:t xml:space="preserve"> or </w:t>
      </w:r>
      <w:r w:rsidR="00BA3021" w:rsidRPr="00227791">
        <w:rPr>
          <w:rFonts w:eastAsia="Times New Roman" w:cs="Times New Roman"/>
        </w:rPr>
        <w:t>revise</w:t>
      </w:r>
      <w:r w:rsidR="001A1C33">
        <w:rPr>
          <w:rFonts w:eastAsia="Times New Roman" w:cs="Times New Roman"/>
        </w:rPr>
        <w:t xml:space="preserve"> existing</w:t>
      </w:r>
      <w:r w:rsidR="00BA3021" w:rsidRPr="00227791">
        <w:rPr>
          <w:rFonts w:eastAsia="Times New Roman" w:cs="Times New Roman"/>
        </w:rPr>
        <w:t xml:space="preserve"> </w:t>
      </w:r>
      <w:r w:rsidR="00B8602E" w:rsidRPr="00227791">
        <w:rPr>
          <w:rFonts w:eastAsia="Times New Roman" w:cs="Times New Roman"/>
        </w:rPr>
        <w:t>best management practices that will be implemented to control soil erosion (both temporary and permanent erosion controls) and reduce or eliminate pollutants in</w:t>
      </w:r>
      <w:r w:rsidR="00E37556" w:rsidRPr="00227791">
        <w:rPr>
          <w:rFonts w:eastAsia="Times New Roman" w:cs="Times New Roman"/>
        </w:rPr>
        <w:t xml:space="preserve"> stormwater </w:t>
      </w:r>
      <w:r w:rsidR="00B8602E" w:rsidRPr="00227791">
        <w:rPr>
          <w:rFonts w:eastAsia="Times New Roman" w:cs="Times New Roman"/>
        </w:rPr>
        <w:t xml:space="preserve">runoff </w:t>
      </w:r>
      <w:proofErr w:type="gramStart"/>
      <w:r w:rsidR="00B8602E" w:rsidRPr="00227791">
        <w:rPr>
          <w:rFonts w:eastAsia="Times New Roman" w:cs="Times New Roman"/>
        </w:rPr>
        <w:t>in order to</w:t>
      </w:r>
      <w:proofErr w:type="gramEnd"/>
      <w:r w:rsidR="00B8602E" w:rsidRPr="00227791">
        <w:rPr>
          <w:rFonts w:eastAsia="Times New Roman" w:cs="Times New Roman"/>
        </w:rPr>
        <w:t xml:space="preserve"> achieve and maintain natural </w:t>
      </w:r>
      <w:proofErr w:type="gramStart"/>
      <w:r w:rsidR="00B8602E" w:rsidRPr="00227791">
        <w:rPr>
          <w:rFonts w:eastAsia="Times New Roman" w:cs="Times New Roman"/>
        </w:rPr>
        <w:t>ocean water</w:t>
      </w:r>
      <w:proofErr w:type="gramEnd"/>
      <w:r w:rsidR="00B8602E" w:rsidRPr="00227791">
        <w:rPr>
          <w:rFonts w:eastAsia="Times New Roman" w:cs="Times New Roman"/>
        </w:rPr>
        <w:t xml:space="preserve"> quality conditions in the affected ASBS. The updated plan shall include any revisions to best management practices to ensure that trails and culverts are maintained to prevent erosion and minimize waste discharges to ASBS.</w:t>
      </w:r>
    </w:p>
    <w:p w14:paraId="30871CA3" w14:textId="603BBA7D" w:rsidR="00B8602E" w:rsidRPr="00227791" w:rsidRDefault="00227791" w:rsidP="00B51979">
      <w:pPr>
        <w:ind w:left="1440" w:hanging="360"/>
        <w:rPr>
          <w:rFonts w:eastAsia="Times New Roman" w:cs="Times New Roman"/>
        </w:rPr>
      </w:pPr>
      <w:bookmarkStart w:id="54" w:name="_Hlk172818940"/>
      <w:bookmarkEnd w:id="53"/>
      <w:r w:rsidRPr="00B8602E">
        <w:rPr>
          <w:rFonts w:eastAsia="Times New Roman" w:cs="Times New Roman"/>
          <w:bCs/>
        </w:rPr>
        <w:t>c.</w:t>
      </w:r>
      <w:r w:rsidRPr="00B8602E">
        <w:rPr>
          <w:rFonts w:eastAsia="Times New Roman" w:cs="Times New Roman"/>
          <w:bCs/>
        </w:rPr>
        <w:tab/>
      </w:r>
      <w:r w:rsidR="00F36284">
        <w:rPr>
          <w:rFonts w:eastAsia="Times New Roman" w:cs="Times New Roman"/>
        </w:rPr>
        <w:t>Add new or revise existing</w:t>
      </w:r>
      <w:r w:rsidR="00B8602E" w:rsidRPr="00227791">
        <w:rPr>
          <w:rFonts w:eastAsia="Times New Roman" w:cs="Times New Roman"/>
        </w:rPr>
        <w:t xml:space="preserve"> best management practices to prevent the discharge of pesticides or other chemicals, including agricultural chemicals, in</w:t>
      </w:r>
      <w:r w:rsidR="00E37556" w:rsidRPr="00227791">
        <w:rPr>
          <w:rFonts w:eastAsia="Times New Roman" w:cs="Times New Roman"/>
        </w:rPr>
        <w:t xml:space="preserve"> stormwater </w:t>
      </w:r>
      <w:r w:rsidR="00B8602E" w:rsidRPr="00227791">
        <w:rPr>
          <w:rFonts w:eastAsia="Times New Roman" w:cs="Times New Roman"/>
        </w:rPr>
        <w:t>runoff to the affected ASBS.</w:t>
      </w:r>
    </w:p>
    <w:p w14:paraId="4A6256CE" w14:textId="0E2689A0" w:rsidR="00B8602E" w:rsidRPr="00227791" w:rsidRDefault="00227791" w:rsidP="00B51979">
      <w:pPr>
        <w:ind w:left="1440" w:hanging="360"/>
        <w:rPr>
          <w:rFonts w:eastAsia="Times New Roman" w:cs="Times New Roman"/>
        </w:rPr>
      </w:pPr>
      <w:bookmarkStart w:id="55" w:name="_Hlk172818941"/>
      <w:bookmarkEnd w:id="54"/>
      <w:r w:rsidRPr="00B8602E">
        <w:rPr>
          <w:rFonts w:eastAsia="Times New Roman" w:cs="Times New Roman"/>
          <w:bCs/>
        </w:rPr>
        <w:t>d.</w:t>
      </w:r>
      <w:r w:rsidRPr="00B8602E">
        <w:rPr>
          <w:rFonts w:eastAsia="Times New Roman" w:cs="Times New Roman"/>
          <w:bCs/>
        </w:rPr>
        <w:tab/>
      </w:r>
      <w:r w:rsidR="002F1FFA">
        <w:rPr>
          <w:rFonts w:eastAsia="Times New Roman" w:cs="Times New Roman"/>
        </w:rPr>
        <w:t xml:space="preserve">Add </w:t>
      </w:r>
      <w:r w:rsidR="002F1FFA" w:rsidRPr="00227791">
        <w:rPr>
          <w:rFonts w:eastAsia="Times New Roman" w:cs="Times New Roman"/>
        </w:rPr>
        <w:t>new</w:t>
      </w:r>
      <w:r w:rsidR="002F1FFA">
        <w:rPr>
          <w:rFonts w:eastAsia="Times New Roman" w:cs="Times New Roman"/>
        </w:rPr>
        <w:t xml:space="preserve"> or </w:t>
      </w:r>
      <w:r w:rsidR="002F1FFA" w:rsidRPr="00227791">
        <w:rPr>
          <w:rFonts w:eastAsia="Times New Roman" w:cs="Times New Roman"/>
        </w:rPr>
        <w:t>revise</w:t>
      </w:r>
      <w:r w:rsidR="002F1FFA">
        <w:rPr>
          <w:rFonts w:eastAsia="Times New Roman" w:cs="Times New Roman"/>
        </w:rPr>
        <w:t xml:space="preserve"> existing</w:t>
      </w:r>
      <w:r w:rsidR="002F1FFA" w:rsidRPr="00227791" w:rsidDel="002F1FFA">
        <w:rPr>
          <w:rFonts w:eastAsia="Times New Roman" w:cs="Times New Roman"/>
        </w:rPr>
        <w:t xml:space="preserve"> </w:t>
      </w:r>
      <w:r w:rsidR="00BD7ECB" w:rsidRPr="00227791">
        <w:rPr>
          <w:rFonts w:eastAsia="Times New Roman" w:cs="Times New Roman"/>
        </w:rPr>
        <w:t>best management practices</w:t>
      </w:r>
      <w:r w:rsidR="00B8602E" w:rsidRPr="00227791">
        <w:rPr>
          <w:rFonts w:eastAsia="Times New Roman" w:cs="Times New Roman"/>
        </w:rPr>
        <w:t xml:space="preserve"> that address public education and outreach. The goal of these </w:t>
      </w:r>
      <w:r w:rsidR="00BD7ECB" w:rsidRPr="00227791">
        <w:rPr>
          <w:rFonts w:eastAsia="Times New Roman" w:cs="Times New Roman"/>
        </w:rPr>
        <w:t xml:space="preserve">best management practices </w:t>
      </w:r>
      <w:r w:rsidR="00B8602E" w:rsidRPr="00227791">
        <w:rPr>
          <w:rFonts w:eastAsia="Times New Roman" w:cs="Times New Roman"/>
        </w:rPr>
        <w:t xml:space="preserve">is </w:t>
      </w:r>
      <w:r w:rsidR="00B8602E" w:rsidRPr="00227791">
        <w:rPr>
          <w:rFonts w:eastAsia="Times New Roman" w:cs="Times New Roman"/>
        </w:rPr>
        <w:lastRenderedPageBreak/>
        <w:t xml:space="preserve">to ensure that the public is adequately informed that waste discharges to the affected ASBS are prohibited or limited by special conditions </w:t>
      </w:r>
      <w:r w:rsidR="00BD7ECB" w:rsidRPr="00227791">
        <w:rPr>
          <w:rFonts w:eastAsia="Times New Roman" w:cs="Times New Roman"/>
        </w:rPr>
        <w:t>in the General Exception</w:t>
      </w:r>
      <w:r w:rsidR="00B8602E" w:rsidRPr="00227791">
        <w:rPr>
          <w:rFonts w:eastAsia="Times New Roman" w:cs="Times New Roman"/>
        </w:rPr>
        <w:t xml:space="preserve">. The </w:t>
      </w:r>
      <w:r w:rsidR="00BD7ECB" w:rsidRPr="00227791">
        <w:rPr>
          <w:rFonts w:eastAsia="Times New Roman" w:cs="Times New Roman"/>
        </w:rPr>
        <w:t>update shall include any revisions to best management practices</w:t>
      </w:r>
      <w:r w:rsidR="00B8602E" w:rsidRPr="00227791">
        <w:rPr>
          <w:rFonts w:eastAsia="Times New Roman" w:cs="Times New Roman"/>
        </w:rPr>
        <w:t xml:space="preserve"> </w:t>
      </w:r>
      <w:r w:rsidR="00BD7ECB" w:rsidRPr="00227791">
        <w:rPr>
          <w:rFonts w:eastAsia="Times New Roman" w:cs="Times New Roman"/>
        </w:rPr>
        <w:t>for</w:t>
      </w:r>
      <w:r w:rsidR="00B8602E" w:rsidRPr="00227791">
        <w:rPr>
          <w:rFonts w:eastAsia="Times New Roman" w:cs="Times New Roman"/>
        </w:rPr>
        <w:t xml:space="preserve"> signage at camping, picnicking, beach and roadside parking areas, and visitor centers, or other appropriate measures, which notify the public of any applicable requirements of the Special Protections as laid out in this Attachment and identify the ASBS boundaries.</w:t>
      </w:r>
    </w:p>
    <w:p w14:paraId="39A90284" w14:textId="5064C35A" w:rsidR="00B8602E" w:rsidRPr="00227791" w:rsidRDefault="00227791" w:rsidP="00B51979">
      <w:pPr>
        <w:ind w:left="1440" w:hanging="360"/>
        <w:rPr>
          <w:rFonts w:eastAsia="Times New Roman" w:cs="Times New Roman"/>
        </w:rPr>
      </w:pPr>
      <w:bookmarkStart w:id="56" w:name="_Hlk172818942"/>
      <w:bookmarkEnd w:id="55"/>
      <w:r w:rsidRPr="00B8602E">
        <w:rPr>
          <w:rFonts w:eastAsia="Times New Roman" w:cs="Times New Roman"/>
          <w:bCs/>
        </w:rPr>
        <w:t>e.</w:t>
      </w:r>
      <w:r w:rsidRPr="00B8602E">
        <w:rPr>
          <w:rFonts w:eastAsia="Times New Roman" w:cs="Times New Roman"/>
          <w:bCs/>
        </w:rPr>
        <w:tab/>
      </w:r>
      <w:r w:rsidR="002F1FFA">
        <w:rPr>
          <w:rFonts w:eastAsia="Times New Roman" w:cs="Times New Roman"/>
        </w:rPr>
        <w:t xml:space="preserve">Add </w:t>
      </w:r>
      <w:r w:rsidR="002F1FFA" w:rsidRPr="00227791">
        <w:rPr>
          <w:rFonts w:eastAsia="Times New Roman" w:cs="Times New Roman"/>
        </w:rPr>
        <w:t>new</w:t>
      </w:r>
      <w:r w:rsidR="002F1FFA">
        <w:rPr>
          <w:rFonts w:eastAsia="Times New Roman" w:cs="Times New Roman"/>
        </w:rPr>
        <w:t xml:space="preserve"> or </w:t>
      </w:r>
      <w:r w:rsidR="002F1FFA" w:rsidRPr="00227791">
        <w:rPr>
          <w:rFonts w:eastAsia="Times New Roman" w:cs="Times New Roman"/>
        </w:rPr>
        <w:t>revise</w:t>
      </w:r>
      <w:r w:rsidR="002F1FFA">
        <w:rPr>
          <w:rFonts w:eastAsia="Times New Roman" w:cs="Times New Roman"/>
        </w:rPr>
        <w:t xml:space="preserve"> existing</w:t>
      </w:r>
      <w:r w:rsidR="0030795F" w:rsidRPr="00227791">
        <w:rPr>
          <w:rFonts w:eastAsia="Times New Roman" w:cs="Times New Roman"/>
        </w:rPr>
        <w:t xml:space="preserve"> best management practices that </w:t>
      </w:r>
      <w:r w:rsidR="00B8602E" w:rsidRPr="00227791">
        <w:rPr>
          <w:rFonts w:eastAsia="Times New Roman" w:cs="Times New Roman"/>
        </w:rPr>
        <w:t>address the prohibition against the discharge of trash to ASBS. The</w:t>
      </w:r>
      <w:r w:rsidR="006300EF" w:rsidRPr="00227791">
        <w:rPr>
          <w:rFonts w:eastAsia="Times New Roman" w:cs="Times New Roman"/>
        </w:rPr>
        <w:t xml:space="preserve"> best management practices </w:t>
      </w:r>
      <w:proofErr w:type="gramStart"/>
      <w:r w:rsidR="00B8602E" w:rsidRPr="00227791">
        <w:rPr>
          <w:rFonts w:eastAsia="Times New Roman" w:cs="Times New Roman"/>
        </w:rPr>
        <w:t>shall</w:t>
      </w:r>
      <w:proofErr w:type="gramEnd"/>
      <w:r w:rsidR="00B8602E" w:rsidRPr="00227791">
        <w:rPr>
          <w:rFonts w:eastAsia="Times New Roman" w:cs="Times New Roman"/>
        </w:rPr>
        <w:t xml:space="preserve"> include measures to ensure that adequate trash receptacles are available for public use at visitor facilities, including parking areas, and that the receptacles are adequately maintained to prevent trash discharges into the ASBS. Appropriate measures include covering trash receptacles to prevent trash from being windblown and </w:t>
      </w:r>
      <w:r w:rsidR="00B17A63">
        <w:rPr>
          <w:rFonts w:eastAsia="Times New Roman" w:cs="Times New Roman"/>
        </w:rPr>
        <w:t>routinely</w:t>
      </w:r>
      <w:r w:rsidR="00B17A63" w:rsidRPr="00227791">
        <w:rPr>
          <w:rFonts w:eastAsia="Times New Roman" w:cs="Times New Roman"/>
        </w:rPr>
        <w:t xml:space="preserve"> </w:t>
      </w:r>
      <w:r w:rsidR="00B8602E" w:rsidRPr="00227791">
        <w:rPr>
          <w:rFonts w:eastAsia="Times New Roman" w:cs="Times New Roman"/>
        </w:rPr>
        <w:t>emptying the receptacles to prevent overflows.</w:t>
      </w:r>
    </w:p>
    <w:p w14:paraId="23D24817" w14:textId="7F264E5C" w:rsidR="00B8602E" w:rsidRPr="00227791" w:rsidRDefault="00227791" w:rsidP="00B51979">
      <w:pPr>
        <w:ind w:left="1440" w:hanging="360"/>
        <w:rPr>
          <w:rFonts w:eastAsia="Times New Roman" w:cs="Times New Roman"/>
        </w:rPr>
      </w:pPr>
      <w:bookmarkStart w:id="57" w:name="_Hlk172818943"/>
      <w:bookmarkEnd w:id="56"/>
      <w:r w:rsidRPr="00B8602E">
        <w:rPr>
          <w:rFonts w:eastAsia="Times New Roman" w:cs="Times New Roman"/>
          <w:bCs/>
        </w:rPr>
        <w:t>f.</w:t>
      </w:r>
      <w:r w:rsidRPr="00B8602E">
        <w:rPr>
          <w:rFonts w:eastAsia="Times New Roman" w:cs="Times New Roman"/>
          <w:bCs/>
        </w:rPr>
        <w:tab/>
      </w:r>
      <w:r w:rsidR="002F1FFA">
        <w:rPr>
          <w:rFonts w:eastAsia="Times New Roman" w:cs="Times New Roman"/>
        </w:rPr>
        <w:t xml:space="preserve">Add </w:t>
      </w:r>
      <w:r w:rsidR="002F1FFA" w:rsidRPr="00227791">
        <w:rPr>
          <w:rFonts w:eastAsia="Times New Roman" w:cs="Times New Roman"/>
        </w:rPr>
        <w:t>new</w:t>
      </w:r>
      <w:r w:rsidR="002F1FFA">
        <w:rPr>
          <w:rFonts w:eastAsia="Times New Roman" w:cs="Times New Roman"/>
        </w:rPr>
        <w:t xml:space="preserve"> or </w:t>
      </w:r>
      <w:r w:rsidR="002F1FFA" w:rsidRPr="00227791">
        <w:rPr>
          <w:rFonts w:eastAsia="Times New Roman" w:cs="Times New Roman"/>
        </w:rPr>
        <w:t>revise</w:t>
      </w:r>
      <w:r w:rsidR="002F1FFA">
        <w:rPr>
          <w:rFonts w:eastAsia="Times New Roman" w:cs="Times New Roman"/>
        </w:rPr>
        <w:t xml:space="preserve"> existing</w:t>
      </w:r>
      <w:r w:rsidR="002F1FFA" w:rsidRPr="00227791" w:rsidDel="002F1FFA">
        <w:rPr>
          <w:rFonts w:eastAsia="Times New Roman" w:cs="Times New Roman"/>
        </w:rPr>
        <w:t xml:space="preserve"> </w:t>
      </w:r>
      <w:r w:rsidR="0030795F" w:rsidRPr="00227791">
        <w:rPr>
          <w:rFonts w:eastAsia="Times New Roman" w:cs="Times New Roman"/>
        </w:rPr>
        <w:t xml:space="preserve">best management practices </w:t>
      </w:r>
      <w:r w:rsidR="00B8602E" w:rsidRPr="00227791">
        <w:rPr>
          <w:rFonts w:eastAsia="Times New Roman" w:cs="Times New Roman"/>
        </w:rPr>
        <w:t>to address runoff from parking areas and other developed features to ensure that the runoff does not alter natural ocean water quality in the affected ASBS.</w:t>
      </w:r>
      <w:r w:rsidR="006300EF" w:rsidRPr="00227791">
        <w:rPr>
          <w:rFonts w:eastAsia="Times New Roman" w:cs="Times New Roman"/>
        </w:rPr>
        <w:t xml:space="preserve"> </w:t>
      </w:r>
      <w:r w:rsidR="0062376F">
        <w:rPr>
          <w:rFonts w:eastAsia="Times New Roman" w:cs="Times New Roman"/>
        </w:rPr>
        <w:t>B</w:t>
      </w:r>
      <w:r w:rsidR="0062376F" w:rsidRPr="00227791">
        <w:rPr>
          <w:rFonts w:eastAsia="Times New Roman" w:cs="Times New Roman"/>
        </w:rPr>
        <w:t xml:space="preserve">est </w:t>
      </w:r>
      <w:r w:rsidR="006300EF" w:rsidRPr="00227791">
        <w:rPr>
          <w:rFonts w:eastAsia="Times New Roman" w:cs="Times New Roman"/>
        </w:rPr>
        <w:t xml:space="preserve">management practices </w:t>
      </w:r>
      <w:r w:rsidR="00B8602E" w:rsidRPr="00227791">
        <w:rPr>
          <w:rFonts w:eastAsia="Times New Roman" w:cs="Times New Roman"/>
        </w:rPr>
        <w:t>shall include measures to reduce pollutant loading in runoff to the ASBS through installation of natural area buffers (</w:t>
      </w:r>
      <w:r w:rsidR="008608EA" w:rsidRPr="00227791">
        <w:rPr>
          <w:rFonts w:eastAsia="Times New Roman" w:cs="Times New Roman"/>
        </w:rPr>
        <w:t>low impact development</w:t>
      </w:r>
      <w:r w:rsidR="00B8602E" w:rsidRPr="00227791">
        <w:rPr>
          <w:rFonts w:eastAsia="Times New Roman" w:cs="Times New Roman"/>
        </w:rPr>
        <w:t>), treatment, or other appropriate measures.</w:t>
      </w:r>
    </w:p>
    <w:p w14:paraId="75AA845B" w14:textId="0F98586F" w:rsidR="0027640B" w:rsidRDefault="001D10C5" w:rsidP="0027640B">
      <w:pPr>
        <w:pStyle w:val="Heading2"/>
      </w:pPr>
      <w:bookmarkStart w:id="58" w:name="_Hlk172818880"/>
      <w:bookmarkEnd w:id="57"/>
      <w:r>
        <w:t>F</w:t>
      </w:r>
      <w:r w:rsidR="00F4627F">
        <w:t>7</w:t>
      </w:r>
      <w:r w:rsidR="00852821">
        <w:t>.</w:t>
      </w:r>
      <w:r w:rsidR="00852821">
        <w:tab/>
      </w:r>
      <w:r w:rsidR="0027640B">
        <w:t>MONITORING REQUIREMENTS</w:t>
      </w:r>
    </w:p>
    <w:p w14:paraId="4F1E325F" w14:textId="6D369113" w:rsidR="00EC3D52" w:rsidRPr="00EC3D52" w:rsidRDefault="00EC3D52" w:rsidP="00F773C7">
      <w:pPr>
        <w:pStyle w:val="Heading3"/>
        <w:ind w:left="720" w:hanging="720"/>
      </w:pPr>
      <w:r w:rsidRPr="00BB4103">
        <w:t>F7.1</w:t>
      </w:r>
      <w:r w:rsidRPr="00BB4103">
        <w:tab/>
      </w:r>
      <w:r w:rsidR="00F773C7">
        <w:t>General</w:t>
      </w:r>
      <w:r w:rsidRPr="00BB4103">
        <w:t xml:space="preserve"> Monitoring </w:t>
      </w:r>
      <w:r w:rsidR="00F773C7">
        <w:t>Requirements</w:t>
      </w:r>
    </w:p>
    <w:p w14:paraId="29A482CF" w14:textId="77777777" w:rsidR="0027640B" w:rsidRDefault="0027640B" w:rsidP="0027640B">
      <w:pPr>
        <w:pStyle w:val="ListParagraph"/>
        <w:numPr>
          <w:ilvl w:val="0"/>
          <w:numId w:val="36"/>
        </w:numPr>
        <w:tabs>
          <w:tab w:val="clear" w:pos="360"/>
        </w:tabs>
        <w:spacing w:before="120" w:after="120"/>
        <w:ind w:left="1080"/>
      </w:pPr>
      <w:r>
        <w:t>A Monitoring Plan shall be submitted with the Updated ASBS Compliance Plan (see section F4, below).</w:t>
      </w:r>
    </w:p>
    <w:p w14:paraId="273AFA78" w14:textId="1AD85688" w:rsidR="0027640B" w:rsidRDefault="4E7B1052" w:rsidP="003F0EBD">
      <w:pPr>
        <w:pStyle w:val="ListParagraph"/>
        <w:numPr>
          <w:ilvl w:val="0"/>
          <w:numId w:val="36"/>
        </w:numPr>
        <w:ind w:left="1080"/>
      </w:pPr>
      <w:r>
        <w:t>The</w:t>
      </w:r>
      <w:r w:rsidR="3613F347">
        <w:t xml:space="preserve"> </w:t>
      </w:r>
      <w:r>
        <w:t xml:space="preserve">Permittees listed in </w:t>
      </w:r>
      <w:r w:rsidR="7FE0E396">
        <w:t>T</w:t>
      </w:r>
      <w:r>
        <w:t>able F</w:t>
      </w:r>
      <w:r w:rsidR="7FE0E396">
        <w:t>2</w:t>
      </w:r>
      <w:r>
        <w:t xml:space="preserve"> shall participate in the Core Discharge and Ocean Receiving Monitoring Program for at least one more year, regardless of monitoring status under the previous permit</w:t>
      </w:r>
      <w:r w:rsidR="191CFAF4">
        <w:t xml:space="preserve">, </w:t>
      </w:r>
      <w:proofErr w:type="gramStart"/>
      <w:r w:rsidR="191CFAF4">
        <w:t>with the exception of</w:t>
      </w:r>
      <w:proofErr w:type="gramEnd"/>
      <w:r w:rsidR="191CFAF4">
        <w:t xml:space="preserve"> Pillar Point (see next section)</w:t>
      </w:r>
      <w:r>
        <w:t xml:space="preserve">. Permittees may propose additional Reference Area Monitoring. If there are no exceedances found after one year of monitoring, Permittees may submit a request for reduction or suspension of monitoring. The permittee must clearly state the monitoring program for which the request is being submitted and the justification. Permittees shall continue with monitoring until any reduction or suspension in monitoring is submitted and approved by the </w:t>
      </w:r>
      <w:r w:rsidR="64F78BDC">
        <w:t>State Water Board Executive Director</w:t>
      </w:r>
      <w:r>
        <w:t>.</w:t>
      </w:r>
    </w:p>
    <w:p w14:paraId="1CA79B12" w14:textId="4D499001" w:rsidR="0027640B" w:rsidRDefault="4E7B1052" w:rsidP="003F0EBD">
      <w:pPr>
        <w:pStyle w:val="ListParagraph"/>
        <w:numPr>
          <w:ilvl w:val="0"/>
          <w:numId w:val="36"/>
        </w:numPr>
        <w:tabs>
          <w:tab w:val="clear" w:pos="360"/>
        </w:tabs>
        <w:spacing w:before="120" w:after="120"/>
        <w:ind w:left="1080"/>
      </w:pPr>
      <w:r>
        <w:t>Pillar Point received approval for</w:t>
      </w:r>
      <w:r w:rsidR="62BF3AF0">
        <w:t xml:space="preserve"> a</w:t>
      </w:r>
      <w:r>
        <w:t xml:space="preserve"> reduction in monitoring</w:t>
      </w:r>
      <w:r w:rsidR="447FB578">
        <w:t xml:space="preserve"> under the 2013 Permit and this approval remains valid</w:t>
      </w:r>
      <w:r>
        <w:t xml:space="preserve">. Thus, Pillar Point shall continue monitoring for constituents that did not receive approval for a reduction or </w:t>
      </w:r>
      <w:r>
        <w:lastRenderedPageBreak/>
        <w:t>suspension.</w:t>
      </w:r>
    </w:p>
    <w:p w14:paraId="64F4D455" w14:textId="77777777" w:rsidR="0027640B" w:rsidRDefault="0027640B" w:rsidP="0027640B">
      <w:pPr>
        <w:pStyle w:val="ListParagraph"/>
        <w:numPr>
          <w:ilvl w:val="0"/>
          <w:numId w:val="36"/>
        </w:numPr>
        <w:shd w:val="clear" w:color="auto" w:fill="auto"/>
        <w:tabs>
          <w:tab w:val="clear" w:pos="360"/>
        </w:tabs>
        <w:spacing w:before="120" w:after="120"/>
        <w:ind w:left="1080"/>
      </w:pPr>
      <w:r>
        <w:t>Monitoring results shall be compared to chart F8, the Flow Chart to Determine Exceedance or Compliance: ASBS Special Protections. Monitoring results shall be reported in the Annual ASBS Compliance Status report, including clearly identifying exceedances (e.g., bold or italic font</w:t>
      </w:r>
      <w:r w:rsidRPr="003D18CA">
        <w:t>). For post-storm monitoring, results shall be tabulated to demonstrate that Permittees are not causing or contributing to alteration of natural ocean water quality for each location/parameter pair that exceed the 85</w:t>
      </w:r>
      <w:r w:rsidRPr="003D18CA">
        <w:rPr>
          <w:vertAlign w:val="superscript"/>
        </w:rPr>
        <w:t>th</w:t>
      </w:r>
      <w:r w:rsidRPr="003D18CA">
        <w:t xml:space="preserve"> percentile of reference sample collections</w:t>
      </w:r>
      <w:r>
        <w:t xml:space="preserve"> (see </w:t>
      </w:r>
      <w:hyperlink w:anchor="_Table_F9._Table" w:history="1">
        <w:r w:rsidRPr="002A3AD4">
          <w:rPr>
            <w:rStyle w:val="Hyperlink"/>
          </w:rPr>
          <w:t>Table F9</w:t>
        </w:r>
      </w:hyperlink>
      <w:r>
        <w:t>).</w:t>
      </w:r>
    </w:p>
    <w:p w14:paraId="1F82B612" w14:textId="184BD719" w:rsidR="0027640B" w:rsidRDefault="4E7B1052" w:rsidP="003F0EBD">
      <w:pPr>
        <w:pStyle w:val="ListParagraph"/>
        <w:numPr>
          <w:ilvl w:val="0"/>
          <w:numId w:val="36"/>
        </w:numPr>
        <w:shd w:val="clear" w:color="auto" w:fill="auto"/>
        <w:tabs>
          <w:tab w:val="clear" w:pos="360"/>
        </w:tabs>
        <w:spacing w:before="120" w:after="120"/>
        <w:ind w:left="1080"/>
      </w:pPr>
      <w:r>
        <w:t xml:space="preserve">The Permittee shall repeat the procedure for continuing or recurring exceedance of natural ocean water quality conditions in accordance with </w:t>
      </w:r>
      <w:r w:rsidR="00574DAF">
        <w:t xml:space="preserve">the </w:t>
      </w:r>
      <w:hyperlink r:id="rId12" w:history="1">
        <w:r w:rsidRPr="29D9BB6F">
          <w:rPr>
            <w:rStyle w:val="Hyperlink"/>
          </w:rPr>
          <w:t>General Exception</w:t>
        </w:r>
      </w:hyperlink>
      <w:r>
        <w:t>, Attachment B, section I.A.2.h., unless the Permittee has complied with the procedures described below and is implementing an updated ASBS Compliance Plan according to the requirements of this Attachment.</w:t>
      </w:r>
    </w:p>
    <w:p w14:paraId="7E132291" w14:textId="25C95EF3" w:rsidR="003C0960" w:rsidRDefault="003C0960" w:rsidP="003F0EBD">
      <w:pPr>
        <w:pStyle w:val="ListParagraph"/>
        <w:numPr>
          <w:ilvl w:val="0"/>
          <w:numId w:val="36"/>
        </w:numPr>
        <w:shd w:val="clear" w:color="auto" w:fill="auto"/>
        <w:tabs>
          <w:tab w:val="clear" w:pos="360"/>
        </w:tabs>
        <w:spacing w:before="120" w:after="120"/>
        <w:ind w:left="1080"/>
      </w:pPr>
      <w:bookmarkStart w:id="59" w:name="_Hlk172818944"/>
      <w:bookmarkEnd w:id="58"/>
      <w:r w:rsidRPr="003C0960">
        <w:t xml:space="preserve">Sample locations and sampling periods must be determined considering safety issues. Sampling may be postponed upon notification to </w:t>
      </w:r>
      <w:r w:rsidR="00B60FC0" w:rsidRPr="003C0960">
        <w:t>the</w:t>
      </w:r>
      <w:r w:rsidR="00B60FC0">
        <w:t xml:space="preserve"> State</w:t>
      </w:r>
      <w:r w:rsidR="2D97ABEB">
        <w:t xml:space="preserve"> Water Board Executive Director </w:t>
      </w:r>
      <w:r w:rsidRPr="003C0960">
        <w:t>if hazardous conditions prevail.</w:t>
      </w:r>
    </w:p>
    <w:p w14:paraId="00C87EE5" w14:textId="62856254" w:rsidR="002C77D3" w:rsidRPr="00BB4103" w:rsidRDefault="003F148F" w:rsidP="00B01477">
      <w:pPr>
        <w:pStyle w:val="Heading3"/>
        <w:ind w:left="720" w:hanging="720"/>
      </w:pPr>
      <w:bookmarkStart w:id="60" w:name="_Hlk172818883"/>
      <w:bookmarkEnd w:id="59"/>
      <w:r w:rsidRPr="00BB4103">
        <w:t>F</w:t>
      </w:r>
      <w:r w:rsidR="00F4627F" w:rsidRPr="00BB4103">
        <w:t>7</w:t>
      </w:r>
      <w:r w:rsidR="000659CD" w:rsidRPr="00BB4103">
        <w:t>.</w:t>
      </w:r>
      <w:r w:rsidR="00F773C7">
        <w:t>2</w:t>
      </w:r>
      <w:r w:rsidR="000659CD" w:rsidRPr="00BB4103">
        <w:tab/>
      </w:r>
      <w:r w:rsidR="00115E7F" w:rsidRPr="00BB4103">
        <w:t>Core Discharge Monitoring Program</w:t>
      </w:r>
    </w:p>
    <w:p w14:paraId="3ADF0A71" w14:textId="1AA06F9E" w:rsidR="008E6136" w:rsidRDefault="00133F4D" w:rsidP="00E923FB">
      <w:pPr>
        <w:spacing w:after="240"/>
      </w:pPr>
      <w:bookmarkStart w:id="61" w:name="_Hlk172818945"/>
      <w:bookmarkEnd w:id="60"/>
      <w:r w:rsidRPr="00133F4D">
        <w:t xml:space="preserve">Core Discharge Monitoring </w:t>
      </w:r>
      <w:r w:rsidR="005B0DF5">
        <w:t xml:space="preserve">is </w:t>
      </w:r>
      <w:r w:rsidRPr="00133F4D">
        <w:t>ASBS monitoring of stormwater effluents from the stormwater outfalls at the priority discharge locations.</w:t>
      </w:r>
      <w:r w:rsidR="00E325AE">
        <w:t xml:space="preserve"> </w:t>
      </w:r>
    </w:p>
    <w:p w14:paraId="2C4EFBC4" w14:textId="3612B966" w:rsidR="00115E7F" w:rsidRPr="00C16893" w:rsidRDefault="00115E7F" w:rsidP="00E923FB">
      <w:pPr>
        <w:ind w:left="1080" w:hanging="360"/>
        <w:rPr>
          <w:rFonts w:eastAsia="Times New Roman" w:cs="Times New Roman"/>
          <w:color w:val="000000" w:themeColor="text1"/>
          <w:szCs w:val="20"/>
        </w:rPr>
      </w:pPr>
      <w:bookmarkStart w:id="62" w:name="_Hlk172818946"/>
      <w:bookmarkEnd w:id="61"/>
      <w:r w:rsidRPr="00C16893">
        <w:rPr>
          <w:rFonts w:eastAsia="Times New Roman" w:cs="Times New Roman"/>
          <w:color w:val="000000" w:themeColor="text1"/>
          <w:szCs w:val="20"/>
        </w:rPr>
        <w:t>1.</w:t>
      </w:r>
      <w:r w:rsidRPr="00C16893">
        <w:rPr>
          <w:rFonts w:eastAsia="Times New Roman" w:cs="Times New Roman"/>
          <w:color w:val="000000" w:themeColor="text1"/>
          <w:szCs w:val="20"/>
        </w:rPr>
        <w:tab/>
        <w:t xml:space="preserve">General </w:t>
      </w:r>
      <w:r w:rsidR="00B7588F">
        <w:rPr>
          <w:rFonts w:eastAsia="Times New Roman" w:cs="Times New Roman"/>
          <w:color w:val="000000" w:themeColor="text1"/>
          <w:szCs w:val="20"/>
        </w:rPr>
        <w:t>S</w:t>
      </w:r>
      <w:r w:rsidRPr="00C16893">
        <w:rPr>
          <w:rFonts w:eastAsia="Times New Roman" w:cs="Times New Roman"/>
          <w:color w:val="000000" w:themeColor="text1"/>
          <w:szCs w:val="20"/>
        </w:rPr>
        <w:t xml:space="preserve">ampling </w:t>
      </w:r>
      <w:r w:rsidR="00B7588F">
        <w:rPr>
          <w:rFonts w:eastAsia="Times New Roman" w:cs="Times New Roman"/>
          <w:color w:val="000000" w:themeColor="text1"/>
          <w:szCs w:val="20"/>
        </w:rPr>
        <w:t>R</w:t>
      </w:r>
      <w:r w:rsidRPr="00C16893">
        <w:rPr>
          <w:rFonts w:eastAsia="Times New Roman" w:cs="Times New Roman"/>
          <w:color w:val="000000" w:themeColor="text1"/>
          <w:szCs w:val="20"/>
        </w:rPr>
        <w:t xml:space="preserve">equirements for </w:t>
      </w:r>
      <w:r w:rsidR="00B7588F">
        <w:rPr>
          <w:rFonts w:eastAsia="Times New Roman" w:cs="Times New Roman"/>
          <w:color w:val="000000" w:themeColor="text1"/>
          <w:szCs w:val="20"/>
        </w:rPr>
        <w:t>T</w:t>
      </w:r>
      <w:r w:rsidRPr="00C16893">
        <w:rPr>
          <w:rFonts w:eastAsia="Times New Roman" w:cs="Times New Roman"/>
          <w:color w:val="000000" w:themeColor="text1"/>
          <w:szCs w:val="20"/>
        </w:rPr>
        <w:t xml:space="preserve">iming and </w:t>
      </w:r>
      <w:r w:rsidR="00B7588F">
        <w:rPr>
          <w:rFonts w:eastAsia="Times New Roman" w:cs="Times New Roman"/>
          <w:color w:val="000000" w:themeColor="text1"/>
          <w:szCs w:val="20"/>
        </w:rPr>
        <w:t>S</w:t>
      </w:r>
      <w:r w:rsidRPr="00C16893">
        <w:rPr>
          <w:rFonts w:eastAsia="Times New Roman" w:cs="Times New Roman"/>
          <w:color w:val="000000" w:themeColor="text1"/>
          <w:szCs w:val="20"/>
        </w:rPr>
        <w:t xml:space="preserve">torm </w:t>
      </w:r>
      <w:r w:rsidR="00B7588F">
        <w:rPr>
          <w:rFonts w:eastAsia="Times New Roman" w:cs="Times New Roman"/>
          <w:color w:val="000000" w:themeColor="text1"/>
          <w:szCs w:val="20"/>
        </w:rPr>
        <w:t>S</w:t>
      </w:r>
      <w:r w:rsidRPr="00C16893">
        <w:rPr>
          <w:rFonts w:eastAsia="Times New Roman" w:cs="Times New Roman"/>
          <w:color w:val="000000" w:themeColor="text1"/>
          <w:szCs w:val="20"/>
        </w:rPr>
        <w:t>ize:</w:t>
      </w:r>
    </w:p>
    <w:p w14:paraId="6D1D487F" w14:textId="7C9C4C58" w:rsidR="00115E7F" w:rsidRPr="00C16893" w:rsidRDefault="00115E7F" w:rsidP="00CA5FE1">
      <w:pPr>
        <w:ind w:left="1080"/>
        <w:rPr>
          <w:rFonts w:eastAsia="Times New Roman" w:cs="Times New Roman"/>
          <w:color w:val="000000" w:themeColor="text1"/>
          <w:szCs w:val="20"/>
        </w:rPr>
      </w:pPr>
      <w:bookmarkStart w:id="63" w:name="_Hlk172818947"/>
      <w:bookmarkEnd w:id="62"/>
      <w:r w:rsidRPr="00C16893">
        <w:rPr>
          <w:rFonts w:eastAsia="Times New Roman" w:cs="Times New Roman"/>
          <w:color w:val="000000" w:themeColor="text1"/>
          <w:szCs w:val="20"/>
        </w:rPr>
        <w:t xml:space="preserve">Runoff must be collected during a storm event that is greater than 0.1 inch and generates runoff, and at least 72 hours from the previously measurable storm event. Runoff samples shall be collected when post-storm receiving water is </w:t>
      </w:r>
      <w:r w:rsidR="001B2993" w:rsidRPr="00C16893">
        <w:rPr>
          <w:rFonts w:eastAsia="Times New Roman" w:cs="Times New Roman"/>
          <w:color w:val="000000" w:themeColor="text1"/>
          <w:szCs w:val="20"/>
        </w:rPr>
        <w:t>sampled and</w:t>
      </w:r>
      <w:r w:rsidRPr="00C16893">
        <w:rPr>
          <w:rFonts w:eastAsia="Times New Roman" w:cs="Times New Roman"/>
          <w:color w:val="000000" w:themeColor="text1"/>
          <w:szCs w:val="20"/>
        </w:rPr>
        <w:t xml:space="preserve"> analyzed for the same constituents as receiving water samples as described below.</w:t>
      </w:r>
    </w:p>
    <w:p w14:paraId="1773161E" w14:textId="435EEE04" w:rsidR="00115E7F" w:rsidRPr="00C16893" w:rsidRDefault="00115E7F" w:rsidP="00CA5FE1">
      <w:pPr>
        <w:ind w:left="1080" w:hanging="360"/>
        <w:rPr>
          <w:rFonts w:eastAsia="Times New Roman" w:cs="Times New Roman"/>
          <w:color w:val="000000" w:themeColor="text1"/>
          <w:szCs w:val="20"/>
        </w:rPr>
      </w:pPr>
      <w:bookmarkStart w:id="64" w:name="_Hlk172818948"/>
      <w:bookmarkEnd w:id="63"/>
      <w:r w:rsidRPr="00C16893">
        <w:rPr>
          <w:rFonts w:eastAsia="Times New Roman" w:cs="Times New Roman"/>
          <w:color w:val="000000" w:themeColor="text1"/>
          <w:szCs w:val="20"/>
        </w:rPr>
        <w:t>2.</w:t>
      </w:r>
      <w:r w:rsidRPr="00C16893">
        <w:rPr>
          <w:rFonts w:eastAsia="Times New Roman" w:cs="Times New Roman"/>
          <w:color w:val="000000" w:themeColor="text1"/>
          <w:szCs w:val="20"/>
        </w:rPr>
        <w:tab/>
        <w:t xml:space="preserve">Runoff </w:t>
      </w:r>
      <w:r w:rsidR="003C4508">
        <w:rPr>
          <w:rFonts w:eastAsia="Times New Roman" w:cs="Times New Roman"/>
          <w:color w:val="000000" w:themeColor="text1"/>
          <w:szCs w:val="20"/>
        </w:rPr>
        <w:t>F</w:t>
      </w:r>
      <w:r w:rsidRPr="00C16893">
        <w:rPr>
          <w:rFonts w:eastAsia="Times New Roman" w:cs="Times New Roman"/>
          <w:color w:val="000000" w:themeColor="text1"/>
          <w:szCs w:val="20"/>
        </w:rPr>
        <w:t xml:space="preserve">low </w:t>
      </w:r>
      <w:r w:rsidR="003C4508">
        <w:rPr>
          <w:rFonts w:eastAsia="Times New Roman" w:cs="Times New Roman"/>
          <w:color w:val="000000" w:themeColor="text1"/>
          <w:szCs w:val="20"/>
        </w:rPr>
        <w:t>M</w:t>
      </w:r>
      <w:r w:rsidRPr="00C16893">
        <w:rPr>
          <w:rFonts w:eastAsia="Times New Roman" w:cs="Times New Roman"/>
          <w:color w:val="000000" w:themeColor="text1"/>
          <w:szCs w:val="20"/>
        </w:rPr>
        <w:t>easurements</w:t>
      </w:r>
    </w:p>
    <w:p w14:paraId="3524389E" w14:textId="5316D9F0" w:rsidR="00115E7F" w:rsidRPr="00C16893" w:rsidRDefault="00115E7F" w:rsidP="00CA5FE1">
      <w:pPr>
        <w:ind w:left="1440" w:hanging="360"/>
        <w:rPr>
          <w:rFonts w:eastAsia="Times New Roman" w:cs="Times New Roman"/>
          <w:color w:val="000000" w:themeColor="text1"/>
        </w:rPr>
      </w:pPr>
      <w:bookmarkStart w:id="65" w:name="_Hlk172818949"/>
      <w:bookmarkEnd w:id="64"/>
      <w:r w:rsidRPr="29D9BB6F">
        <w:rPr>
          <w:rFonts w:eastAsia="Times New Roman" w:cs="Times New Roman"/>
          <w:color w:val="000000" w:themeColor="text1"/>
        </w:rPr>
        <w:t>a.</w:t>
      </w:r>
      <w:r>
        <w:tab/>
      </w:r>
      <w:r w:rsidRPr="29D9BB6F">
        <w:rPr>
          <w:rFonts w:eastAsia="Times New Roman" w:cs="Times New Roman"/>
          <w:color w:val="000000" w:themeColor="text1"/>
        </w:rPr>
        <w:t>For municipal</w:t>
      </w:r>
      <w:r w:rsidR="00E37556" w:rsidRPr="29D9BB6F">
        <w:rPr>
          <w:rFonts w:eastAsia="Times New Roman" w:cs="Times New Roman"/>
          <w:color w:val="000000" w:themeColor="text1"/>
        </w:rPr>
        <w:t xml:space="preserve"> stormwater </w:t>
      </w:r>
      <w:r w:rsidRPr="29D9BB6F">
        <w:rPr>
          <w:rFonts w:eastAsia="Times New Roman" w:cs="Times New Roman"/>
          <w:color w:val="000000" w:themeColor="text1"/>
        </w:rPr>
        <w:t>outfalls in existence as of December 31,</w:t>
      </w:r>
      <w:r w:rsidR="008608EA" w:rsidRPr="29D9BB6F">
        <w:rPr>
          <w:rFonts w:eastAsia="Times New Roman" w:cs="Times New Roman"/>
          <w:color w:val="000000" w:themeColor="text1"/>
        </w:rPr>
        <w:t> </w:t>
      </w:r>
      <w:r w:rsidRPr="29D9BB6F">
        <w:rPr>
          <w:rFonts w:eastAsia="Times New Roman" w:cs="Times New Roman"/>
          <w:color w:val="000000" w:themeColor="text1"/>
        </w:rPr>
        <w:t>2007, 18-inches (457 millimeters) or greater in diameter/width (including multiple outfall pipes in combination having a width of 18-inches</w:t>
      </w:r>
      <w:r w:rsidR="008C20AC" w:rsidRPr="29D9BB6F">
        <w:rPr>
          <w:rFonts w:eastAsia="Times New Roman" w:cs="Times New Roman"/>
          <w:color w:val="000000" w:themeColor="text1"/>
        </w:rPr>
        <w:t>)</w:t>
      </w:r>
      <w:r w:rsidRPr="29D9BB6F">
        <w:rPr>
          <w:rFonts w:eastAsia="Times New Roman" w:cs="Times New Roman"/>
          <w:color w:val="000000" w:themeColor="text1"/>
        </w:rPr>
        <w:t>, runoff flows must be measured or calculated using a method acceptable to and approved by the Regional Water Board</w:t>
      </w:r>
      <w:r w:rsidR="00D607A1" w:rsidRPr="29D9BB6F">
        <w:rPr>
          <w:rFonts w:eastAsia="Times New Roman" w:cs="Times New Roman"/>
          <w:color w:val="000000" w:themeColor="text1"/>
        </w:rPr>
        <w:t xml:space="preserve"> </w:t>
      </w:r>
      <w:r w:rsidR="00430E78" w:rsidRPr="29D9BB6F">
        <w:rPr>
          <w:rFonts w:eastAsia="Times New Roman" w:cs="Times New Roman"/>
          <w:color w:val="000000" w:themeColor="text1"/>
        </w:rPr>
        <w:t>Executive Officer</w:t>
      </w:r>
      <w:r w:rsidRPr="29D9BB6F">
        <w:rPr>
          <w:rFonts w:eastAsia="Times New Roman" w:cs="Times New Roman"/>
          <w:color w:val="000000" w:themeColor="text1"/>
        </w:rPr>
        <w:t>.</w:t>
      </w:r>
    </w:p>
    <w:p w14:paraId="499CD652" w14:textId="3BD5B926" w:rsidR="00115E7F" w:rsidRPr="00C16893" w:rsidRDefault="00115E7F" w:rsidP="00CA5FE1">
      <w:pPr>
        <w:ind w:left="1440" w:hanging="360"/>
        <w:rPr>
          <w:rFonts w:eastAsia="Times New Roman" w:cs="Times New Roman"/>
          <w:color w:val="000000" w:themeColor="text1"/>
          <w:szCs w:val="20"/>
        </w:rPr>
      </w:pPr>
      <w:bookmarkStart w:id="66" w:name="_Hlk172818950"/>
      <w:bookmarkEnd w:id="65"/>
      <w:r w:rsidRPr="00C16893">
        <w:rPr>
          <w:rFonts w:eastAsia="Times New Roman" w:cs="Times New Roman"/>
          <w:color w:val="000000" w:themeColor="text1"/>
          <w:szCs w:val="20"/>
        </w:rPr>
        <w:t>b.</w:t>
      </w:r>
      <w:r w:rsidRPr="00C16893">
        <w:rPr>
          <w:rFonts w:eastAsia="Times New Roman" w:cs="Times New Roman"/>
          <w:color w:val="000000" w:themeColor="text1"/>
          <w:szCs w:val="20"/>
        </w:rPr>
        <w:tab/>
      </w:r>
      <w:r w:rsidR="00CF6BFA">
        <w:rPr>
          <w:rFonts w:eastAsia="Times New Roman" w:cs="Times New Roman"/>
          <w:color w:val="000000" w:themeColor="text1"/>
          <w:szCs w:val="20"/>
        </w:rPr>
        <w:t>Runoff flow measurements</w:t>
      </w:r>
      <w:r w:rsidRPr="00C16893">
        <w:rPr>
          <w:rFonts w:eastAsia="Times New Roman" w:cs="Times New Roman"/>
          <w:color w:val="000000" w:themeColor="text1"/>
          <w:szCs w:val="20"/>
        </w:rPr>
        <w:t xml:space="preserve"> </w:t>
      </w:r>
      <w:r w:rsidR="00662223">
        <w:rPr>
          <w:rFonts w:eastAsia="Times New Roman" w:cs="Times New Roman"/>
          <w:color w:val="000000" w:themeColor="text1"/>
          <w:szCs w:val="20"/>
        </w:rPr>
        <w:t>or calculations shall</w:t>
      </w:r>
      <w:r w:rsidRPr="00C16893">
        <w:rPr>
          <w:rFonts w:eastAsia="Times New Roman" w:cs="Times New Roman"/>
          <w:color w:val="000000" w:themeColor="text1"/>
          <w:szCs w:val="20"/>
        </w:rPr>
        <w:t xml:space="preserve"> be reported annually for each precipitation season.</w:t>
      </w:r>
    </w:p>
    <w:p w14:paraId="20D6E839" w14:textId="45F3B7C6" w:rsidR="00115E7F" w:rsidRPr="00C16893" w:rsidRDefault="00115E7F" w:rsidP="00CA5FE1">
      <w:pPr>
        <w:ind w:left="1080" w:hanging="360"/>
        <w:rPr>
          <w:rFonts w:eastAsia="Times New Roman" w:cs="Times New Roman"/>
          <w:color w:val="000000" w:themeColor="text1"/>
          <w:szCs w:val="20"/>
        </w:rPr>
      </w:pPr>
      <w:bookmarkStart w:id="67" w:name="_Hlk172818951"/>
      <w:bookmarkEnd w:id="66"/>
      <w:r w:rsidRPr="00C16893">
        <w:rPr>
          <w:rFonts w:eastAsia="Times New Roman" w:cs="Times New Roman"/>
          <w:color w:val="000000" w:themeColor="text1"/>
          <w:szCs w:val="20"/>
        </w:rPr>
        <w:t>3.</w:t>
      </w:r>
      <w:r w:rsidRPr="00C16893">
        <w:rPr>
          <w:rFonts w:eastAsia="Times New Roman" w:cs="Times New Roman"/>
          <w:color w:val="000000" w:themeColor="text1"/>
          <w:szCs w:val="20"/>
        </w:rPr>
        <w:tab/>
        <w:t xml:space="preserve">Runoff </w:t>
      </w:r>
      <w:r w:rsidR="00CF6BFA">
        <w:rPr>
          <w:rFonts w:eastAsia="Times New Roman" w:cs="Times New Roman"/>
          <w:color w:val="000000" w:themeColor="text1"/>
          <w:szCs w:val="20"/>
        </w:rPr>
        <w:t>S</w:t>
      </w:r>
      <w:r w:rsidRPr="00C16893">
        <w:rPr>
          <w:rFonts w:eastAsia="Times New Roman" w:cs="Times New Roman"/>
          <w:color w:val="000000" w:themeColor="text1"/>
          <w:szCs w:val="20"/>
        </w:rPr>
        <w:t xml:space="preserve">amples – </w:t>
      </w:r>
      <w:r w:rsidR="00CF6BFA">
        <w:rPr>
          <w:rFonts w:eastAsia="Times New Roman" w:cs="Times New Roman"/>
          <w:color w:val="000000" w:themeColor="text1"/>
          <w:szCs w:val="20"/>
        </w:rPr>
        <w:t>S</w:t>
      </w:r>
      <w:r w:rsidRPr="00C16893">
        <w:rPr>
          <w:rFonts w:eastAsia="Times New Roman" w:cs="Times New Roman"/>
          <w:color w:val="000000" w:themeColor="text1"/>
          <w:szCs w:val="20"/>
        </w:rPr>
        <w:t xml:space="preserve">torm </w:t>
      </w:r>
      <w:r w:rsidR="00CF6BFA">
        <w:rPr>
          <w:rFonts w:eastAsia="Times New Roman" w:cs="Times New Roman"/>
          <w:color w:val="000000" w:themeColor="text1"/>
          <w:szCs w:val="20"/>
        </w:rPr>
        <w:t>E</w:t>
      </w:r>
      <w:r w:rsidRPr="00C16893">
        <w:rPr>
          <w:rFonts w:eastAsia="Times New Roman" w:cs="Times New Roman"/>
          <w:color w:val="000000" w:themeColor="text1"/>
          <w:szCs w:val="20"/>
        </w:rPr>
        <w:t>vents</w:t>
      </w:r>
    </w:p>
    <w:bookmarkEnd w:id="67"/>
    <w:p w14:paraId="6F97A3C7" w14:textId="77777777" w:rsidR="00115E7F" w:rsidRPr="00C16893" w:rsidRDefault="00115E7F" w:rsidP="00760C25">
      <w:pPr>
        <w:ind w:left="1440" w:hanging="360"/>
        <w:rPr>
          <w:rFonts w:eastAsia="Times New Roman" w:cs="Times New Roman"/>
          <w:color w:val="000000" w:themeColor="text1"/>
          <w:szCs w:val="20"/>
        </w:rPr>
      </w:pPr>
      <w:r w:rsidRPr="00C16893">
        <w:rPr>
          <w:rFonts w:eastAsia="Times New Roman" w:cs="Times New Roman"/>
          <w:color w:val="000000" w:themeColor="text1"/>
          <w:szCs w:val="20"/>
        </w:rPr>
        <w:lastRenderedPageBreak/>
        <w:t>a.</w:t>
      </w:r>
      <w:r w:rsidRPr="00C16893">
        <w:rPr>
          <w:rFonts w:eastAsia="Times New Roman" w:cs="Times New Roman"/>
          <w:color w:val="000000" w:themeColor="text1"/>
          <w:szCs w:val="20"/>
        </w:rPr>
        <w:tab/>
      </w:r>
      <w:bookmarkStart w:id="68" w:name="_Hlk172818952"/>
      <w:r w:rsidRPr="00C16893">
        <w:rPr>
          <w:rFonts w:eastAsia="Times New Roman" w:cs="Times New Roman"/>
          <w:color w:val="000000" w:themeColor="text1"/>
          <w:szCs w:val="20"/>
        </w:rPr>
        <w:t>For outfalls equal to or greater than 18 inches (0.46 meters) in diameter or width:</w:t>
      </w:r>
    </w:p>
    <w:p w14:paraId="2772F7AA" w14:textId="3E65EE44" w:rsidR="00115E7F" w:rsidRPr="00BB4103" w:rsidRDefault="00115E7F" w:rsidP="00D238C8">
      <w:pPr>
        <w:pStyle w:val="ListParagraph"/>
        <w:numPr>
          <w:ilvl w:val="0"/>
          <w:numId w:val="40"/>
        </w:numPr>
        <w:tabs>
          <w:tab w:val="clear" w:pos="360"/>
        </w:tabs>
        <w:ind w:left="1800"/>
        <w:rPr>
          <w:rFonts w:eastAsia="Times New Roman" w:cs="Times New Roman"/>
          <w:color w:val="000000" w:themeColor="text1"/>
          <w:szCs w:val="20"/>
        </w:rPr>
      </w:pPr>
      <w:bookmarkStart w:id="69" w:name="_Hlk172818953"/>
      <w:bookmarkEnd w:id="68"/>
      <w:r w:rsidRPr="00BB4103">
        <w:rPr>
          <w:rFonts w:eastAsia="Times New Roman" w:cs="Times New Roman"/>
          <w:color w:val="000000" w:themeColor="text1"/>
          <w:szCs w:val="20"/>
        </w:rPr>
        <w:t>Samples of</w:t>
      </w:r>
      <w:r w:rsidR="00E37556" w:rsidRPr="00BB4103">
        <w:rPr>
          <w:rFonts w:eastAsia="Times New Roman" w:cs="Times New Roman"/>
          <w:color w:val="000000" w:themeColor="text1"/>
          <w:szCs w:val="20"/>
        </w:rPr>
        <w:t xml:space="preserve"> stormwater </w:t>
      </w:r>
      <w:r w:rsidRPr="00BB4103">
        <w:rPr>
          <w:rFonts w:eastAsia="Times New Roman" w:cs="Times New Roman"/>
          <w:color w:val="000000" w:themeColor="text1"/>
          <w:szCs w:val="20"/>
        </w:rPr>
        <w:t>runoff shall be analyzed for oil and grease</w:t>
      </w:r>
      <w:r w:rsidR="00592D95">
        <w:rPr>
          <w:rFonts w:eastAsia="Times New Roman" w:cs="Times New Roman"/>
          <w:color w:val="000000" w:themeColor="text1"/>
          <w:szCs w:val="20"/>
        </w:rPr>
        <w:t>;</w:t>
      </w:r>
      <w:r w:rsidRPr="00BB4103">
        <w:rPr>
          <w:rFonts w:eastAsia="Times New Roman" w:cs="Times New Roman"/>
          <w:color w:val="000000" w:themeColor="text1"/>
          <w:szCs w:val="20"/>
        </w:rPr>
        <w:t xml:space="preserve"> total suspended solids</w:t>
      </w:r>
      <w:r w:rsidR="00D253B7">
        <w:rPr>
          <w:rFonts w:eastAsia="Times New Roman" w:cs="Times New Roman"/>
          <w:color w:val="000000" w:themeColor="text1"/>
          <w:szCs w:val="20"/>
        </w:rPr>
        <w:t>;</w:t>
      </w:r>
      <w:r w:rsidRPr="00BB4103">
        <w:rPr>
          <w:rFonts w:eastAsia="Times New Roman" w:cs="Times New Roman"/>
          <w:color w:val="000000" w:themeColor="text1"/>
          <w:szCs w:val="20"/>
        </w:rPr>
        <w:t xml:space="preserve"> and, within the range of the southern sea otter</w:t>
      </w:r>
      <w:r w:rsidR="00D253B7">
        <w:rPr>
          <w:rFonts w:eastAsia="Times New Roman" w:cs="Times New Roman"/>
          <w:color w:val="000000" w:themeColor="text1"/>
          <w:szCs w:val="20"/>
        </w:rPr>
        <w:t>,</w:t>
      </w:r>
      <w:r w:rsidRPr="00BB4103">
        <w:rPr>
          <w:rFonts w:eastAsia="Times New Roman" w:cs="Times New Roman"/>
          <w:color w:val="000000" w:themeColor="text1"/>
          <w:szCs w:val="20"/>
        </w:rPr>
        <w:t xml:space="preserve"> indicator bacteria or some other measure of fecal contamination; and</w:t>
      </w:r>
    </w:p>
    <w:p w14:paraId="0093FDAB" w14:textId="09C3DE72" w:rsidR="00115E7F" w:rsidRPr="00BB4103" w:rsidRDefault="00115E7F" w:rsidP="00D238C8">
      <w:pPr>
        <w:pStyle w:val="ListParagraph"/>
        <w:numPr>
          <w:ilvl w:val="0"/>
          <w:numId w:val="40"/>
        </w:numPr>
        <w:tabs>
          <w:tab w:val="clear" w:pos="360"/>
        </w:tabs>
        <w:ind w:left="1800"/>
        <w:rPr>
          <w:rFonts w:eastAsia="Times New Roman" w:cs="Times New Roman"/>
          <w:color w:val="000000" w:themeColor="text1"/>
          <w:szCs w:val="20"/>
        </w:rPr>
      </w:pPr>
      <w:bookmarkStart w:id="70" w:name="_Hlk172818954"/>
      <w:bookmarkEnd w:id="69"/>
      <w:r w:rsidRPr="00BB4103">
        <w:rPr>
          <w:rFonts w:eastAsia="Times New Roman" w:cs="Times New Roman"/>
          <w:color w:val="000000" w:themeColor="text1"/>
          <w:szCs w:val="20"/>
        </w:rPr>
        <w:t>Samples of</w:t>
      </w:r>
      <w:r w:rsidR="00E37556" w:rsidRPr="00BB4103">
        <w:rPr>
          <w:rFonts w:eastAsia="Times New Roman" w:cs="Times New Roman"/>
          <w:color w:val="000000" w:themeColor="text1"/>
          <w:szCs w:val="20"/>
        </w:rPr>
        <w:t xml:space="preserve"> stormwater </w:t>
      </w:r>
      <w:r w:rsidRPr="00BB4103">
        <w:rPr>
          <w:rFonts w:eastAsia="Times New Roman" w:cs="Times New Roman"/>
          <w:color w:val="000000" w:themeColor="text1"/>
          <w:szCs w:val="20"/>
        </w:rPr>
        <w:t>runoff shall be analyzed for critical life stage chronic toxicity (one invertebrate or algal species) at least once during each storm season when receiving water is sampled in the ASBS.</w:t>
      </w:r>
    </w:p>
    <w:p w14:paraId="1FD87CB7" w14:textId="00E70FAF" w:rsidR="00115E7F" w:rsidRPr="00C16893" w:rsidRDefault="00115E7F" w:rsidP="00D238C8">
      <w:pPr>
        <w:ind w:left="1440" w:hanging="360"/>
        <w:rPr>
          <w:rFonts w:eastAsia="Times New Roman" w:cs="Times New Roman"/>
          <w:color w:val="000000" w:themeColor="text1"/>
          <w:szCs w:val="20"/>
        </w:rPr>
      </w:pPr>
      <w:bookmarkStart w:id="71" w:name="_Hlk172818956"/>
      <w:bookmarkEnd w:id="70"/>
      <w:r w:rsidRPr="00C16893">
        <w:rPr>
          <w:rFonts w:eastAsia="Times New Roman" w:cs="Times New Roman"/>
          <w:color w:val="000000" w:themeColor="text1"/>
          <w:szCs w:val="20"/>
        </w:rPr>
        <w:t>b.</w:t>
      </w:r>
      <w:r w:rsidRPr="00C16893">
        <w:rPr>
          <w:rFonts w:eastAsia="Times New Roman" w:cs="Times New Roman"/>
          <w:color w:val="000000" w:themeColor="text1"/>
          <w:szCs w:val="20"/>
        </w:rPr>
        <w:tab/>
        <w:t>For outfalls equal to or greater than 36 inches (0.91 meters) in diameter or width:</w:t>
      </w:r>
    </w:p>
    <w:p w14:paraId="4F354A3A" w14:textId="02EEFD4C" w:rsidR="00115E7F" w:rsidRPr="00C16893" w:rsidRDefault="00115E7F" w:rsidP="00D238C8">
      <w:pPr>
        <w:pStyle w:val="ListParagraph"/>
        <w:numPr>
          <w:ilvl w:val="0"/>
          <w:numId w:val="43"/>
        </w:numPr>
        <w:tabs>
          <w:tab w:val="clear" w:pos="360"/>
        </w:tabs>
        <w:ind w:left="1800"/>
        <w:rPr>
          <w:rFonts w:eastAsia="Times New Roman" w:cs="Times New Roman"/>
          <w:color w:val="000000" w:themeColor="text1"/>
          <w:szCs w:val="20"/>
        </w:rPr>
      </w:pPr>
      <w:bookmarkStart w:id="72" w:name="_Hlk172818957"/>
      <w:bookmarkEnd w:id="71"/>
      <w:r w:rsidRPr="00C16893">
        <w:rPr>
          <w:rFonts w:eastAsia="Times New Roman" w:cs="Times New Roman"/>
          <w:color w:val="000000" w:themeColor="text1"/>
          <w:szCs w:val="20"/>
        </w:rPr>
        <w:t>Samples of</w:t>
      </w:r>
      <w:r w:rsidR="00E37556">
        <w:rPr>
          <w:rFonts w:eastAsia="Times New Roman" w:cs="Times New Roman"/>
          <w:color w:val="000000" w:themeColor="text1"/>
          <w:szCs w:val="20"/>
        </w:rPr>
        <w:t xml:space="preserve"> stormwater </w:t>
      </w:r>
      <w:r w:rsidRPr="00C16893">
        <w:rPr>
          <w:rFonts w:eastAsia="Times New Roman" w:cs="Times New Roman"/>
          <w:color w:val="000000" w:themeColor="text1"/>
          <w:szCs w:val="20"/>
        </w:rPr>
        <w:t>runoff shall be analyzed for oil and grease</w:t>
      </w:r>
      <w:r w:rsidR="006357A6">
        <w:rPr>
          <w:rFonts w:eastAsia="Times New Roman" w:cs="Times New Roman"/>
          <w:color w:val="000000" w:themeColor="text1"/>
          <w:szCs w:val="20"/>
        </w:rPr>
        <w:t>;</w:t>
      </w:r>
      <w:r w:rsidRPr="00C16893">
        <w:rPr>
          <w:rFonts w:eastAsia="Times New Roman" w:cs="Times New Roman"/>
          <w:color w:val="000000" w:themeColor="text1"/>
          <w:szCs w:val="20"/>
        </w:rPr>
        <w:t xml:space="preserve"> total suspended solids</w:t>
      </w:r>
      <w:r w:rsidR="006357A6">
        <w:rPr>
          <w:rFonts w:eastAsia="Times New Roman" w:cs="Times New Roman"/>
          <w:color w:val="000000" w:themeColor="text1"/>
          <w:szCs w:val="20"/>
        </w:rPr>
        <w:t>;</w:t>
      </w:r>
      <w:r w:rsidRPr="00C16893">
        <w:rPr>
          <w:rFonts w:eastAsia="Times New Roman" w:cs="Times New Roman"/>
          <w:color w:val="000000" w:themeColor="text1"/>
          <w:szCs w:val="20"/>
        </w:rPr>
        <w:t xml:space="preserve"> and, within the range of the southern sea otter</w:t>
      </w:r>
      <w:r w:rsidR="006357A6">
        <w:rPr>
          <w:rFonts w:eastAsia="Times New Roman" w:cs="Times New Roman"/>
          <w:color w:val="000000" w:themeColor="text1"/>
          <w:szCs w:val="20"/>
        </w:rPr>
        <w:t>,</w:t>
      </w:r>
      <w:r w:rsidRPr="00C16893">
        <w:rPr>
          <w:rFonts w:eastAsia="Times New Roman" w:cs="Times New Roman"/>
          <w:color w:val="000000" w:themeColor="text1"/>
          <w:szCs w:val="20"/>
        </w:rPr>
        <w:t xml:space="preserve"> indicator bacteria or some other measure of fecal contamination; and</w:t>
      </w:r>
    </w:p>
    <w:p w14:paraId="4A6D736E" w14:textId="25780CD3" w:rsidR="00115E7F" w:rsidRPr="00C16893" w:rsidRDefault="00115E7F" w:rsidP="00D238C8">
      <w:pPr>
        <w:pStyle w:val="ListParagraph"/>
        <w:numPr>
          <w:ilvl w:val="0"/>
          <w:numId w:val="43"/>
        </w:numPr>
        <w:tabs>
          <w:tab w:val="clear" w:pos="360"/>
        </w:tabs>
        <w:ind w:left="1800"/>
        <w:rPr>
          <w:rFonts w:eastAsia="Times New Roman" w:cs="Times New Roman"/>
          <w:color w:val="000000" w:themeColor="text1"/>
          <w:szCs w:val="20"/>
        </w:rPr>
      </w:pPr>
      <w:bookmarkStart w:id="73" w:name="_Hlk172818958"/>
      <w:bookmarkEnd w:id="72"/>
      <w:r w:rsidRPr="00C16893">
        <w:rPr>
          <w:rFonts w:eastAsia="Times New Roman" w:cs="Times New Roman"/>
          <w:color w:val="000000" w:themeColor="text1"/>
          <w:szCs w:val="20"/>
        </w:rPr>
        <w:t>Samples of</w:t>
      </w:r>
      <w:r w:rsidR="00E37556">
        <w:rPr>
          <w:rFonts w:eastAsia="Times New Roman" w:cs="Times New Roman"/>
          <w:color w:val="000000" w:themeColor="text1"/>
          <w:szCs w:val="20"/>
        </w:rPr>
        <w:t xml:space="preserve"> stormwater </w:t>
      </w:r>
      <w:r w:rsidRPr="00C16893">
        <w:rPr>
          <w:rFonts w:eastAsia="Times New Roman" w:cs="Times New Roman"/>
          <w:color w:val="000000" w:themeColor="text1"/>
          <w:szCs w:val="20"/>
        </w:rPr>
        <w:t xml:space="preserve">runoff shall be further analyzed for Ocean Plan Table </w:t>
      </w:r>
      <w:r w:rsidR="003B2CC5">
        <w:rPr>
          <w:rFonts w:eastAsia="Times New Roman" w:cs="Times New Roman"/>
          <w:color w:val="000000" w:themeColor="text1"/>
          <w:szCs w:val="20"/>
        </w:rPr>
        <w:t>3</w:t>
      </w:r>
      <w:r w:rsidRPr="00C16893">
        <w:rPr>
          <w:rFonts w:eastAsia="Times New Roman" w:cs="Times New Roman"/>
          <w:color w:val="000000" w:themeColor="text1"/>
          <w:szCs w:val="20"/>
        </w:rPr>
        <w:t xml:space="preserve"> metals for protection of marine life, Ocean Plan polynuclear aromatic hydrocarbons (PAHs), current use pesticides (pyrethroids and OP pesticides), and nutrients (ammonia, nitrate and phosphates); and</w:t>
      </w:r>
    </w:p>
    <w:p w14:paraId="274E367A" w14:textId="1FD826CD" w:rsidR="29D9BB6F" w:rsidRPr="00291BC2" w:rsidRDefault="00115E7F" w:rsidP="00291BC2">
      <w:pPr>
        <w:pStyle w:val="ListParagraph"/>
        <w:numPr>
          <w:ilvl w:val="0"/>
          <w:numId w:val="40"/>
        </w:numPr>
        <w:ind w:left="1800"/>
        <w:rPr>
          <w:rFonts w:eastAsia="Times New Roman" w:cs="Times New Roman"/>
          <w:color w:val="000000" w:themeColor="text1"/>
        </w:rPr>
      </w:pPr>
      <w:bookmarkStart w:id="74" w:name="_Hlk172818959"/>
      <w:bookmarkEnd w:id="73"/>
      <w:r w:rsidRPr="00291BC2">
        <w:rPr>
          <w:rFonts w:eastAsia="Times New Roman" w:cs="Times New Roman"/>
          <w:color w:val="000000" w:themeColor="text1"/>
        </w:rPr>
        <w:t>Samples of</w:t>
      </w:r>
      <w:r w:rsidR="00E37556" w:rsidRPr="00291BC2">
        <w:rPr>
          <w:rFonts w:eastAsia="Times New Roman" w:cs="Times New Roman"/>
          <w:color w:val="000000" w:themeColor="text1"/>
        </w:rPr>
        <w:t xml:space="preserve"> stormwater </w:t>
      </w:r>
      <w:r w:rsidRPr="00291BC2">
        <w:rPr>
          <w:rFonts w:eastAsia="Times New Roman" w:cs="Times New Roman"/>
          <w:color w:val="000000" w:themeColor="text1"/>
        </w:rPr>
        <w:t>runoff shall be analyzed for critical stage chronic toxicity (one invertebrate or algal species) at least once during each storm season when receiving water is sampled in the ASBS.</w:t>
      </w:r>
    </w:p>
    <w:p w14:paraId="2D3D7C81" w14:textId="42553BD2" w:rsidR="00115E7F" w:rsidRPr="00C16893" w:rsidRDefault="38EB9BDA" w:rsidP="29D9BB6F">
      <w:pPr>
        <w:ind w:left="1440" w:hanging="360"/>
        <w:rPr>
          <w:rFonts w:eastAsia="Times New Roman" w:cs="Times New Roman"/>
          <w:color w:val="000000" w:themeColor="text1"/>
        </w:rPr>
      </w:pPr>
      <w:r w:rsidRPr="29D9BB6F">
        <w:rPr>
          <w:rFonts w:eastAsia="Times New Roman" w:cs="Times New Roman"/>
          <w:color w:val="000000" w:themeColor="text1"/>
        </w:rPr>
        <w:t>c.</w:t>
      </w:r>
      <w:r w:rsidR="00115E7F">
        <w:tab/>
      </w:r>
      <w:r w:rsidR="2513DD3A" w:rsidRPr="29D9BB6F">
        <w:rPr>
          <w:rFonts w:eastAsia="Times New Roman" w:cs="Times New Roman"/>
          <w:color w:val="000000" w:themeColor="text1"/>
        </w:rPr>
        <w:t>If a Permittee has no outfall greater than 36 inches, then stormwater runoff from the Permittee’s largest outfall shall be further analyzed during the same storm as receiving water samples for Ocean Plan Table 3 metals for protection of marine life, Ocean Plan polynuclear aromatic hydrocarbons (PAHs), current use pesticides (pyrethroids and OP pesticides), and nutrients (ammonia, nitrate and phosphates).</w:t>
      </w:r>
    </w:p>
    <w:p w14:paraId="57EC114D" w14:textId="5AE4CDB7" w:rsidR="00115E7F" w:rsidRPr="00C16893" w:rsidRDefault="2513DD3A" w:rsidP="00D238C8">
      <w:pPr>
        <w:ind w:left="1440" w:hanging="360"/>
        <w:rPr>
          <w:rFonts w:eastAsia="Times New Roman" w:cs="Times New Roman"/>
          <w:color w:val="000000" w:themeColor="text1"/>
        </w:rPr>
      </w:pPr>
      <w:r w:rsidRPr="29D9BB6F">
        <w:rPr>
          <w:rFonts w:eastAsia="Times New Roman" w:cs="Times New Roman"/>
          <w:color w:val="000000" w:themeColor="text1"/>
        </w:rPr>
        <w:t xml:space="preserve">d. </w:t>
      </w:r>
      <w:r w:rsidR="00115E7F">
        <w:tab/>
      </w:r>
      <w:r w:rsidR="00115E7F" w:rsidRPr="29D9BB6F">
        <w:rPr>
          <w:rFonts w:eastAsia="Times New Roman" w:cs="Times New Roman"/>
          <w:color w:val="000000" w:themeColor="text1"/>
        </w:rPr>
        <w:t>For a</w:t>
      </w:r>
      <w:r w:rsidR="006300EF" w:rsidRPr="29D9BB6F">
        <w:rPr>
          <w:rFonts w:eastAsia="Times New Roman" w:cs="Times New Roman"/>
          <w:color w:val="000000" w:themeColor="text1"/>
        </w:rPr>
        <w:t xml:space="preserve"> </w:t>
      </w:r>
      <w:r w:rsidR="00AF4844" w:rsidRPr="29D9BB6F">
        <w:rPr>
          <w:rFonts w:eastAsia="Times New Roman" w:cs="Times New Roman"/>
          <w:color w:val="000000" w:themeColor="text1"/>
        </w:rPr>
        <w:t>Permittee</w:t>
      </w:r>
      <w:r w:rsidR="006300EF" w:rsidRPr="29D9BB6F">
        <w:rPr>
          <w:rFonts w:eastAsia="Times New Roman" w:cs="Times New Roman"/>
          <w:color w:val="000000" w:themeColor="text1"/>
        </w:rPr>
        <w:t xml:space="preserve"> </w:t>
      </w:r>
      <w:r w:rsidR="00115E7F" w:rsidRPr="29D9BB6F">
        <w:rPr>
          <w:rFonts w:eastAsia="Times New Roman" w:cs="Times New Roman"/>
          <w:color w:val="000000" w:themeColor="text1"/>
        </w:rPr>
        <w:t xml:space="preserve">not participating in a regional monitoring program, a minimum of the two largest outfalls or 20 percent of the larger outfalls, whichever is greater, shall be sampled (flow weighted composite samples) at least three times annually during wet weather (storm event) and analyzed for all Ocean Plan </w:t>
      </w:r>
      <w:bookmarkStart w:id="75" w:name="_Hlk172818892"/>
      <w:bookmarkStart w:id="76" w:name="_Hlk172818960"/>
      <w:bookmarkEnd w:id="74"/>
      <w:r w:rsidR="00275A2A" w:rsidRPr="29D9BB6F">
        <w:fldChar w:fldCharType="begin"/>
      </w:r>
      <w:r w:rsidR="00275A2A">
        <w:instrText>HYPERLINK \l "Tables"</w:instrText>
      </w:r>
      <w:r w:rsidR="00275A2A" w:rsidRPr="29D9BB6F">
        <w:fldChar w:fldCharType="separate"/>
      </w:r>
      <w:r w:rsidR="00115E7F" w:rsidRPr="29D9BB6F">
        <w:rPr>
          <w:rStyle w:val="Hyperlink"/>
          <w:rFonts w:eastAsia="Times New Roman" w:cs="Times New Roman"/>
        </w:rPr>
        <w:t>Table 4</w:t>
      </w:r>
      <w:r w:rsidR="00275A2A" w:rsidRPr="29D9BB6F">
        <w:rPr>
          <w:rStyle w:val="Hyperlink"/>
          <w:rFonts w:eastAsia="Times New Roman" w:cs="Times New Roman"/>
        </w:rPr>
        <w:fldChar w:fldCharType="end"/>
      </w:r>
      <w:bookmarkEnd w:id="75"/>
      <w:r w:rsidR="00115E7F" w:rsidRPr="29D9BB6F">
        <w:rPr>
          <w:rFonts w:eastAsia="Times New Roman" w:cs="Times New Roman"/>
          <w:color w:val="000000" w:themeColor="text1"/>
        </w:rPr>
        <w:t xml:space="preserve"> constituents, </w:t>
      </w:r>
      <w:bookmarkStart w:id="77" w:name="_Hlk172818893"/>
      <w:bookmarkStart w:id="78" w:name="_Hlk172818961"/>
      <w:bookmarkEnd w:id="76"/>
      <w:r w:rsidR="00275A2A" w:rsidRPr="29D9BB6F">
        <w:fldChar w:fldCharType="begin"/>
      </w:r>
      <w:r w:rsidR="00275A2A">
        <w:instrText>HYPERLINK \l "Tables"</w:instrText>
      </w:r>
      <w:r w:rsidR="00275A2A" w:rsidRPr="29D9BB6F">
        <w:fldChar w:fldCharType="separate"/>
      </w:r>
      <w:r w:rsidR="00115E7F" w:rsidRPr="29D9BB6F">
        <w:rPr>
          <w:rStyle w:val="Hyperlink"/>
          <w:rFonts w:eastAsia="Times New Roman" w:cs="Times New Roman"/>
        </w:rPr>
        <w:t>Table 3</w:t>
      </w:r>
      <w:r w:rsidR="00275A2A" w:rsidRPr="29D9BB6F">
        <w:rPr>
          <w:rStyle w:val="Hyperlink"/>
          <w:rFonts w:eastAsia="Times New Roman" w:cs="Times New Roman"/>
        </w:rPr>
        <w:fldChar w:fldCharType="end"/>
      </w:r>
      <w:bookmarkEnd w:id="77"/>
      <w:r w:rsidR="00115E7F" w:rsidRPr="29D9BB6F">
        <w:rPr>
          <w:rFonts w:eastAsia="Times New Roman" w:cs="Times New Roman"/>
          <w:color w:val="000000" w:themeColor="text1"/>
        </w:rPr>
        <w:t xml:space="preserve"> constituents for marine aquatic life protection (except for toxicity, only chronic toxicity for three species shall be required), DDT, PCBs, Ocean Plan PAHs, OP pesticides, pyrethroids, nitrates, phosphates, and Ocean Plan indicator bacteria. For parties discharging to ASBS in more than one Regional Water Board region, at a minimum, one (the largest) such discharge shall be sampled annually in each Region.</w:t>
      </w:r>
      <w:bookmarkEnd w:id="78"/>
    </w:p>
    <w:p w14:paraId="1660A5CB" w14:textId="5657859A" w:rsidR="00115E7F" w:rsidRPr="00C16893" w:rsidRDefault="00115E7F" w:rsidP="00D238C8">
      <w:pPr>
        <w:ind w:left="1080" w:hanging="360"/>
        <w:rPr>
          <w:rFonts w:eastAsia="Times New Roman" w:cs="Times New Roman"/>
          <w:color w:val="000000" w:themeColor="text1"/>
          <w:szCs w:val="20"/>
        </w:rPr>
      </w:pPr>
      <w:bookmarkStart w:id="79" w:name="_Hlk172818962"/>
      <w:r w:rsidRPr="00C16893">
        <w:rPr>
          <w:rFonts w:eastAsia="Times New Roman" w:cs="Times New Roman"/>
          <w:color w:val="000000" w:themeColor="text1"/>
          <w:szCs w:val="20"/>
        </w:rPr>
        <w:lastRenderedPageBreak/>
        <w:t>4.</w:t>
      </w:r>
      <w:r w:rsidRPr="00C16893">
        <w:rPr>
          <w:rFonts w:eastAsia="Times New Roman" w:cs="Times New Roman"/>
          <w:color w:val="000000" w:themeColor="text1"/>
          <w:szCs w:val="20"/>
        </w:rPr>
        <w:tab/>
        <w:t>The Executive Director of the State Water Board may reduce or suspend core monitoring once the storm runoff is fully characterized.</w:t>
      </w:r>
      <w:r w:rsidR="006E5FE9">
        <w:rPr>
          <w:rFonts w:eastAsia="Times New Roman" w:cs="Times New Roman"/>
          <w:color w:val="000000" w:themeColor="text1"/>
          <w:szCs w:val="20"/>
        </w:rPr>
        <w:t xml:space="preserve"> The Executive Director of the State Water Board may req</w:t>
      </w:r>
      <w:r w:rsidR="0078416C">
        <w:rPr>
          <w:rFonts w:eastAsia="Times New Roman" w:cs="Times New Roman"/>
          <w:color w:val="000000" w:themeColor="text1"/>
          <w:szCs w:val="20"/>
        </w:rPr>
        <w:t>uire</w:t>
      </w:r>
      <w:r w:rsidR="006E5FE9">
        <w:rPr>
          <w:rFonts w:eastAsia="Times New Roman" w:cs="Times New Roman"/>
          <w:color w:val="000000" w:themeColor="text1"/>
          <w:szCs w:val="20"/>
        </w:rPr>
        <w:t xml:space="preserve"> additional monitoring as appropriate. </w:t>
      </w:r>
    </w:p>
    <w:p w14:paraId="179D7251" w14:textId="321A1FB6" w:rsidR="002C77D3" w:rsidRPr="00BC79E8" w:rsidRDefault="003F148F" w:rsidP="006D4C3A">
      <w:pPr>
        <w:pStyle w:val="Heading3"/>
        <w:spacing w:before="240" w:after="240"/>
        <w:ind w:left="720" w:hanging="720"/>
      </w:pPr>
      <w:bookmarkStart w:id="80" w:name="_Hlk172818884"/>
      <w:bookmarkEnd w:id="79"/>
      <w:r w:rsidRPr="00BC79E8">
        <w:t>F</w:t>
      </w:r>
      <w:r w:rsidR="00F4627F" w:rsidRPr="00BC79E8">
        <w:t>7</w:t>
      </w:r>
      <w:r w:rsidR="00115E7F" w:rsidRPr="00BC79E8">
        <w:t>.</w:t>
      </w:r>
      <w:r w:rsidR="00F773C7">
        <w:t>3</w:t>
      </w:r>
      <w:r w:rsidR="00115E7F" w:rsidRPr="00BC79E8">
        <w:tab/>
      </w:r>
      <w:r w:rsidR="00096DC5" w:rsidRPr="00BC79E8">
        <w:t>Ocean Receiving Water Monitoring Program</w:t>
      </w:r>
      <w:r w:rsidR="00241DFD">
        <w:t xml:space="preserve">: </w:t>
      </w:r>
      <w:r w:rsidR="00424199">
        <w:t xml:space="preserve">Choice of </w:t>
      </w:r>
      <w:r w:rsidR="00241DFD">
        <w:t xml:space="preserve">Individual </w:t>
      </w:r>
      <w:r w:rsidR="00424199">
        <w:t>Monitoring Program or</w:t>
      </w:r>
      <w:r w:rsidR="00241DFD">
        <w:t xml:space="preserve"> Regional Integrated with </w:t>
      </w:r>
      <w:r w:rsidR="00096DC5" w:rsidRPr="00BC79E8">
        <w:t>Reference Area Monitoring Program</w:t>
      </w:r>
    </w:p>
    <w:p w14:paraId="24D436DF" w14:textId="4DDF19ED" w:rsidR="00096DC5" w:rsidRPr="00C16893" w:rsidRDefault="003644B5" w:rsidP="00891650">
      <w:pPr>
        <w:rPr>
          <w:rFonts w:eastAsia="Times New Roman" w:cs="Times New Roman"/>
          <w:color w:val="000000" w:themeColor="text1"/>
          <w:szCs w:val="20"/>
        </w:rPr>
      </w:pPr>
      <w:bookmarkStart w:id="81" w:name="_Hlk172818963"/>
      <w:bookmarkEnd w:id="80"/>
      <w:r>
        <w:t xml:space="preserve">The following Ocean Receiving Water Monitoring is required if the </w:t>
      </w:r>
      <w:r w:rsidR="00AF4844">
        <w:t>Permittee</w:t>
      </w:r>
      <w:r>
        <w:t xml:space="preserve"> has not completed th</w:t>
      </w:r>
      <w:r w:rsidR="00193104">
        <w:t>is</w:t>
      </w:r>
      <w:r>
        <w:t xml:space="preserve"> monitoring</w:t>
      </w:r>
      <w:r w:rsidR="00577298">
        <w:t xml:space="preserve"> as</w:t>
      </w:r>
      <w:r>
        <w:t xml:space="preserve"> required under the previous permit. </w:t>
      </w:r>
      <w:r w:rsidR="00096DC5" w:rsidRPr="00C16893">
        <w:rPr>
          <w:rFonts w:eastAsia="Times New Roman" w:cs="Times New Roman"/>
          <w:color w:val="000000" w:themeColor="text1"/>
          <w:szCs w:val="20"/>
        </w:rPr>
        <w:t>In addition to performing the Core Discharge Monitoring Program</w:t>
      </w:r>
      <w:r w:rsidR="00096DC5" w:rsidRPr="00C20F7C">
        <w:rPr>
          <w:rFonts w:eastAsia="Times New Roman" w:cs="Times New Roman"/>
          <w:color w:val="000000" w:themeColor="text1"/>
          <w:szCs w:val="20"/>
        </w:rPr>
        <w:t xml:space="preserve">, </w:t>
      </w:r>
      <w:r w:rsidR="00096DC5" w:rsidRPr="00C16893">
        <w:rPr>
          <w:rFonts w:eastAsia="Times New Roman" w:cs="Times New Roman"/>
          <w:color w:val="000000" w:themeColor="text1"/>
          <w:szCs w:val="20"/>
        </w:rPr>
        <w:t xml:space="preserve">all </w:t>
      </w:r>
      <w:r w:rsidR="00AF4844">
        <w:rPr>
          <w:rFonts w:eastAsia="Times New Roman" w:cs="Times New Roman"/>
          <w:color w:val="000000" w:themeColor="text1"/>
          <w:szCs w:val="20"/>
        </w:rPr>
        <w:t>Permittee</w:t>
      </w:r>
      <w:r w:rsidR="001C645B">
        <w:rPr>
          <w:rFonts w:eastAsia="Times New Roman" w:cs="Times New Roman"/>
          <w:color w:val="000000" w:themeColor="text1"/>
          <w:szCs w:val="20"/>
        </w:rPr>
        <w:t>s</w:t>
      </w:r>
      <w:r w:rsidR="00096DC5" w:rsidRPr="00C16893">
        <w:rPr>
          <w:rFonts w:eastAsia="Times New Roman" w:cs="Times New Roman"/>
          <w:color w:val="000000" w:themeColor="text1"/>
          <w:szCs w:val="20"/>
        </w:rPr>
        <w:t xml:space="preserve"> must perform ocean receiving water monitoring. </w:t>
      </w:r>
      <w:proofErr w:type="gramStart"/>
      <w:r w:rsidR="00096DC5" w:rsidRPr="00C16893">
        <w:rPr>
          <w:rFonts w:eastAsia="Times New Roman" w:cs="Times New Roman"/>
          <w:color w:val="000000" w:themeColor="text1"/>
          <w:szCs w:val="20"/>
        </w:rPr>
        <w:t>In order to</w:t>
      </w:r>
      <w:proofErr w:type="gramEnd"/>
      <w:r w:rsidR="00096DC5" w:rsidRPr="00C16893">
        <w:rPr>
          <w:rFonts w:eastAsia="Times New Roman" w:cs="Times New Roman"/>
          <w:color w:val="000000" w:themeColor="text1"/>
          <w:szCs w:val="20"/>
        </w:rPr>
        <w:t xml:space="preserve"> fulfill the requirements for monitoring the physical, chemical, and biological characteristics of the ocean receiving waters within their ASBS, Permittees may choose either (1) an individual monitoring program, or (2) participation in a </w:t>
      </w:r>
      <w:proofErr w:type="gramStart"/>
      <w:r w:rsidR="00096DC5" w:rsidRPr="00C16893">
        <w:rPr>
          <w:rFonts w:eastAsia="Times New Roman" w:cs="Times New Roman"/>
          <w:color w:val="000000" w:themeColor="text1"/>
          <w:szCs w:val="20"/>
        </w:rPr>
        <w:t>regional</w:t>
      </w:r>
      <w:proofErr w:type="gramEnd"/>
      <w:r w:rsidR="00096DC5" w:rsidRPr="00C16893">
        <w:rPr>
          <w:rFonts w:eastAsia="Times New Roman" w:cs="Times New Roman"/>
          <w:color w:val="000000" w:themeColor="text1"/>
          <w:szCs w:val="20"/>
        </w:rPr>
        <w:t xml:space="preserve"> integrated </w:t>
      </w:r>
      <w:r w:rsidR="00782C60">
        <w:rPr>
          <w:rFonts w:eastAsia="Times New Roman" w:cs="Times New Roman"/>
          <w:color w:val="000000" w:themeColor="text1"/>
          <w:szCs w:val="20"/>
        </w:rPr>
        <w:t>with refe</w:t>
      </w:r>
      <w:r w:rsidR="0005376C">
        <w:rPr>
          <w:rFonts w:eastAsia="Times New Roman" w:cs="Times New Roman"/>
          <w:color w:val="000000" w:themeColor="text1"/>
          <w:szCs w:val="20"/>
        </w:rPr>
        <w:t xml:space="preserve">rence area </w:t>
      </w:r>
      <w:r w:rsidR="00096DC5" w:rsidRPr="00C16893">
        <w:rPr>
          <w:rFonts w:eastAsia="Times New Roman" w:cs="Times New Roman"/>
          <w:color w:val="000000" w:themeColor="text1"/>
          <w:szCs w:val="20"/>
        </w:rPr>
        <w:t>monitoring program.</w:t>
      </w:r>
    </w:p>
    <w:p w14:paraId="4BCBE7C8" w14:textId="77777777" w:rsidR="00D01C7D" w:rsidRDefault="00096DC5" w:rsidP="00D238C8">
      <w:pPr>
        <w:ind w:left="1080" w:hanging="360"/>
        <w:rPr>
          <w:rFonts w:eastAsia="Times New Roman" w:cs="Times New Roman"/>
          <w:color w:val="000000" w:themeColor="text1"/>
          <w:szCs w:val="20"/>
        </w:rPr>
      </w:pPr>
      <w:r w:rsidRPr="00C16893">
        <w:rPr>
          <w:rFonts w:eastAsia="Times New Roman" w:cs="Times New Roman"/>
          <w:color w:val="000000" w:themeColor="text1"/>
          <w:szCs w:val="20"/>
        </w:rPr>
        <w:t>1.</w:t>
      </w:r>
      <w:bookmarkEnd w:id="81"/>
      <w:r w:rsidRPr="00623779">
        <w:rPr>
          <w:rFonts w:eastAsia="Times New Roman" w:cs="Times New Roman"/>
          <w:i/>
          <w:iCs/>
          <w:color w:val="000000" w:themeColor="text1"/>
          <w:szCs w:val="20"/>
        </w:rPr>
        <w:tab/>
      </w:r>
      <w:bookmarkStart w:id="82" w:name="_Hlk172818887"/>
      <w:r w:rsidRPr="00623779">
        <w:rPr>
          <w:rStyle w:val="Heading4Char"/>
          <w:i w:val="0"/>
          <w:iCs w:val="0"/>
        </w:rPr>
        <w:t>Individual Monitoring Program</w:t>
      </w:r>
      <w:bookmarkStart w:id="83" w:name="_Hlk172818964"/>
      <w:bookmarkEnd w:id="82"/>
      <w:r w:rsidRPr="00623779">
        <w:rPr>
          <w:rFonts w:eastAsia="Times New Roman" w:cs="Times New Roman"/>
          <w:i/>
          <w:iCs/>
          <w:color w:val="000000" w:themeColor="text1"/>
          <w:szCs w:val="20"/>
        </w:rPr>
        <w:t>:</w:t>
      </w:r>
      <w:r w:rsidRPr="00C16893">
        <w:rPr>
          <w:rFonts w:eastAsia="Times New Roman" w:cs="Times New Roman"/>
          <w:color w:val="000000" w:themeColor="text1"/>
          <w:szCs w:val="20"/>
        </w:rPr>
        <w:t xml:space="preserve"> </w:t>
      </w:r>
      <w:bookmarkEnd w:id="83"/>
    </w:p>
    <w:p w14:paraId="7C49C939" w14:textId="5A82177C" w:rsidR="00096DC5" w:rsidRPr="00C16893" w:rsidRDefault="00096DC5" w:rsidP="00D238C8">
      <w:pPr>
        <w:ind w:left="1080"/>
        <w:rPr>
          <w:rFonts w:eastAsia="Times New Roman" w:cs="Times New Roman"/>
          <w:color w:val="000000" w:themeColor="text1"/>
          <w:szCs w:val="20"/>
        </w:rPr>
      </w:pPr>
      <w:bookmarkStart w:id="84" w:name="_Hlk172818965"/>
      <w:r w:rsidRPr="00C16893">
        <w:rPr>
          <w:rFonts w:eastAsia="Times New Roman" w:cs="Times New Roman"/>
          <w:color w:val="000000" w:themeColor="text1"/>
          <w:szCs w:val="20"/>
        </w:rPr>
        <w:t xml:space="preserve">The requirements listed below are for those Permittees who elect to perform an individual monitoring program to fulfill the requirements for monitoring the physical, chemical, and biological characteristics of the </w:t>
      </w:r>
      <w:proofErr w:type="gramStart"/>
      <w:r w:rsidRPr="00C16893">
        <w:rPr>
          <w:rFonts w:eastAsia="Times New Roman" w:cs="Times New Roman"/>
          <w:color w:val="000000" w:themeColor="text1"/>
          <w:szCs w:val="20"/>
        </w:rPr>
        <w:t>ocean</w:t>
      </w:r>
      <w:proofErr w:type="gramEnd"/>
      <w:r w:rsidRPr="00C16893">
        <w:rPr>
          <w:rFonts w:eastAsia="Times New Roman" w:cs="Times New Roman"/>
          <w:color w:val="000000" w:themeColor="text1"/>
          <w:szCs w:val="20"/>
        </w:rPr>
        <w:t xml:space="preserve"> receiving waters within the affected ASBS. In addition to Core Discharge Monitoring, the following additional monitoring requirements shall be met:</w:t>
      </w:r>
    </w:p>
    <w:p w14:paraId="35B98319" w14:textId="60AD9E5F" w:rsidR="00096DC5" w:rsidRPr="00C16893" w:rsidRDefault="00096DC5" w:rsidP="003E7BD4">
      <w:pPr>
        <w:ind w:left="1440" w:hanging="450"/>
        <w:rPr>
          <w:rFonts w:eastAsia="Times New Roman" w:cs="Times New Roman"/>
          <w:color w:val="000000" w:themeColor="text1"/>
          <w:szCs w:val="20"/>
        </w:rPr>
      </w:pPr>
      <w:bookmarkStart w:id="85" w:name="_Hlk172818966"/>
      <w:bookmarkEnd w:id="84"/>
      <w:r w:rsidRPr="00C16893">
        <w:rPr>
          <w:rFonts w:eastAsia="Times New Roman" w:cs="Times New Roman"/>
          <w:color w:val="000000" w:themeColor="text1"/>
          <w:szCs w:val="20"/>
        </w:rPr>
        <w:t>a.</w:t>
      </w:r>
      <w:r w:rsidRPr="00C16893">
        <w:rPr>
          <w:rFonts w:eastAsia="Times New Roman" w:cs="Times New Roman"/>
          <w:color w:val="000000" w:themeColor="text1"/>
          <w:szCs w:val="20"/>
        </w:rPr>
        <w:tab/>
        <w:t xml:space="preserve">Three times annually, during wet weather (storm events), the receiving water at the point of discharge from the outfalls shall be sampled and analyzed for 2019 Ocean Plan </w:t>
      </w:r>
      <w:r w:rsidR="009119B3" w:rsidRPr="009119B3">
        <w:rPr>
          <w:rFonts w:eastAsia="Times New Roman" w:cs="Times New Roman"/>
          <w:szCs w:val="20"/>
        </w:rPr>
        <w:t>Table 4</w:t>
      </w:r>
      <w:r w:rsidRPr="00C16893">
        <w:rPr>
          <w:rFonts w:eastAsia="Times New Roman" w:cs="Times New Roman"/>
          <w:color w:val="000000" w:themeColor="text1"/>
          <w:szCs w:val="20"/>
        </w:rPr>
        <w:t xml:space="preserve"> constituents, </w:t>
      </w:r>
      <w:r w:rsidR="009119B3" w:rsidRPr="009119B3">
        <w:rPr>
          <w:rFonts w:eastAsia="Times New Roman" w:cs="Times New Roman"/>
          <w:szCs w:val="20"/>
        </w:rPr>
        <w:t>Table 3</w:t>
      </w:r>
      <w:r w:rsidRPr="00C16893">
        <w:rPr>
          <w:rFonts w:eastAsia="Times New Roman" w:cs="Times New Roman"/>
          <w:color w:val="000000" w:themeColor="text1"/>
          <w:szCs w:val="20"/>
        </w:rPr>
        <w:t xml:space="preserve"> constituents for marine aquatic life, DDT, PCBs, Ocean Plan PAHs, OP pesticides, pyrethroids, nitrates, phosphates, salinity, chronic toxicity (three species), and 2019 Ocean Plan indicator bacteria.</w:t>
      </w:r>
    </w:p>
    <w:p w14:paraId="28E7256F" w14:textId="0E83BD7A" w:rsidR="00096DC5" w:rsidRPr="00C16893" w:rsidRDefault="00096DC5" w:rsidP="003E7BD4">
      <w:pPr>
        <w:ind w:left="1440"/>
        <w:rPr>
          <w:rFonts w:eastAsia="Times New Roman" w:cs="Times New Roman"/>
          <w:color w:val="000000" w:themeColor="text1"/>
          <w:szCs w:val="20"/>
        </w:rPr>
      </w:pPr>
      <w:bookmarkStart w:id="86" w:name="_Hlk172818967"/>
      <w:bookmarkEnd w:id="85"/>
      <w:r w:rsidRPr="00C16893">
        <w:rPr>
          <w:rFonts w:eastAsia="Times New Roman" w:cs="Times New Roman"/>
          <w:color w:val="000000" w:themeColor="text1"/>
          <w:szCs w:val="20"/>
        </w:rPr>
        <w:t>The sample location for the ocean receiving water shall be in the surf zone at the point of discharges; this must be at the same location where</w:t>
      </w:r>
      <w:r w:rsidR="00E37556">
        <w:rPr>
          <w:rFonts w:eastAsia="Times New Roman" w:cs="Times New Roman"/>
          <w:color w:val="000000" w:themeColor="text1"/>
          <w:szCs w:val="20"/>
        </w:rPr>
        <w:t xml:space="preserve"> stormwater </w:t>
      </w:r>
      <w:r w:rsidRPr="00C16893">
        <w:rPr>
          <w:rFonts w:eastAsia="Times New Roman" w:cs="Times New Roman"/>
          <w:color w:val="000000" w:themeColor="text1"/>
          <w:szCs w:val="20"/>
        </w:rPr>
        <w:t xml:space="preserve">runoff is sampled. Receiving water shall be sampled at approximately the same time prior to (pre-storm) and during (or immediately after) the same storm (post storm). Reference water quality shall also be sampled and analyzed for the same </w:t>
      </w:r>
      <w:proofErr w:type="gramStart"/>
      <w:r w:rsidRPr="00C16893">
        <w:rPr>
          <w:rFonts w:eastAsia="Times New Roman" w:cs="Times New Roman"/>
          <w:color w:val="000000" w:themeColor="text1"/>
          <w:szCs w:val="20"/>
        </w:rPr>
        <w:t>constituents</w:t>
      </w:r>
      <w:proofErr w:type="gramEnd"/>
      <w:r w:rsidRPr="00C16893">
        <w:rPr>
          <w:rFonts w:eastAsia="Times New Roman" w:cs="Times New Roman"/>
          <w:color w:val="000000" w:themeColor="text1"/>
          <w:szCs w:val="20"/>
        </w:rPr>
        <w:t xml:space="preserve"> pre-storm and post-storm, during the same storms when receiving water is sampled. Reference stations will be determined by the State Water Board’s Division of Water Quality and the applicable Regional Water Board(s).</w:t>
      </w:r>
    </w:p>
    <w:p w14:paraId="4693D483" w14:textId="56549DFA" w:rsidR="00096DC5" w:rsidRPr="00C16893" w:rsidRDefault="00096DC5" w:rsidP="003E7BD4">
      <w:pPr>
        <w:ind w:left="1440" w:hanging="450"/>
        <w:rPr>
          <w:rFonts w:eastAsia="Times New Roman" w:cs="Times New Roman"/>
          <w:color w:val="000000" w:themeColor="text1"/>
          <w:szCs w:val="20"/>
        </w:rPr>
      </w:pPr>
      <w:bookmarkStart w:id="87" w:name="_Hlk172818968"/>
      <w:bookmarkEnd w:id="86"/>
      <w:r w:rsidRPr="00C16893">
        <w:rPr>
          <w:rFonts w:eastAsia="Times New Roman" w:cs="Times New Roman"/>
          <w:color w:val="000000" w:themeColor="text1"/>
          <w:szCs w:val="20"/>
        </w:rPr>
        <w:t>b.</w:t>
      </w:r>
      <w:r w:rsidRPr="00C16893">
        <w:rPr>
          <w:rFonts w:eastAsia="Times New Roman" w:cs="Times New Roman"/>
          <w:color w:val="000000" w:themeColor="text1"/>
          <w:szCs w:val="20"/>
        </w:rPr>
        <w:tab/>
        <w:t xml:space="preserve">Sediment sampling shall occur at least three times during every five (5) year period. The subtidal sediment (sand or finer, if present) at the discharge shall be sampled and analyzed for Ocean Plan </w:t>
      </w:r>
      <w:r w:rsidR="00B10D44" w:rsidRPr="00B10D44">
        <w:rPr>
          <w:rFonts w:eastAsia="Times New Roman" w:cs="Times New Roman"/>
          <w:szCs w:val="20"/>
        </w:rPr>
        <w:t>Table 3</w:t>
      </w:r>
      <w:r w:rsidRPr="00C16893">
        <w:rPr>
          <w:rFonts w:eastAsia="Times New Roman" w:cs="Times New Roman"/>
          <w:color w:val="000000" w:themeColor="text1"/>
          <w:szCs w:val="20"/>
        </w:rPr>
        <w:t xml:space="preserve"> constituents for marine aquatic life, DDT, PCBs, PAHs, pyrethroids, and </w:t>
      </w:r>
      <w:r w:rsidRPr="00C16893">
        <w:rPr>
          <w:rFonts w:eastAsia="Times New Roman" w:cs="Times New Roman"/>
          <w:color w:val="000000" w:themeColor="text1"/>
          <w:szCs w:val="20"/>
        </w:rPr>
        <w:lastRenderedPageBreak/>
        <w:t xml:space="preserve">OP pesticides. For sediment toxicity testing, only an acute toxicity test using the amphipod </w:t>
      </w:r>
      <w:proofErr w:type="spellStart"/>
      <w:r w:rsidRPr="00C16893">
        <w:rPr>
          <w:rFonts w:eastAsia="Times New Roman" w:cs="Times New Roman"/>
          <w:i/>
          <w:iCs/>
          <w:color w:val="000000" w:themeColor="text1"/>
          <w:szCs w:val="20"/>
        </w:rPr>
        <w:t>Eohaustorius</w:t>
      </w:r>
      <w:proofErr w:type="spellEnd"/>
      <w:r w:rsidRPr="00C16893">
        <w:rPr>
          <w:rFonts w:eastAsia="Times New Roman" w:cs="Times New Roman"/>
          <w:i/>
          <w:iCs/>
          <w:color w:val="000000" w:themeColor="text1"/>
          <w:szCs w:val="20"/>
        </w:rPr>
        <w:t xml:space="preserve"> </w:t>
      </w:r>
      <w:proofErr w:type="spellStart"/>
      <w:r w:rsidRPr="00C16893">
        <w:rPr>
          <w:rFonts w:eastAsia="Times New Roman" w:cs="Times New Roman"/>
          <w:i/>
          <w:iCs/>
          <w:color w:val="000000" w:themeColor="text1"/>
          <w:szCs w:val="20"/>
        </w:rPr>
        <w:t>estuarius</w:t>
      </w:r>
      <w:proofErr w:type="spellEnd"/>
      <w:r w:rsidRPr="00C16893">
        <w:rPr>
          <w:rFonts w:eastAsia="Times New Roman" w:cs="Times New Roman"/>
          <w:color w:val="000000" w:themeColor="text1"/>
          <w:szCs w:val="20"/>
        </w:rPr>
        <w:t xml:space="preserve"> must be performed.</w:t>
      </w:r>
    </w:p>
    <w:p w14:paraId="304C807B" w14:textId="523356E0" w:rsidR="00096DC5" w:rsidRPr="00C16893" w:rsidRDefault="00096DC5" w:rsidP="003E7BD4">
      <w:pPr>
        <w:ind w:left="1440" w:hanging="450"/>
        <w:rPr>
          <w:rFonts w:eastAsia="Times New Roman" w:cs="Times New Roman"/>
          <w:color w:val="000000" w:themeColor="text1"/>
          <w:szCs w:val="20"/>
        </w:rPr>
      </w:pPr>
      <w:bookmarkStart w:id="88" w:name="_Hlk172818969"/>
      <w:bookmarkEnd w:id="87"/>
      <w:r w:rsidRPr="00C16893">
        <w:rPr>
          <w:rFonts w:eastAsia="Times New Roman" w:cs="Times New Roman"/>
          <w:color w:val="000000" w:themeColor="text1"/>
          <w:szCs w:val="20"/>
        </w:rPr>
        <w:t>c.</w:t>
      </w:r>
      <w:r w:rsidRPr="00C16893">
        <w:rPr>
          <w:rFonts w:eastAsia="Times New Roman" w:cs="Times New Roman"/>
          <w:color w:val="000000" w:themeColor="text1"/>
          <w:szCs w:val="20"/>
        </w:rPr>
        <w:tab/>
        <w:t xml:space="preserve">A quantitative survey of intertidal benthic marine life shall be performed at the discharge and at a reference site. The </w:t>
      </w:r>
      <w:r w:rsidR="00AF4844">
        <w:rPr>
          <w:rFonts w:eastAsia="Times New Roman" w:cs="Times New Roman"/>
          <w:color w:val="000000" w:themeColor="text1"/>
          <w:szCs w:val="20"/>
        </w:rPr>
        <w:t>Permittee</w:t>
      </w:r>
      <w:r w:rsidR="001442BC">
        <w:rPr>
          <w:rFonts w:eastAsia="Times New Roman" w:cs="Times New Roman"/>
          <w:color w:val="000000" w:themeColor="text1"/>
          <w:szCs w:val="20"/>
        </w:rPr>
        <w:t xml:space="preserve"> shall perform a </w:t>
      </w:r>
      <w:r w:rsidR="0095370B" w:rsidRPr="00C16893">
        <w:rPr>
          <w:rFonts w:eastAsia="Times New Roman" w:cs="Times New Roman"/>
          <w:color w:val="000000" w:themeColor="text1"/>
          <w:szCs w:val="20"/>
        </w:rPr>
        <w:t>survey at</w:t>
      </w:r>
      <w:r w:rsidRPr="00C16893">
        <w:rPr>
          <w:rFonts w:eastAsia="Times New Roman" w:cs="Times New Roman"/>
          <w:color w:val="000000" w:themeColor="text1"/>
          <w:szCs w:val="20"/>
        </w:rPr>
        <w:t xml:space="preserve"> least once every five (5) year period. The survey design is subject to approval by the Regional Water Board and the State Water Board’s Division of Water Quality. The results of the survey shall be completed and submitted to the State Water Board and Regional Water Board at least six months prior to the end of the permit cycle.</w:t>
      </w:r>
    </w:p>
    <w:p w14:paraId="01E9AED4" w14:textId="77777777" w:rsidR="00096DC5" w:rsidRPr="00C16893" w:rsidRDefault="00096DC5" w:rsidP="003E7BD4">
      <w:pPr>
        <w:ind w:left="1440" w:hanging="450"/>
        <w:rPr>
          <w:rFonts w:eastAsia="Times New Roman" w:cs="Times New Roman"/>
          <w:color w:val="000000" w:themeColor="text1"/>
          <w:szCs w:val="20"/>
        </w:rPr>
      </w:pPr>
      <w:bookmarkStart w:id="89" w:name="_Hlk172818970"/>
      <w:bookmarkEnd w:id="88"/>
      <w:r w:rsidRPr="00C16893">
        <w:rPr>
          <w:rFonts w:eastAsia="Times New Roman" w:cs="Times New Roman"/>
          <w:color w:val="000000" w:themeColor="text1"/>
          <w:szCs w:val="20"/>
        </w:rPr>
        <w:t>d.</w:t>
      </w:r>
      <w:r w:rsidRPr="00C16893">
        <w:rPr>
          <w:rFonts w:eastAsia="Times New Roman" w:cs="Times New Roman"/>
          <w:color w:val="000000" w:themeColor="text1"/>
          <w:szCs w:val="20"/>
        </w:rPr>
        <w:tab/>
        <w:t>Once during each five (5) year period, a bioaccumulation study shall be conducted to determine the concentrations of metals and synthetic organic pollutants at representative discharge sites and at representative reference sites. The study design is subject to approval by the Regional Water Board and the State Water Board’s Division of Water Quality. The bioaccumulation study may include California mussels (</w:t>
      </w:r>
      <w:r w:rsidRPr="00C16893">
        <w:rPr>
          <w:rFonts w:eastAsia="Times New Roman" w:cs="Times New Roman"/>
          <w:i/>
          <w:iCs/>
          <w:color w:val="000000" w:themeColor="text1"/>
          <w:szCs w:val="20"/>
        </w:rPr>
        <w:t>Mytilus californianus</w:t>
      </w:r>
      <w:r w:rsidRPr="00C16893">
        <w:rPr>
          <w:rFonts w:eastAsia="Times New Roman" w:cs="Times New Roman"/>
          <w:color w:val="000000" w:themeColor="text1"/>
          <w:szCs w:val="20"/>
        </w:rPr>
        <w:t>) and/or sand crabs (</w:t>
      </w:r>
      <w:r w:rsidRPr="00C16893">
        <w:rPr>
          <w:rFonts w:eastAsia="Times New Roman" w:cs="Times New Roman"/>
          <w:i/>
          <w:iCs/>
          <w:color w:val="000000" w:themeColor="text1"/>
          <w:szCs w:val="20"/>
        </w:rPr>
        <w:t xml:space="preserve">Emerita </w:t>
      </w:r>
      <w:proofErr w:type="spellStart"/>
      <w:r w:rsidRPr="00C16893">
        <w:rPr>
          <w:rFonts w:eastAsia="Times New Roman" w:cs="Times New Roman"/>
          <w:i/>
          <w:iCs/>
          <w:color w:val="000000" w:themeColor="text1"/>
          <w:szCs w:val="20"/>
        </w:rPr>
        <w:t>analoga</w:t>
      </w:r>
      <w:proofErr w:type="spellEnd"/>
      <w:r w:rsidRPr="00C16893">
        <w:rPr>
          <w:rFonts w:eastAsia="Times New Roman" w:cs="Times New Roman"/>
          <w:color w:val="000000" w:themeColor="text1"/>
          <w:szCs w:val="20"/>
        </w:rPr>
        <w:t xml:space="preserve"> or </w:t>
      </w:r>
      <w:proofErr w:type="spellStart"/>
      <w:r w:rsidRPr="00C16893">
        <w:rPr>
          <w:rFonts w:eastAsia="Times New Roman" w:cs="Times New Roman"/>
          <w:i/>
          <w:iCs/>
          <w:color w:val="000000" w:themeColor="text1"/>
          <w:szCs w:val="20"/>
        </w:rPr>
        <w:t>Blepharipoda</w:t>
      </w:r>
      <w:proofErr w:type="spellEnd"/>
      <w:r w:rsidRPr="00C16893">
        <w:rPr>
          <w:rFonts w:eastAsia="Times New Roman" w:cs="Times New Roman"/>
          <w:i/>
          <w:iCs/>
          <w:color w:val="000000" w:themeColor="text1"/>
          <w:szCs w:val="20"/>
        </w:rPr>
        <w:t xml:space="preserve"> occidentalis</w:t>
      </w:r>
      <w:r w:rsidRPr="00C16893">
        <w:rPr>
          <w:rFonts w:eastAsia="Times New Roman" w:cs="Times New Roman"/>
          <w:color w:val="000000" w:themeColor="text1"/>
          <w:szCs w:val="20"/>
        </w:rPr>
        <w:t>). Based on the study results, the Regional Water Board and the State Water Board’s Division of Water Quality, may adjust the study design in subsequent permits, or add or modify additional test organisms (such as shore crabs or fish), or modify the study design appropriate for the area and best available sensitive measures of contaminant exposure.</w:t>
      </w:r>
    </w:p>
    <w:p w14:paraId="7CE49AB5" w14:textId="77777777" w:rsidR="00096DC5" w:rsidRPr="00C16893" w:rsidRDefault="00096DC5" w:rsidP="003E7BD4">
      <w:pPr>
        <w:ind w:left="1440" w:hanging="450"/>
        <w:rPr>
          <w:rFonts w:eastAsia="Times New Roman" w:cs="Times New Roman"/>
          <w:color w:val="000000" w:themeColor="text1"/>
          <w:szCs w:val="20"/>
        </w:rPr>
      </w:pPr>
      <w:bookmarkStart w:id="90" w:name="_Hlk172818971"/>
      <w:bookmarkEnd w:id="89"/>
      <w:r w:rsidRPr="00C16893">
        <w:rPr>
          <w:rFonts w:eastAsia="Times New Roman" w:cs="Times New Roman"/>
          <w:color w:val="000000" w:themeColor="text1"/>
          <w:szCs w:val="20"/>
        </w:rPr>
        <w:t>e.</w:t>
      </w:r>
      <w:r w:rsidRPr="00C16893">
        <w:rPr>
          <w:rFonts w:eastAsia="Times New Roman" w:cs="Times New Roman"/>
          <w:color w:val="000000" w:themeColor="text1"/>
          <w:szCs w:val="20"/>
        </w:rPr>
        <w:tab/>
        <w:t>Marine Debris: Representative quantitative observations for trash by type and source shall be performed along the coast of the ASBS within the influence of the Permittee’s outfalls. The design, including locations and frequency, of the marine debris observations is subject to approval by the Regional Water Board and State Water Board’s Division of Water Quality.</w:t>
      </w:r>
    </w:p>
    <w:p w14:paraId="69100B96" w14:textId="612E54B0" w:rsidR="00096DC5" w:rsidRPr="00C16893" w:rsidRDefault="00096DC5" w:rsidP="003E7BD4">
      <w:pPr>
        <w:ind w:left="1440" w:hanging="450"/>
        <w:rPr>
          <w:rFonts w:eastAsia="Times New Roman" w:cs="Times New Roman"/>
          <w:color w:val="000000" w:themeColor="text1"/>
        </w:rPr>
      </w:pPr>
      <w:bookmarkStart w:id="91" w:name="_Hlk172818972"/>
      <w:bookmarkEnd w:id="90"/>
      <w:r w:rsidRPr="29D9BB6F">
        <w:rPr>
          <w:rFonts w:eastAsia="Times New Roman" w:cs="Times New Roman"/>
          <w:color w:val="000000" w:themeColor="text1"/>
        </w:rPr>
        <w:t>f.</w:t>
      </w:r>
      <w:r>
        <w:tab/>
      </w:r>
      <w:r w:rsidRPr="29D9BB6F">
        <w:rPr>
          <w:rFonts w:eastAsia="Times New Roman" w:cs="Times New Roman"/>
          <w:color w:val="000000" w:themeColor="text1"/>
        </w:rPr>
        <w:t xml:space="preserve">The monitoring requirements of the Individual Monitoring Program in this section are minimum requirements. After a minimum of one (1) year of continuous water quality monitoring of the discharges and ocean receiving waters, the </w:t>
      </w:r>
      <w:r w:rsidR="165DE5E9" w:rsidRPr="29D9BB6F">
        <w:rPr>
          <w:rFonts w:eastAsia="Times New Roman" w:cs="Times New Roman"/>
          <w:color w:val="000000" w:themeColor="text1"/>
        </w:rPr>
        <w:t xml:space="preserve">State Water Board </w:t>
      </w:r>
      <w:r w:rsidRPr="29D9BB6F">
        <w:rPr>
          <w:rFonts w:eastAsia="Times New Roman" w:cs="Times New Roman"/>
          <w:color w:val="000000" w:themeColor="text1"/>
        </w:rPr>
        <w:t xml:space="preserve">Executive </w:t>
      </w:r>
      <w:r w:rsidR="00D0523D" w:rsidRPr="29D9BB6F">
        <w:rPr>
          <w:rFonts w:eastAsia="Times New Roman" w:cs="Times New Roman"/>
          <w:color w:val="000000" w:themeColor="text1"/>
        </w:rPr>
        <w:t>Director may</w:t>
      </w:r>
      <w:r w:rsidRPr="29D9BB6F">
        <w:rPr>
          <w:rFonts w:eastAsia="Times New Roman" w:cs="Times New Roman"/>
          <w:color w:val="000000" w:themeColor="text1"/>
        </w:rPr>
        <w:t xml:space="preserve"> require additional monitoring, or adjust, reduce or suspend receiving water and reference station monitoring.</w:t>
      </w:r>
    </w:p>
    <w:p w14:paraId="3323DE8D" w14:textId="2D967675" w:rsidR="00D01C7D" w:rsidRPr="00623779" w:rsidRDefault="00096DC5" w:rsidP="003E7BD4">
      <w:pPr>
        <w:ind w:left="1080" w:hanging="360"/>
        <w:rPr>
          <w:rFonts w:eastAsia="Times New Roman" w:cs="Times New Roman"/>
          <w:i/>
          <w:iCs/>
          <w:color w:val="000000" w:themeColor="text1"/>
          <w:szCs w:val="20"/>
        </w:rPr>
      </w:pPr>
      <w:r w:rsidRPr="00C16893">
        <w:rPr>
          <w:rFonts w:eastAsia="Times New Roman" w:cs="Times New Roman"/>
          <w:color w:val="000000" w:themeColor="text1"/>
          <w:szCs w:val="20"/>
        </w:rPr>
        <w:t>2.</w:t>
      </w:r>
      <w:bookmarkEnd w:id="91"/>
      <w:r w:rsidRPr="00C16893">
        <w:rPr>
          <w:rFonts w:eastAsia="Times New Roman" w:cs="Times New Roman"/>
          <w:color w:val="000000" w:themeColor="text1"/>
          <w:szCs w:val="20"/>
        </w:rPr>
        <w:tab/>
      </w:r>
      <w:bookmarkStart w:id="92" w:name="_Hlk172818888"/>
      <w:r w:rsidRPr="00623779">
        <w:rPr>
          <w:rStyle w:val="Heading4Char"/>
          <w:i w:val="0"/>
          <w:iCs w:val="0"/>
        </w:rPr>
        <w:t xml:space="preserve">Regional Integrated </w:t>
      </w:r>
      <w:r w:rsidR="0005376C">
        <w:rPr>
          <w:rStyle w:val="Heading4Char"/>
          <w:i w:val="0"/>
          <w:iCs w:val="0"/>
        </w:rPr>
        <w:t xml:space="preserve">with Reference Area </w:t>
      </w:r>
      <w:r w:rsidRPr="00623779">
        <w:rPr>
          <w:rStyle w:val="Heading4Char"/>
          <w:i w:val="0"/>
          <w:iCs w:val="0"/>
        </w:rPr>
        <w:t>Monitoring Program</w:t>
      </w:r>
      <w:bookmarkStart w:id="93" w:name="_Hlk172818973"/>
      <w:bookmarkEnd w:id="92"/>
      <w:r w:rsidRPr="00623779">
        <w:rPr>
          <w:rFonts w:eastAsia="Times New Roman" w:cs="Times New Roman"/>
          <w:i/>
          <w:iCs/>
          <w:color w:val="000000" w:themeColor="text1"/>
          <w:szCs w:val="20"/>
        </w:rPr>
        <w:t xml:space="preserve">: </w:t>
      </w:r>
      <w:bookmarkEnd w:id="93"/>
    </w:p>
    <w:p w14:paraId="76BD4D03" w14:textId="77777777" w:rsidR="005A6267" w:rsidRDefault="00096DC5" w:rsidP="003E7BD4">
      <w:pPr>
        <w:ind w:left="1080"/>
        <w:rPr>
          <w:rFonts w:eastAsia="Times New Roman" w:cs="Times New Roman"/>
          <w:color w:val="000000" w:themeColor="text1"/>
          <w:szCs w:val="20"/>
        </w:rPr>
      </w:pPr>
      <w:bookmarkStart w:id="94" w:name="_Hlk172818974"/>
      <w:r w:rsidRPr="00C16893">
        <w:rPr>
          <w:rFonts w:eastAsia="Times New Roman" w:cs="Times New Roman"/>
          <w:color w:val="000000" w:themeColor="text1"/>
          <w:szCs w:val="20"/>
        </w:rPr>
        <w:t>Permittees may elect to participate in a regional integrated monitoring program, in lieu of an individual monitoring program</w:t>
      </w:r>
      <w:r w:rsidR="00875818">
        <w:rPr>
          <w:rFonts w:eastAsia="Times New Roman" w:cs="Times New Roman"/>
          <w:color w:val="000000" w:themeColor="text1"/>
          <w:szCs w:val="20"/>
        </w:rPr>
        <w:t xml:space="preserve"> </w:t>
      </w:r>
      <w:r w:rsidR="0096496C">
        <w:rPr>
          <w:rFonts w:eastAsia="Times New Roman" w:cs="Times New Roman"/>
          <w:color w:val="000000" w:themeColor="text1"/>
          <w:szCs w:val="20"/>
        </w:rPr>
        <w:t xml:space="preserve">described in section </w:t>
      </w:r>
      <w:r w:rsidR="00036548" w:rsidRPr="003205CE">
        <w:rPr>
          <w:rFonts w:eastAsia="Times New Roman" w:cs="Times New Roman"/>
          <w:color w:val="000000" w:themeColor="text1"/>
          <w:szCs w:val="20"/>
        </w:rPr>
        <w:t>F6.2.1</w:t>
      </w:r>
      <w:r w:rsidR="0096496C">
        <w:rPr>
          <w:rFonts w:eastAsia="Times New Roman" w:cs="Times New Roman"/>
          <w:color w:val="000000" w:themeColor="text1"/>
          <w:szCs w:val="20"/>
        </w:rPr>
        <w:t>, above</w:t>
      </w:r>
      <w:r w:rsidRPr="00C16893">
        <w:rPr>
          <w:rFonts w:eastAsia="Times New Roman" w:cs="Times New Roman"/>
          <w:color w:val="000000" w:themeColor="text1"/>
          <w:szCs w:val="20"/>
        </w:rPr>
        <w:t xml:space="preserve">, to fulfill the requirements for monitoring the physical, chemical, and biological characteristics of the ocean receiving waters within their ASBS. </w:t>
      </w:r>
    </w:p>
    <w:p w14:paraId="279977C0" w14:textId="6F548206" w:rsidR="00096DC5" w:rsidRPr="00C16893" w:rsidRDefault="00096DC5" w:rsidP="003E7BD4">
      <w:pPr>
        <w:ind w:left="1080"/>
        <w:rPr>
          <w:rFonts w:eastAsia="Times New Roman" w:cs="Times New Roman"/>
          <w:color w:val="000000" w:themeColor="text1"/>
        </w:rPr>
      </w:pPr>
      <w:r w:rsidRPr="29D9BB6F">
        <w:rPr>
          <w:rFonts w:eastAsia="Times New Roman" w:cs="Times New Roman"/>
          <w:color w:val="000000" w:themeColor="text1"/>
        </w:rPr>
        <w:t xml:space="preserve">This regional approach shall characterize natural ocean water quality, pre- and post-storm, in ocean reference areas near the mouths of identified open space watersheds and the effects of the discharges on natural ocean water </w:t>
      </w:r>
      <w:r w:rsidRPr="29D9BB6F">
        <w:rPr>
          <w:rFonts w:eastAsia="Times New Roman" w:cs="Times New Roman"/>
          <w:color w:val="000000" w:themeColor="text1"/>
        </w:rPr>
        <w:lastRenderedPageBreak/>
        <w:t xml:space="preserve">quality (physical, chemical, and toxicity) in the ASBS receiving </w:t>
      </w:r>
      <w:proofErr w:type="gramStart"/>
      <w:r w:rsidRPr="29D9BB6F">
        <w:rPr>
          <w:rFonts w:eastAsia="Times New Roman" w:cs="Times New Roman"/>
          <w:color w:val="000000" w:themeColor="text1"/>
        </w:rPr>
        <w:t>waters, and</w:t>
      </w:r>
      <w:proofErr w:type="gramEnd"/>
      <w:r w:rsidRPr="29D9BB6F">
        <w:rPr>
          <w:rFonts w:eastAsia="Times New Roman" w:cs="Times New Roman"/>
          <w:color w:val="000000" w:themeColor="text1"/>
        </w:rPr>
        <w:t xml:space="preserve"> should include benthic marine aquatic life and bioaccumulation components. The design of the ASBS stratum of a regional integrated monitoring program may deviate from the otherwise prescribed individual monitoring </w:t>
      </w:r>
      <w:r w:rsidR="0096496C" w:rsidRPr="29D9BB6F">
        <w:rPr>
          <w:rFonts w:eastAsia="Times New Roman" w:cs="Times New Roman"/>
          <w:color w:val="000000" w:themeColor="text1"/>
        </w:rPr>
        <w:t xml:space="preserve">program </w:t>
      </w:r>
      <w:r w:rsidR="008178AA" w:rsidRPr="29D9BB6F">
        <w:rPr>
          <w:rFonts w:eastAsia="Times New Roman" w:cs="Times New Roman"/>
          <w:color w:val="000000" w:themeColor="text1"/>
        </w:rPr>
        <w:t>approach</w:t>
      </w:r>
      <w:r w:rsidRPr="29D9BB6F">
        <w:rPr>
          <w:rFonts w:eastAsia="Times New Roman" w:cs="Times New Roman"/>
          <w:color w:val="000000" w:themeColor="text1"/>
        </w:rPr>
        <w:t xml:space="preserve"> above</w:t>
      </w:r>
      <w:r w:rsidR="00C20F7C" w:rsidRPr="29D9BB6F">
        <w:rPr>
          <w:rFonts w:eastAsia="Times New Roman" w:cs="Times New Roman"/>
          <w:color w:val="000000" w:themeColor="text1"/>
        </w:rPr>
        <w:t>,</w:t>
      </w:r>
      <w:r w:rsidRPr="29D9BB6F">
        <w:rPr>
          <w:rFonts w:eastAsia="Times New Roman" w:cs="Times New Roman"/>
          <w:color w:val="000000" w:themeColor="text1"/>
        </w:rPr>
        <w:t xml:space="preserve"> if approved by the </w:t>
      </w:r>
      <w:r w:rsidR="6A442EE1" w:rsidRPr="29D9BB6F">
        <w:rPr>
          <w:rFonts w:eastAsia="Times New Roman" w:cs="Times New Roman"/>
          <w:color w:val="000000" w:themeColor="text1"/>
        </w:rPr>
        <w:t>State Water Board’s Division of Water Quality and the applicable</w:t>
      </w:r>
      <w:r w:rsidR="7AEEAAB8" w:rsidRPr="29D9BB6F">
        <w:rPr>
          <w:rFonts w:eastAsia="Times New Roman" w:cs="Times New Roman"/>
          <w:color w:val="000000" w:themeColor="text1"/>
        </w:rPr>
        <w:t xml:space="preserve"> </w:t>
      </w:r>
      <w:r w:rsidRPr="29D9BB6F">
        <w:rPr>
          <w:rFonts w:eastAsia="Times New Roman" w:cs="Times New Roman"/>
          <w:color w:val="000000" w:themeColor="text1"/>
        </w:rPr>
        <w:t>Regional Water Boards.</w:t>
      </w:r>
    </w:p>
    <w:p w14:paraId="4593B6B3" w14:textId="46B7CE5B" w:rsidR="00096DC5" w:rsidRPr="00C16893" w:rsidRDefault="00096DC5" w:rsidP="003E7BD4">
      <w:pPr>
        <w:ind w:left="1440" w:hanging="360"/>
        <w:rPr>
          <w:rFonts w:eastAsia="Times New Roman" w:cs="Times New Roman"/>
          <w:color w:val="000000" w:themeColor="text1"/>
          <w:szCs w:val="20"/>
        </w:rPr>
      </w:pPr>
      <w:bookmarkStart w:id="95" w:name="_Hlk172818975"/>
      <w:bookmarkEnd w:id="94"/>
      <w:r w:rsidRPr="00C16893">
        <w:rPr>
          <w:rFonts w:eastAsia="Times New Roman" w:cs="Times New Roman"/>
          <w:color w:val="000000" w:themeColor="text1"/>
          <w:szCs w:val="20"/>
        </w:rPr>
        <w:t>a.</w:t>
      </w:r>
      <w:r w:rsidRPr="00C16893">
        <w:rPr>
          <w:rFonts w:eastAsia="Times New Roman" w:cs="Times New Roman"/>
          <w:color w:val="000000" w:themeColor="text1"/>
          <w:szCs w:val="20"/>
        </w:rPr>
        <w:tab/>
        <w:t>Ocean reference areas shall be located at the drainages of flowing watersheds with minimal development (in no instance more than 10% development</w:t>
      </w:r>
      <w:r w:rsidR="008178AA" w:rsidRPr="00C16893">
        <w:rPr>
          <w:rFonts w:eastAsia="Times New Roman" w:cs="Times New Roman"/>
          <w:color w:val="000000" w:themeColor="text1"/>
          <w:szCs w:val="20"/>
        </w:rPr>
        <w:t>) and</w:t>
      </w:r>
      <w:r w:rsidRPr="00C16893">
        <w:rPr>
          <w:rFonts w:eastAsia="Times New Roman" w:cs="Times New Roman"/>
          <w:color w:val="000000" w:themeColor="text1"/>
          <w:szCs w:val="20"/>
        </w:rPr>
        <w:t xml:space="preserve"> shall not </w:t>
      </w:r>
      <w:proofErr w:type="gramStart"/>
      <w:r w:rsidRPr="00C16893">
        <w:rPr>
          <w:rFonts w:eastAsia="Times New Roman" w:cs="Times New Roman"/>
          <w:color w:val="000000" w:themeColor="text1"/>
          <w:szCs w:val="20"/>
        </w:rPr>
        <w:t>be located in</w:t>
      </w:r>
      <w:proofErr w:type="gramEnd"/>
      <w:r w:rsidRPr="00C16893">
        <w:rPr>
          <w:rFonts w:eastAsia="Times New Roman" w:cs="Times New Roman"/>
          <w:color w:val="000000" w:themeColor="text1"/>
          <w:szCs w:val="20"/>
        </w:rPr>
        <w:t xml:space="preserve"> CWA Section 303(d) listed waterbodies or have tributaries that are 303(d) listed. Reference areas shall be free of wastewater discharges and anthropogenic non-</w:t>
      </w:r>
      <w:r w:rsidR="00E37556">
        <w:rPr>
          <w:rFonts w:eastAsia="Times New Roman" w:cs="Times New Roman"/>
          <w:color w:val="000000" w:themeColor="text1"/>
          <w:szCs w:val="20"/>
        </w:rPr>
        <w:t xml:space="preserve"> stormwater </w:t>
      </w:r>
      <w:r w:rsidRPr="00C16893">
        <w:rPr>
          <w:rFonts w:eastAsia="Times New Roman" w:cs="Times New Roman"/>
          <w:color w:val="000000" w:themeColor="text1"/>
          <w:szCs w:val="20"/>
        </w:rPr>
        <w:t xml:space="preserve">runoff. A minimum of </w:t>
      </w:r>
      <w:proofErr w:type="gramStart"/>
      <w:r w:rsidRPr="00C16893">
        <w:rPr>
          <w:rFonts w:eastAsia="Times New Roman" w:cs="Times New Roman"/>
          <w:color w:val="000000" w:themeColor="text1"/>
          <w:szCs w:val="20"/>
        </w:rPr>
        <w:t>low threat</w:t>
      </w:r>
      <w:proofErr w:type="gramEnd"/>
      <w:r w:rsidRPr="00C16893">
        <w:rPr>
          <w:rFonts w:eastAsia="Times New Roman" w:cs="Times New Roman"/>
          <w:color w:val="000000" w:themeColor="text1"/>
          <w:szCs w:val="20"/>
        </w:rPr>
        <w:t xml:space="preserve"> storm runoff discharges (e.g. stream highway overpasses and campgrounds) may be allowed on a case-by-case basis.</w:t>
      </w:r>
    </w:p>
    <w:p w14:paraId="4ED4C279" w14:textId="77777777" w:rsidR="00096DC5" w:rsidRPr="00C16893" w:rsidRDefault="00096DC5" w:rsidP="003E7BD4">
      <w:pPr>
        <w:ind w:left="1440"/>
        <w:rPr>
          <w:rFonts w:eastAsia="Times New Roman" w:cs="Times New Roman"/>
          <w:color w:val="000000" w:themeColor="text1"/>
          <w:szCs w:val="20"/>
        </w:rPr>
      </w:pPr>
      <w:bookmarkStart w:id="96" w:name="_Hlk172818976"/>
      <w:bookmarkEnd w:id="95"/>
      <w:r w:rsidRPr="00C16893">
        <w:rPr>
          <w:rFonts w:eastAsia="Times New Roman" w:cs="Times New Roman"/>
          <w:color w:val="000000" w:themeColor="text1"/>
          <w:szCs w:val="20"/>
        </w:rPr>
        <w:t xml:space="preserve">Reference areas shall </w:t>
      </w:r>
      <w:proofErr w:type="gramStart"/>
      <w:r w:rsidRPr="00C16893">
        <w:rPr>
          <w:rFonts w:eastAsia="Times New Roman" w:cs="Times New Roman"/>
          <w:color w:val="000000" w:themeColor="text1"/>
          <w:szCs w:val="20"/>
        </w:rPr>
        <w:t>be located in</w:t>
      </w:r>
      <w:proofErr w:type="gramEnd"/>
      <w:r w:rsidRPr="00C16893">
        <w:rPr>
          <w:rFonts w:eastAsia="Times New Roman" w:cs="Times New Roman"/>
          <w:color w:val="000000" w:themeColor="text1"/>
          <w:szCs w:val="20"/>
        </w:rPr>
        <w:t xml:space="preserve"> the same region as the ASBS receiving water monitoring occurs. The reference areas for each Region are subject to approval by the participants in the regional monitoring program and the State Water Board’s Division of Water Quality and the applicable Regional Water Board(s). A minimum of three ocean reference water samples must be collected from each station, each from a separate storm. A minimum of one reference location shall be sampled for each ASBS receiving water site sampled per responsible party. For parties </w:t>
      </w:r>
      <w:proofErr w:type="gramStart"/>
      <w:r w:rsidRPr="00C16893">
        <w:rPr>
          <w:rFonts w:eastAsia="Times New Roman" w:cs="Times New Roman"/>
          <w:color w:val="000000" w:themeColor="text1"/>
          <w:szCs w:val="20"/>
        </w:rPr>
        <w:t>discharging to</w:t>
      </w:r>
      <w:proofErr w:type="gramEnd"/>
      <w:r w:rsidRPr="00C16893">
        <w:rPr>
          <w:rFonts w:eastAsia="Times New Roman" w:cs="Times New Roman"/>
          <w:color w:val="000000" w:themeColor="text1"/>
          <w:szCs w:val="20"/>
        </w:rPr>
        <w:t xml:space="preserve"> ASBS in more than one Regional Water Board region, at a minimum, one reference station and one receiving water station shall be sampled in each region.</w:t>
      </w:r>
    </w:p>
    <w:p w14:paraId="533586CE" w14:textId="77777777" w:rsidR="00096DC5" w:rsidRPr="00C16893" w:rsidRDefault="00096DC5" w:rsidP="00884552">
      <w:pPr>
        <w:ind w:left="1440" w:hanging="360"/>
        <w:rPr>
          <w:rFonts w:eastAsia="Times New Roman" w:cs="Times New Roman"/>
          <w:color w:val="000000" w:themeColor="text1"/>
          <w:szCs w:val="20"/>
        </w:rPr>
      </w:pPr>
      <w:bookmarkStart w:id="97" w:name="_Hlk172818977"/>
      <w:bookmarkEnd w:id="96"/>
      <w:r w:rsidRPr="00C16893">
        <w:rPr>
          <w:rFonts w:eastAsia="Times New Roman" w:cs="Times New Roman"/>
          <w:color w:val="000000" w:themeColor="text1"/>
          <w:szCs w:val="20"/>
        </w:rPr>
        <w:t>b.</w:t>
      </w:r>
      <w:r w:rsidRPr="00C16893">
        <w:rPr>
          <w:rFonts w:eastAsia="Times New Roman" w:cs="Times New Roman"/>
          <w:color w:val="000000" w:themeColor="text1"/>
          <w:szCs w:val="20"/>
        </w:rPr>
        <w:tab/>
        <w:t xml:space="preserve">ASBS ocean receiving water must be sampled in the surf zone at the location where the runoff </w:t>
      </w:r>
      <w:proofErr w:type="gramStart"/>
      <w:r w:rsidRPr="00C16893">
        <w:rPr>
          <w:rFonts w:eastAsia="Times New Roman" w:cs="Times New Roman"/>
          <w:color w:val="000000" w:themeColor="text1"/>
          <w:szCs w:val="20"/>
        </w:rPr>
        <w:t>makes contact with</w:t>
      </w:r>
      <w:proofErr w:type="gramEnd"/>
      <w:r w:rsidRPr="00C16893">
        <w:rPr>
          <w:rFonts w:eastAsia="Times New Roman" w:cs="Times New Roman"/>
          <w:color w:val="000000" w:themeColor="text1"/>
          <w:szCs w:val="20"/>
        </w:rPr>
        <w:t xml:space="preserve"> ocean water (i.e. at “point zero”). </w:t>
      </w:r>
      <w:proofErr w:type="gramStart"/>
      <w:r w:rsidRPr="00C16893">
        <w:rPr>
          <w:rFonts w:eastAsia="Times New Roman" w:cs="Times New Roman"/>
          <w:color w:val="000000" w:themeColor="text1"/>
          <w:szCs w:val="20"/>
        </w:rPr>
        <w:t>Ocean receiving</w:t>
      </w:r>
      <w:proofErr w:type="gramEnd"/>
      <w:r w:rsidRPr="00C16893">
        <w:rPr>
          <w:rFonts w:eastAsia="Times New Roman" w:cs="Times New Roman"/>
          <w:color w:val="000000" w:themeColor="text1"/>
          <w:szCs w:val="20"/>
        </w:rPr>
        <w:t xml:space="preserve"> water stations must be representative of worst-case discharge conditions (i.e. co-located at a large drain greater than 36 inches, or if drains greater than 36 inches are not present in the ASBS then the largest drain greater than 18 inches.) Ocean receiving water stations are subject to approval by the participants in the regional monitoring program and the State Water Board’s Division of Water Quality and the applicable Regional Water Board(s). A minimum of three ocean receiving water samples must be collected during each storm season from each station, each from a separate storm. A minimum of one receiving water location shall be sampled in each ASBS per responsible party in that ASBS. For parties </w:t>
      </w:r>
      <w:proofErr w:type="gramStart"/>
      <w:r w:rsidRPr="00C16893">
        <w:rPr>
          <w:rFonts w:eastAsia="Times New Roman" w:cs="Times New Roman"/>
          <w:color w:val="000000" w:themeColor="text1"/>
          <w:szCs w:val="20"/>
        </w:rPr>
        <w:t>discharging to</w:t>
      </w:r>
      <w:proofErr w:type="gramEnd"/>
      <w:r w:rsidRPr="00C16893">
        <w:rPr>
          <w:rFonts w:eastAsia="Times New Roman" w:cs="Times New Roman"/>
          <w:color w:val="000000" w:themeColor="text1"/>
          <w:szCs w:val="20"/>
        </w:rPr>
        <w:t xml:space="preserve"> ASBS in more than one Regional Water Board region, at a minimum, one reference station and one receiving water station shall be sampled in each region.</w:t>
      </w:r>
    </w:p>
    <w:p w14:paraId="4781676D" w14:textId="59230EF9" w:rsidR="00096DC5" w:rsidRPr="00C16893" w:rsidRDefault="00096DC5" w:rsidP="00884552">
      <w:pPr>
        <w:ind w:left="1440" w:hanging="360"/>
        <w:rPr>
          <w:rFonts w:eastAsia="Times New Roman" w:cs="Times New Roman"/>
          <w:color w:val="000000" w:themeColor="text1"/>
          <w:szCs w:val="20"/>
        </w:rPr>
      </w:pPr>
      <w:bookmarkStart w:id="98" w:name="_Hlk172818978"/>
      <w:bookmarkEnd w:id="97"/>
      <w:r w:rsidRPr="00C16893">
        <w:rPr>
          <w:rFonts w:eastAsia="Times New Roman" w:cs="Times New Roman"/>
          <w:color w:val="000000" w:themeColor="text1"/>
          <w:szCs w:val="20"/>
        </w:rPr>
        <w:lastRenderedPageBreak/>
        <w:t>c.</w:t>
      </w:r>
      <w:r w:rsidRPr="00C16893">
        <w:rPr>
          <w:rFonts w:eastAsia="Times New Roman" w:cs="Times New Roman"/>
          <w:color w:val="000000" w:themeColor="text1"/>
          <w:szCs w:val="20"/>
        </w:rPr>
        <w:tab/>
        <w:t>Reference and receiving water sampling shall commence during the first full storm season following the adoption of these special conditions, and post-storm samples shall be collected when annual</w:t>
      </w:r>
      <w:r w:rsidR="00E37556">
        <w:rPr>
          <w:rFonts w:eastAsia="Times New Roman" w:cs="Times New Roman"/>
          <w:color w:val="000000" w:themeColor="text1"/>
          <w:szCs w:val="20"/>
        </w:rPr>
        <w:t xml:space="preserve"> stormwater </w:t>
      </w:r>
      <w:r w:rsidRPr="00C16893">
        <w:rPr>
          <w:rFonts w:eastAsia="Times New Roman" w:cs="Times New Roman"/>
          <w:color w:val="000000" w:themeColor="text1"/>
          <w:szCs w:val="20"/>
        </w:rPr>
        <w:t>runoff is sampled. Sampling shall occur in a minimum of two storm seasons. For those ASBS Permittees that have already participated in the Southern California Bight 2008 ASBS regional monitoring effort, sampling may be limited to only one storm season.</w:t>
      </w:r>
    </w:p>
    <w:p w14:paraId="4A698B3A" w14:textId="0B19E7AE" w:rsidR="00096DC5" w:rsidRPr="00C16893" w:rsidRDefault="00096DC5" w:rsidP="00884552">
      <w:pPr>
        <w:ind w:left="1440" w:hanging="360"/>
        <w:rPr>
          <w:rFonts w:eastAsia="Times New Roman" w:cs="Times New Roman"/>
          <w:color w:val="000000" w:themeColor="text1"/>
          <w:szCs w:val="20"/>
        </w:rPr>
      </w:pPr>
      <w:bookmarkStart w:id="99" w:name="_Hlk172818979"/>
      <w:bookmarkEnd w:id="98"/>
      <w:r w:rsidRPr="00C16893">
        <w:rPr>
          <w:rFonts w:eastAsia="Times New Roman" w:cs="Times New Roman"/>
          <w:color w:val="000000" w:themeColor="text1"/>
          <w:szCs w:val="20"/>
        </w:rPr>
        <w:t>d.</w:t>
      </w:r>
      <w:r w:rsidRPr="00C16893">
        <w:rPr>
          <w:rFonts w:eastAsia="Times New Roman" w:cs="Times New Roman"/>
          <w:color w:val="000000" w:themeColor="text1"/>
          <w:szCs w:val="20"/>
        </w:rPr>
        <w:tab/>
        <w:t>Receiving water and reference samples shall be analyzed for the same constituents as</w:t>
      </w:r>
      <w:r w:rsidR="00E37556">
        <w:rPr>
          <w:rFonts w:eastAsia="Times New Roman" w:cs="Times New Roman"/>
          <w:color w:val="000000" w:themeColor="text1"/>
          <w:szCs w:val="20"/>
        </w:rPr>
        <w:t xml:space="preserve"> stormwater </w:t>
      </w:r>
      <w:r w:rsidRPr="00C16893">
        <w:rPr>
          <w:rFonts w:eastAsia="Times New Roman" w:cs="Times New Roman"/>
          <w:color w:val="000000" w:themeColor="text1"/>
          <w:szCs w:val="20"/>
        </w:rPr>
        <w:t xml:space="preserve">runoff samples. At a minimum, constituents to be sampled and analyzed in reference and discharge receiving waters must include oil and grease, total suspended solids, Ocean Plan </w:t>
      </w:r>
      <w:r w:rsidRPr="00D86498">
        <w:rPr>
          <w:rFonts w:eastAsia="Times New Roman" w:cs="Times New Roman"/>
          <w:szCs w:val="20"/>
        </w:rPr>
        <w:t>Table 3</w:t>
      </w:r>
      <w:r w:rsidRPr="00C16893">
        <w:rPr>
          <w:rFonts w:eastAsia="Times New Roman" w:cs="Times New Roman"/>
          <w:color w:val="000000" w:themeColor="text1"/>
          <w:szCs w:val="20"/>
        </w:rPr>
        <w:t xml:space="preserve"> metals for protection of marine life, Ocean Plan PAHs, pyrethroids, OP pesticides, ammonia, nitrate, phosphates, and critical life stage chronic toxicity for three species. In addition, within the range of the southern sea otter, indicator bacteria or some other measure of fecal contamination shall be analyzed.</w:t>
      </w:r>
    </w:p>
    <w:p w14:paraId="4E0F069D" w14:textId="77777777" w:rsidR="00096DC5" w:rsidRPr="00C16893" w:rsidRDefault="00096DC5" w:rsidP="00884552">
      <w:pPr>
        <w:ind w:left="1080" w:hanging="360"/>
        <w:rPr>
          <w:rFonts w:eastAsia="Times New Roman" w:cs="Times New Roman"/>
          <w:color w:val="000000" w:themeColor="text1"/>
          <w:szCs w:val="20"/>
        </w:rPr>
      </w:pPr>
      <w:bookmarkStart w:id="100" w:name="_Hlk172818980"/>
      <w:bookmarkEnd w:id="99"/>
      <w:r w:rsidRPr="00C16893">
        <w:rPr>
          <w:rFonts w:eastAsia="Times New Roman" w:cs="Times New Roman"/>
          <w:color w:val="000000" w:themeColor="text1"/>
          <w:szCs w:val="20"/>
        </w:rPr>
        <w:t>3.</w:t>
      </w:r>
      <w:r w:rsidRPr="00C16893">
        <w:rPr>
          <w:rFonts w:eastAsia="Times New Roman" w:cs="Times New Roman"/>
          <w:color w:val="000000" w:themeColor="text1"/>
          <w:szCs w:val="20"/>
        </w:rPr>
        <w:tab/>
        <w:t xml:space="preserve">Waterfront and Marine Operations: In addition to the above requirements for </w:t>
      </w:r>
      <w:proofErr w:type="gramStart"/>
      <w:r w:rsidRPr="00C16893">
        <w:rPr>
          <w:rFonts w:eastAsia="Times New Roman" w:cs="Times New Roman"/>
          <w:color w:val="000000" w:themeColor="text1"/>
          <w:szCs w:val="20"/>
        </w:rPr>
        <w:t>ocean receiving</w:t>
      </w:r>
      <w:proofErr w:type="gramEnd"/>
      <w:r w:rsidRPr="00C16893">
        <w:rPr>
          <w:rFonts w:eastAsia="Times New Roman" w:cs="Times New Roman"/>
          <w:color w:val="000000" w:themeColor="text1"/>
          <w:szCs w:val="20"/>
        </w:rPr>
        <w:t xml:space="preserve"> water monitoring, additional monitoring must be </w:t>
      </w:r>
      <w:proofErr w:type="gramStart"/>
      <w:r w:rsidRPr="00C16893">
        <w:rPr>
          <w:rFonts w:eastAsia="Times New Roman" w:cs="Times New Roman"/>
          <w:color w:val="000000" w:themeColor="text1"/>
          <w:szCs w:val="20"/>
        </w:rPr>
        <w:t>performed</w:t>
      </w:r>
      <w:proofErr w:type="gramEnd"/>
      <w:r w:rsidRPr="00C16893">
        <w:rPr>
          <w:rFonts w:eastAsia="Times New Roman" w:cs="Times New Roman"/>
          <w:color w:val="000000" w:themeColor="text1"/>
          <w:szCs w:val="20"/>
        </w:rPr>
        <w:t xml:space="preserve"> for marinas and boat launch and pier facilities:</w:t>
      </w:r>
    </w:p>
    <w:p w14:paraId="317D8702" w14:textId="77777777" w:rsidR="00096DC5" w:rsidRPr="00C16893" w:rsidRDefault="00096DC5" w:rsidP="00884552">
      <w:pPr>
        <w:ind w:left="1440" w:hanging="360"/>
        <w:rPr>
          <w:rFonts w:eastAsia="Times New Roman" w:cs="Times New Roman"/>
          <w:color w:val="000000" w:themeColor="text1"/>
          <w:szCs w:val="20"/>
        </w:rPr>
      </w:pPr>
      <w:bookmarkStart w:id="101" w:name="_Hlk172818981"/>
      <w:bookmarkEnd w:id="100"/>
      <w:r w:rsidRPr="00C16893">
        <w:rPr>
          <w:rFonts w:eastAsia="Times New Roman" w:cs="Times New Roman"/>
          <w:color w:val="000000" w:themeColor="text1"/>
          <w:szCs w:val="20"/>
        </w:rPr>
        <w:t>a.</w:t>
      </w:r>
      <w:r w:rsidRPr="00C16893">
        <w:rPr>
          <w:rFonts w:eastAsia="Times New Roman" w:cs="Times New Roman"/>
          <w:color w:val="000000" w:themeColor="text1"/>
          <w:szCs w:val="20"/>
        </w:rPr>
        <w:tab/>
        <w:t>For all marina or mooring field operators, in mooring fields with 10 or more occupied moorings, the ocean receiving water must be sampled for Ocean Plan indicator bacteria, residual chlorine, copper, zinc, grease and oil, methylene blue active substances (MBAS), and ammonia nitrogen.</w:t>
      </w:r>
    </w:p>
    <w:p w14:paraId="37B126A0" w14:textId="68B82F68" w:rsidR="00096DC5" w:rsidRPr="00EA316C" w:rsidRDefault="00096DC5" w:rsidP="00291BC2">
      <w:pPr>
        <w:pStyle w:val="ListParagraph"/>
        <w:numPr>
          <w:ilvl w:val="0"/>
          <w:numId w:val="39"/>
        </w:numPr>
        <w:tabs>
          <w:tab w:val="clear" w:pos="360"/>
        </w:tabs>
        <w:ind w:left="1800"/>
        <w:rPr>
          <w:rFonts w:eastAsia="Times New Roman" w:cs="Times New Roman"/>
          <w:color w:val="000000" w:themeColor="text1"/>
          <w:szCs w:val="20"/>
        </w:rPr>
      </w:pPr>
      <w:bookmarkStart w:id="102" w:name="_Hlk172818982"/>
      <w:bookmarkEnd w:id="101"/>
      <w:r w:rsidRPr="00EA316C">
        <w:rPr>
          <w:rFonts w:eastAsia="Times New Roman" w:cs="Times New Roman"/>
          <w:color w:val="000000" w:themeColor="text1"/>
          <w:szCs w:val="20"/>
        </w:rPr>
        <w:t>For mooring field operators opting for an individual monitoring program, above, this sampling must occur weekly (on the weekend) from May through October.</w:t>
      </w:r>
    </w:p>
    <w:p w14:paraId="2223AC3B" w14:textId="7CFF9D97" w:rsidR="00096DC5" w:rsidRPr="00EA316C" w:rsidRDefault="00096DC5" w:rsidP="00291BC2">
      <w:pPr>
        <w:pStyle w:val="ListParagraph"/>
        <w:numPr>
          <w:ilvl w:val="0"/>
          <w:numId w:val="39"/>
        </w:numPr>
        <w:tabs>
          <w:tab w:val="clear" w:pos="360"/>
        </w:tabs>
        <w:ind w:left="1800"/>
        <w:rPr>
          <w:rFonts w:eastAsia="Times New Roman" w:cs="Times New Roman"/>
          <w:color w:val="000000" w:themeColor="text1"/>
          <w:szCs w:val="20"/>
        </w:rPr>
      </w:pPr>
      <w:bookmarkStart w:id="103" w:name="_Hlk172818983"/>
      <w:bookmarkEnd w:id="102"/>
      <w:r w:rsidRPr="00EA316C">
        <w:rPr>
          <w:rFonts w:eastAsia="Times New Roman" w:cs="Times New Roman"/>
          <w:color w:val="000000" w:themeColor="text1"/>
          <w:szCs w:val="20"/>
        </w:rPr>
        <w:t>For mooring field operators opting to participate in a regional integrated monitoring program, above</w:t>
      </w:r>
      <w:r w:rsidR="00C20F7C" w:rsidRPr="00EA316C">
        <w:rPr>
          <w:rFonts w:eastAsia="Times New Roman" w:cs="Times New Roman"/>
          <w:color w:val="000000" w:themeColor="text1"/>
          <w:szCs w:val="20"/>
        </w:rPr>
        <w:t>,</w:t>
      </w:r>
      <w:r w:rsidRPr="00EA316C">
        <w:rPr>
          <w:rFonts w:eastAsia="Times New Roman" w:cs="Times New Roman"/>
          <w:color w:val="000000" w:themeColor="text1"/>
          <w:szCs w:val="20"/>
        </w:rPr>
        <w:t xml:space="preserve"> for submitting reports, this sampling must occur from May through October on a high </w:t>
      </w:r>
      <w:proofErr w:type="gramStart"/>
      <w:r w:rsidRPr="00EA316C">
        <w:rPr>
          <w:rFonts w:eastAsia="Times New Roman" w:cs="Times New Roman"/>
          <w:color w:val="000000" w:themeColor="text1"/>
          <w:szCs w:val="20"/>
        </w:rPr>
        <w:t>weekend in</w:t>
      </w:r>
      <w:proofErr w:type="gramEnd"/>
      <w:r w:rsidRPr="00EA316C">
        <w:rPr>
          <w:rFonts w:eastAsia="Times New Roman" w:cs="Times New Roman"/>
          <w:color w:val="000000" w:themeColor="text1"/>
          <w:szCs w:val="20"/>
        </w:rPr>
        <w:t xml:space="preserve"> each month. The Water Boards may allow a reduction in the frequency of sampling, through the regional monitoring program, after the first year of monitoring.</w:t>
      </w:r>
    </w:p>
    <w:p w14:paraId="7A391E2D" w14:textId="03E9B5E4" w:rsidR="00E37556" w:rsidRPr="00FF4363" w:rsidRDefault="00096DC5" w:rsidP="00884552">
      <w:pPr>
        <w:ind w:left="1440" w:hanging="360"/>
      </w:pPr>
      <w:bookmarkStart w:id="104" w:name="_Hlk172818984"/>
      <w:bookmarkEnd w:id="103"/>
      <w:r w:rsidRPr="00C16893">
        <w:rPr>
          <w:rFonts w:eastAsia="Times New Roman" w:cs="Times New Roman"/>
          <w:color w:val="000000" w:themeColor="text1"/>
          <w:szCs w:val="20"/>
        </w:rPr>
        <w:t>b.</w:t>
      </w:r>
      <w:r w:rsidRPr="00C16893">
        <w:rPr>
          <w:rFonts w:eastAsia="Times New Roman" w:cs="Times New Roman"/>
          <w:color w:val="000000" w:themeColor="text1"/>
          <w:szCs w:val="20"/>
        </w:rPr>
        <w:tab/>
        <w:t xml:space="preserve">For all mooring field operators, the subtidal sediment (sand or finer, if present) within the mooring fields and below piers shall be sampled and analyzed for Ocean Plan </w:t>
      </w:r>
      <w:r w:rsidRPr="00D86498">
        <w:rPr>
          <w:rFonts w:eastAsia="Times New Roman" w:cs="Times New Roman"/>
          <w:szCs w:val="20"/>
        </w:rPr>
        <w:t>Table 3</w:t>
      </w:r>
      <w:r w:rsidRPr="00C16893">
        <w:rPr>
          <w:rFonts w:eastAsia="Times New Roman" w:cs="Times New Roman"/>
          <w:color w:val="000000" w:themeColor="text1"/>
          <w:szCs w:val="20"/>
        </w:rPr>
        <w:t xml:space="preserve"> metals (for marine aquatic life beneficial use), acute toxicity, PAHs, and tributyltin. For sediment toxicity testing, only an acute toxicity test using the amphipod </w:t>
      </w:r>
      <w:proofErr w:type="spellStart"/>
      <w:r w:rsidRPr="000921A3">
        <w:rPr>
          <w:rFonts w:eastAsia="Times New Roman" w:cs="Times New Roman"/>
          <w:i/>
          <w:iCs/>
          <w:color w:val="000000" w:themeColor="text1"/>
          <w:szCs w:val="20"/>
        </w:rPr>
        <w:t>Eohaustorius</w:t>
      </w:r>
      <w:proofErr w:type="spellEnd"/>
      <w:r w:rsidRPr="000921A3">
        <w:rPr>
          <w:rFonts w:eastAsia="Times New Roman" w:cs="Times New Roman"/>
          <w:i/>
          <w:iCs/>
          <w:color w:val="000000" w:themeColor="text1"/>
          <w:szCs w:val="20"/>
        </w:rPr>
        <w:t xml:space="preserve"> </w:t>
      </w:r>
      <w:proofErr w:type="spellStart"/>
      <w:r w:rsidRPr="000921A3">
        <w:rPr>
          <w:rFonts w:eastAsia="Times New Roman" w:cs="Times New Roman"/>
          <w:i/>
          <w:iCs/>
          <w:color w:val="000000" w:themeColor="text1"/>
          <w:szCs w:val="20"/>
        </w:rPr>
        <w:t>estuarius</w:t>
      </w:r>
      <w:proofErr w:type="spellEnd"/>
      <w:r w:rsidRPr="00C16893">
        <w:rPr>
          <w:rFonts w:eastAsia="Times New Roman" w:cs="Times New Roman"/>
          <w:color w:val="000000" w:themeColor="text1"/>
          <w:szCs w:val="20"/>
        </w:rPr>
        <w:t xml:space="preserve"> must be performed. This sampling shall occur at least three times during a five (5) year period. For mooring field </w:t>
      </w:r>
      <w:proofErr w:type="gramStart"/>
      <w:r w:rsidRPr="00C16893">
        <w:rPr>
          <w:rFonts w:eastAsia="Times New Roman" w:cs="Times New Roman"/>
          <w:color w:val="000000" w:themeColor="text1"/>
          <w:szCs w:val="20"/>
        </w:rPr>
        <w:t>operators opting</w:t>
      </w:r>
      <w:proofErr w:type="gramEnd"/>
      <w:r w:rsidRPr="00C16893">
        <w:rPr>
          <w:rFonts w:eastAsia="Times New Roman" w:cs="Times New Roman"/>
          <w:color w:val="000000" w:themeColor="text1"/>
          <w:szCs w:val="20"/>
        </w:rPr>
        <w:t xml:space="preserve"> to participate in a </w:t>
      </w:r>
      <w:proofErr w:type="gramStart"/>
      <w:r w:rsidRPr="00C16893">
        <w:rPr>
          <w:rFonts w:eastAsia="Times New Roman" w:cs="Times New Roman"/>
          <w:color w:val="000000" w:themeColor="text1"/>
          <w:szCs w:val="20"/>
        </w:rPr>
        <w:t>regional</w:t>
      </w:r>
      <w:proofErr w:type="gramEnd"/>
      <w:r w:rsidRPr="00C16893">
        <w:rPr>
          <w:rFonts w:eastAsia="Times New Roman" w:cs="Times New Roman"/>
          <w:color w:val="000000" w:themeColor="text1"/>
          <w:szCs w:val="20"/>
        </w:rPr>
        <w:t xml:space="preserve"> integrated monitoring program, the Water Boards may allow a </w:t>
      </w:r>
      <w:r w:rsidRPr="00C16893">
        <w:rPr>
          <w:rFonts w:eastAsia="Times New Roman" w:cs="Times New Roman"/>
          <w:color w:val="000000" w:themeColor="text1"/>
          <w:szCs w:val="20"/>
        </w:rPr>
        <w:lastRenderedPageBreak/>
        <w:t xml:space="preserve">reduction in the frequency of sampling after the first sampling effort’s results are assessed. </w:t>
      </w:r>
      <w:bookmarkEnd w:id="104"/>
    </w:p>
    <w:p w14:paraId="104383C6" w14:textId="21057AE8" w:rsidR="002C77D3" w:rsidRDefault="002C77D3" w:rsidP="00A43E87">
      <w:pPr>
        <w:ind w:left="360" w:hanging="450"/>
      </w:pPr>
      <w:r>
        <w:br w:type="page"/>
      </w:r>
    </w:p>
    <w:p w14:paraId="18774BC1" w14:textId="1D950035" w:rsidR="002C77D3" w:rsidRDefault="003212F2" w:rsidP="00C12FC8">
      <w:pPr>
        <w:pStyle w:val="Heading2"/>
      </w:pPr>
      <w:bookmarkStart w:id="105" w:name="_Hlk172818881"/>
      <w:r w:rsidRPr="007B511B">
        <w:lastRenderedPageBreak/>
        <w:t>F</w:t>
      </w:r>
      <w:r w:rsidR="00F4627F">
        <w:t>8</w:t>
      </w:r>
      <w:bookmarkStart w:id="106" w:name="FlowChart"/>
      <w:r w:rsidR="007B511B">
        <w:t>.</w:t>
      </w:r>
      <w:r w:rsidRPr="007B511B">
        <w:t xml:space="preserve"> </w:t>
      </w:r>
      <w:r w:rsidR="007B511B">
        <w:tab/>
      </w:r>
      <w:r w:rsidR="00E05739">
        <w:t>FLOWCHART TO DETERMINE EXCEEDANCE OR COMPLIANCE:</w:t>
      </w:r>
      <w:r w:rsidR="00E05739" w:rsidRPr="00E05739">
        <w:t xml:space="preserve"> </w:t>
      </w:r>
      <w:r w:rsidR="002C77D3" w:rsidRPr="00135713">
        <w:t xml:space="preserve">ASBS </w:t>
      </w:r>
      <w:r w:rsidR="00212C55">
        <w:t>SPECIAL PROTECTIONS</w:t>
      </w:r>
      <w:bookmarkEnd w:id="106"/>
    </w:p>
    <w:p w14:paraId="6CB81A00" w14:textId="6DCA6F81" w:rsidR="002C77D3" w:rsidRDefault="002C77D3" w:rsidP="00D8032B">
      <w:pPr>
        <w:spacing w:line="240" w:lineRule="auto"/>
        <w:ind w:left="360" w:hanging="446"/>
      </w:pPr>
      <w:bookmarkStart w:id="107" w:name="_Hlk172818985"/>
      <w:bookmarkEnd w:id="105"/>
      <w:r>
        <w:rPr>
          <w:noProof/>
        </w:rPr>
        <w:drawing>
          <wp:inline distT="0" distB="0" distL="0" distR="0" wp14:anchorId="0A248B4C" wp14:editId="6EF5D822">
            <wp:extent cx="6528021" cy="7272912"/>
            <wp:effectExtent l="0" t="0" r="6350" b="4445"/>
            <wp:docPr id="22" name="Picture 22" descr="ASBS Flowchart&#10;Title of Flow Chart: F8 Flow Chart to Determine Exceedance or Compliance: ASBS Special Protections.&#10;First Box: Compare receiving water post-storm sample concentration to the 85% threshold of reference sample concentrations. Continue to first question — Is post-storm concentration greater than 85% threshold? If no, then it is Compliance with natural water quality. If yes, then compare receiving water post-storm to pre-storm sample concentration. Is the post-storm receiving sample greater than pre-storm concentration? If no, the Receiving Water sample is similar to local background — No Action. If yes, then Resample receiving water pre- and post-storm (during the next feasible storm event) and analyze per water board approval. &#10;Continuing on in the flow chart, Is the post-storm re-sample(s) concentration greater than 85% threshold? If no, Receiving water sample is similar to local background — No Action. If yes, then Is post-storm receiving water sample greater than pre-storm concentration? If no, it is Compliance with natural water quality. If yes, then Exceedance of natural water quality*. End of flow chart.&#10;* — When an exceedance of natural water quality occurs, the Department must comply with section I.A.2.h of the Special Protections as well as the requirements of this Order. Note, when sampling data is available, end-of-pipe effluent concentrations will be considered by the Water Boards in making this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SBS Flowchart&#10;Title of Flow Chart: F8 Flow Chart to Determine Exceedance or Compliance: ASBS Special Protections.&#10;First Box: Compare receiving water post-storm sample concentration to the 85% threshold of reference sample concentrations. Continue to first question — Is post-storm concentration greater than 85% threshold? If no, then it is Compliance with natural water quality. If yes, then compare receiving water post-storm to pre-storm sample concentration. Is the post-storm receiving sample greater than pre-storm concentration? If no, the Receiving Water sample is similar to local background — No Action. If yes, then Resample receiving water pre- and post-storm (during the next feasible storm event) and analyze per water board approval. &#10;Continuing on in the flow chart, Is the post-storm re-sample(s) concentration greater than 85% threshold? If no, Receiving water sample is similar to local background — No Action. If yes, then Is post-storm receiving water sample greater than pre-storm concentration? If no, it is Compliance with natural water quality. If yes, then Exceedance of natural water quality*. End of flow chart.&#10;* — When an exceedance of natural water quality occurs, the Department must comply with section I.A.2.h of the Special Protections as well as the requirements of this Order. Note, when sampling data is available, end-of-pipe effluent concentrations will be considered by the Water Boards in making this determination."/>
                    <pic:cNvPicPr>
                      <a:picLocks noChangeAspect="1" noChangeArrowheads="1"/>
                    </pic:cNvPicPr>
                  </pic:nvPicPr>
                  <pic:blipFill rotWithShape="1">
                    <a:blip r:embed="rId13">
                      <a:extLst>
                        <a:ext uri="{28A0092B-C50C-407E-A947-70E740481C1C}">
                          <a14:useLocalDpi xmlns:a14="http://schemas.microsoft.com/office/drawing/2010/main" val="0"/>
                        </a:ext>
                      </a:extLst>
                    </a:blip>
                    <a:srcRect l="13085" t="11215" r="14841" b="13928"/>
                    <a:stretch/>
                  </pic:blipFill>
                  <pic:spPr bwMode="auto">
                    <a:xfrm>
                      <a:off x="0" y="0"/>
                      <a:ext cx="6573659" cy="7323758"/>
                    </a:xfrm>
                    <a:prstGeom prst="rect">
                      <a:avLst/>
                    </a:prstGeom>
                    <a:noFill/>
                    <a:ln>
                      <a:noFill/>
                    </a:ln>
                    <a:extLst>
                      <a:ext uri="{53640926-AAD7-44D8-BBD7-CCE9431645EC}">
                        <a14:shadowObscured xmlns:a14="http://schemas.microsoft.com/office/drawing/2010/main"/>
                      </a:ext>
                    </a:extLst>
                  </pic:spPr>
                </pic:pic>
              </a:graphicData>
            </a:graphic>
          </wp:inline>
        </w:drawing>
      </w:r>
    </w:p>
    <w:bookmarkEnd w:id="107"/>
    <w:p w14:paraId="78394B21" w14:textId="77777777" w:rsidR="0060100F" w:rsidRDefault="0060100F">
      <w:pPr>
        <w:shd w:val="clear" w:color="auto" w:fill="auto"/>
        <w:spacing w:before="0" w:after="160"/>
        <w:ind w:left="0"/>
      </w:pPr>
      <w:r>
        <w:br w:type="page"/>
      </w:r>
    </w:p>
    <w:p w14:paraId="3749C184" w14:textId="53B31D8B" w:rsidR="00FB4D02" w:rsidRDefault="00671BDA" w:rsidP="00C12FC8">
      <w:pPr>
        <w:pStyle w:val="Heading2"/>
      </w:pPr>
      <w:bookmarkStart w:id="108" w:name="Tables"/>
      <w:r>
        <w:lastRenderedPageBreak/>
        <w:t>F</w:t>
      </w:r>
      <w:r w:rsidR="00F4627F">
        <w:t>9</w:t>
      </w:r>
      <w:r w:rsidR="00C6043F">
        <w:t>.</w:t>
      </w:r>
      <w:r w:rsidR="00C6043F">
        <w:tab/>
      </w:r>
      <w:r w:rsidR="0060100F">
        <w:t>TABLES</w:t>
      </w:r>
      <w:bookmarkStart w:id="109" w:name="_Hlk146195698"/>
    </w:p>
    <w:p w14:paraId="7363FF6B" w14:textId="7ABA27FA" w:rsidR="004A43AF" w:rsidRPr="00755AF8" w:rsidRDefault="004A43AF" w:rsidP="00884552">
      <w:pPr>
        <w:pStyle w:val="ListParagraph"/>
        <w:numPr>
          <w:ilvl w:val="4"/>
          <w:numId w:val="0"/>
        </w:numPr>
        <w:shd w:val="clear" w:color="auto" w:fill="auto"/>
        <w:tabs>
          <w:tab w:val="clear" w:pos="360"/>
        </w:tabs>
        <w:autoSpaceDE w:val="0"/>
        <w:autoSpaceDN w:val="0"/>
        <w:spacing w:before="120" w:after="120"/>
        <w:ind w:left="720" w:right="158"/>
      </w:pPr>
      <w:bookmarkStart w:id="110" w:name="_Hlk172819072"/>
      <w:bookmarkStart w:id="111" w:name="_Hlk146111242"/>
      <w:bookmarkStart w:id="112" w:name="_Hlk146107744"/>
      <w:bookmarkStart w:id="113" w:name="Table1"/>
      <w:bookmarkEnd w:id="108"/>
      <w:r w:rsidRPr="4289C8A6">
        <w:rPr>
          <w:rStyle w:val="ui-provider"/>
        </w:rPr>
        <w:t xml:space="preserve">The </w:t>
      </w:r>
      <w:r w:rsidR="00BA2B70">
        <w:rPr>
          <w:rStyle w:val="ui-provider"/>
        </w:rPr>
        <w:t>T</w:t>
      </w:r>
      <w:r w:rsidRPr="4289C8A6">
        <w:rPr>
          <w:rStyle w:val="ui-provider"/>
        </w:rPr>
        <w:t xml:space="preserve">able of </w:t>
      </w:r>
      <w:bookmarkStart w:id="114" w:name="_Hlk172818899"/>
      <w:bookmarkEnd w:id="110"/>
      <w:r w:rsidRPr="006941C6">
        <w:t xml:space="preserve">85th Percentile </w:t>
      </w:r>
      <w:r>
        <w:t xml:space="preserve">of </w:t>
      </w:r>
      <w:bookmarkStart w:id="115" w:name="_Hlk172819073"/>
      <w:bookmarkEnd w:id="114"/>
      <w:r w:rsidRPr="4289C8A6">
        <w:rPr>
          <w:rStyle w:val="ui-provider"/>
        </w:rPr>
        <w:t xml:space="preserve">Natural Ocean Water Quality Values of All Reference Area Monitoring Sites (Regional Monitoring Program) provides the reference </w:t>
      </w:r>
      <w:bookmarkStart w:id="116" w:name="_Hlk172818900"/>
      <w:bookmarkEnd w:id="115"/>
      <w:r>
        <w:t xml:space="preserve">water quality data by sampling region. Under the previous permit, three regions were selected and monitored for reference area monitoring: North Coast, South Coast, and Central Coast. Ocean reference areas were located at in areas free of wastewater discharges, anthropogenic non-storm water runoff, and other requirements as provided in the </w:t>
      </w:r>
      <w:r w:rsidR="005071A1">
        <w:t>G</w:t>
      </w:r>
      <w:r w:rsidRPr="005071A1">
        <w:t>lossary</w:t>
      </w:r>
      <w:r>
        <w:t xml:space="preserve"> definition for “Ocean Reference Area Sampling.” The </w:t>
      </w:r>
      <w:r w:rsidR="00AF4844">
        <w:t>Permittee</w:t>
      </w:r>
      <w:r>
        <w:t xml:space="preserve"> shall use these values when assessing exceedances of </w:t>
      </w:r>
      <w:r w:rsidRPr="006941C6">
        <w:t xml:space="preserve">85th Percentile </w:t>
      </w:r>
      <w:r>
        <w:t>of Natural Ocean Water Quality for the given reference area monitoring site.</w:t>
      </w:r>
      <w:bookmarkEnd w:id="116"/>
    </w:p>
    <w:p w14:paraId="03B3435F" w14:textId="47BB7037" w:rsidR="0093734B" w:rsidRPr="00E25B66" w:rsidRDefault="002A3AD4" w:rsidP="00BB4103">
      <w:pPr>
        <w:pStyle w:val="Heading3"/>
        <w:spacing w:before="240" w:after="0" w:line="240" w:lineRule="auto"/>
        <w:ind w:left="0" w:firstLine="0"/>
      </w:pPr>
      <w:bookmarkStart w:id="117" w:name="_Table_F9._Table"/>
      <w:bookmarkStart w:id="118" w:name="_Hlk172818885"/>
      <w:bookmarkEnd w:id="117"/>
      <w:r>
        <w:t xml:space="preserve">Table F9. </w:t>
      </w:r>
      <w:r w:rsidR="004A43AF" w:rsidRPr="00E25B66">
        <w:t xml:space="preserve">Table of </w:t>
      </w:r>
      <w:r w:rsidR="00D9628F" w:rsidRPr="00E25B66">
        <w:t xml:space="preserve">85th Percentile of </w:t>
      </w:r>
      <w:r w:rsidR="0093734B" w:rsidRPr="00E25B66">
        <w:t>Natural Ocean Water Quality Values</w:t>
      </w:r>
      <w:r w:rsidR="00097B24" w:rsidRPr="00E25B66">
        <w:t xml:space="preserve"> </w:t>
      </w:r>
      <w:r w:rsidR="00DB3C1A" w:rsidRPr="00E25B66">
        <w:t>at</w:t>
      </w:r>
      <w:r w:rsidR="0093734B" w:rsidRPr="00E25B66">
        <w:t xml:space="preserve"> Reference Area Monitoring Sites (</w:t>
      </w:r>
      <w:r w:rsidR="005560BE" w:rsidRPr="00E25B66">
        <w:t xml:space="preserve">for the </w:t>
      </w:r>
      <w:r w:rsidR="0093734B" w:rsidRPr="00E25B66">
        <w:t xml:space="preserve">Regional </w:t>
      </w:r>
      <w:r w:rsidR="00A6117B">
        <w:t xml:space="preserve">Integrated </w:t>
      </w:r>
      <w:r w:rsidR="0093734B" w:rsidRPr="00E25B66">
        <w:t>Monitoring Program</w:t>
      </w:r>
      <w:bookmarkEnd w:id="109"/>
      <w:bookmarkEnd w:id="111"/>
      <w:r w:rsidR="00B50FAB">
        <w:t>*</w:t>
      </w:r>
      <w:r w:rsidR="0093734B" w:rsidRPr="00E25B66">
        <w:t>)</w:t>
      </w:r>
    </w:p>
    <w:tbl>
      <w:tblPr>
        <w:tblStyle w:val="TableGrid2"/>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90"/>
        <w:gridCol w:w="1980"/>
        <w:gridCol w:w="1710"/>
        <w:gridCol w:w="1751"/>
        <w:gridCol w:w="1939"/>
      </w:tblGrid>
      <w:tr w:rsidR="00C41DCA" w:rsidRPr="00451661" w14:paraId="29778DBE" w14:textId="77777777" w:rsidTr="00BA5FEF">
        <w:trPr>
          <w:trHeight w:val="786"/>
          <w:tblHeader/>
        </w:trPr>
        <w:tc>
          <w:tcPr>
            <w:tcW w:w="1890" w:type="dxa"/>
            <w:shd w:val="clear" w:color="auto" w:fill="E2EFD9" w:themeFill="accent6" w:themeFillTint="33"/>
            <w:vAlign w:val="center"/>
          </w:tcPr>
          <w:p w14:paraId="79DF002D" w14:textId="77777777" w:rsidR="0093734B" w:rsidRPr="00451661" w:rsidRDefault="0093734B" w:rsidP="004A43AF">
            <w:pPr>
              <w:shd w:val="clear" w:color="auto" w:fill="auto"/>
              <w:spacing w:before="0" w:after="0"/>
              <w:ind w:left="0"/>
              <w:jc w:val="center"/>
              <w:rPr>
                <w:b/>
                <w:bCs/>
                <w:sz w:val="22"/>
                <w:szCs w:val="22"/>
              </w:rPr>
            </w:pPr>
            <w:bookmarkStart w:id="119" w:name="_Hlk172818986"/>
            <w:bookmarkEnd w:id="112"/>
            <w:bookmarkEnd w:id="113"/>
            <w:bookmarkEnd w:id="118"/>
            <w:r w:rsidRPr="00451661">
              <w:rPr>
                <w:b/>
                <w:bCs/>
                <w:sz w:val="22"/>
                <w:szCs w:val="22"/>
              </w:rPr>
              <w:t>Constituent</w:t>
            </w:r>
          </w:p>
        </w:tc>
        <w:tc>
          <w:tcPr>
            <w:tcW w:w="1980" w:type="dxa"/>
            <w:shd w:val="clear" w:color="auto" w:fill="E2EFD9" w:themeFill="accent6" w:themeFillTint="33"/>
            <w:vAlign w:val="center"/>
          </w:tcPr>
          <w:p w14:paraId="7B16BD7F" w14:textId="7572C7F4" w:rsidR="0093734B" w:rsidRPr="00451661" w:rsidRDefault="0093734B" w:rsidP="004A43AF">
            <w:pPr>
              <w:shd w:val="clear" w:color="auto" w:fill="auto"/>
              <w:spacing w:before="0" w:after="0"/>
              <w:ind w:left="0"/>
              <w:jc w:val="center"/>
              <w:rPr>
                <w:b/>
                <w:bCs/>
                <w:sz w:val="22"/>
                <w:szCs w:val="22"/>
              </w:rPr>
            </w:pPr>
            <w:r w:rsidRPr="00451661">
              <w:rPr>
                <w:b/>
                <w:bCs/>
                <w:sz w:val="22"/>
                <w:szCs w:val="22"/>
              </w:rPr>
              <w:t>Units</w:t>
            </w:r>
          </w:p>
        </w:tc>
        <w:tc>
          <w:tcPr>
            <w:tcW w:w="1710" w:type="dxa"/>
            <w:shd w:val="clear" w:color="auto" w:fill="E2EFD9" w:themeFill="accent6" w:themeFillTint="33"/>
            <w:vAlign w:val="center"/>
          </w:tcPr>
          <w:p w14:paraId="3270BAC8" w14:textId="15BF6B35" w:rsidR="00DB3C1A" w:rsidRPr="00451661" w:rsidRDefault="0093734B" w:rsidP="004A43AF">
            <w:pPr>
              <w:shd w:val="clear" w:color="auto" w:fill="auto"/>
              <w:spacing w:before="0" w:after="0"/>
              <w:ind w:left="0"/>
              <w:jc w:val="center"/>
              <w:rPr>
                <w:b/>
                <w:bCs/>
                <w:sz w:val="22"/>
                <w:szCs w:val="22"/>
              </w:rPr>
            </w:pPr>
            <w:r w:rsidRPr="00451661">
              <w:rPr>
                <w:b/>
                <w:bCs/>
                <w:sz w:val="22"/>
                <w:szCs w:val="22"/>
              </w:rPr>
              <w:t>North Coast</w:t>
            </w:r>
            <w:r w:rsidR="004A43AF" w:rsidRPr="00451661">
              <w:rPr>
                <w:b/>
                <w:bCs/>
                <w:sz w:val="22"/>
                <w:szCs w:val="22"/>
              </w:rPr>
              <w:t xml:space="preserve"> </w:t>
            </w:r>
            <w:r w:rsidR="00DB3C1A" w:rsidRPr="00451661">
              <w:rPr>
                <w:b/>
                <w:bCs/>
                <w:sz w:val="22"/>
                <w:szCs w:val="22"/>
              </w:rPr>
              <w:t>Monitoring Sites</w:t>
            </w:r>
          </w:p>
        </w:tc>
        <w:tc>
          <w:tcPr>
            <w:tcW w:w="1751" w:type="dxa"/>
            <w:shd w:val="clear" w:color="auto" w:fill="E2EFD9" w:themeFill="accent6" w:themeFillTint="33"/>
            <w:vAlign w:val="center"/>
          </w:tcPr>
          <w:p w14:paraId="29BA580F" w14:textId="2F58D171" w:rsidR="0093734B" w:rsidRPr="00451661" w:rsidRDefault="0093734B" w:rsidP="004A43AF">
            <w:pPr>
              <w:shd w:val="clear" w:color="auto" w:fill="auto"/>
              <w:spacing w:before="0" w:after="0"/>
              <w:ind w:left="0"/>
              <w:jc w:val="center"/>
              <w:rPr>
                <w:b/>
                <w:bCs/>
                <w:sz w:val="22"/>
                <w:szCs w:val="22"/>
              </w:rPr>
            </w:pPr>
            <w:r w:rsidRPr="00451661">
              <w:rPr>
                <w:b/>
                <w:bCs/>
                <w:sz w:val="22"/>
                <w:szCs w:val="22"/>
              </w:rPr>
              <w:t>South Coast</w:t>
            </w:r>
            <w:r w:rsidR="004A43AF" w:rsidRPr="00451661">
              <w:rPr>
                <w:b/>
                <w:bCs/>
                <w:sz w:val="22"/>
                <w:szCs w:val="22"/>
              </w:rPr>
              <w:t xml:space="preserve"> </w:t>
            </w:r>
            <w:r w:rsidR="00DB3C1A" w:rsidRPr="00451661">
              <w:rPr>
                <w:b/>
                <w:bCs/>
                <w:sz w:val="22"/>
                <w:szCs w:val="22"/>
              </w:rPr>
              <w:t>Monitoring Sites</w:t>
            </w:r>
          </w:p>
        </w:tc>
        <w:tc>
          <w:tcPr>
            <w:tcW w:w="1939" w:type="dxa"/>
            <w:shd w:val="clear" w:color="auto" w:fill="E2EFD9" w:themeFill="accent6" w:themeFillTint="33"/>
            <w:vAlign w:val="center"/>
          </w:tcPr>
          <w:p w14:paraId="6CD10346" w14:textId="1FCAEE42" w:rsidR="0093734B" w:rsidRPr="00451661" w:rsidRDefault="0093734B" w:rsidP="004A43AF">
            <w:pPr>
              <w:shd w:val="clear" w:color="auto" w:fill="auto"/>
              <w:spacing w:before="0" w:after="0"/>
              <w:ind w:left="0"/>
              <w:jc w:val="center"/>
              <w:rPr>
                <w:b/>
                <w:bCs/>
                <w:sz w:val="22"/>
                <w:szCs w:val="22"/>
              </w:rPr>
            </w:pPr>
            <w:r w:rsidRPr="00451661">
              <w:rPr>
                <w:b/>
                <w:bCs/>
                <w:sz w:val="22"/>
                <w:szCs w:val="22"/>
              </w:rPr>
              <w:t>Central Coast</w:t>
            </w:r>
            <w:r w:rsidR="004A43AF" w:rsidRPr="00451661">
              <w:rPr>
                <w:b/>
                <w:bCs/>
                <w:sz w:val="22"/>
                <w:szCs w:val="22"/>
              </w:rPr>
              <w:t xml:space="preserve"> </w:t>
            </w:r>
            <w:r w:rsidR="00DB3C1A" w:rsidRPr="00451661">
              <w:rPr>
                <w:b/>
                <w:bCs/>
                <w:sz w:val="22"/>
                <w:szCs w:val="22"/>
              </w:rPr>
              <w:t>Monitoring Sites</w:t>
            </w:r>
          </w:p>
        </w:tc>
      </w:tr>
      <w:tr w:rsidR="0093734B" w:rsidRPr="00451661" w14:paraId="3E5F60C3" w14:textId="77777777" w:rsidTr="00BA5FEF">
        <w:trPr>
          <w:trHeight w:val="245"/>
        </w:trPr>
        <w:tc>
          <w:tcPr>
            <w:tcW w:w="1890" w:type="dxa"/>
          </w:tcPr>
          <w:p w14:paraId="6A85687E" w14:textId="2C4CF40C" w:rsidR="0093734B" w:rsidRPr="00451661" w:rsidRDefault="0093734B" w:rsidP="00730A02">
            <w:pPr>
              <w:shd w:val="clear" w:color="auto" w:fill="auto"/>
              <w:spacing w:before="0" w:after="0" w:line="259" w:lineRule="auto"/>
              <w:ind w:left="0"/>
              <w:rPr>
                <w:sz w:val="22"/>
                <w:szCs w:val="22"/>
              </w:rPr>
            </w:pPr>
            <w:bookmarkStart w:id="120" w:name="_Hlk172818987"/>
            <w:bookmarkEnd w:id="119"/>
            <w:r w:rsidRPr="00451661">
              <w:rPr>
                <w:sz w:val="22"/>
                <w:szCs w:val="22"/>
              </w:rPr>
              <w:t>Arsenic</w:t>
            </w:r>
          </w:p>
        </w:tc>
        <w:tc>
          <w:tcPr>
            <w:tcW w:w="1980" w:type="dxa"/>
          </w:tcPr>
          <w:p w14:paraId="1B06AC00" w14:textId="75D21817" w:rsidR="0093734B" w:rsidRPr="00451661" w:rsidRDefault="00F35D9C"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sidR="00DD4E7A">
              <w:rPr>
                <w:sz w:val="22"/>
                <w:szCs w:val="22"/>
              </w:rPr>
              <w:t>/L</w:t>
            </w:r>
          </w:p>
        </w:tc>
        <w:tc>
          <w:tcPr>
            <w:tcW w:w="1710" w:type="dxa"/>
          </w:tcPr>
          <w:p w14:paraId="6A014A00"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1.76</w:t>
            </w:r>
          </w:p>
        </w:tc>
        <w:tc>
          <w:tcPr>
            <w:tcW w:w="1751" w:type="dxa"/>
          </w:tcPr>
          <w:p w14:paraId="4E80BF36"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1.8</w:t>
            </w:r>
          </w:p>
        </w:tc>
        <w:tc>
          <w:tcPr>
            <w:tcW w:w="1939" w:type="dxa"/>
          </w:tcPr>
          <w:p w14:paraId="3C3452F5"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1.6410</w:t>
            </w:r>
          </w:p>
        </w:tc>
      </w:tr>
      <w:tr w:rsidR="0093734B" w:rsidRPr="00451661" w14:paraId="0A91B39F" w14:textId="77777777" w:rsidTr="00BA5FEF">
        <w:trPr>
          <w:trHeight w:val="245"/>
        </w:trPr>
        <w:tc>
          <w:tcPr>
            <w:tcW w:w="1890" w:type="dxa"/>
          </w:tcPr>
          <w:p w14:paraId="6C0FF7EC" w14:textId="4D074E20" w:rsidR="0093734B" w:rsidRPr="00451661" w:rsidRDefault="0093734B" w:rsidP="00730A02">
            <w:pPr>
              <w:shd w:val="clear" w:color="auto" w:fill="auto"/>
              <w:spacing w:before="0" w:after="0" w:line="259" w:lineRule="auto"/>
              <w:ind w:left="0"/>
              <w:rPr>
                <w:sz w:val="22"/>
                <w:szCs w:val="22"/>
              </w:rPr>
            </w:pPr>
            <w:bookmarkStart w:id="121" w:name="_Hlk172818988"/>
            <w:bookmarkEnd w:id="120"/>
            <w:r w:rsidRPr="00451661">
              <w:rPr>
                <w:sz w:val="22"/>
                <w:szCs w:val="22"/>
              </w:rPr>
              <w:t>Cadmium</w:t>
            </w:r>
          </w:p>
        </w:tc>
        <w:tc>
          <w:tcPr>
            <w:tcW w:w="1980" w:type="dxa"/>
          </w:tcPr>
          <w:p w14:paraId="3BA705D5" w14:textId="6ED1B0B0"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119781D7"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0.055</w:t>
            </w:r>
          </w:p>
        </w:tc>
        <w:tc>
          <w:tcPr>
            <w:tcW w:w="1751" w:type="dxa"/>
          </w:tcPr>
          <w:p w14:paraId="7C5CD730"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0.15</w:t>
            </w:r>
          </w:p>
        </w:tc>
        <w:tc>
          <w:tcPr>
            <w:tcW w:w="1939" w:type="dxa"/>
          </w:tcPr>
          <w:p w14:paraId="10B85496"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0.0607</w:t>
            </w:r>
          </w:p>
        </w:tc>
      </w:tr>
      <w:tr w:rsidR="0093734B" w:rsidRPr="00451661" w14:paraId="3E4A4CCF" w14:textId="77777777" w:rsidTr="00BA5FEF">
        <w:trPr>
          <w:trHeight w:val="245"/>
        </w:trPr>
        <w:tc>
          <w:tcPr>
            <w:tcW w:w="1890" w:type="dxa"/>
          </w:tcPr>
          <w:p w14:paraId="12A485EC" w14:textId="1F3B42B5" w:rsidR="0093734B" w:rsidRPr="00451661" w:rsidRDefault="0093734B" w:rsidP="00730A02">
            <w:pPr>
              <w:shd w:val="clear" w:color="auto" w:fill="auto"/>
              <w:spacing w:before="0" w:after="0" w:line="259" w:lineRule="auto"/>
              <w:ind w:left="0"/>
              <w:rPr>
                <w:sz w:val="22"/>
                <w:szCs w:val="22"/>
              </w:rPr>
            </w:pPr>
            <w:bookmarkStart w:id="122" w:name="_Hlk172818989"/>
            <w:bookmarkEnd w:id="121"/>
            <w:r w:rsidRPr="00451661">
              <w:rPr>
                <w:sz w:val="22"/>
                <w:szCs w:val="22"/>
              </w:rPr>
              <w:t>Chromium</w:t>
            </w:r>
          </w:p>
        </w:tc>
        <w:tc>
          <w:tcPr>
            <w:tcW w:w="1980" w:type="dxa"/>
          </w:tcPr>
          <w:p w14:paraId="4CB27A30" w14:textId="11461DD3"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760659E7"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4.864</w:t>
            </w:r>
          </w:p>
        </w:tc>
        <w:tc>
          <w:tcPr>
            <w:tcW w:w="1751" w:type="dxa"/>
          </w:tcPr>
          <w:p w14:paraId="6CB3E448"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1.9</w:t>
            </w:r>
          </w:p>
        </w:tc>
        <w:tc>
          <w:tcPr>
            <w:tcW w:w="1939" w:type="dxa"/>
          </w:tcPr>
          <w:p w14:paraId="4C49979D"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1.7450</w:t>
            </w:r>
          </w:p>
        </w:tc>
      </w:tr>
      <w:tr w:rsidR="0093734B" w:rsidRPr="00451661" w14:paraId="31F757CF" w14:textId="77777777" w:rsidTr="00BA5FEF">
        <w:trPr>
          <w:trHeight w:val="245"/>
        </w:trPr>
        <w:tc>
          <w:tcPr>
            <w:tcW w:w="1890" w:type="dxa"/>
          </w:tcPr>
          <w:p w14:paraId="437174D2" w14:textId="3F7AE522" w:rsidR="0093734B" w:rsidRPr="00451661" w:rsidRDefault="0093734B" w:rsidP="00730A02">
            <w:pPr>
              <w:shd w:val="clear" w:color="auto" w:fill="auto"/>
              <w:spacing w:before="0" w:after="0" w:line="259" w:lineRule="auto"/>
              <w:ind w:left="0"/>
              <w:rPr>
                <w:sz w:val="22"/>
                <w:szCs w:val="22"/>
              </w:rPr>
            </w:pPr>
            <w:bookmarkStart w:id="123" w:name="_Hlk172818990"/>
            <w:bookmarkEnd w:id="122"/>
            <w:r w:rsidRPr="00451661">
              <w:rPr>
                <w:sz w:val="22"/>
                <w:szCs w:val="22"/>
              </w:rPr>
              <w:t>Copper</w:t>
            </w:r>
          </w:p>
        </w:tc>
        <w:tc>
          <w:tcPr>
            <w:tcW w:w="1980" w:type="dxa"/>
          </w:tcPr>
          <w:p w14:paraId="729B6B09" w14:textId="5B965E98"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4F6634CD"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2.056</w:t>
            </w:r>
          </w:p>
        </w:tc>
        <w:tc>
          <w:tcPr>
            <w:tcW w:w="1751" w:type="dxa"/>
          </w:tcPr>
          <w:p w14:paraId="1F04721E"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1.5</w:t>
            </w:r>
          </w:p>
        </w:tc>
        <w:tc>
          <w:tcPr>
            <w:tcW w:w="1939" w:type="dxa"/>
          </w:tcPr>
          <w:p w14:paraId="089AB3FB"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1.1115</w:t>
            </w:r>
          </w:p>
        </w:tc>
      </w:tr>
      <w:tr w:rsidR="0093734B" w:rsidRPr="00451661" w14:paraId="3476B843" w14:textId="77777777" w:rsidTr="00BA5FEF">
        <w:trPr>
          <w:trHeight w:val="245"/>
        </w:trPr>
        <w:tc>
          <w:tcPr>
            <w:tcW w:w="1890" w:type="dxa"/>
          </w:tcPr>
          <w:p w14:paraId="78F07FCE" w14:textId="68B518D9" w:rsidR="0093734B" w:rsidRPr="00451661" w:rsidRDefault="0093734B" w:rsidP="00730A02">
            <w:pPr>
              <w:shd w:val="clear" w:color="auto" w:fill="auto"/>
              <w:spacing w:before="0" w:after="0" w:line="259" w:lineRule="auto"/>
              <w:ind w:left="0"/>
              <w:rPr>
                <w:sz w:val="22"/>
                <w:szCs w:val="22"/>
              </w:rPr>
            </w:pPr>
            <w:bookmarkStart w:id="124" w:name="_Hlk172818991"/>
            <w:bookmarkEnd w:id="123"/>
            <w:r w:rsidRPr="00451661">
              <w:rPr>
                <w:sz w:val="22"/>
                <w:szCs w:val="22"/>
              </w:rPr>
              <w:t>Lead</w:t>
            </w:r>
          </w:p>
        </w:tc>
        <w:tc>
          <w:tcPr>
            <w:tcW w:w="1980" w:type="dxa"/>
          </w:tcPr>
          <w:p w14:paraId="3D63F959" w14:textId="739787D4"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3F619A62"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0.548</w:t>
            </w:r>
          </w:p>
        </w:tc>
        <w:tc>
          <w:tcPr>
            <w:tcW w:w="1751" w:type="dxa"/>
          </w:tcPr>
          <w:p w14:paraId="1E6C6D48"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0.5</w:t>
            </w:r>
          </w:p>
        </w:tc>
        <w:tc>
          <w:tcPr>
            <w:tcW w:w="1939" w:type="dxa"/>
          </w:tcPr>
          <w:p w14:paraId="40A9282A"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0.2194</w:t>
            </w:r>
          </w:p>
        </w:tc>
      </w:tr>
      <w:tr w:rsidR="0093734B" w:rsidRPr="00451661" w14:paraId="23658098" w14:textId="77777777" w:rsidTr="00BA5FEF">
        <w:trPr>
          <w:trHeight w:val="245"/>
        </w:trPr>
        <w:tc>
          <w:tcPr>
            <w:tcW w:w="1890" w:type="dxa"/>
          </w:tcPr>
          <w:p w14:paraId="4987B67C" w14:textId="0F965ADE" w:rsidR="0093734B" w:rsidRPr="00451661" w:rsidRDefault="0093734B" w:rsidP="00730A02">
            <w:pPr>
              <w:shd w:val="clear" w:color="auto" w:fill="auto"/>
              <w:spacing w:before="0" w:after="0" w:line="259" w:lineRule="auto"/>
              <w:ind w:left="0"/>
              <w:rPr>
                <w:sz w:val="22"/>
                <w:szCs w:val="22"/>
                <w:highlight w:val="yellow"/>
              </w:rPr>
            </w:pPr>
            <w:bookmarkStart w:id="125" w:name="_Hlk172818992"/>
            <w:bookmarkEnd w:id="124"/>
            <w:r w:rsidRPr="00451661">
              <w:rPr>
                <w:sz w:val="22"/>
                <w:szCs w:val="22"/>
              </w:rPr>
              <w:t>Mercury</w:t>
            </w:r>
          </w:p>
        </w:tc>
        <w:tc>
          <w:tcPr>
            <w:tcW w:w="1980" w:type="dxa"/>
          </w:tcPr>
          <w:p w14:paraId="76708C35" w14:textId="25749CFD" w:rsidR="0093734B" w:rsidRPr="00451661" w:rsidRDefault="00FF4169" w:rsidP="00730A02">
            <w:pPr>
              <w:shd w:val="clear" w:color="auto" w:fill="auto"/>
              <w:spacing w:before="0" w:after="0" w:line="259" w:lineRule="auto"/>
              <w:ind w:left="0"/>
              <w:jc w:val="center"/>
              <w:rPr>
                <w:sz w:val="22"/>
                <w:szCs w:val="22"/>
                <w:highlight w:val="yellow"/>
              </w:rPr>
            </w:pPr>
            <w:r>
              <w:rPr>
                <w:sz w:val="22"/>
                <w:szCs w:val="22"/>
              </w:rPr>
              <w:t>µ</w:t>
            </w:r>
            <w:r w:rsidR="00157C08">
              <w:rPr>
                <w:sz w:val="22"/>
                <w:szCs w:val="22"/>
              </w:rPr>
              <w:t>g</w:t>
            </w:r>
            <w:r>
              <w:rPr>
                <w:sz w:val="22"/>
                <w:szCs w:val="22"/>
              </w:rPr>
              <w:t xml:space="preserve">/L </w:t>
            </w:r>
          </w:p>
        </w:tc>
        <w:tc>
          <w:tcPr>
            <w:tcW w:w="1710" w:type="dxa"/>
          </w:tcPr>
          <w:p w14:paraId="56BFD34D"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0.006</w:t>
            </w:r>
          </w:p>
        </w:tc>
        <w:tc>
          <w:tcPr>
            <w:tcW w:w="1751" w:type="dxa"/>
          </w:tcPr>
          <w:p w14:paraId="181A092B"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0.0006</w:t>
            </w:r>
          </w:p>
        </w:tc>
        <w:tc>
          <w:tcPr>
            <w:tcW w:w="1939" w:type="dxa"/>
          </w:tcPr>
          <w:p w14:paraId="39DE6215"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4.2275</w:t>
            </w:r>
          </w:p>
        </w:tc>
      </w:tr>
      <w:tr w:rsidR="0093734B" w:rsidRPr="00451661" w14:paraId="69DF51D5" w14:textId="77777777" w:rsidTr="00BA5FEF">
        <w:trPr>
          <w:trHeight w:val="245"/>
        </w:trPr>
        <w:tc>
          <w:tcPr>
            <w:tcW w:w="1890" w:type="dxa"/>
          </w:tcPr>
          <w:p w14:paraId="08030D35" w14:textId="0194EF4D" w:rsidR="0093734B" w:rsidRPr="00451661" w:rsidRDefault="0093734B" w:rsidP="00730A02">
            <w:pPr>
              <w:shd w:val="clear" w:color="auto" w:fill="auto"/>
              <w:spacing w:before="0" w:after="0" w:line="259" w:lineRule="auto"/>
              <w:ind w:left="0"/>
              <w:rPr>
                <w:sz w:val="22"/>
                <w:szCs w:val="22"/>
              </w:rPr>
            </w:pPr>
            <w:bookmarkStart w:id="126" w:name="_Hlk172818993"/>
            <w:bookmarkEnd w:id="125"/>
            <w:r w:rsidRPr="00451661">
              <w:rPr>
                <w:sz w:val="22"/>
                <w:szCs w:val="22"/>
              </w:rPr>
              <w:t>Nickel</w:t>
            </w:r>
          </w:p>
        </w:tc>
        <w:tc>
          <w:tcPr>
            <w:tcW w:w="1980" w:type="dxa"/>
          </w:tcPr>
          <w:p w14:paraId="781E5064" w14:textId="15DC0D37"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3DFEF7A0"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4.605</w:t>
            </w:r>
          </w:p>
        </w:tc>
        <w:tc>
          <w:tcPr>
            <w:tcW w:w="1751" w:type="dxa"/>
          </w:tcPr>
          <w:p w14:paraId="796E9328"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1.3</w:t>
            </w:r>
          </w:p>
        </w:tc>
        <w:tc>
          <w:tcPr>
            <w:tcW w:w="1939" w:type="dxa"/>
          </w:tcPr>
          <w:p w14:paraId="2210642A"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1.6666</w:t>
            </w:r>
          </w:p>
        </w:tc>
      </w:tr>
      <w:tr w:rsidR="0093734B" w:rsidRPr="00451661" w14:paraId="7C8DDAE6" w14:textId="77777777" w:rsidTr="00BA5FEF">
        <w:trPr>
          <w:trHeight w:val="245"/>
        </w:trPr>
        <w:tc>
          <w:tcPr>
            <w:tcW w:w="1890" w:type="dxa"/>
          </w:tcPr>
          <w:p w14:paraId="37534985" w14:textId="27AFC8E0" w:rsidR="0093734B" w:rsidRPr="00451661" w:rsidRDefault="0093734B" w:rsidP="00730A02">
            <w:pPr>
              <w:shd w:val="clear" w:color="auto" w:fill="auto"/>
              <w:spacing w:before="0" w:after="0" w:line="259" w:lineRule="auto"/>
              <w:ind w:left="0"/>
              <w:rPr>
                <w:sz w:val="22"/>
                <w:szCs w:val="22"/>
              </w:rPr>
            </w:pPr>
            <w:bookmarkStart w:id="127" w:name="_Hlk172818994"/>
            <w:bookmarkEnd w:id="126"/>
            <w:r w:rsidRPr="00451661">
              <w:rPr>
                <w:sz w:val="22"/>
                <w:szCs w:val="22"/>
              </w:rPr>
              <w:t>Selenium</w:t>
            </w:r>
          </w:p>
        </w:tc>
        <w:tc>
          <w:tcPr>
            <w:tcW w:w="1980" w:type="dxa"/>
          </w:tcPr>
          <w:p w14:paraId="113857CC" w14:textId="0A992336"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398CF6D7"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0.029</w:t>
            </w:r>
          </w:p>
        </w:tc>
        <w:tc>
          <w:tcPr>
            <w:tcW w:w="1751" w:type="dxa"/>
          </w:tcPr>
          <w:p w14:paraId="6FE665C0"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0.003</w:t>
            </w:r>
          </w:p>
        </w:tc>
        <w:tc>
          <w:tcPr>
            <w:tcW w:w="1939" w:type="dxa"/>
          </w:tcPr>
          <w:p w14:paraId="74DA7A2C"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0.1135</w:t>
            </w:r>
          </w:p>
        </w:tc>
      </w:tr>
      <w:tr w:rsidR="0093734B" w:rsidRPr="00451661" w14:paraId="4963E1B3" w14:textId="77777777" w:rsidTr="00BA5FEF">
        <w:trPr>
          <w:trHeight w:val="245"/>
        </w:trPr>
        <w:tc>
          <w:tcPr>
            <w:tcW w:w="1890" w:type="dxa"/>
          </w:tcPr>
          <w:p w14:paraId="69139F91" w14:textId="557E6CD4" w:rsidR="0093734B" w:rsidRPr="00451661" w:rsidRDefault="0093734B" w:rsidP="00730A02">
            <w:pPr>
              <w:shd w:val="clear" w:color="auto" w:fill="auto"/>
              <w:spacing w:before="0" w:after="0" w:line="259" w:lineRule="auto"/>
              <w:ind w:left="0"/>
              <w:rPr>
                <w:sz w:val="22"/>
                <w:szCs w:val="22"/>
              </w:rPr>
            </w:pPr>
            <w:bookmarkStart w:id="128" w:name="_Hlk172818995"/>
            <w:bookmarkEnd w:id="127"/>
            <w:r w:rsidRPr="00451661">
              <w:rPr>
                <w:sz w:val="22"/>
                <w:szCs w:val="22"/>
              </w:rPr>
              <w:t>Silver</w:t>
            </w:r>
          </w:p>
        </w:tc>
        <w:tc>
          <w:tcPr>
            <w:tcW w:w="1980" w:type="dxa"/>
          </w:tcPr>
          <w:p w14:paraId="30DD5AD0" w14:textId="62C23F20"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157C08">
              <w:rPr>
                <w:sz w:val="22"/>
                <w:szCs w:val="22"/>
              </w:rPr>
              <w:t>g</w:t>
            </w:r>
            <w:r>
              <w:rPr>
                <w:sz w:val="22"/>
                <w:szCs w:val="22"/>
              </w:rPr>
              <w:t xml:space="preserve">/L </w:t>
            </w:r>
          </w:p>
        </w:tc>
        <w:tc>
          <w:tcPr>
            <w:tcW w:w="1710" w:type="dxa"/>
          </w:tcPr>
          <w:p w14:paraId="36F1AEEF"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0.130</w:t>
            </w:r>
          </w:p>
        </w:tc>
        <w:tc>
          <w:tcPr>
            <w:tcW w:w="1751" w:type="dxa"/>
          </w:tcPr>
          <w:p w14:paraId="70D0EAB3"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0.08</w:t>
            </w:r>
          </w:p>
        </w:tc>
        <w:tc>
          <w:tcPr>
            <w:tcW w:w="1939" w:type="dxa"/>
          </w:tcPr>
          <w:p w14:paraId="19C8DA1A"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0.6000</w:t>
            </w:r>
          </w:p>
        </w:tc>
      </w:tr>
      <w:tr w:rsidR="0093734B" w:rsidRPr="00451661" w14:paraId="10B4A81F" w14:textId="77777777" w:rsidTr="00BA5FEF">
        <w:trPr>
          <w:trHeight w:val="245"/>
        </w:trPr>
        <w:tc>
          <w:tcPr>
            <w:tcW w:w="1890" w:type="dxa"/>
          </w:tcPr>
          <w:p w14:paraId="17D66A18" w14:textId="4E30FA55" w:rsidR="0093734B" w:rsidRPr="00451661" w:rsidRDefault="0093734B" w:rsidP="00730A02">
            <w:pPr>
              <w:shd w:val="clear" w:color="auto" w:fill="auto"/>
              <w:spacing w:before="0" w:after="0" w:line="259" w:lineRule="auto"/>
              <w:ind w:left="0"/>
              <w:rPr>
                <w:sz w:val="22"/>
                <w:szCs w:val="22"/>
              </w:rPr>
            </w:pPr>
            <w:bookmarkStart w:id="129" w:name="_Hlk172818996"/>
            <w:bookmarkEnd w:id="128"/>
            <w:r w:rsidRPr="00451661">
              <w:rPr>
                <w:sz w:val="22"/>
                <w:szCs w:val="22"/>
              </w:rPr>
              <w:t>Zinc</w:t>
            </w:r>
          </w:p>
        </w:tc>
        <w:tc>
          <w:tcPr>
            <w:tcW w:w="1980" w:type="dxa"/>
          </w:tcPr>
          <w:p w14:paraId="17B0DAEF" w14:textId="73EE4421"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DD6EE6">
              <w:rPr>
                <w:sz w:val="22"/>
                <w:szCs w:val="22"/>
              </w:rPr>
              <w:t>g</w:t>
            </w:r>
            <w:r>
              <w:rPr>
                <w:sz w:val="22"/>
                <w:szCs w:val="22"/>
              </w:rPr>
              <w:t xml:space="preserve">/L </w:t>
            </w:r>
          </w:p>
        </w:tc>
        <w:tc>
          <w:tcPr>
            <w:tcW w:w="1710" w:type="dxa"/>
          </w:tcPr>
          <w:p w14:paraId="76CBCFD9"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8.479</w:t>
            </w:r>
          </w:p>
        </w:tc>
        <w:tc>
          <w:tcPr>
            <w:tcW w:w="1751" w:type="dxa"/>
          </w:tcPr>
          <w:p w14:paraId="03F1AD8C"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18.6</w:t>
            </w:r>
          </w:p>
        </w:tc>
        <w:tc>
          <w:tcPr>
            <w:tcW w:w="1939" w:type="dxa"/>
          </w:tcPr>
          <w:p w14:paraId="699B951F"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2.6577</w:t>
            </w:r>
          </w:p>
        </w:tc>
      </w:tr>
      <w:tr w:rsidR="0093734B" w:rsidRPr="00451661" w14:paraId="66BA1B4F" w14:textId="77777777" w:rsidTr="00BA5FEF">
        <w:trPr>
          <w:trHeight w:val="738"/>
        </w:trPr>
        <w:tc>
          <w:tcPr>
            <w:tcW w:w="1890" w:type="dxa"/>
          </w:tcPr>
          <w:p w14:paraId="7DA26947" w14:textId="4506A10B" w:rsidR="0093734B" w:rsidRPr="00451661" w:rsidRDefault="0093734B" w:rsidP="00730A02">
            <w:pPr>
              <w:shd w:val="clear" w:color="auto" w:fill="auto"/>
              <w:spacing w:before="0" w:after="0" w:line="259" w:lineRule="auto"/>
              <w:ind w:left="0"/>
              <w:rPr>
                <w:sz w:val="22"/>
                <w:szCs w:val="22"/>
              </w:rPr>
            </w:pPr>
            <w:bookmarkStart w:id="130" w:name="_Hlk172818997"/>
            <w:bookmarkEnd w:id="129"/>
            <w:r w:rsidRPr="00451661">
              <w:rPr>
                <w:sz w:val="22"/>
                <w:szCs w:val="22"/>
              </w:rPr>
              <w:t>Total Suspended Solids</w:t>
            </w:r>
          </w:p>
        </w:tc>
        <w:tc>
          <w:tcPr>
            <w:tcW w:w="1980" w:type="dxa"/>
          </w:tcPr>
          <w:p w14:paraId="5AADB596" w14:textId="7153901C" w:rsidR="0093734B" w:rsidRPr="00451661" w:rsidRDefault="00FF4169" w:rsidP="00730A02">
            <w:pPr>
              <w:shd w:val="clear" w:color="auto" w:fill="auto"/>
              <w:spacing w:before="0" w:after="0" w:line="259" w:lineRule="auto"/>
              <w:ind w:left="0"/>
              <w:jc w:val="center"/>
              <w:rPr>
                <w:sz w:val="22"/>
                <w:szCs w:val="22"/>
              </w:rPr>
            </w:pPr>
            <w:r>
              <w:rPr>
                <w:sz w:val="22"/>
                <w:szCs w:val="22"/>
              </w:rPr>
              <w:t xml:space="preserve">mg/L </w:t>
            </w:r>
          </w:p>
        </w:tc>
        <w:tc>
          <w:tcPr>
            <w:tcW w:w="1710" w:type="dxa"/>
          </w:tcPr>
          <w:p w14:paraId="551C31CE"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50.816</w:t>
            </w:r>
          </w:p>
        </w:tc>
        <w:tc>
          <w:tcPr>
            <w:tcW w:w="1751" w:type="dxa"/>
          </w:tcPr>
          <w:p w14:paraId="35AF7E68"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48</w:t>
            </w:r>
          </w:p>
        </w:tc>
        <w:tc>
          <w:tcPr>
            <w:tcW w:w="1939" w:type="dxa"/>
          </w:tcPr>
          <w:p w14:paraId="28913C11"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24</w:t>
            </w:r>
          </w:p>
        </w:tc>
      </w:tr>
      <w:tr w:rsidR="0093734B" w:rsidRPr="00451661" w14:paraId="7B29BBD5" w14:textId="77777777" w:rsidTr="00BA5FEF">
        <w:trPr>
          <w:trHeight w:val="751"/>
        </w:trPr>
        <w:tc>
          <w:tcPr>
            <w:tcW w:w="1890" w:type="dxa"/>
          </w:tcPr>
          <w:p w14:paraId="0CB69C50" w14:textId="7E4AE531" w:rsidR="0093734B" w:rsidRPr="00451661" w:rsidRDefault="0093734B" w:rsidP="00730A02">
            <w:pPr>
              <w:shd w:val="clear" w:color="auto" w:fill="auto"/>
              <w:spacing w:before="0" w:after="0" w:line="259" w:lineRule="auto"/>
              <w:ind w:left="0"/>
              <w:rPr>
                <w:sz w:val="22"/>
                <w:szCs w:val="22"/>
              </w:rPr>
            </w:pPr>
            <w:bookmarkStart w:id="131" w:name="_Hlk172818998"/>
            <w:bookmarkEnd w:id="130"/>
            <w:r w:rsidRPr="00451661">
              <w:rPr>
                <w:sz w:val="22"/>
                <w:szCs w:val="22"/>
              </w:rPr>
              <w:t>Fecal Coliform</w:t>
            </w:r>
          </w:p>
        </w:tc>
        <w:tc>
          <w:tcPr>
            <w:tcW w:w="1980" w:type="dxa"/>
          </w:tcPr>
          <w:p w14:paraId="54977125" w14:textId="77777777" w:rsidR="0093734B" w:rsidRPr="00451661" w:rsidRDefault="0093734B" w:rsidP="00730A02">
            <w:pPr>
              <w:shd w:val="clear" w:color="auto" w:fill="auto"/>
              <w:spacing w:before="0" w:after="0" w:line="259" w:lineRule="auto"/>
              <w:ind w:left="162"/>
              <w:rPr>
                <w:sz w:val="22"/>
                <w:szCs w:val="22"/>
              </w:rPr>
            </w:pPr>
            <w:r w:rsidRPr="00451661">
              <w:rPr>
                <w:sz w:val="22"/>
                <w:szCs w:val="22"/>
              </w:rPr>
              <w:t>Most probable number per 100 milliliters</w:t>
            </w:r>
          </w:p>
        </w:tc>
        <w:tc>
          <w:tcPr>
            <w:tcW w:w="1710" w:type="dxa"/>
          </w:tcPr>
          <w:p w14:paraId="50DC683D"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Not Applicable</w:t>
            </w:r>
          </w:p>
        </w:tc>
        <w:tc>
          <w:tcPr>
            <w:tcW w:w="1751" w:type="dxa"/>
          </w:tcPr>
          <w:p w14:paraId="3297D729"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Not Applicable</w:t>
            </w:r>
          </w:p>
        </w:tc>
        <w:tc>
          <w:tcPr>
            <w:tcW w:w="1939" w:type="dxa"/>
          </w:tcPr>
          <w:p w14:paraId="0626020F"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143</w:t>
            </w:r>
          </w:p>
        </w:tc>
      </w:tr>
      <w:tr w:rsidR="0093734B" w:rsidRPr="00451661" w14:paraId="7648BCF5" w14:textId="77777777" w:rsidTr="00BA5FEF">
        <w:trPr>
          <w:trHeight w:val="738"/>
        </w:trPr>
        <w:tc>
          <w:tcPr>
            <w:tcW w:w="1890" w:type="dxa"/>
          </w:tcPr>
          <w:p w14:paraId="0B17D80A" w14:textId="3CF0D5E7" w:rsidR="0093734B" w:rsidRPr="00BF1186" w:rsidRDefault="0093734B" w:rsidP="00730A02">
            <w:pPr>
              <w:shd w:val="clear" w:color="auto" w:fill="auto"/>
              <w:spacing w:before="0" w:after="0" w:line="259" w:lineRule="auto"/>
              <w:ind w:left="0"/>
              <w:rPr>
                <w:i/>
                <w:sz w:val="22"/>
                <w:szCs w:val="22"/>
              </w:rPr>
            </w:pPr>
            <w:bookmarkStart w:id="132" w:name="_Hlk172818999"/>
            <w:bookmarkEnd w:id="131"/>
            <w:r w:rsidRPr="00BF1186">
              <w:rPr>
                <w:i/>
                <w:sz w:val="22"/>
                <w:szCs w:val="22"/>
              </w:rPr>
              <w:t>Enterococcus</w:t>
            </w:r>
          </w:p>
        </w:tc>
        <w:tc>
          <w:tcPr>
            <w:tcW w:w="1980" w:type="dxa"/>
          </w:tcPr>
          <w:p w14:paraId="2CC79C46" w14:textId="77777777" w:rsidR="0093734B" w:rsidRPr="00451661" w:rsidRDefault="0093734B" w:rsidP="00730A02">
            <w:pPr>
              <w:shd w:val="clear" w:color="auto" w:fill="auto"/>
              <w:spacing w:before="0" w:after="0" w:line="259" w:lineRule="auto"/>
              <w:ind w:left="162"/>
              <w:rPr>
                <w:sz w:val="22"/>
                <w:szCs w:val="22"/>
              </w:rPr>
            </w:pPr>
            <w:r w:rsidRPr="00451661">
              <w:rPr>
                <w:sz w:val="22"/>
                <w:szCs w:val="22"/>
              </w:rPr>
              <w:t>Most probable number per 100 milliliters</w:t>
            </w:r>
          </w:p>
        </w:tc>
        <w:tc>
          <w:tcPr>
            <w:tcW w:w="1710" w:type="dxa"/>
          </w:tcPr>
          <w:p w14:paraId="00C2FC74"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Not Applicable</w:t>
            </w:r>
          </w:p>
        </w:tc>
        <w:tc>
          <w:tcPr>
            <w:tcW w:w="1751" w:type="dxa"/>
          </w:tcPr>
          <w:p w14:paraId="535BAB82"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Not Applicable</w:t>
            </w:r>
          </w:p>
        </w:tc>
        <w:tc>
          <w:tcPr>
            <w:tcW w:w="1939" w:type="dxa"/>
          </w:tcPr>
          <w:p w14:paraId="7ECF6AFF"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229</w:t>
            </w:r>
          </w:p>
        </w:tc>
      </w:tr>
      <w:tr w:rsidR="0093734B" w:rsidRPr="00451661" w14:paraId="33B44ACA" w14:textId="77777777" w:rsidTr="00BA5FEF">
        <w:trPr>
          <w:trHeight w:val="738"/>
        </w:trPr>
        <w:tc>
          <w:tcPr>
            <w:tcW w:w="1890" w:type="dxa"/>
          </w:tcPr>
          <w:p w14:paraId="5F85FAD0" w14:textId="0B993FA2" w:rsidR="0093734B" w:rsidRPr="00BF1186" w:rsidRDefault="0093734B" w:rsidP="00730A02">
            <w:pPr>
              <w:shd w:val="clear" w:color="auto" w:fill="auto"/>
              <w:spacing w:before="0" w:after="0" w:line="259" w:lineRule="auto"/>
              <w:ind w:left="0"/>
              <w:rPr>
                <w:i/>
                <w:sz w:val="22"/>
                <w:szCs w:val="22"/>
              </w:rPr>
            </w:pPr>
            <w:bookmarkStart w:id="133" w:name="_Hlk172819000"/>
            <w:bookmarkEnd w:id="132"/>
            <w:r w:rsidRPr="00BF1186">
              <w:rPr>
                <w:i/>
                <w:sz w:val="22"/>
                <w:szCs w:val="22"/>
              </w:rPr>
              <w:t>E.</w:t>
            </w:r>
            <w:r w:rsidR="00AB3C74">
              <w:rPr>
                <w:i/>
                <w:sz w:val="22"/>
                <w:szCs w:val="22"/>
              </w:rPr>
              <w:t xml:space="preserve"> </w:t>
            </w:r>
            <w:r w:rsidRPr="00BF1186">
              <w:rPr>
                <w:i/>
                <w:sz w:val="22"/>
                <w:szCs w:val="22"/>
              </w:rPr>
              <w:t>coli</w:t>
            </w:r>
          </w:p>
        </w:tc>
        <w:tc>
          <w:tcPr>
            <w:tcW w:w="1980" w:type="dxa"/>
          </w:tcPr>
          <w:p w14:paraId="31F3E87D" w14:textId="77777777" w:rsidR="0093734B" w:rsidRPr="00451661" w:rsidRDefault="0093734B" w:rsidP="00730A02">
            <w:pPr>
              <w:shd w:val="clear" w:color="auto" w:fill="auto"/>
              <w:spacing w:before="0" w:after="0" w:line="259" w:lineRule="auto"/>
              <w:ind w:left="162"/>
              <w:rPr>
                <w:sz w:val="22"/>
                <w:szCs w:val="22"/>
              </w:rPr>
            </w:pPr>
            <w:r w:rsidRPr="00451661">
              <w:rPr>
                <w:sz w:val="22"/>
                <w:szCs w:val="22"/>
              </w:rPr>
              <w:t>Most probable number per 100 milliliters</w:t>
            </w:r>
          </w:p>
        </w:tc>
        <w:tc>
          <w:tcPr>
            <w:tcW w:w="1710" w:type="dxa"/>
          </w:tcPr>
          <w:p w14:paraId="752ABE9A"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Not Applicable</w:t>
            </w:r>
          </w:p>
        </w:tc>
        <w:tc>
          <w:tcPr>
            <w:tcW w:w="1751" w:type="dxa"/>
          </w:tcPr>
          <w:p w14:paraId="03DF06D2"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Not Applicable</w:t>
            </w:r>
          </w:p>
        </w:tc>
        <w:tc>
          <w:tcPr>
            <w:tcW w:w="1939" w:type="dxa"/>
          </w:tcPr>
          <w:p w14:paraId="1E1556EC"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125.5</w:t>
            </w:r>
          </w:p>
        </w:tc>
      </w:tr>
      <w:tr w:rsidR="00821BFC" w:rsidRPr="00451661" w14:paraId="2345D650" w14:textId="77777777" w:rsidTr="00BA5FEF">
        <w:trPr>
          <w:trHeight w:val="245"/>
        </w:trPr>
        <w:tc>
          <w:tcPr>
            <w:tcW w:w="1890" w:type="dxa"/>
          </w:tcPr>
          <w:p w14:paraId="59FB923E" w14:textId="77777777" w:rsidR="00821BFC" w:rsidRPr="00451661" w:rsidRDefault="00821BFC" w:rsidP="006C4400">
            <w:pPr>
              <w:shd w:val="clear" w:color="auto" w:fill="auto"/>
              <w:spacing w:before="0" w:after="0" w:line="259" w:lineRule="auto"/>
              <w:ind w:left="0"/>
              <w:rPr>
                <w:sz w:val="22"/>
                <w:szCs w:val="22"/>
              </w:rPr>
            </w:pPr>
            <w:r w:rsidRPr="00451661">
              <w:rPr>
                <w:sz w:val="22"/>
                <w:szCs w:val="22"/>
              </w:rPr>
              <w:t>Urea</w:t>
            </w:r>
          </w:p>
        </w:tc>
        <w:tc>
          <w:tcPr>
            <w:tcW w:w="1980" w:type="dxa"/>
          </w:tcPr>
          <w:p w14:paraId="232630B1" w14:textId="48C5D119" w:rsidR="00821BFC" w:rsidRPr="00451661" w:rsidRDefault="00821BFC" w:rsidP="006C4400">
            <w:pPr>
              <w:shd w:val="clear" w:color="auto" w:fill="auto"/>
              <w:spacing w:before="0" w:after="0" w:line="259" w:lineRule="auto"/>
              <w:ind w:left="0"/>
              <w:jc w:val="center"/>
              <w:rPr>
                <w:color w:val="F2F2F2" w:themeColor="background1" w:themeShade="F2"/>
                <w:sz w:val="22"/>
                <w:szCs w:val="22"/>
              </w:rPr>
            </w:pPr>
            <w:r w:rsidRPr="00BA5FEF">
              <w:rPr>
                <w:sz w:val="22"/>
                <w:szCs w:val="22"/>
              </w:rPr>
              <w:t>mg/L</w:t>
            </w:r>
            <w:r w:rsidRPr="005142F4">
              <w:rPr>
                <w:sz w:val="22"/>
                <w:szCs w:val="22"/>
              </w:rPr>
              <w:t xml:space="preserve"> </w:t>
            </w:r>
          </w:p>
        </w:tc>
        <w:tc>
          <w:tcPr>
            <w:tcW w:w="1710" w:type="dxa"/>
          </w:tcPr>
          <w:p w14:paraId="0B26AA74" w14:textId="77777777" w:rsidR="00821BFC" w:rsidRPr="00451661" w:rsidRDefault="00821BFC" w:rsidP="006C4400">
            <w:pPr>
              <w:shd w:val="clear" w:color="auto" w:fill="auto"/>
              <w:spacing w:before="0" w:after="0" w:line="259" w:lineRule="auto"/>
              <w:ind w:left="0"/>
              <w:jc w:val="center"/>
              <w:rPr>
                <w:sz w:val="22"/>
                <w:szCs w:val="22"/>
              </w:rPr>
            </w:pPr>
            <w:r w:rsidRPr="5A57C5E9">
              <w:rPr>
                <w:sz w:val="22"/>
                <w:szCs w:val="22"/>
              </w:rPr>
              <w:t>Not Applicable</w:t>
            </w:r>
          </w:p>
        </w:tc>
        <w:tc>
          <w:tcPr>
            <w:tcW w:w="1751" w:type="dxa"/>
          </w:tcPr>
          <w:p w14:paraId="6565E7CD" w14:textId="77777777" w:rsidR="00821BFC" w:rsidRPr="00451661" w:rsidRDefault="00821BFC" w:rsidP="006C4400">
            <w:pPr>
              <w:shd w:val="clear" w:color="auto" w:fill="auto"/>
              <w:spacing w:before="0" w:after="0" w:line="259" w:lineRule="auto"/>
              <w:ind w:left="0"/>
              <w:jc w:val="center"/>
              <w:rPr>
                <w:sz w:val="22"/>
                <w:szCs w:val="22"/>
              </w:rPr>
            </w:pPr>
            <w:r w:rsidRPr="00451661">
              <w:rPr>
                <w:sz w:val="22"/>
                <w:szCs w:val="22"/>
              </w:rPr>
              <w:t>Not Applicable</w:t>
            </w:r>
          </w:p>
        </w:tc>
        <w:tc>
          <w:tcPr>
            <w:tcW w:w="1939" w:type="dxa"/>
          </w:tcPr>
          <w:p w14:paraId="117A7E24" w14:textId="77777777" w:rsidR="00821BFC" w:rsidRPr="00451661" w:rsidRDefault="00821BFC" w:rsidP="006C4400">
            <w:pPr>
              <w:shd w:val="clear" w:color="auto" w:fill="auto"/>
              <w:spacing w:before="0" w:after="0" w:line="259" w:lineRule="auto"/>
              <w:ind w:left="0"/>
              <w:jc w:val="center"/>
              <w:rPr>
                <w:sz w:val="22"/>
                <w:szCs w:val="22"/>
              </w:rPr>
            </w:pPr>
            <w:r w:rsidRPr="00451661">
              <w:rPr>
                <w:sz w:val="22"/>
                <w:szCs w:val="22"/>
              </w:rPr>
              <w:t>10</w:t>
            </w:r>
          </w:p>
        </w:tc>
      </w:tr>
      <w:tr w:rsidR="0093734B" w:rsidRPr="00451661" w14:paraId="0A105B7C" w14:textId="77777777" w:rsidTr="00BA5FEF">
        <w:trPr>
          <w:trHeight w:val="245"/>
        </w:trPr>
        <w:tc>
          <w:tcPr>
            <w:tcW w:w="1890" w:type="dxa"/>
          </w:tcPr>
          <w:p w14:paraId="26A603EC" w14:textId="77777777" w:rsidR="0093734B" w:rsidRPr="00451661" w:rsidRDefault="0093734B" w:rsidP="00730A02">
            <w:pPr>
              <w:shd w:val="clear" w:color="auto" w:fill="auto"/>
              <w:spacing w:before="0" w:after="0" w:line="259" w:lineRule="auto"/>
              <w:ind w:left="0"/>
              <w:rPr>
                <w:sz w:val="22"/>
                <w:szCs w:val="22"/>
              </w:rPr>
            </w:pPr>
            <w:bookmarkStart w:id="134" w:name="_Hlk172819001"/>
            <w:bookmarkEnd w:id="133"/>
            <w:r w:rsidRPr="00451661">
              <w:rPr>
                <w:sz w:val="22"/>
                <w:szCs w:val="22"/>
              </w:rPr>
              <w:t>Nitrate</w:t>
            </w:r>
          </w:p>
        </w:tc>
        <w:tc>
          <w:tcPr>
            <w:tcW w:w="1980" w:type="dxa"/>
          </w:tcPr>
          <w:p w14:paraId="49F134B9" w14:textId="1600B93F" w:rsidR="0093734B" w:rsidRPr="00451661" w:rsidRDefault="00FF4169" w:rsidP="00730A02">
            <w:pPr>
              <w:shd w:val="clear" w:color="auto" w:fill="auto"/>
              <w:spacing w:before="0" w:after="0" w:line="259" w:lineRule="auto"/>
              <w:ind w:left="0"/>
              <w:jc w:val="center"/>
              <w:rPr>
                <w:sz w:val="22"/>
                <w:szCs w:val="22"/>
              </w:rPr>
            </w:pPr>
            <w:r>
              <w:rPr>
                <w:sz w:val="22"/>
                <w:szCs w:val="22"/>
              </w:rPr>
              <w:t xml:space="preserve">mg/L </w:t>
            </w:r>
          </w:p>
        </w:tc>
        <w:tc>
          <w:tcPr>
            <w:tcW w:w="1710" w:type="dxa"/>
          </w:tcPr>
          <w:p w14:paraId="45807BB1"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2.773</w:t>
            </w:r>
          </w:p>
        </w:tc>
        <w:tc>
          <w:tcPr>
            <w:tcW w:w="1751" w:type="dxa"/>
          </w:tcPr>
          <w:p w14:paraId="6D161103"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0.34</w:t>
            </w:r>
          </w:p>
        </w:tc>
        <w:tc>
          <w:tcPr>
            <w:tcW w:w="1939" w:type="dxa"/>
          </w:tcPr>
          <w:p w14:paraId="02978685"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0.675</w:t>
            </w:r>
          </w:p>
        </w:tc>
      </w:tr>
      <w:tr w:rsidR="0093734B" w:rsidRPr="00451661" w14:paraId="3AF6C57F" w14:textId="77777777" w:rsidTr="00BA5FEF">
        <w:trPr>
          <w:trHeight w:val="245"/>
        </w:trPr>
        <w:tc>
          <w:tcPr>
            <w:tcW w:w="1890" w:type="dxa"/>
          </w:tcPr>
          <w:p w14:paraId="30925C3F" w14:textId="403B5991" w:rsidR="0093734B" w:rsidRPr="00451661" w:rsidRDefault="0093734B" w:rsidP="00730A02">
            <w:pPr>
              <w:shd w:val="clear" w:color="auto" w:fill="auto"/>
              <w:spacing w:before="0" w:after="0" w:line="259" w:lineRule="auto"/>
              <w:ind w:left="0"/>
              <w:rPr>
                <w:sz w:val="22"/>
                <w:szCs w:val="22"/>
              </w:rPr>
            </w:pPr>
            <w:bookmarkStart w:id="135" w:name="_Hlk172819002"/>
            <w:bookmarkEnd w:id="134"/>
            <w:r w:rsidRPr="00451661">
              <w:rPr>
                <w:sz w:val="22"/>
                <w:szCs w:val="22"/>
              </w:rPr>
              <w:t>Orthophosphate</w:t>
            </w:r>
          </w:p>
        </w:tc>
        <w:tc>
          <w:tcPr>
            <w:tcW w:w="1980" w:type="dxa"/>
          </w:tcPr>
          <w:p w14:paraId="79E9B032" w14:textId="15A0888D" w:rsidR="0093734B" w:rsidRPr="00451661" w:rsidRDefault="00FF4169" w:rsidP="00730A02">
            <w:pPr>
              <w:shd w:val="clear" w:color="auto" w:fill="auto"/>
              <w:spacing w:before="0" w:after="0" w:line="259" w:lineRule="auto"/>
              <w:ind w:left="0"/>
              <w:jc w:val="center"/>
              <w:rPr>
                <w:sz w:val="22"/>
                <w:szCs w:val="22"/>
              </w:rPr>
            </w:pPr>
            <w:r>
              <w:rPr>
                <w:sz w:val="22"/>
                <w:szCs w:val="22"/>
              </w:rPr>
              <w:t xml:space="preserve">mg/L </w:t>
            </w:r>
          </w:p>
        </w:tc>
        <w:tc>
          <w:tcPr>
            <w:tcW w:w="1710" w:type="dxa"/>
          </w:tcPr>
          <w:p w14:paraId="15195E86"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0.09</w:t>
            </w:r>
          </w:p>
        </w:tc>
        <w:tc>
          <w:tcPr>
            <w:tcW w:w="1751" w:type="dxa"/>
          </w:tcPr>
          <w:p w14:paraId="094BE937"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0.100</w:t>
            </w:r>
          </w:p>
        </w:tc>
        <w:tc>
          <w:tcPr>
            <w:tcW w:w="1939" w:type="dxa"/>
          </w:tcPr>
          <w:p w14:paraId="403E8EBD"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0.08</w:t>
            </w:r>
          </w:p>
        </w:tc>
      </w:tr>
      <w:tr w:rsidR="0093734B" w:rsidRPr="00451661" w14:paraId="33B20CED" w14:textId="77777777" w:rsidTr="00BA5FEF">
        <w:trPr>
          <w:trHeight w:val="245"/>
        </w:trPr>
        <w:tc>
          <w:tcPr>
            <w:tcW w:w="1890" w:type="dxa"/>
          </w:tcPr>
          <w:p w14:paraId="28037500" w14:textId="099BFCBB" w:rsidR="0093734B" w:rsidRPr="00451661" w:rsidRDefault="0093734B" w:rsidP="00730A02">
            <w:pPr>
              <w:shd w:val="clear" w:color="auto" w:fill="auto"/>
              <w:spacing w:before="0" w:after="0" w:line="259" w:lineRule="auto"/>
              <w:ind w:left="0"/>
              <w:rPr>
                <w:sz w:val="22"/>
                <w:szCs w:val="22"/>
              </w:rPr>
            </w:pPr>
            <w:bookmarkStart w:id="136" w:name="_Hlk172819003"/>
            <w:bookmarkEnd w:id="135"/>
            <w:r w:rsidRPr="00451661">
              <w:rPr>
                <w:sz w:val="22"/>
                <w:szCs w:val="22"/>
              </w:rPr>
              <w:t>Ammonia</w:t>
            </w:r>
          </w:p>
        </w:tc>
        <w:tc>
          <w:tcPr>
            <w:tcW w:w="1980" w:type="dxa"/>
          </w:tcPr>
          <w:p w14:paraId="27AC4F01" w14:textId="7284DA65" w:rsidR="0093734B" w:rsidRPr="00451661" w:rsidRDefault="00FF4169" w:rsidP="00730A02">
            <w:pPr>
              <w:shd w:val="clear" w:color="auto" w:fill="auto"/>
              <w:spacing w:before="0" w:after="0" w:line="259" w:lineRule="auto"/>
              <w:ind w:left="0"/>
              <w:jc w:val="center"/>
              <w:rPr>
                <w:sz w:val="22"/>
                <w:szCs w:val="22"/>
              </w:rPr>
            </w:pPr>
            <w:r>
              <w:rPr>
                <w:sz w:val="22"/>
                <w:szCs w:val="22"/>
              </w:rPr>
              <w:t xml:space="preserve">mg/L </w:t>
            </w:r>
          </w:p>
        </w:tc>
        <w:tc>
          <w:tcPr>
            <w:tcW w:w="1710" w:type="dxa"/>
          </w:tcPr>
          <w:p w14:paraId="185F9037"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0.042</w:t>
            </w:r>
          </w:p>
        </w:tc>
        <w:tc>
          <w:tcPr>
            <w:tcW w:w="1751" w:type="dxa"/>
          </w:tcPr>
          <w:p w14:paraId="252C3FF6"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0.015</w:t>
            </w:r>
          </w:p>
        </w:tc>
        <w:tc>
          <w:tcPr>
            <w:tcW w:w="1939" w:type="dxa"/>
          </w:tcPr>
          <w:p w14:paraId="2D9E79C4" w14:textId="24E44F02" w:rsidR="0093734B" w:rsidRPr="00451661" w:rsidRDefault="003810E1" w:rsidP="00730A02">
            <w:pPr>
              <w:shd w:val="clear" w:color="auto" w:fill="auto"/>
              <w:spacing w:before="0" w:after="0" w:line="259" w:lineRule="auto"/>
              <w:ind w:left="0"/>
              <w:jc w:val="center"/>
              <w:rPr>
                <w:sz w:val="22"/>
                <w:szCs w:val="22"/>
              </w:rPr>
            </w:pPr>
            <w:r>
              <w:rPr>
                <w:sz w:val="22"/>
                <w:szCs w:val="22"/>
              </w:rPr>
              <w:t>ND</w:t>
            </w:r>
          </w:p>
        </w:tc>
      </w:tr>
      <w:tr w:rsidR="0093734B" w:rsidRPr="00451661" w14:paraId="03EDC324" w14:textId="77777777" w:rsidTr="00BA5FEF">
        <w:trPr>
          <w:trHeight w:val="245"/>
        </w:trPr>
        <w:tc>
          <w:tcPr>
            <w:tcW w:w="1890" w:type="dxa"/>
          </w:tcPr>
          <w:p w14:paraId="4332C94C" w14:textId="51C37755" w:rsidR="0093734B" w:rsidRPr="00451661" w:rsidRDefault="0093734B" w:rsidP="00730A02">
            <w:pPr>
              <w:shd w:val="clear" w:color="auto" w:fill="auto"/>
              <w:spacing w:before="0" w:after="0" w:line="259" w:lineRule="auto"/>
              <w:ind w:left="0"/>
              <w:rPr>
                <w:sz w:val="22"/>
                <w:szCs w:val="22"/>
              </w:rPr>
            </w:pPr>
            <w:bookmarkStart w:id="137" w:name="_Hlk172819005"/>
            <w:bookmarkEnd w:id="136"/>
            <w:r w:rsidRPr="00451661">
              <w:rPr>
                <w:sz w:val="22"/>
                <w:szCs w:val="22"/>
              </w:rPr>
              <w:t>Sum of PAHs</w:t>
            </w:r>
          </w:p>
        </w:tc>
        <w:tc>
          <w:tcPr>
            <w:tcW w:w="1980" w:type="dxa"/>
          </w:tcPr>
          <w:p w14:paraId="0E613EB5" w14:textId="538DDB7B"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994C9D">
              <w:rPr>
                <w:sz w:val="22"/>
                <w:szCs w:val="22"/>
              </w:rPr>
              <w:t>g</w:t>
            </w:r>
            <w:r>
              <w:rPr>
                <w:sz w:val="22"/>
                <w:szCs w:val="22"/>
              </w:rPr>
              <w:t xml:space="preserve">/L </w:t>
            </w:r>
          </w:p>
        </w:tc>
        <w:tc>
          <w:tcPr>
            <w:tcW w:w="1710" w:type="dxa"/>
          </w:tcPr>
          <w:p w14:paraId="43AF4DEA"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0.047</w:t>
            </w:r>
          </w:p>
        </w:tc>
        <w:tc>
          <w:tcPr>
            <w:tcW w:w="1751" w:type="dxa"/>
          </w:tcPr>
          <w:p w14:paraId="374CF1A2"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0.0125</w:t>
            </w:r>
          </w:p>
        </w:tc>
        <w:tc>
          <w:tcPr>
            <w:tcW w:w="1939" w:type="dxa"/>
          </w:tcPr>
          <w:p w14:paraId="1DDEB5B6" w14:textId="1C32D85B" w:rsidR="0093734B" w:rsidRPr="00451661" w:rsidRDefault="003810E1" w:rsidP="00730A02">
            <w:pPr>
              <w:shd w:val="clear" w:color="auto" w:fill="auto"/>
              <w:spacing w:before="0" w:after="0" w:line="259" w:lineRule="auto"/>
              <w:ind w:left="0"/>
              <w:jc w:val="center"/>
              <w:rPr>
                <w:sz w:val="22"/>
                <w:szCs w:val="22"/>
              </w:rPr>
            </w:pPr>
            <w:r>
              <w:rPr>
                <w:sz w:val="22"/>
                <w:szCs w:val="22"/>
              </w:rPr>
              <w:t>ND</w:t>
            </w:r>
          </w:p>
        </w:tc>
      </w:tr>
      <w:tr w:rsidR="0093734B" w:rsidRPr="00451661" w14:paraId="15DB52B3" w14:textId="77777777" w:rsidTr="00BA5FEF">
        <w:trPr>
          <w:trHeight w:val="245"/>
        </w:trPr>
        <w:tc>
          <w:tcPr>
            <w:tcW w:w="1890" w:type="dxa"/>
          </w:tcPr>
          <w:p w14:paraId="5363DC26" w14:textId="6704D6AB" w:rsidR="0093734B" w:rsidRPr="00451661" w:rsidRDefault="0093734B" w:rsidP="00730A02">
            <w:pPr>
              <w:shd w:val="clear" w:color="auto" w:fill="auto"/>
              <w:spacing w:before="0" w:after="0" w:line="259" w:lineRule="auto"/>
              <w:ind w:left="0"/>
              <w:rPr>
                <w:sz w:val="22"/>
                <w:szCs w:val="22"/>
              </w:rPr>
            </w:pPr>
            <w:bookmarkStart w:id="138" w:name="_Hlk172819006"/>
            <w:bookmarkEnd w:id="137"/>
            <w:r w:rsidRPr="00451661">
              <w:rPr>
                <w:sz w:val="22"/>
                <w:szCs w:val="22"/>
              </w:rPr>
              <w:lastRenderedPageBreak/>
              <w:t>Sum of O</w:t>
            </w:r>
            <w:r w:rsidR="00104424">
              <w:rPr>
                <w:sz w:val="22"/>
                <w:szCs w:val="22"/>
              </w:rPr>
              <w:t>P</w:t>
            </w:r>
            <w:r w:rsidRPr="00451661">
              <w:rPr>
                <w:sz w:val="22"/>
                <w:szCs w:val="22"/>
              </w:rPr>
              <w:t>s</w:t>
            </w:r>
          </w:p>
        </w:tc>
        <w:tc>
          <w:tcPr>
            <w:tcW w:w="1980" w:type="dxa"/>
          </w:tcPr>
          <w:p w14:paraId="39016DC1" w14:textId="6D26ECA7"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0E21EB">
              <w:rPr>
                <w:sz w:val="22"/>
                <w:szCs w:val="22"/>
              </w:rPr>
              <w:t>g</w:t>
            </w:r>
            <w:r>
              <w:rPr>
                <w:sz w:val="22"/>
                <w:szCs w:val="22"/>
              </w:rPr>
              <w:t xml:space="preserve">/L </w:t>
            </w:r>
          </w:p>
        </w:tc>
        <w:tc>
          <w:tcPr>
            <w:tcW w:w="1710" w:type="dxa"/>
          </w:tcPr>
          <w:p w14:paraId="06DC57B0" w14:textId="3FAC3D95" w:rsidR="0093734B" w:rsidRPr="00451661" w:rsidRDefault="004E7EDA" w:rsidP="00730A02">
            <w:pPr>
              <w:shd w:val="clear" w:color="auto" w:fill="auto"/>
              <w:spacing w:before="0" w:after="0" w:line="259" w:lineRule="auto"/>
              <w:ind w:left="0"/>
              <w:jc w:val="center"/>
              <w:rPr>
                <w:sz w:val="22"/>
                <w:szCs w:val="22"/>
              </w:rPr>
            </w:pPr>
            <w:r>
              <w:rPr>
                <w:sz w:val="22"/>
                <w:szCs w:val="22"/>
              </w:rPr>
              <w:t>ND</w:t>
            </w:r>
          </w:p>
        </w:tc>
        <w:tc>
          <w:tcPr>
            <w:tcW w:w="1751" w:type="dxa"/>
          </w:tcPr>
          <w:p w14:paraId="4E1CB4DB"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0.0006</w:t>
            </w:r>
          </w:p>
        </w:tc>
        <w:tc>
          <w:tcPr>
            <w:tcW w:w="1939" w:type="dxa"/>
          </w:tcPr>
          <w:p w14:paraId="3E531F0F" w14:textId="4DC35758" w:rsidR="0093734B" w:rsidRPr="00451661" w:rsidRDefault="003810E1" w:rsidP="00730A02">
            <w:pPr>
              <w:shd w:val="clear" w:color="auto" w:fill="auto"/>
              <w:spacing w:before="0" w:after="0" w:line="259" w:lineRule="auto"/>
              <w:ind w:left="0"/>
              <w:jc w:val="center"/>
              <w:rPr>
                <w:sz w:val="22"/>
                <w:szCs w:val="22"/>
              </w:rPr>
            </w:pPr>
            <w:r>
              <w:rPr>
                <w:sz w:val="22"/>
                <w:szCs w:val="22"/>
              </w:rPr>
              <w:t>ND</w:t>
            </w:r>
          </w:p>
        </w:tc>
      </w:tr>
      <w:tr w:rsidR="0093734B" w:rsidRPr="00451661" w14:paraId="694D17B3" w14:textId="77777777" w:rsidTr="00BA5FEF">
        <w:trPr>
          <w:trHeight w:val="504"/>
        </w:trPr>
        <w:tc>
          <w:tcPr>
            <w:tcW w:w="1890" w:type="dxa"/>
          </w:tcPr>
          <w:p w14:paraId="1A00651C" w14:textId="129F8716" w:rsidR="0093734B" w:rsidRPr="00451661" w:rsidRDefault="0093734B" w:rsidP="00730A02">
            <w:pPr>
              <w:shd w:val="clear" w:color="auto" w:fill="auto"/>
              <w:spacing w:before="0" w:after="0" w:line="259" w:lineRule="auto"/>
              <w:ind w:left="0"/>
              <w:rPr>
                <w:sz w:val="22"/>
                <w:szCs w:val="22"/>
              </w:rPr>
            </w:pPr>
            <w:bookmarkStart w:id="139" w:name="_Hlk172819007"/>
            <w:bookmarkEnd w:id="138"/>
            <w:r w:rsidRPr="00451661">
              <w:rPr>
                <w:sz w:val="22"/>
                <w:szCs w:val="22"/>
              </w:rPr>
              <w:t>Sum of Pyrethroids</w:t>
            </w:r>
          </w:p>
        </w:tc>
        <w:tc>
          <w:tcPr>
            <w:tcW w:w="1980" w:type="dxa"/>
          </w:tcPr>
          <w:p w14:paraId="1C33B2F9" w14:textId="4473D3B6" w:rsidR="0093734B" w:rsidRPr="00451661" w:rsidRDefault="00FF4169" w:rsidP="00730A02">
            <w:pPr>
              <w:shd w:val="clear" w:color="auto" w:fill="auto"/>
              <w:spacing w:before="0" w:after="0" w:line="259" w:lineRule="auto"/>
              <w:ind w:left="0"/>
              <w:jc w:val="center"/>
              <w:rPr>
                <w:sz w:val="22"/>
                <w:szCs w:val="22"/>
              </w:rPr>
            </w:pPr>
            <w:r>
              <w:rPr>
                <w:sz w:val="22"/>
                <w:szCs w:val="22"/>
              </w:rPr>
              <w:t>µ</w:t>
            </w:r>
            <w:r w:rsidR="000E21EB">
              <w:rPr>
                <w:sz w:val="22"/>
                <w:szCs w:val="22"/>
              </w:rPr>
              <w:t>g</w:t>
            </w:r>
            <w:r>
              <w:rPr>
                <w:sz w:val="22"/>
                <w:szCs w:val="22"/>
              </w:rPr>
              <w:t xml:space="preserve">/L </w:t>
            </w:r>
          </w:p>
        </w:tc>
        <w:tc>
          <w:tcPr>
            <w:tcW w:w="1710" w:type="dxa"/>
          </w:tcPr>
          <w:p w14:paraId="0665BF18" w14:textId="31678892" w:rsidR="0093734B" w:rsidRPr="00451661" w:rsidRDefault="004E7EDA" w:rsidP="00730A02">
            <w:pPr>
              <w:shd w:val="clear" w:color="auto" w:fill="auto"/>
              <w:spacing w:before="0" w:after="0" w:line="259" w:lineRule="auto"/>
              <w:ind w:left="0"/>
              <w:jc w:val="center"/>
              <w:rPr>
                <w:sz w:val="22"/>
                <w:szCs w:val="22"/>
              </w:rPr>
            </w:pPr>
            <w:r>
              <w:rPr>
                <w:sz w:val="22"/>
                <w:szCs w:val="22"/>
              </w:rPr>
              <w:t>ND</w:t>
            </w:r>
          </w:p>
        </w:tc>
        <w:tc>
          <w:tcPr>
            <w:tcW w:w="1751" w:type="dxa"/>
          </w:tcPr>
          <w:p w14:paraId="0860BDE2"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0.00675</w:t>
            </w:r>
          </w:p>
        </w:tc>
        <w:tc>
          <w:tcPr>
            <w:tcW w:w="1939" w:type="dxa"/>
          </w:tcPr>
          <w:p w14:paraId="0261497E" w14:textId="6BEF0AC0" w:rsidR="0093734B" w:rsidRPr="00451661" w:rsidRDefault="003810E1" w:rsidP="00730A02">
            <w:pPr>
              <w:shd w:val="clear" w:color="auto" w:fill="auto"/>
              <w:spacing w:before="0" w:after="0" w:line="259" w:lineRule="auto"/>
              <w:ind w:left="0"/>
              <w:jc w:val="center"/>
              <w:rPr>
                <w:sz w:val="22"/>
                <w:szCs w:val="22"/>
              </w:rPr>
            </w:pPr>
            <w:r>
              <w:rPr>
                <w:sz w:val="22"/>
                <w:szCs w:val="22"/>
              </w:rPr>
              <w:t>ND</w:t>
            </w:r>
          </w:p>
        </w:tc>
      </w:tr>
      <w:tr w:rsidR="0093734B" w:rsidRPr="00451661" w14:paraId="570F5986" w14:textId="77777777" w:rsidTr="00BA5FEF">
        <w:trPr>
          <w:trHeight w:val="406"/>
        </w:trPr>
        <w:tc>
          <w:tcPr>
            <w:tcW w:w="1890" w:type="dxa"/>
          </w:tcPr>
          <w:p w14:paraId="4D931F52" w14:textId="2388A2FA" w:rsidR="0093734B" w:rsidRPr="00451661" w:rsidRDefault="0093734B" w:rsidP="00730A02">
            <w:pPr>
              <w:shd w:val="clear" w:color="auto" w:fill="auto"/>
              <w:spacing w:before="0" w:after="0" w:line="259" w:lineRule="auto"/>
              <w:ind w:left="0"/>
              <w:rPr>
                <w:sz w:val="22"/>
                <w:szCs w:val="22"/>
              </w:rPr>
            </w:pPr>
            <w:bookmarkStart w:id="140" w:name="_Hlk172819008"/>
            <w:bookmarkEnd w:id="139"/>
            <w:r w:rsidRPr="00451661">
              <w:rPr>
                <w:sz w:val="22"/>
                <w:szCs w:val="22"/>
              </w:rPr>
              <w:t xml:space="preserve">Oil and </w:t>
            </w:r>
            <w:proofErr w:type="gramStart"/>
            <w:r w:rsidRPr="00451661">
              <w:rPr>
                <w:sz w:val="22"/>
                <w:szCs w:val="22"/>
              </w:rPr>
              <w:t>Grease</w:t>
            </w:r>
            <w:proofErr w:type="gramEnd"/>
          </w:p>
        </w:tc>
        <w:tc>
          <w:tcPr>
            <w:tcW w:w="1980" w:type="dxa"/>
          </w:tcPr>
          <w:p w14:paraId="20256FD9" w14:textId="2627413A" w:rsidR="0093734B" w:rsidRPr="00451661" w:rsidRDefault="00FF4169" w:rsidP="00730A02">
            <w:pPr>
              <w:shd w:val="clear" w:color="auto" w:fill="auto"/>
              <w:spacing w:before="0" w:after="0" w:line="259" w:lineRule="auto"/>
              <w:ind w:left="0"/>
              <w:jc w:val="center"/>
              <w:rPr>
                <w:sz w:val="22"/>
                <w:szCs w:val="22"/>
              </w:rPr>
            </w:pPr>
            <w:r>
              <w:rPr>
                <w:sz w:val="22"/>
                <w:szCs w:val="22"/>
              </w:rPr>
              <w:t xml:space="preserve">mg/L </w:t>
            </w:r>
          </w:p>
        </w:tc>
        <w:tc>
          <w:tcPr>
            <w:tcW w:w="1710" w:type="dxa"/>
          </w:tcPr>
          <w:p w14:paraId="57409040" w14:textId="4C7C4D0D" w:rsidR="0093734B" w:rsidRPr="00451661" w:rsidRDefault="003810E1" w:rsidP="00730A02">
            <w:pPr>
              <w:shd w:val="clear" w:color="auto" w:fill="auto"/>
              <w:spacing w:before="0" w:after="0" w:line="259" w:lineRule="auto"/>
              <w:ind w:left="0"/>
              <w:jc w:val="center"/>
              <w:rPr>
                <w:sz w:val="22"/>
                <w:szCs w:val="22"/>
              </w:rPr>
            </w:pPr>
            <w:r>
              <w:rPr>
                <w:sz w:val="22"/>
                <w:szCs w:val="22"/>
              </w:rPr>
              <w:t>ND</w:t>
            </w:r>
          </w:p>
        </w:tc>
        <w:tc>
          <w:tcPr>
            <w:tcW w:w="1751" w:type="dxa"/>
          </w:tcPr>
          <w:p w14:paraId="62EADED5" w14:textId="77777777" w:rsidR="0093734B" w:rsidRPr="00451661" w:rsidRDefault="0093734B" w:rsidP="00730A02">
            <w:pPr>
              <w:shd w:val="clear" w:color="auto" w:fill="auto"/>
              <w:spacing w:before="0" w:after="0" w:line="259" w:lineRule="auto"/>
              <w:ind w:left="0"/>
              <w:jc w:val="center"/>
              <w:rPr>
                <w:sz w:val="22"/>
                <w:szCs w:val="22"/>
              </w:rPr>
            </w:pPr>
            <w:r w:rsidRPr="00451661">
              <w:rPr>
                <w:sz w:val="22"/>
                <w:szCs w:val="22"/>
              </w:rPr>
              <w:t>0.5</w:t>
            </w:r>
          </w:p>
        </w:tc>
        <w:tc>
          <w:tcPr>
            <w:tcW w:w="1939" w:type="dxa"/>
          </w:tcPr>
          <w:p w14:paraId="67738DAF" w14:textId="57A4DBBD" w:rsidR="0093734B" w:rsidRPr="00451661" w:rsidRDefault="00E91BCD" w:rsidP="00730A02">
            <w:pPr>
              <w:shd w:val="clear" w:color="auto" w:fill="auto"/>
              <w:spacing w:before="0" w:after="0" w:line="259" w:lineRule="auto"/>
              <w:ind w:left="0"/>
              <w:jc w:val="center"/>
              <w:rPr>
                <w:sz w:val="22"/>
                <w:szCs w:val="22"/>
              </w:rPr>
            </w:pPr>
            <w:r>
              <w:rPr>
                <w:sz w:val="22"/>
                <w:szCs w:val="22"/>
              </w:rPr>
              <w:t>ND</w:t>
            </w:r>
          </w:p>
        </w:tc>
      </w:tr>
    </w:tbl>
    <w:p w14:paraId="66D11910" w14:textId="31F6A054" w:rsidR="00EA6A4D" w:rsidRPr="00EA6A4D" w:rsidRDefault="00EA6A4D" w:rsidP="00EA6A4D">
      <w:pPr>
        <w:spacing w:before="0" w:line="240" w:lineRule="auto"/>
        <w:ind w:left="187"/>
        <w:rPr>
          <w:u w:val="single"/>
        </w:rPr>
      </w:pPr>
      <w:bookmarkStart w:id="141" w:name="_Hlk172818886"/>
      <w:bookmarkEnd w:id="140"/>
      <w:r w:rsidRPr="00EA6A4D">
        <w:rPr>
          <w:u w:val="single"/>
        </w:rPr>
        <w:t>Table Notes:</w:t>
      </w:r>
    </w:p>
    <w:p w14:paraId="0EA86EAF" w14:textId="1AE594E1" w:rsidR="00B50FAB" w:rsidRDefault="00B50FAB" w:rsidP="00A72DFC">
      <w:pPr>
        <w:spacing w:before="0" w:after="0" w:line="240" w:lineRule="auto"/>
        <w:ind w:left="360" w:hanging="173"/>
      </w:pPr>
      <w:r>
        <w:t xml:space="preserve">* </w:t>
      </w:r>
      <w:r w:rsidR="00A72DFC">
        <w:t>Indicates that t</w:t>
      </w:r>
      <w:r w:rsidR="00A712B5">
        <w:t xml:space="preserve">his </w:t>
      </w:r>
      <w:r w:rsidR="00A72DFC">
        <w:t xml:space="preserve">item </w:t>
      </w:r>
      <w:r w:rsidR="004C0EC3">
        <w:t>is</w:t>
      </w:r>
      <w:r w:rsidR="00A712B5">
        <w:t xml:space="preserve"> not for </w:t>
      </w:r>
      <w:r w:rsidR="00994C9D">
        <w:t>P</w:t>
      </w:r>
      <w:r w:rsidR="001505E1">
        <w:t>ermittees participating in individual monitoring programs</w:t>
      </w:r>
      <w:r w:rsidR="004C0EC3">
        <w:t>.</w:t>
      </w:r>
    </w:p>
    <w:p w14:paraId="756451D8" w14:textId="77777777" w:rsidR="001C214F" w:rsidRDefault="00497080" w:rsidP="001C214F">
      <w:pPr>
        <w:spacing w:before="0" w:after="0" w:line="240" w:lineRule="auto"/>
        <w:ind w:left="187"/>
        <w:rPr>
          <w:sz w:val="22"/>
          <w:szCs w:val="22"/>
        </w:rPr>
      </w:pPr>
      <w:r>
        <w:rPr>
          <w:sz w:val="22"/>
          <w:szCs w:val="22"/>
        </w:rPr>
        <w:t xml:space="preserve">µ/L is micrograms per liter. </w:t>
      </w:r>
    </w:p>
    <w:p w14:paraId="5E187A68" w14:textId="77777777" w:rsidR="001C214F" w:rsidRDefault="00497080" w:rsidP="001C214F">
      <w:pPr>
        <w:spacing w:before="0" w:after="0" w:line="240" w:lineRule="auto"/>
        <w:ind w:left="187"/>
        <w:rPr>
          <w:sz w:val="22"/>
          <w:szCs w:val="22"/>
        </w:rPr>
      </w:pPr>
      <w:r>
        <w:rPr>
          <w:sz w:val="22"/>
          <w:szCs w:val="22"/>
        </w:rPr>
        <w:t>mg/L is milligrams per liter.</w:t>
      </w:r>
      <w:r w:rsidR="00EE7E71">
        <w:rPr>
          <w:sz w:val="22"/>
          <w:szCs w:val="22"/>
        </w:rPr>
        <w:t xml:space="preserve"> </w:t>
      </w:r>
    </w:p>
    <w:p w14:paraId="2878C8B3" w14:textId="77777777" w:rsidR="001C214F" w:rsidRDefault="00EE7E71" w:rsidP="001C214F">
      <w:pPr>
        <w:spacing w:before="0" w:after="0" w:line="240" w:lineRule="auto"/>
        <w:ind w:left="187"/>
        <w:rPr>
          <w:sz w:val="22"/>
          <w:szCs w:val="22"/>
        </w:rPr>
      </w:pPr>
      <w:r>
        <w:rPr>
          <w:sz w:val="22"/>
          <w:szCs w:val="22"/>
        </w:rPr>
        <w:t>ND is non-detect.</w:t>
      </w:r>
      <w:r w:rsidR="00996C2B">
        <w:rPr>
          <w:sz w:val="22"/>
          <w:szCs w:val="22"/>
        </w:rPr>
        <w:t xml:space="preserve"> </w:t>
      </w:r>
    </w:p>
    <w:p w14:paraId="0D2413F5" w14:textId="6C1CD087" w:rsidR="00497080" w:rsidRDefault="00996C2B" w:rsidP="001C214F">
      <w:pPr>
        <w:spacing w:before="0" w:after="0" w:line="240" w:lineRule="auto"/>
        <w:ind w:left="187"/>
      </w:pPr>
      <w:r>
        <w:rPr>
          <w:sz w:val="22"/>
          <w:szCs w:val="22"/>
        </w:rPr>
        <w:t xml:space="preserve">State Water Board </w:t>
      </w:r>
      <w:r w:rsidR="004E3184">
        <w:rPr>
          <w:sz w:val="22"/>
          <w:szCs w:val="22"/>
        </w:rPr>
        <w:t xml:space="preserve">interpreted </w:t>
      </w:r>
      <w:r w:rsidR="001549D4">
        <w:rPr>
          <w:sz w:val="22"/>
          <w:szCs w:val="22"/>
        </w:rPr>
        <w:t>0 as non-detect.</w:t>
      </w:r>
    </w:p>
    <w:p w14:paraId="49DDF1C5" w14:textId="364195FE" w:rsidR="004A43AF" w:rsidRPr="00097B24" w:rsidRDefault="004A43AF" w:rsidP="00910F8F">
      <w:pPr>
        <w:pStyle w:val="Heading3"/>
        <w:spacing w:before="240"/>
        <w:ind w:left="720" w:hanging="720"/>
      </w:pPr>
      <w:r w:rsidRPr="00097B24">
        <w:t>2019</w:t>
      </w:r>
      <w:r w:rsidR="00587711">
        <w:tab/>
      </w:r>
      <w:r w:rsidRPr="00097B24">
        <w:t>Ocean Plan Table</w:t>
      </w:r>
      <w:r w:rsidR="00D83CCB">
        <w:t xml:space="preserve"> 3 and Table 4</w:t>
      </w:r>
    </w:p>
    <w:p w14:paraId="77A70017" w14:textId="3492AD0D" w:rsidR="00FF57C0" w:rsidRDefault="00FF57C0" w:rsidP="00884552">
      <w:bookmarkStart w:id="142" w:name="_Hlk172819009"/>
      <w:bookmarkEnd w:id="141"/>
      <w:r>
        <w:t>Best management practices installed</w:t>
      </w:r>
      <w:r w:rsidRPr="004D0985">
        <w:t xml:space="preserve"> to control storm water runoff discharges (at the end-of-pipe) during a design storm shall be designed to achieve on average </w:t>
      </w:r>
      <w:r>
        <w:t xml:space="preserve">either of the </w:t>
      </w:r>
      <w:r w:rsidRPr="004D0985">
        <w:t>following target levels</w:t>
      </w:r>
      <w:r>
        <w:t>:</w:t>
      </w:r>
    </w:p>
    <w:p w14:paraId="5CBB5E8D" w14:textId="245D3604" w:rsidR="00FF57C0" w:rsidRDefault="00227791" w:rsidP="00884552">
      <w:pPr>
        <w:ind w:left="1080" w:hanging="360"/>
      </w:pPr>
      <w:bookmarkStart w:id="143" w:name="_Hlk172819010"/>
      <w:bookmarkEnd w:id="142"/>
      <w:r>
        <w:rPr>
          <w:bCs/>
        </w:rPr>
        <w:t>1.</w:t>
      </w:r>
      <w:r>
        <w:rPr>
          <w:bCs/>
        </w:rPr>
        <w:tab/>
      </w:r>
      <w:r w:rsidR="00FF57C0">
        <w:t xml:space="preserve">Constituents listed below for </w:t>
      </w:r>
      <w:r w:rsidR="00FF57C0" w:rsidRPr="004D0985">
        <w:t xml:space="preserve">Table </w:t>
      </w:r>
      <w:r w:rsidR="00FF57C0">
        <w:t>3</w:t>
      </w:r>
      <w:r w:rsidR="00FF57C0" w:rsidRPr="004D0985">
        <w:t xml:space="preserve"> Instantaneous Maximum Water Quality Objectives in the </w:t>
      </w:r>
      <w:r w:rsidR="00FF57C0">
        <w:t xml:space="preserve">2019 </w:t>
      </w:r>
      <w:r w:rsidR="00FF57C0" w:rsidRPr="004D0985">
        <w:t xml:space="preserve">Ocean </w:t>
      </w:r>
      <w:proofErr w:type="gramStart"/>
      <w:r w:rsidR="00FF57C0" w:rsidRPr="004D0985">
        <w:t>Plan;</w:t>
      </w:r>
      <w:proofErr w:type="gramEnd"/>
      <w:r w:rsidR="00FF57C0" w:rsidRPr="004D0985">
        <w:t xml:space="preserve"> or </w:t>
      </w:r>
    </w:p>
    <w:p w14:paraId="1B272C27" w14:textId="0EAF4ADC" w:rsidR="00FF57C0" w:rsidRDefault="00227791" w:rsidP="00884552">
      <w:pPr>
        <w:spacing w:after="0"/>
        <w:ind w:left="1080" w:hanging="360"/>
      </w:pPr>
      <w:bookmarkStart w:id="144" w:name="_Hlk172819011"/>
      <w:bookmarkEnd w:id="143"/>
      <w:r>
        <w:rPr>
          <w:bCs/>
        </w:rPr>
        <w:t>2.</w:t>
      </w:r>
      <w:r>
        <w:rPr>
          <w:bCs/>
        </w:rPr>
        <w:tab/>
      </w:r>
      <w:r w:rsidR="00BA2288">
        <w:t>A</w:t>
      </w:r>
      <w:r w:rsidR="00FF57C0" w:rsidRPr="004D0985">
        <w:t xml:space="preserve"> 90% reduction in pollutant loading during storm events, for the </w:t>
      </w:r>
      <w:r w:rsidR="00AF4844">
        <w:t>Permittee</w:t>
      </w:r>
      <w:r w:rsidR="00FF57C0" w:rsidRPr="004D0985">
        <w:t xml:space="preserve">’s total discharges. </w:t>
      </w:r>
    </w:p>
    <w:p w14:paraId="69A82530" w14:textId="7235B928" w:rsidR="00D96EC5" w:rsidRPr="00C8295D" w:rsidRDefault="0086732F" w:rsidP="00BD6708">
      <w:pPr>
        <w:pStyle w:val="Caption"/>
        <w:spacing w:before="120"/>
        <w:ind w:left="180"/>
        <w:contextualSpacing w:val="0"/>
        <w:rPr>
          <w:b w:val="0"/>
          <w:bCs/>
          <w:i/>
          <w:iCs w:val="0"/>
          <w:sz w:val="24"/>
          <w:szCs w:val="24"/>
        </w:rPr>
      </w:pPr>
      <w:bookmarkStart w:id="145" w:name="_Hlk172818871"/>
      <w:bookmarkEnd w:id="144"/>
      <w:r>
        <w:rPr>
          <w:bCs/>
          <w:iCs w:val="0"/>
          <w:sz w:val="24"/>
          <w:szCs w:val="24"/>
        </w:rPr>
        <w:t xml:space="preserve">2019 Ocean </w:t>
      </w:r>
      <w:r w:rsidR="001B5699">
        <w:rPr>
          <w:bCs/>
          <w:iCs w:val="0"/>
          <w:sz w:val="24"/>
          <w:szCs w:val="24"/>
        </w:rPr>
        <w:t xml:space="preserve">Plan </w:t>
      </w:r>
      <w:r w:rsidR="00DE39E2">
        <w:rPr>
          <w:bCs/>
          <w:iCs w:val="0"/>
          <w:sz w:val="24"/>
          <w:szCs w:val="24"/>
        </w:rPr>
        <w:t>Table 3</w:t>
      </w:r>
      <w:r w:rsidR="00D50EB5">
        <w:rPr>
          <w:bCs/>
          <w:iCs w:val="0"/>
          <w:sz w:val="24"/>
          <w:szCs w:val="24"/>
        </w:rPr>
        <w:t>:</w:t>
      </w:r>
      <w:r w:rsidR="00D96EC5" w:rsidRPr="00C8295D">
        <w:rPr>
          <w:bCs/>
          <w:iCs w:val="0"/>
          <w:sz w:val="24"/>
          <w:szCs w:val="24"/>
        </w:rPr>
        <w:t xml:space="preserve"> Monitoring Constituent List</w:t>
      </w:r>
      <w:r w:rsidR="0061581F">
        <w:rPr>
          <w:bCs/>
          <w:iCs w:val="0"/>
          <w:sz w:val="24"/>
          <w:szCs w:val="24"/>
        </w:rPr>
        <w:t xml:space="preserve"> </w:t>
      </w:r>
      <w:r w:rsidR="00732A2E">
        <w:rPr>
          <w:bCs/>
          <w:iCs w:val="0"/>
          <w:sz w:val="24"/>
          <w:szCs w:val="24"/>
        </w:rPr>
        <w:t>and Instanta</w:t>
      </w:r>
      <w:r w:rsidR="00BD6708">
        <w:rPr>
          <w:bCs/>
          <w:iCs w:val="0"/>
          <w:sz w:val="24"/>
          <w:szCs w:val="24"/>
        </w:rPr>
        <w:t>n</w:t>
      </w:r>
      <w:r w:rsidR="00732A2E">
        <w:rPr>
          <w:bCs/>
          <w:iCs w:val="0"/>
          <w:sz w:val="24"/>
          <w:szCs w:val="24"/>
        </w:rPr>
        <w:t>eous Maximum</w:t>
      </w:r>
      <w:r w:rsidR="00BC38DC">
        <w:rPr>
          <w:bCs/>
          <w:iCs w:val="0"/>
          <w:sz w:val="24"/>
          <w:szCs w:val="24"/>
        </w:rPr>
        <w:t xml:space="preserve"> Water Quality Objectives</w:t>
      </w:r>
    </w:p>
    <w:tbl>
      <w:tblPr>
        <w:tblStyle w:val="TableGrid"/>
        <w:tblW w:w="9267"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Caption w:val="Table B: Monitoring Constituent List"/>
        <w:tblDescription w:val="Excerpted from California Ocean Plan dated 2009"/>
      </w:tblPr>
      <w:tblGrid>
        <w:gridCol w:w="4053"/>
        <w:gridCol w:w="2337"/>
        <w:gridCol w:w="2877"/>
      </w:tblGrid>
      <w:tr w:rsidR="00BD6708" w:rsidRPr="00EA316C" w14:paraId="66AE8D94" w14:textId="0D729058" w:rsidTr="00192439">
        <w:trPr>
          <w:tblHeader/>
        </w:trPr>
        <w:tc>
          <w:tcPr>
            <w:tcW w:w="4053" w:type="dxa"/>
            <w:shd w:val="clear" w:color="auto" w:fill="E2EFD9" w:themeFill="accent6" w:themeFillTint="33"/>
            <w:vAlign w:val="center"/>
          </w:tcPr>
          <w:p w14:paraId="08B04854" w14:textId="77777777" w:rsidR="00BD6708" w:rsidRPr="00EA316C" w:rsidRDefault="00BD6708" w:rsidP="00015232">
            <w:pPr>
              <w:shd w:val="clear" w:color="auto" w:fill="auto"/>
              <w:spacing w:before="20" w:after="20"/>
              <w:ind w:left="0"/>
              <w:rPr>
                <w:b/>
                <w:bCs/>
                <w:sz w:val="22"/>
                <w:szCs w:val="22"/>
              </w:rPr>
            </w:pPr>
            <w:bookmarkStart w:id="146" w:name="_Hlk172819012"/>
            <w:bookmarkEnd w:id="145"/>
            <w:r w:rsidRPr="00EA316C">
              <w:rPr>
                <w:b/>
                <w:bCs/>
                <w:sz w:val="22"/>
                <w:szCs w:val="22"/>
              </w:rPr>
              <w:t>Constituent</w:t>
            </w:r>
          </w:p>
        </w:tc>
        <w:tc>
          <w:tcPr>
            <w:tcW w:w="2337" w:type="dxa"/>
            <w:shd w:val="clear" w:color="auto" w:fill="E2EFD9" w:themeFill="accent6" w:themeFillTint="33"/>
            <w:vAlign w:val="center"/>
          </w:tcPr>
          <w:p w14:paraId="6DD38552" w14:textId="77777777" w:rsidR="00BD6708" w:rsidRPr="00EA316C" w:rsidRDefault="00BD6708" w:rsidP="00015232">
            <w:pPr>
              <w:shd w:val="clear" w:color="auto" w:fill="auto"/>
              <w:spacing w:before="20" w:after="20"/>
              <w:ind w:left="0"/>
              <w:jc w:val="center"/>
              <w:rPr>
                <w:b/>
                <w:bCs/>
                <w:sz w:val="22"/>
                <w:szCs w:val="22"/>
              </w:rPr>
            </w:pPr>
            <w:r w:rsidRPr="00EA316C">
              <w:rPr>
                <w:b/>
                <w:bCs/>
                <w:sz w:val="22"/>
                <w:szCs w:val="22"/>
              </w:rPr>
              <w:t>Units</w:t>
            </w:r>
          </w:p>
        </w:tc>
        <w:tc>
          <w:tcPr>
            <w:tcW w:w="2877" w:type="dxa"/>
            <w:shd w:val="clear" w:color="auto" w:fill="E2EFD9" w:themeFill="accent6" w:themeFillTint="33"/>
          </w:tcPr>
          <w:p w14:paraId="7F184918" w14:textId="230DB876" w:rsidR="00BD6708" w:rsidRPr="00EA316C" w:rsidRDefault="00BD6708" w:rsidP="00015232">
            <w:pPr>
              <w:shd w:val="clear" w:color="auto" w:fill="auto"/>
              <w:spacing w:before="20" w:after="20"/>
              <w:ind w:left="0"/>
              <w:jc w:val="center"/>
              <w:rPr>
                <w:b/>
                <w:bCs/>
                <w:sz w:val="22"/>
                <w:szCs w:val="22"/>
              </w:rPr>
            </w:pPr>
            <w:r>
              <w:rPr>
                <w:b/>
                <w:bCs/>
                <w:sz w:val="22"/>
                <w:szCs w:val="22"/>
              </w:rPr>
              <w:t>Instantaneous Maximum</w:t>
            </w:r>
            <w:r w:rsidR="001D676E">
              <w:rPr>
                <w:b/>
                <w:bCs/>
                <w:sz w:val="22"/>
                <w:szCs w:val="22"/>
              </w:rPr>
              <w:t xml:space="preserve"> Water Quality Objectives</w:t>
            </w:r>
          </w:p>
        </w:tc>
      </w:tr>
      <w:tr w:rsidR="00BD6708" w:rsidRPr="00EA316C" w14:paraId="19AA9E45" w14:textId="31F6B74C" w:rsidTr="00192439">
        <w:tc>
          <w:tcPr>
            <w:tcW w:w="4053" w:type="dxa"/>
            <w:vAlign w:val="center"/>
          </w:tcPr>
          <w:p w14:paraId="517A4B18" w14:textId="77777777" w:rsidR="00BD6708" w:rsidRPr="00EA316C" w:rsidRDefault="00BD6708" w:rsidP="00015232">
            <w:pPr>
              <w:spacing w:before="20" w:after="20"/>
              <w:ind w:hanging="380"/>
              <w:rPr>
                <w:sz w:val="22"/>
                <w:szCs w:val="22"/>
              </w:rPr>
            </w:pPr>
            <w:bookmarkStart w:id="147" w:name="_Hlk172819013"/>
            <w:bookmarkEnd w:id="146"/>
            <w:r w:rsidRPr="00EA316C">
              <w:rPr>
                <w:sz w:val="22"/>
                <w:szCs w:val="22"/>
              </w:rPr>
              <w:t>Arsenic</w:t>
            </w:r>
          </w:p>
        </w:tc>
        <w:tc>
          <w:tcPr>
            <w:tcW w:w="2337" w:type="dxa"/>
            <w:vAlign w:val="center"/>
          </w:tcPr>
          <w:p w14:paraId="5B9FB9E0" w14:textId="6C053677"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60E2B84C" w14:textId="4598ACCC" w:rsidR="00BD6708" w:rsidRDefault="008C2366" w:rsidP="00015232">
            <w:pPr>
              <w:spacing w:before="20" w:after="20"/>
              <w:rPr>
                <w:sz w:val="22"/>
                <w:szCs w:val="22"/>
              </w:rPr>
            </w:pPr>
            <w:r>
              <w:rPr>
                <w:sz w:val="22"/>
                <w:szCs w:val="22"/>
              </w:rPr>
              <w:t>80</w:t>
            </w:r>
          </w:p>
        </w:tc>
      </w:tr>
      <w:tr w:rsidR="00BD6708" w:rsidRPr="00EA316C" w14:paraId="6F422F66" w14:textId="3EE50D84" w:rsidTr="00192439">
        <w:tc>
          <w:tcPr>
            <w:tcW w:w="4053" w:type="dxa"/>
            <w:vAlign w:val="center"/>
          </w:tcPr>
          <w:p w14:paraId="41867304" w14:textId="77777777" w:rsidR="00BD6708" w:rsidRPr="00EA316C" w:rsidRDefault="00BD6708" w:rsidP="00015232">
            <w:pPr>
              <w:spacing w:before="20" w:after="20"/>
              <w:ind w:hanging="380"/>
              <w:rPr>
                <w:sz w:val="22"/>
                <w:szCs w:val="22"/>
              </w:rPr>
            </w:pPr>
            <w:bookmarkStart w:id="148" w:name="_Hlk172819014"/>
            <w:bookmarkEnd w:id="147"/>
            <w:r w:rsidRPr="00EA316C">
              <w:rPr>
                <w:sz w:val="22"/>
                <w:szCs w:val="22"/>
              </w:rPr>
              <w:t>Cadmium</w:t>
            </w:r>
          </w:p>
        </w:tc>
        <w:tc>
          <w:tcPr>
            <w:tcW w:w="2337" w:type="dxa"/>
            <w:vAlign w:val="center"/>
          </w:tcPr>
          <w:p w14:paraId="5DF731E6" w14:textId="7502C6F6"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74445AB7" w14:textId="432AF9E8" w:rsidR="00BD6708" w:rsidRDefault="008C2366" w:rsidP="00015232">
            <w:pPr>
              <w:spacing w:before="20" w:after="20"/>
              <w:rPr>
                <w:sz w:val="22"/>
                <w:szCs w:val="22"/>
              </w:rPr>
            </w:pPr>
            <w:r>
              <w:rPr>
                <w:sz w:val="22"/>
                <w:szCs w:val="22"/>
              </w:rPr>
              <w:t>10</w:t>
            </w:r>
          </w:p>
        </w:tc>
      </w:tr>
      <w:tr w:rsidR="00BD6708" w:rsidRPr="00EA316C" w14:paraId="6023B978" w14:textId="5879294F" w:rsidTr="00192439">
        <w:tc>
          <w:tcPr>
            <w:tcW w:w="4053" w:type="dxa"/>
            <w:vAlign w:val="center"/>
          </w:tcPr>
          <w:p w14:paraId="59215D01" w14:textId="7A624B5E" w:rsidR="00BD6708" w:rsidRPr="00EA316C" w:rsidRDefault="00BD6708" w:rsidP="00015232">
            <w:pPr>
              <w:spacing w:before="20" w:after="20"/>
              <w:ind w:hanging="380"/>
              <w:rPr>
                <w:sz w:val="22"/>
                <w:szCs w:val="22"/>
              </w:rPr>
            </w:pPr>
            <w:bookmarkStart w:id="149" w:name="_Hlk172819015"/>
            <w:bookmarkEnd w:id="148"/>
            <w:r w:rsidRPr="00EA316C">
              <w:rPr>
                <w:sz w:val="22"/>
                <w:szCs w:val="22"/>
              </w:rPr>
              <w:t>Chromium (hexavalent)</w:t>
            </w:r>
          </w:p>
        </w:tc>
        <w:tc>
          <w:tcPr>
            <w:tcW w:w="2337" w:type="dxa"/>
            <w:vAlign w:val="center"/>
          </w:tcPr>
          <w:p w14:paraId="6FF9E06D" w14:textId="3D1572AD"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3B328DD2" w14:textId="62C213CB" w:rsidR="00BD6708" w:rsidRDefault="008C2366" w:rsidP="00015232">
            <w:pPr>
              <w:spacing w:before="20" w:after="20"/>
              <w:rPr>
                <w:sz w:val="22"/>
                <w:szCs w:val="22"/>
              </w:rPr>
            </w:pPr>
            <w:r>
              <w:rPr>
                <w:sz w:val="22"/>
                <w:szCs w:val="22"/>
              </w:rPr>
              <w:t>20</w:t>
            </w:r>
          </w:p>
        </w:tc>
      </w:tr>
      <w:tr w:rsidR="00BD6708" w:rsidRPr="00EA316C" w14:paraId="327A4A8A" w14:textId="6807B269" w:rsidTr="00192439">
        <w:tc>
          <w:tcPr>
            <w:tcW w:w="4053" w:type="dxa"/>
            <w:vAlign w:val="center"/>
          </w:tcPr>
          <w:p w14:paraId="558F24CE" w14:textId="77777777" w:rsidR="00BD6708" w:rsidRPr="00EA316C" w:rsidRDefault="00BD6708" w:rsidP="00015232">
            <w:pPr>
              <w:spacing w:before="20" w:after="20"/>
              <w:ind w:hanging="380"/>
              <w:rPr>
                <w:sz w:val="22"/>
                <w:szCs w:val="22"/>
              </w:rPr>
            </w:pPr>
            <w:bookmarkStart w:id="150" w:name="_Hlk172819016"/>
            <w:bookmarkEnd w:id="149"/>
            <w:r w:rsidRPr="00EA316C">
              <w:rPr>
                <w:sz w:val="22"/>
                <w:szCs w:val="22"/>
              </w:rPr>
              <w:t>Copper</w:t>
            </w:r>
          </w:p>
        </w:tc>
        <w:tc>
          <w:tcPr>
            <w:tcW w:w="2337" w:type="dxa"/>
            <w:vAlign w:val="center"/>
          </w:tcPr>
          <w:p w14:paraId="6F83E879" w14:textId="53775947"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0A54435C" w14:textId="4A7E3CC5" w:rsidR="00BD6708" w:rsidRDefault="008C2366" w:rsidP="00015232">
            <w:pPr>
              <w:spacing w:before="20" w:after="20"/>
              <w:rPr>
                <w:sz w:val="22"/>
                <w:szCs w:val="22"/>
              </w:rPr>
            </w:pPr>
            <w:r>
              <w:rPr>
                <w:sz w:val="22"/>
                <w:szCs w:val="22"/>
              </w:rPr>
              <w:t>30</w:t>
            </w:r>
          </w:p>
        </w:tc>
      </w:tr>
      <w:tr w:rsidR="00BD6708" w:rsidRPr="00EA316C" w14:paraId="5FC68AB9" w14:textId="7CED74A5" w:rsidTr="00192439">
        <w:tc>
          <w:tcPr>
            <w:tcW w:w="4053" w:type="dxa"/>
            <w:vAlign w:val="center"/>
          </w:tcPr>
          <w:p w14:paraId="188A6F38" w14:textId="77777777" w:rsidR="00BD6708" w:rsidRPr="00EA316C" w:rsidRDefault="00BD6708" w:rsidP="00015232">
            <w:pPr>
              <w:spacing w:before="20" w:after="20"/>
              <w:ind w:hanging="380"/>
              <w:rPr>
                <w:sz w:val="22"/>
                <w:szCs w:val="22"/>
              </w:rPr>
            </w:pPr>
            <w:bookmarkStart w:id="151" w:name="_Hlk172819017"/>
            <w:bookmarkEnd w:id="150"/>
            <w:r w:rsidRPr="00EA316C">
              <w:rPr>
                <w:sz w:val="22"/>
                <w:szCs w:val="22"/>
              </w:rPr>
              <w:t>Lead</w:t>
            </w:r>
          </w:p>
        </w:tc>
        <w:tc>
          <w:tcPr>
            <w:tcW w:w="2337" w:type="dxa"/>
            <w:vAlign w:val="center"/>
          </w:tcPr>
          <w:p w14:paraId="11D97E14" w14:textId="32DF67FE"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3CA0CB0A" w14:textId="67EE2C3A" w:rsidR="00BD6708" w:rsidRDefault="008C2366" w:rsidP="00015232">
            <w:pPr>
              <w:spacing w:before="20" w:after="20"/>
              <w:rPr>
                <w:sz w:val="22"/>
                <w:szCs w:val="22"/>
              </w:rPr>
            </w:pPr>
            <w:r>
              <w:rPr>
                <w:sz w:val="22"/>
                <w:szCs w:val="22"/>
              </w:rPr>
              <w:t>20</w:t>
            </w:r>
          </w:p>
        </w:tc>
      </w:tr>
      <w:tr w:rsidR="00BD6708" w:rsidRPr="00EA316C" w14:paraId="478737FA" w14:textId="3E5996C5" w:rsidTr="00192439">
        <w:tc>
          <w:tcPr>
            <w:tcW w:w="4053" w:type="dxa"/>
            <w:vAlign w:val="center"/>
          </w:tcPr>
          <w:p w14:paraId="5EC4C3A8" w14:textId="77777777" w:rsidR="00BD6708" w:rsidRPr="00EA316C" w:rsidRDefault="00BD6708" w:rsidP="00015232">
            <w:pPr>
              <w:spacing w:before="20" w:after="20"/>
              <w:ind w:hanging="380"/>
              <w:rPr>
                <w:sz w:val="22"/>
                <w:szCs w:val="22"/>
              </w:rPr>
            </w:pPr>
            <w:bookmarkStart w:id="152" w:name="_Hlk172819018"/>
            <w:bookmarkEnd w:id="151"/>
            <w:r w:rsidRPr="00EA316C">
              <w:rPr>
                <w:sz w:val="22"/>
                <w:szCs w:val="22"/>
              </w:rPr>
              <w:t>Mercury</w:t>
            </w:r>
          </w:p>
        </w:tc>
        <w:tc>
          <w:tcPr>
            <w:tcW w:w="2337" w:type="dxa"/>
            <w:vAlign w:val="center"/>
          </w:tcPr>
          <w:p w14:paraId="3D92E5D0" w14:textId="59B6396E"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0DF9C68E" w14:textId="14928E65" w:rsidR="00BD6708" w:rsidRDefault="008C2366" w:rsidP="00015232">
            <w:pPr>
              <w:spacing w:before="20" w:after="20"/>
              <w:rPr>
                <w:sz w:val="22"/>
                <w:szCs w:val="22"/>
              </w:rPr>
            </w:pPr>
            <w:r>
              <w:rPr>
                <w:sz w:val="22"/>
                <w:szCs w:val="22"/>
              </w:rPr>
              <w:t>0.4</w:t>
            </w:r>
          </w:p>
        </w:tc>
      </w:tr>
      <w:tr w:rsidR="00BD6708" w:rsidRPr="00EA316C" w14:paraId="4E7957DF" w14:textId="3FD440CA" w:rsidTr="00192439">
        <w:tc>
          <w:tcPr>
            <w:tcW w:w="4053" w:type="dxa"/>
            <w:vAlign w:val="center"/>
          </w:tcPr>
          <w:p w14:paraId="297B3C60" w14:textId="77777777" w:rsidR="00BD6708" w:rsidRPr="00EA316C" w:rsidRDefault="00BD6708" w:rsidP="00015232">
            <w:pPr>
              <w:spacing w:before="20" w:after="20"/>
              <w:ind w:hanging="380"/>
              <w:rPr>
                <w:sz w:val="22"/>
                <w:szCs w:val="22"/>
              </w:rPr>
            </w:pPr>
            <w:bookmarkStart w:id="153" w:name="_Hlk172819019"/>
            <w:bookmarkEnd w:id="152"/>
            <w:r w:rsidRPr="00EA316C">
              <w:rPr>
                <w:sz w:val="22"/>
                <w:szCs w:val="22"/>
              </w:rPr>
              <w:t>Nickel</w:t>
            </w:r>
          </w:p>
        </w:tc>
        <w:tc>
          <w:tcPr>
            <w:tcW w:w="2337" w:type="dxa"/>
            <w:vAlign w:val="center"/>
          </w:tcPr>
          <w:p w14:paraId="77C7FE72" w14:textId="55C64813"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4CC6510F" w14:textId="3723A508" w:rsidR="00BD6708" w:rsidRDefault="007A643B" w:rsidP="00015232">
            <w:pPr>
              <w:spacing w:before="20" w:after="20"/>
              <w:rPr>
                <w:sz w:val="22"/>
                <w:szCs w:val="22"/>
              </w:rPr>
            </w:pPr>
            <w:r>
              <w:rPr>
                <w:sz w:val="22"/>
                <w:szCs w:val="22"/>
              </w:rPr>
              <w:t>50</w:t>
            </w:r>
          </w:p>
        </w:tc>
      </w:tr>
      <w:tr w:rsidR="00BD6708" w:rsidRPr="00EA316C" w14:paraId="62B83570" w14:textId="09156965" w:rsidTr="00192439">
        <w:tc>
          <w:tcPr>
            <w:tcW w:w="4053" w:type="dxa"/>
            <w:vAlign w:val="center"/>
          </w:tcPr>
          <w:p w14:paraId="202CD49D" w14:textId="77777777" w:rsidR="00BD6708" w:rsidRPr="00EA316C" w:rsidRDefault="00BD6708" w:rsidP="00015232">
            <w:pPr>
              <w:spacing w:before="20" w:after="20"/>
              <w:ind w:hanging="380"/>
              <w:rPr>
                <w:sz w:val="22"/>
                <w:szCs w:val="22"/>
              </w:rPr>
            </w:pPr>
            <w:bookmarkStart w:id="154" w:name="_Hlk172819020"/>
            <w:bookmarkEnd w:id="153"/>
            <w:r w:rsidRPr="00EA316C">
              <w:rPr>
                <w:sz w:val="22"/>
                <w:szCs w:val="22"/>
              </w:rPr>
              <w:t>Selenium</w:t>
            </w:r>
          </w:p>
        </w:tc>
        <w:tc>
          <w:tcPr>
            <w:tcW w:w="2337" w:type="dxa"/>
            <w:vAlign w:val="center"/>
          </w:tcPr>
          <w:p w14:paraId="72E55343" w14:textId="6912DE21"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1578FA7F" w14:textId="6D7EF653" w:rsidR="00BD6708" w:rsidRDefault="007A643B" w:rsidP="00015232">
            <w:pPr>
              <w:spacing w:before="20" w:after="20"/>
              <w:rPr>
                <w:sz w:val="22"/>
                <w:szCs w:val="22"/>
              </w:rPr>
            </w:pPr>
            <w:r>
              <w:rPr>
                <w:sz w:val="22"/>
                <w:szCs w:val="22"/>
              </w:rPr>
              <w:t>150</w:t>
            </w:r>
          </w:p>
        </w:tc>
      </w:tr>
      <w:tr w:rsidR="00BD6708" w:rsidRPr="00EA316C" w14:paraId="1DD27FC0" w14:textId="3085E99E" w:rsidTr="00192439">
        <w:tc>
          <w:tcPr>
            <w:tcW w:w="4053" w:type="dxa"/>
            <w:vAlign w:val="center"/>
          </w:tcPr>
          <w:p w14:paraId="4FE6EC84" w14:textId="77777777" w:rsidR="00BD6708" w:rsidRPr="00EA316C" w:rsidRDefault="00BD6708" w:rsidP="00015232">
            <w:pPr>
              <w:spacing w:before="20" w:after="20"/>
              <w:ind w:hanging="380"/>
              <w:rPr>
                <w:sz w:val="22"/>
                <w:szCs w:val="22"/>
              </w:rPr>
            </w:pPr>
            <w:bookmarkStart w:id="155" w:name="_Hlk172819021"/>
            <w:bookmarkEnd w:id="154"/>
            <w:r w:rsidRPr="00EA316C">
              <w:rPr>
                <w:sz w:val="22"/>
                <w:szCs w:val="22"/>
              </w:rPr>
              <w:t>Silver</w:t>
            </w:r>
          </w:p>
        </w:tc>
        <w:tc>
          <w:tcPr>
            <w:tcW w:w="2337" w:type="dxa"/>
            <w:vAlign w:val="center"/>
          </w:tcPr>
          <w:p w14:paraId="690C7432" w14:textId="3ED91498"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1C60177C" w14:textId="3ABCC6DD" w:rsidR="00BD6708" w:rsidRDefault="007A643B" w:rsidP="00015232">
            <w:pPr>
              <w:spacing w:before="20" w:after="20"/>
              <w:rPr>
                <w:sz w:val="22"/>
                <w:szCs w:val="22"/>
              </w:rPr>
            </w:pPr>
            <w:r>
              <w:rPr>
                <w:sz w:val="22"/>
                <w:szCs w:val="22"/>
              </w:rPr>
              <w:t>7</w:t>
            </w:r>
          </w:p>
        </w:tc>
      </w:tr>
      <w:tr w:rsidR="00BD6708" w:rsidRPr="00EA316C" w14:paraId="41E519C2" w14:textId="4751F8A0" w:rsidTr="00192439">
        <w:tc>
          <w:tcPr>
            <w:tcW w:w="4053" w:type="dxa"/>
            <w:vAlign w:val="center"/>
          </w:tcPr>
          <w:p w14:paraId="2F7BBD92" w14:textId="77777777" w:rsidR="00BD6708" w:rsidRPr="00EA316C" w:rsidRDefault="00BD6708" w:rsidP="00015232">
            <w:pPr>
              <w:spacing w:before="20" w:after="20"/>
              <w:ind w:hanging="380"/>
              <w:rPr>
                <w:sz w:val="22"/>
                <w:szCs w:val="22"/>
              </w:rPr>
            </w:pPr>
            <w:bookmarkStart w:id="156" w:name="_Hlk172819022"/>
            <w:bookmarkEnd w:id="155"/>
            <w:r w:rsidRPr="00EA316C">
              <w:rPr>
                <w:sz w:val="22"/>
                <w:szCs w:val="22"/>
              </w:rPr>
              <w:t>Zinc</w:t>
            </w:r>
          </w:p>
        </w:tc>
        <w:tc>
          <w:tcPr>
            <w:tcW w:w="2337" w:type="dxa"/>
            <w:vAlign w:val="center"/>
          </w:tcPr>
          <w:p w14:paraId="39245531" w14:textId="1A40AA12"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2EBBEE5D" w14:textId="7725D7BC" w:rsidR="00BD6708" w:rsidRDefault="007A643B" w:rsidP="00015232">
            <w:pPr>
              <w:spacing w:before="20" w:after="20"/>
              <w:rPr>
                <w:sz w:val="22"/>
                <w:szCs w:val="22"/>
              </w:rPr>
            </w:pPr>
            <w:r>
              <w:rPr>
                <w:sz w:val="22"/>
                <w:szCs w:val="22"/>
              </w:rPr>
              <w:t>200</w:t>
            </w:r>
          </w:p>
        </w:tc>
      </w:tr>
      <w:tr w:rsidR="00BD6708" w:rsidRPr="00EA316C" w14:paraId="5CB47C11" w14:textId="0A50D5FE" w:rsidTr="00192439">
        <w:tc>
          <w:tcPr>
            <w:tcW w:w="4053" w:type="dxa"/>
            <w:vAlign w:val="center"/>
          </w:tcPr>
          <w:p w14:paraId="0D1A02F8" w14:textId="77777777" w:rsidR="00BD6708" w:rsidRPr="00EA316C" w:rsidRDefault="00BD6708" w:rsidP="00015232">
            <w:pPr>
              <w:spacing w:before="20" w:after="20"/>
              <w:ind w:hanging="380"/>
              <w:rPr>
                <w:sz w:val="22"/>
                <w:szCs w:val="22"/>
              </w:rPr>
            </w:pPr>
            <w:bookmarkStart w:id="157" w:name="_Hlk172819023"/>
            <w:bookmarkEnd w:id="156"/>
            <w:r w:rsidRPr="00EA316C">
              <w:rPr>
                <w:sz w:val="22"/>
                <w:szCs w:val="22"/>
              </w:rPr>
              <w:t>Cyanide</w:t>
            </w:r>
          </w:p>
        </w:tc>
        <w:tc>
          <w:tcPr>
            <w:tcW w:w="2337" w:type="dxa"/>
            <w:vAlign w:val="center"/>
          </w:tcPr>
          <w:p w14:paraId="39F08F41" w14:textId="231C1CF4"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5A2E201A" w14:textId="01D24422" w:rsidR="00BD6708" w:rsidRDefault="007A643B" w:rsidP="00015232">
            <w:pPr>
              <w:spacing w:before="20" w:after="20"/>
              <w:rPr>
                <w:sz w:val="22"/>
                <w:szCs w:val="22"/>
              </w:rPr>
            </w:pPr>
            <w:r>
              <w:rPr>
                <w:sz w:val="22"/>
                <w:szCs w:val="22"/>
              </w:rPr>
              <w:t>10</w:t>
            </w:r>
          </w:p>
        </w:tc>
      </w:tr>
      <w:tr w:rsidR="00BD6708" w:rsidRPr="00EA316C" w14:paraId="463E68EF" w14:textId="238E86C8" w:rsidTr="00192439">
        <w:tc>
          <w:tcPr>
            <w:tcW w:w="4053" w:type="dxa"/>
            <w:vAlign w:val="center"/>
          </w:tcPr>
          <w:p w14:paraId="13086EA5" w14:textId="77777777" w:rsidR="00BD6708" w:rsidRPr="00EA316C" w:rsidRDefault="00BD6708" w:rsidP="00015232">
            <w:pPr>
              <w:spacing w:before="20" w:after="20"/>
              <w:ind w:hanging="380"/>
              <w:rPr>
                <w:sz w:val="22"/>
                <w:szCs w:val="22"/>
              </w:rPr>
            </w:pPr>
            <w:bookmarkStart w:id="158" w:name="_Hlk172819024"/>
            <w:bookmarkEnd w:id="157"/>
            <w:r w:rsidRPr="00EA316C">
              <w:rPr>
                <w:sz w:val="22"/>
                <w:szCs w:val="22"/>
              </w:rPr>
              <w:t>Total Chlorine Residual</w:t>
            </w:r>
          </w:p>
        </w:tc>
        <w:tc>
          <w:tcPr>
            <w:tcW w:w="2337" w:type="dxa"/>
            <w:vAlign w:val="center"/>
          </w:tcPr>
          <w:p w14:paraId="45897AF2" w14:textId="24B429E3"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2DD56692" w14:textId="7A8C7123" w:rsidR="00BD6708" w:rsidRDefault="007A643B" w:rsidP="00015232">
            <w:pPr>
              <w:spacing w:before="20" w:after="20"/>
              <w:rPr>
                <w:sz w:val="22"/>
                <w:szCs w:val="22"/>
              </w:rPr>
            </w:pPr>
            <w:r>
              <w:rPr>
                <w:sz w:val="22"/>
                <w:szCs w:val="22"/>
              </w:rPr>
              <w:t>60</w:t>
            </w:r>
          </w:p>
        </w:tc>
      </w:tr>
      <w:tr w:rsidR="00BD6708" w:rsidRPr="00EA316C" w14:paraId="78A6AFEA" w14:textId="6F448FFF" w:rsidTr="00192439">
        <w:tc>
          <w:tcPr>
            <w:tcW w:w="4053" w:type="dxa"/>
            <w:vAlign w:val="center"/>
          </w:tcPr>
          <w:p w14:paraId="634C7C8D" w14:textId="126FA693" w:rsidR="00BD6708" w:rsidRPr="00EA316C" w:rsidRDefault="00BD6708" w:rsidP="00015232">
            <w:pPr>
              <w:spacing w:before="20" w:after="20"/>
              <w:ind w:hanging="380"/>
              <w:rPr>
                <w:sz w:val="22"/>
                <w:szCs w:val="22"/>
              </w:rPr>
            </w:pPr>
            <w:bookmarkStart w:id="159" w:name="_Hlk172819025"/>
            <w:bookmarkEnd w:id="158"/>
            <w:r w:rsidRPr="00EA316C">
              <w:rPr>
                <w:sz w:val="22"/>
                <w:szCs w:val="22"/>
              </w:rPr>
              <w:t>Ammonia (as Nitrogen)</w:t>
            </w:r>
          </w:p>
        </w:tc>
        <w:tc>
          <w:tcPr>
            <w:tcW w:w="2337" w:type="dxa"/>
            <w:vAlign w:val="center"/>
          </w:tcPr>
          <w:p w14:paraId="0853245D" w14:textId="6DFBD892"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34551995" w14:textId="78DD5309" w:rsidR="00BD6708" w:rsidRDefault="00A0355D" w:rsidP="00015232">
            <w:pPr>
              <w:spacing w:before="20" w:after="20"/>
              <w:rPr>
                <w:sz w:val="22"/>
                <w:szCs w:val="22"/>
              </w:rPr>
            </w:pPr>
            <w:r>
              <w:rPr>
                <w:sz w:val="22"/>
                <w:szCs w:val="22"/>
              </w:rPr>
              <w:t>6000</w:t>
            </w:r>
          </w:p>
        </w:tc>
      </w:tr>
      <w:tr w:rsidR="00BD6708" w:rsidRPr="00EA316C" w14:paraId="5D9D7409" w14:textId="0598DC96" w:rsidTr="00192439">
        <w:tc>
          <w:tcPr>
            <w:tcW w:w="4053" w:type="dxa"/>
            <w:vAlign w:val="center"/>
          </w:tcPr>
          <w:p w14:paraId="2DB7A3B0" w14:textId="77777777" w:rsidR="00BD6708" w:rsidRPr="00EA316C" w:rsidRDefault="00BD6708" w:rsidP="00015232">
            <w:pPr>
              <w:spacing w:before="20" w:after="20"/>
              <w:ind w:hanging="380"/>
              <w:rPr>
                <w:sz w:val="22"/>
                <w:szCs w:val="22"/>
              </w:rPr>
            </w:pPr>
            <w:bookmarkStart w:id="160" w:name="_Hlk172819026"/>
            <w:bookmarkEnd w:id="159"/>
            <w:r w:rsidRPr="00EA316C">
              <w:rPr>
                <w:sz w:val="22"/>
                <w:szCs w:val="22"/>
              </w:rPr>
              <w:t>Acute Toxicity</w:t>
            </w:r>
          </w:p>
        </w:tc>
        <w:tc>
          <w:tcPr>
            <w:tcW w:w="2337" w:type="dxa"/>
            <w:vAlign w:val="center"/>
          </w:tcPr>
          <w:p w14:paraId="790F5E31" w14:textId="4296A241" w:rsidR="00BD6708" w:rsidRPr="00EA316C" w:rsidRDefault="00BD6708" w:rsidP="00015232">
            <w:pPr>
              <w:spacing w:before="20" w:after="20"/>
              <w:ind w:left="697" w:hanging="630"/>
              <w:rPr>
                <w:sz w:val="22"/>
                <w:szCs w:val="22"/>
              </w:rPr>
            </w:pPr>
            <w:r w:rsidRPr="000D3CFD">
              <w:rPr>
                <w:sz w:val="22"/>
                <w:szCs w:val="22"/>
              </w:rPr>
              <w:t>Acute Toxic</w:t>
            </w:r>
            <w:r w:rsidR="00165331">
              <w:rPr>
                <w:sz w:val="22"/>
                <w:szCs w:val="22"/>
              </w:rPr>
              <w:t>ity</w:t>
            </w:r>
            <w:r w:rsidRPr="000D3CFD">
              <w:rPr>
                <w:sz w:val="22"/>
                <w:szCs w:val="22"/>
              </w:rPr>
              <w:t xml:space="preserve"> Units</w:t>
            </w:r>
            <w:r>
              <w:rPr>
                <w:sz w:val="22"/>
                <w:szCs w:val="22"/>
              </w:rPr>
              <w:t xml:space="preserve"> (</w:t>
            </w:r>
            <w:r w:rsidRPr="00EA316C">
              <w:rPr>
                <w:sz w:val="22"/>
                <w:szCs w:val="22"/>
              </w:rPr>
              <w:t>Tua</w:t>
            </w:r>
            <w:r>
              <w:rPr>
                <w:sz w:val="22"/>
                <w:szCs w:val="22"/>
              </w:rPr>
              <w:t>)</w:t>
            </w:r>
          </w:p>
        </w:tc>
        <w:tc>
          <w:tcPr>
            <w:tcW w:w="2877" w:type="dxa"/>
          </w:tcPr>
          <w:p w14:paraId="5453098F" w14:textId="281A872F" w:rsidR="00BD6708" w:rsidRPr="000D3CFD" w:rsidRDefault="00A0355D" w:rsidP="00015232">
            <w:pPr>
              <w:spacing w:before="20" w:after="20"/>
              <w:rPr>
                <w:sz w:val="22"/>
                <w:szCs w:val="22"/>
              </w:rPr>
            </w:pPr>
            <w:r>
              <w:rPr>
                <w:sz w:val="22"/>
                <w:szCs w:val="22"/>
              </w:rPr>
              <w:t>N/A</w:t>
            </w:r>
          </w:p>
        </w:tc>
      </w:tr>
      <w:tr w:rsidR="00BD6708" w:rsidRPr="00EA316C" w14:paraId="416BA295" w14:textId="1D35E10A" w:rsidTr="00192439">
        <w:tc>
          <w:tcPr>
            <w:tcW w:w="4053" w:type="dxa"/>
            <w:vAlign w:val="center"/>
          </w:tcPr>
          <w:p w14:paraId="7C796F62" w14:textId="77777777" w:rsidR="00BD6708" w:rsidRPr="00EA316C" w:rsidRDefault="00BD6708" w:rsidP="00015232">
            <w:pPr>
              <w:spacing w:before="20" w:after="20"/>
              <w:ind w:hanging="380"/>
              <w:rPr>
                <w:sz w:val="22"/>
                <w:szCs w:val="22"/>
              </w:rPr>
            </w:pPr>
            <w:bookmarkStart w:id="161" w:name="_Hlk172819027"/>
            <w:bookmarkEnd w:id="160"/>
            <w:r w:rsidRPr="00EA316C">
              <w:rPr>
                <w:sz w:val="22"/>
                <w:szCs w:val="22"/>
              </w:rPr>
              <w:lastRenderedPageBreak/>
              <w:t>Chronic Toxicity</w:t>
            </w:r>
          </w:p>
        </w:tc>
        <w:tc>
          <w:tcPr>
            <w:tcW w:w="2337" w:type="dxa"/>
            <w:vAlign w:val="center"/>
          </w:tcPr>
          <w:p w14:paraId="59B2F4F1" w14:textId="5C2C81C5" w:rsidR="00BD6708" w:rsidRPr="00EA316C" w:rsidRDefault="00BD6708" w:rsidP="00015232">
            <w:pPr>
              <w:spacing w:before="20" w:after="20"/>
              <w:ind w:left="67"/>
              <w:jc w:val="center"/>
              <w:rPr>
                <w:sz w:val="22"/>
                <w:szCs w:val="22"/>
              </w:rPr>
            </w:pPr>
            <w:r w:rsidRPr="00E63A4E">
              <w:rPr>
                <w:sz w:val="22"/>
                <w:szCs w:val="22"/>
              </w:rPr>
              <w:t xml:space="preserve">Chronic Toxicity Units </w:t>
            </w:r>
            <w:r>
              <w:rPr>
                <w:sz w:val="22"/>
                <w:szCs w:val="22"/>
              </w:rPr>
              <w:t>(</w:t>
            </w:r>
            <w:r w:rsidRPr="00EA316C">
              <w:rPr>
                <w:sz w:val="22"/>
                <w:szCs w:val="22"/>
              </w:rPr>
              <w:t>Tuc</w:t>
            </w:r>
            <w:r>
              <w:rPr>
                <w:sz w:val="22"/>
                <w:szCs w:val="22"/>
              </w:rPr>
              <w:t>)</w:t>
            </w:r>
          </w:p>
        </w:tc>
        <w:tc>
          <w:tcPr>
            <w:tcW w:w="2877" w:type="dxa"/>
          </w:tcPr>
          <w:p w14:paraId="37070C5B" w14:textId="3DA69D6D" w:rsidR="00BD6708" w:rsidRPr="00E63A4E" w:rsidRDefault="00A0355D" w:rsidP="00015232">
            <w:pPr>
              <w:spacing w:before="20" w:after="20"/>
              <w:rPr>
                <w:sz w:val="22"/>
                <w:szCs w:val="22"/>
              </w:rPr>
            </w:pPr>
            <w:r>
              <w:rPr>
                <w:sz w:val="22"/>
                <w:szCs w:val="22"/>
              </w:rPr>
              <w:t>N/A</w:t>
            </w:r>
          </w:p>
        </w:tc>
      </w:tr>
      <w:tr w:rsidR="00BD6708" w:rsidRPr="00EA316C" w14:paraId="2EB77805" w14:textId="675BE896" w:rsidTr="00192439">
        <w:tc>
          <w:tcPr>
            <w:tcW w:w="4053" w:type="dxa"/>
            <w:vAlign w:val="center"/>
          </w:tcPr>
          <w:p w14:paraId="59491095" w14:textId="77777777" w:rsidR="00BD6708" w:rsidRPr="00EA316C" w:rsidRDefault="00BD6708" w:rsidP="00015232">
            <w:pPr>
              <w:spacing w:before="20" w:after="20"/>
              <w:ind w:hanging="380"/>
              <w:rPr>
                <w:sz w:val="22"/>
                <w:szCs w:val="22"/>
              </w:rPr>
            </w:pPr>
            <w:bookmarkStart w:id="162" w:name="_Hlk172819028"/>
            <w:bookmarkEnd w:id="161"/>
            <w:r w:rsidRPr="00EA316C">
              <w:rPr>
                <w:sz w:val="22"/>
                <w:szCs w:val="22"/>
              </w:rPr>
              <w:t>Phenolic Compounds (non-chlorinated)</w:t>
            </w:r>
          </w:p>
        </w:tc>
        <w:tc>
          <w:tcPr>
            <w:tcW w:w="2337" w:type="dxa"/>
            <w:vAlign w:val="center"/>
          </w:tcPr>
          <w:p w14:paraId="630E17E4" w14:textId="520FA92D"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4BF6C3AB" w14:textId="5F338ADB" w:rsidR="00BD6708" w:rsidRDefault="00081CE9" w:rsidP="00015232">
            <w:pPr>
              <w:spacing w:before="20" w:after="20"/>
              <w:rPr>
                <w:sz w:val="22"/>
                <w:szCs w:val="22"/>
              </w:rPr>
            </w:pPr>
            <w:r>
              <w:rPr>
                <w:sz w:val="22"/>
                <w:szCs w:val="22"/>
              </w:rPr>
              <w:t>300</w:t>
            </w:r>
          </w:p>
        </w:tc>
      </w:tr>
      <w:tr w:rsidR="00BD6708" w:rsidRPr="00EA316C" w14:paraId="105283D8" w14:textId="15B02BB7" w:rsidTr="00192439">
        <w:tc>
          <w:tcPr>
            <w:tcW w:w="4053" w:type="dxa"/>
            <w:vAlign w:val="center"/>
          </w:tcPr>
          <w:p w14:paraId="4F842AC3" w14:textId="77777777" w:rsidR="00BD6708" w:rsidRPr="00EA316C" w:rsidRDefault="00BD6708" w:rsidP="00015232">
            <w:pPr>
              <w:spacing w:before="20" w:after="20"/>
              <w:ind w:hanging="380"/>
              <w:rPr>
                <w:sz w:val="22"/>
                <w:szCs w:val="22"/>
              </w:rPr>
            </w:pPr>
            <w:bookmarkStart w:id="163" w:name="_Hlk172819029"/>
            <w:bookmarkEnd w:id="162"/>
            <w:r w:rsidRPr="00EA316C">
              <w:rPr>
                <w:sz w:val="22"/>
                <w:szCs w:val="22"/>
              </w:rPr>
              <w:t>Chlorinated Phenolics</w:t>
            </w:r>
          </w:p>
        </w:tc>
        <w:tc>
          <w:tcPr>
            <w:tcW w:w="2337" w:type="dxa"/>
            <w:vAlign w:val="center"/>
          </w:tcPr>
          <w:p w14:paraId="1C69579B" w14:textId="108A3B7B"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2289CFE4" w14:textId="5762DE7B" w:rsidR="00BD6708" w:rsidRDefault="00081CE9" w:rsidP="00015232">
            <w:pPr>
              <w:spacing w:before="20" w:after="20"/>
              <w:rPr>
                <w:sz w:val="22"/>
                <w:szCs w:val="22"/>
              </w:rPr>
            </w:pPr>
            <w:r>
              <w:rPr>
                <w:sz w:val="22"/>
                <w:szCs w:val="22"/>
              </w:rPr>
              <w:t>10</w:t>
            </w:r>
          </w:p>
        </w:tc>
      </w:tr>
      <w:tr w:rsidR="00BD6708" w:rsidRPr="00EA316C" w14:paraId="72A54224" w14:textId="695B2C35" w:rsidTr="00192439">
        <w:tc>
          <w:tcPr>
            <w:tcW w:w="4053" w:type="dxa"/>
            <w:vAlign w:val="center"/>
          </w:tcPr>
          <w:p w14:paraId="4898A13A" w14:textId="77777777" w:rsidR="00BD6708" w:rsidRPr="00EA316C" w:rsidRDefault="00BD6708" w:rsidP="00015232">
            <w:pPr>
              <w:spacing w:before="20" w:after="20"/>
              <w:ind w:hanging="380"/>
              <w:rPr>
                <w:sz w:val="22"/>
                <w:szCs w:val="22"/>
              </w:rPr>
            </w:pPr>
            <w:bookmarkStart w:id="164" w:name="_Hlk172819030"/>
            <w:bookmarkEnd w:id="163"/>
            <w:r w:rsidRPr="00EA316C">
              <w:rPr>
                <w:sz w:val="22"/>
                <w:szCs w:val="22"/>
              </w:rPr>
              <w:t>Endosulfan</w:t>
            </w:r>
          </w:p>
        </w:tc>
        <w:tc>
          <w:tcPr>
            <w:tcW w:w="2337" w:type="dxa"/>
            <w:vAlign w:val="center"/>
          </w:tcPr>
          <w:p w14:paraId="226E0AE9" w14:textId="78B1E1B8"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69BBE91C" w14:textId="4EBE6F90" w:rsidR="00BD6708" w:rsidRDefault="00081CE9" w:rsidP="00015232">
            <w:pPr>
              <w:spacing w:before="20" w:after="20"/>
              <w:rPr>
                <w:sz w:val="22"/>
                <w:szCs w:val="22"/>
              </w:rPr>
            </w:pPr>
            <w:r>
              <w:rPr>
                <w:sz w:val="22"/>
                <w:szCs w:val="22"/>
              </w:rPr>
              <w:t>0.027</w:t>
            </w:r>
          </w:p>
        </w:tc>
      </w:tr>
      <w:tr w:rsidR="00BD6708" w:rsidRPr="00EA316C" w14:paraId="541C098D" w14:textId="2C811B20" w:rsidTr="00192439">
        <w:tc>
          <w:tcPr>
            <w:tcW w:w="4053" w:type="dxa"/>
            <w:vAlign w:val="center"/>
          </w:tcPr>
          <w:p w14:paraId="48E75371" w14:textId="77777777" w:rsidR="00BD6708" w:rsidRPr="00EA316C" w:rsidRDefault="00BD6708" w:rsidP="00015232">
            <w:pPr>
              <w:spacing w:before="20" w:after="20"/>
              <w:ind w:hanging="380"/>
              <w:rPr>
                <w:sz w:val="22"/>
                <w:szCs w:val="22"/>
              </w:rPr>
            </w:pPr>
            <w:bookmarkStart w:id="165" w:name="_Hlk172819031"/>
            <w:bookmarkEnd w:id="164"/>
            <w:r w:rsidRPr="00EA316C">
              <w:rPr>
                <w:sz w:val="22"/>
                <w:szCs w:val="22"/>
              </w:rPr>
              <w:t>Endrin</w:t>
            </w:r>
          </w:p>
        </w:tc>
        <w:tc>
          <w:tcPr>
            <w:tcW w:w="2337" w:type="dxa"/>
            <w:vAlign w:val="center"/>
          </w:tcPr>
          <w:p w14:paraId="6D78F356" w14:textId="4F5B87FE"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6FFA72D0" w14:textId="0DBC16E4" w:rsidR="00BD6708" w:rsidRDefault="00081CE9" w:rsidP="00015232">
            <w:pPr>
              <w:spacing w:before="20" w:after="20"/>
              <w:rPr>
                <w:sz w:val="22"/>
                <w:szCs w:val="22"/>
              </w:rPr>
            </w:pPr>
            <w:r>
              <w:rPr>
                <w:sz w:val="22"/>
                <w:szCs w:val="22"/>
              </w:rPr>
              <w:t>0.006</w:t>
            </w:r>
          </w:p>
        </w:tc>
      </w:tr>
      <w:tr w:rsidR="00BD6708" w:rsidRPr="00EA316C" w14:paraId="27FB96D0" w14:textId="7A949589" w:rsidTr="00192439">
        <w:tc>
          <w:tcPr>
            <w:tcW w:w="4053" w:type="dxa"/>
            <w:vAlign w:val="center"/>
          </w:tcPr>
          <w:p w14:paraId="52A741DC" w14:textId="17AD5E44" w:rsidR="00BD6708" w:rsidRPr="00EA316C" w:rsidRDefault="00BD6708" w:rsidP="00015232">
            <w:pPr>
              <w:spacing w:before="20" w:after="20"/>
              <w:ind w:hanging="380"/>
              <w:rPr>
                <w:sz w:val="22"/>
                <w:szCs w:val="22"/>
              </w:rPr>
            </w:pPr>
            <w:bookmarkStart w:id="166" w:name="_Hlk172819032"/>
            <w:bookmarkEnd w:id="165"/>
            <w:r w:rsidRPr="00EA316C">
              <w:rPr>
                <w:sz w:val="22"/>
                <w:szCs w:val="22"/>
              </w:rPr>
              <w:t>Hexachlorocyclohexane (HCH)</w:t>
            </w:r>
          </w:p>
        </w:tc>
        <w:tc>
          <w:tcPr>
            <w:tcW w:w="2337" w:type="dxa"/>
            <w:vAlign w:val="center"/>
          </w:tcPr>
          <w:p w14:paraId="75967461" w14:textId="04BAE595" w:rsidR="00BD6708" w:rsidRPr="00EA316C" w:rsidRDefault="00BD6708" w:rsidP="00015232">
            <w:pPr>
              <w:spacing w:before="20" w:after="20"/>
              <w:rPr>
                <w:sz w:val="22"/>
                <w:szCs w:val="22"/>
              </w:rPr>
            </w:pPr>
            <w:r>
              <w:rPr>
                <w:sz w:val="22"/>
                <w:szCs w:val="22"/>
              </w:rPr>
              <w:t>µ</w:t>
            </w:r>
            <w:r w:rsidR="00AE5ABE">
              <w:rPr>
                <w:sz w:val="22"/>
                <w:szCs w:val="22"/>
              </w:rPr>
              <w:t>g</w:t>
            </w:r>
            <w:r>
              <w:rPr>
                <w:sz w:val="22"/>
                <w:szCs w:val="22"/>
              </w:rPr>
              <w:t xml:space="preserve">/L </w:t>
            </w:r>
          </w:p>
        </w:tc>
        <w:tc>
          <w:tcPr>
            <w:tcW w:w="2877" w:type="dxa"/>
          </w:tcPr>
          <w:p w14:paraId="3139A29B" w14:textId="041B63E7" w:rsidR="00BD6708" w:rsidRDefault="004001D9" w:rsidP="00015232">
            <w:pPr>
              <w:spacing w:before="20" w:after="20"/>
              <w:rPr>
                <w:sz w:val="22"/>
                <w:szCs w:val="22"/>
              </w:rPr>
            </w:pPr>
            <w:r>
              <w:rPr>
                <w:sz w:val="22"/>
                <w:szCs w:val="22"/>
              </w:rPr>
              <w:t>0.</w:t>
            </w:r>
            <w:r w:rsidR="00376E64">
              <w:rPr>
                <w:sz w:val="22"/>
                <w:szCs w:val="22"/>
              </w:rPr>
              <w:t>0</w:t>
            </w:r>
            <w:r>
              <w:rPr>
                <w:sz w:val="22"/>
                <w:szCs w:val="22"/>
              </w:rPr>
              <w:t>1</w:t>
            </w:r>
            <w:r w:rsidR="00376E64">
              <w:rPr>
                <w:sz w:val="22"/>
                <w:szCs w:val="22"/>
              </w:rPr>
              <w:t>2</w:t>
            </w:r>
          </w:p>
        </w:tc>
      </w:tr>
    </w:tbl>
    <w:p w14:paraId="636D7E51" w14:textId="21132C8F" w:rsidR="005576B5" w:rsidRPr="00AD7768" w:rsidRDefault="005576B5" w:rsidP="00E63A4E">
      <w:pPr>
        <w:pStyle w:val="Caption"/>
        <w:spacing w:before="120"/>
        <w:ind w:firstLine="90"/>
        <w:contextualSpacing w:val="0"/>
        <w:rPr>
          <w:bCs/>
          <w:iCs w:val="0"/>
          <w:sz w:val="24"/>
          <w:szCs w:val="24"/>
        </w:rPr>
      </w:pPr>
      <w:bookmarkStart w:id="167" w:name="_Hlk172818872"/>
      <w:bookmarkEnd w:id="166"/>
      <w:r>
        <w:rPr>
          <w:bCs/>
          <w:iCs w:val="0"/>
          <w:sz w:val="24"/>
          <w:szCs w:val="24"/>
        </w:rPr>
        <w:t xml:space="preserve">2019 Ocean Plan Table 4 </w:t>
      </w:r>
      <w:r w:rsidRPr="00C8295D">
        <w:rPr>
          <w:bCs/>
          <w:iCs w:val="0"/>
          <w:sz w:val="24"/>
          <w:szCs w:val="24"/>
        </w:rPr>
        <w:t>Monitoring Constituent List</w:t>
      </w:r>
    </w:p>
    <w:tbl>
      <w:tblPr>
        <w:tblStyle w:val="TableGrid"/>
        <w:tblW w:w="0" w:type="auto"/>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Caption w:val="Table A: Monitoring Constituent List"/>
        <w:tblDescription w:val="Excerpted from California Ocean Plan dated 2009"/>
      </w:tblPr>
      <w:tblGrid>
        <w:gridCol w:w="4930"/>
        <w:gridCol w:w="4070"/>
      </w:tblGrid>
      <w:tr w:rsidR="005576B5" w:rsidRPr="00BA2288" w14:paraId="185CE76F" w14:textId="77777777" w:rsidTr="00E63A4E">
        <w:trPr>
          <w:cantSplit/>
          <w:tblHeader/>
        </w:trPr>
        <w:tc>
          <w:tcPr>
            <w:tcW w:w="4930" w:type="dxa"/>
            <w:shd w:val="clear" w:color="auto" w:fill="E2EFD9" w:themeFill="accent6" w:themeFillTint="33"/>
            <w:vAlign w:val="center"/>
          </w:tcPr>
          <w:p w14:paraId="7A93E009" w14:textId="77777777" w:rsidR="005576B5" w:rsidRPr="00BA2288" w:rsidRDefault="005576B5" w:rsidP="00015232">
            <w:pPr>
              <w:shd w:val="clear" w:color="auto" w:fill="auto"/>
              <w:spacing w:before="60" w:after="60"/>
              <w:ind w:left="0"/>
              <w:rPr>
                <w:b/>
                <w:bCs/>
                <w:sz w:val="22"/>
                <w:szCs w:val="22"/>
              </w:rPr>
            </w:pPr>
            <w:bookmarkStart w:id="168" w:name="_Hlk172819033"/>
            <w:bookmarkEnd w:id="167"/>
            <w:r w:rsidRPr="00BA2288">
              <w:rPr>
                <w:b/>
                <w:bCs/>
                <w:sz w:val="22"/>
                <w:szCs w:val="22"/>
              </w:rPr>
              <w:t>Constituent</w:t>
            </w:r>
          </w:p>
        </w:tc>
        <w:tc>
          <w:tcPr>
            <w:tcW w:w="4070" w:type="dxa"/>
            <w:shd w:val="clear" w:color="auto" w:fill="E2EFD9" w:themeFill="accent6" w:themeFillTint="33"/>
            <w:vAlign w:val="center"/>
          </w:tcPr>
          <w:p w14:paraId="1606A7B7" w14:textId="77777777" w:rsidR="005576B5" w:rsidRPr="00BA2288" w:rsidRDefault="005576B5" w:rsidP="00015232">
            <w:pPr>
              <w:shd w:val="clear" w:color="auto" w:fill="auto"/>
              <w:spacing w:before="60" w:after="60"/>
              <w:ind w:left="0"/>
              <w:rPr>
                <w:b/>
                <w:bCs/>
                <w:sz w:val="22"/>
                <w:szCs w:val="22"/>
              </w:rPr>
            </w:pPr>
            <w:r w:rsidRPr="00BA2288">
              <w:rPr>
                <w:b/>
                <w:bCs/>
                <w:sz w:val="22"/>
                <w:szCs w:val="22"/>
              </w:rPr>
              <w:t>Units</w:t>
            </w:r>
          </w:p>
        </w:tc>
      </w:tr>
      <w:tr w:rsidR="005576B5" w:rsidRPr="00BA2288" w14:paraId="77C2A76F" w14:textId="77777777" w:rsidTr="00E63A4E">
        <w:trPr>
          <w:cantSplit/>
        </w:trPr>
        <w:tc>
          <w:tcPr>
            <w:tcW w:w="4930" w:type="dxa"/>
          </w:tcPr>
          <w:p w14:paraId="3F273988" w14:textId="77777777" w:rsidR="005576B5" w:rsidRPr="00BA2288" w:rsidRDefault="005576B5" w:rsidP="00015232">
            <w:pPr>
              <w:spacing w:before="60" w:after="60"/>
              <w:ind w:hanging="380"/>
              <w:rPr>
                <w:sz w:val="22"/>
                <w:szCs w:val="22"/>
              </w:rPr>
            </w:pPr>
            <w:bookmarkStart w:id="169" w:name="_Hlk172819034"/>
            <w:bookmarkEnd w:id="168"/>
            <w:r w:rsidRPr="00BA2288">
              <w:rPr>
                <w:sz w:val="22"/>
                <w:szCs w:val="22"/>
              </w:rPr>
              <w:t xml:space="preserve">Grease and </w:t>
            </w:r>
            <w:proofErr w:type="gramStart"/>
            <w:r w:rsidRPr="00BA2288">
              <w:rPr>
                <w:sz w:val="22"/>
                <w:szCs w:val="22"/>
              </w:rPr>
              <w:t>Oil</w:t>
            </w:r>
            <w:proofErr w:type="gramEnd"/>
          </w:p>
        </w:tc>
        <w:tc>
          <w:tcPr>
            <w:tcW w:w="4070" w:type="dxa"/>
            <w:vAlign w:val="center"/>
          </w:tcPr>
          <w:p w14:paraId="5ED6F6B0" w14:textId="11511E36" w:rsidR="005576B5" w:rsidRPr="00BA2288" w:rsidRDefault="00FF4169" w:rsidP="00015232">
            <w:pPr>
              <w:spacing w:before="60" w:after="60"/>
              <w:rPr>
                <w:sz w:val="22"/>
                <w:szCs w:val="22"/>
              </w:rPr>
            </w:pPr>
            <w:r>
              <w:rPr>
                <w:sz w:val="22"/>
                <w:szCs w:val="22"/>
              </w:rPr>
              <w:t xml:space="preserve">mg/L </w:t>
            </w:r>
          </w:p>
        </w:tc>
      </w:tr>
      <w:tr w:rsidR="005576B5" w:rsidRPr="00BA2288" w14:paraId="51E304BC" w14:textId="77777777" w:rsidTr="00E63A4E">
        <w:trPr>
          <w:cantSplit/>
        </w:trPr>
        <w:tc>
          <w:tcPr>
            <w:tcW w:w="4930" w:type="dxa"/>
          </w:tcPr>
          <w:p w14:paraId="019E43F1" w14:textId="77777777" w:rsidR="005576B5" w:rsidRPr="00BA2288" w:rsidRDefault="005576B5" w:rsidP="00015232">
            <w:pPr>
              <w:spacing w:before="60" w:after="60"/>
              <w:ind w:hanging="380"/>
              <w:rPr>
                <w:sz w:val="22"/>
                <w:szCs w:val="22"/>
              </w:rPr>
            </w:pPr>
            <w:bookmarkStart w:id="170" w:name="_Hlk172819035"/>
            <w:bookmarkEnd w:id="169"/>
            <w:r w:rsidRPr="00BA2288">
              <w:rPr>
                <w:sz w:val="22"/>
                <w:szCs w:val="22"/>
              </w:rPr>
              <w:t>Suspended Solids</w:t>
            </w:r>
          </w:p>
        </w:tc>
        <w:tc>
          <w:tcPr>
            <w:tcW w:w="4070" w:type="dxa"/>
            <w:vAlign w:val="center"/>
          </w:tcPr>
          <w:p w14:paraId="2FA11658" w14:textId="65999742" w:rsidR="005576B5" w:rsidRPr="00BA2288" w:rsidRDefault="00FF4169" w:rsidP="00015232">
            <w:pPr>
              <w:spacing w:before="60" w:after="60"/>
              <w:rPr>
                <w:sz w:val="22"/>
                <w:szCs w:val="22"/>
              </w:rPr>
            </w:pPr>
            <w:r>
              <w:rPr>
                <w:sz w:val="22"/>
                <w:szCs w:val="22"/>
              </w:rPr>
              <w:t xml:space="preserve">mg/L </w:t>
            </w:r>
          </w:p>
        </w:tc>
      </w:tr>
      <w:tr w:rsidR="005576B5" w:rsidRPr="00BA2288" w14:paraId="0954307C" w14:textId="77777777" w:rsidTr="00E63A4E">
        <w:trPr>
          <w:cantSplit/>
        </w:trPr>
        <w:tc>
          <w:tcPr>
            <w:tcW w:w="4930" w:type="dxa"/>
          </w:tcPr>
          <w:p w14:paraId="0D3992AE" w14:textId="77777777" w:rsidR="005576B5" w:rsidRPr="00BA2288" w:rsidRDefault="005576B5" w:rsidP="00015232">
            <w:pPr>
              <w:spacing w:before="60" w:after="60"/>
              <w:ind w:hanging="380"/>
              <w:rPr>
                <w:sz w:val="22"/>
                <w:szCs w:val="22"/>
              </w:rPr>
            </w:pPr>
            <w:bookmarkStart w:id="171" w:name="_Hlk172819036"/>
            <w:bookmarkEnd w:id="170"/>
            <w:r w:rsidRPr="00BA2288">
              <w:rPr>
                <w:sz w:val="22"/>
                <w:szCs w:val="22"/>
              </w:rPr>
              <w:t>Settleable Solids</w:t>
            </w:r>
          </w:p>
        </w:tc>
        <w:tc>
          <w:tcPr>
            <w:tcW w:w="4070" w:type="dxa"/>
            <w:vAlign w:val="center"/>
          </w:tcPr>
          <w:p w14:paraId="74BCC811" w14:textId="79EF44AF" w:rsidR="005576B5" w:rsidRPr="00BA2288" w:rsidRDefault="00E50276" w:rsidP="00015232">
            <w:pPr>
              <w:spacing w:before="60" w:after="60"/>
              <w:rPr>
                <w:sz w:val="22"/>
                <w:szCs w:val="22"/>
              </w:rPr>
            </w:pPr>
            <w:r>
              <w:rPr>
                <w:sz w:val="22"/>
                <w:szCs w:val="22"/>
              </w:rPr>
              <w:t>ml/L</w:t>
            </w:r>
          </w:p>
        </w:tc>
      </w:tr>
      <w:tr w:rsidR="005576B5" w:rsidRPr="00BA2288" w14:paraId="487728FE" w14:textId="77777777" w:rsidTr="00E63A4E">
        <w:trPr>
          <w:cantSplit/>
        </w:trPr>
        <w:tc>
          <w:tcPr>
            <w:tcW w:w="4930" w:type="dxa"/>
          </w:tcPr>
          <w:p w14:paraId="7DD4C5B5" w14:textId="77777777" w:rsidR="005576B5" w:rsidRPr="00BA2288" w:rsidRDefault="005576B5" w:rsidP="00015232">
            <w:pPr>
              <w:spacing w:before="60" w:after="60"/>
              <w:ind w:hanging="380"/>
              <w:rPr>
                <w:sz w:val="22"/>
                <w:szCs w:val="22"/>
              </w:rPr>
            </w:pPr>
            <w:bookmarkStart w:id="172" w:name="_Hlk172819037"/>
            <w:bookmarkEnd w:id="171"/>
            <w:r w:rsidRPr="00BA2288">
              <w:rPr>
                <w:sz w:val="22"/>
                <w:szCs w:val="22"/>
              </w:rPr>
              <w:t>Turbidity</w:t>
            </w:r>
          </w:p>
        </w:tc>
        <w:tc>
          <w:tcPr>
            <w:tcW w:w="4070" w:type="dxa"/>
            <w:vAlign w:val="center"/>
          </w:tcPr>
          <w:p w14:paraId="66B1A797" w14:textId="68D9C4FB" w:rsidR="005576B5" w:rsidRPr="00BA2288" w:rsidRDefault="008709BD" w:rsidP="00015232">
            <w:pPr>
              <w:spacing w:before="60" w:after="60"/>
              <w:rPr>
                <w:sz w:val="22"/>
                <w:szCs w:val="22"/>
              </w:rPr>
            </w:pPr>
            <w:r w:rsidRPr="008709BD">
              <w:rPr>
                <w:sz w:val="22"/>
                <w:szCs w:val="22"/>
              </w:rPr>
              <w:t>Nephelometric Turbidity Unit</w:t>
            </w:r>
            <w:r>
              <w:rPr>
                <w:sz w:val="22"/>
                <w:szCs w:val="22"/>
              </w:rPr>
              <w:t xml:space="preserve"> (</w:t>
            </w:r>
            <w:r w:rsidR="005576B5" w:rsidRPr="00BA2288">
              <w:rPr>
                <w:sz w:val="22"/>
                <w:szCs w:val="22"/>
              </w:rPr>
              <w:t>NTU</w:t>
            </w:r>
            <w:r>
              <w:rPr>
                <w:sz w:val="22"/>
                <w:szCs w:val="22"/>
              </w:rPr>
              <w:t>)</w:t>
            </w:r>
          </w:p>
        </w:tc>
      </w:tr>
      <w:tr w:rsidR="00052008" w:rsidRPr="00BA2288" w14:paraId="734E6F34" w14:textId="77777777" w:rsidTr="00E63A4E">
        <w:trPr>
          <w:cantSplit/>
        </w:trPr>
        <w:tc>
          <w:tcPr>
            <w:tcW w:w="4930" w:type="dxa"/>
          </w:tcPr>
          <w:p w14:paraId="540113FD" w14:textId="466B515E" w:rsidR="00052008" w:rsidRPr="00BA2288" w:rsidRDefault="00052008" w:rsidP="00015232">
            <w:pPr>
              <w:spacing w:before="60" w:after="60"/>
              <w:ind w:hanging="380"/>
              <w:rPr>
                <w:sz w:val="22"/>
                <w:szCs w:val="22"/>
              </w:rPr>
            </w:pPr>
            <w:r>
              <w:rPr>
                <w:sz w:val="22"/>
                <w:szCs w:val="22"/>
              </w:rPr>
              <w:t>pH</w:t>
            </w:r>
          </w:p>
        </w:tc>
        <w:tc>
          <w:tcPr>
            <w:tcW w:w="4070" w:type="dxa"/>
            <w:vAlign w:val="center"/>
          </w:tcPr>
          <w:p w14:paraId="4868B0AB" w14:textId="586F32C2" w:rsidR="00052008" w:rsidRPr="00BA2288" w:rsidRDefault="00A8798E" w:rsidP="00015232">
            <w:pPr>
              <w:spacing w:before="60" w:after="60"/>
              <w:rPr>
                <w:sz w:val="22"/>
                <w:szCs w:val="22"/>
              </w:rPr>
            </w:pPr>
            <w:r>
              <w:rPr>
                <w:sz w:val="22"/>
                <w:szCs w:val="22"/>
              </w:rPr>
              <w:t xml:space="preserve">Unitless </w:t>
            </w:r>
            <w:r w:rsidR="00667E17">
              <w:rPr>
                <w:sz w:val="22"/>
                <w:szCs w:val="22"/>
              </w:rPr>
              <w:t>number</w:t>
            </w:r>
          </w:p>
        </w:tc>
      </w:tr>
    </w:tbl>
    <w:p w14:paraId="114A1530" w14:textId="77777777" w:rsidR="00D83CCB" w:rsidRPr="00D83CCB" w:rsidRDefault="00D83CCB" w:rsidP="00D83CCB">
      <w:pPr>
        <w:rPr>
          <w:color w:val="FFFFFF" w:themeColor="background1"/>
        </w:rPr>
      </w:pPr>
      <w:bookmarkStart w:id="173" w:name="_Hlk172818882"/>
      <w:bookmarkEnd w:id="172"/>
    </w:p>
    <w:p w14:paraId="4E44AF26" w14:textId="3D3765D3" w:rsidR="00860B72" w:rsidRDefault="00A75FBF" w:rsidP="00D83CCB">
      <w:pPr>
        <w:pStyle w:val="Heading2"/>
      </w:pPr>
      <w:r>
        <w:t>F</w:t>
      </w:r>
      <w:r w:rsidR="00F4627F">
        <w:t>10</w:t>
      </w:r>
      <w:r w:rsidR="00007D17">
        <w:t>.</w:t>
      </w:r>
      <w:r w:rsidR="00007D17">
        <w:tab/>
        <w:t>REPORTING</w:t>
      </w:r>
    </w:p>
    <w:p w14:paraId="5CC3B0A5" w14:textId="6C0EED2A" w:rsidR="001B29E2" w:rsidRDefault="00007D17" w:rsidP="00AD7768">
      <w:bookmarkStart w:id="174" w:name="_Hlk172819039"/>
      <w:bookmarkEnd w:id="173"/>
      <w:r>
        <w:t xml:space="preserve">Beginning with </w:t>
      </w:r>
      <w:r w:rsidR="008F2BFE">
        <w:t>Oc</w:t>
      </w:r>
      <w:r w:rsidR="003A1A19">
        <w:t xml:space="preserve">tober </w:t>
      </w:r>
      <w:r w:rsidR="00C016C3">
        <w:t>15</w:t>
      </w:r>
      <w:r w:rsidR="001B29E2">
        <w:t xml:space="preserve"> </w:t>
      </w:r>
      <w:r>
        <w:t xml:space="preserve">after the </w:t>
      </w:r>
      <w:r w:rsidR="00106B0D">
        <w:t>effective date</w:t>
      </w:r>
      <w:r>
        <w:t xml:space="preserve"> </w:t>
      </w:r>
      <w:r w:rsidR="00EB32AF">
        <w:t xml:space="preserve">of this Order </w:t>
      </w:r>
      <w:r>
        <w:t xml:space="preserve">and </w:t>
      </w:r>
      <w:r w:rsidR="00EC5A17">
        <w:t xml:space="preserve">thereafter annually by </w:t>
      </w:r>
      <w:r w:rsidR="002A3C16">
        <w:t>October 15</w:t>
      </w:r>
      <w:r w:rsidR="00EB32AF">
        <w:t xml:space="preserve"> of each year</w:t>
      </w:r>
      <w:r>
        <w:t xml:space="preserve">, the </w:t>
      </w:r>
      <w:r w:rsidR="00AF4844">
        <w:t>Permittee</w:t>
      </w:r>
      <w:r>
        <w:t xml:space="preserve"> shall </w:t>
      </w:r>
      <w:r w:rsidR="00AD2E55">
        <w:t xml:space="preserve">submit its Annual ASBS Compliance Status </w:t>
      </w:r>
      <w:r>
        <w:t>report</w:t>
      </w:r>
      <w:r w:rsidR="00AD2E55">
        <w:t xml:space="preserve">. </w:t>
      </w:r>
      <w:bookmarkStart w:id="175" w:name="_Hlk146180290"/>
      <w:r w:rsidR="00AE08F5">
        <w:t xml:space="preserve">Each </w:t>
      </w:r>
      <w:proofErr w:type="gramStart"/>
      <w:r w:rsidR="00AE08F5">
        <w:t>report shall</w:t>
      </w:r>
      <w:proofErr w:type="gramEnd"/>
      <w:r w:rsidR="00AE08F5">
        <w:t xml:space="preserve"> cover the period of </w:t>
      </w:r>
      <w:r w:rsidR="005E5BEC">
        <w:t>July 1 through June</w:t>
      </w:r>
      <w:r w:rsidR="00C931A4">
        <w:t> </w:t>
      </w:r>
      <w:r w:rsidR="005E5BEC">
        <w:t>3</w:t>
      </w:r>
      <w:r w:rsidR="004F470D">
        <w:t>0</w:t>
      </w:r>
      <w:r w:rsidR="003C62B2">
        <w:t xml:space="preserve"> of each year. </w:t>
      </w:r>
      <w:r w:rsidR="002237AD">
        <w:t xml:space="preserve">The report shall be </w:t>
      </w:r>
      <w:r w:rsidR="00986DF8">
        <w:t>submitted through</w:t>
      </w:r>
      <w:r w:rsidR="002237AD">
        <w:t xml:space="preserve"> SMARTS</w:t>
      </w:r>
      <w:r w:rsidR="00CE786B">
        <w:t>.</w:t>
      </w:r>
      <w:r w:rsidR="002237AD">
        <w:t xml:space="preserve"> </w:t>
      </w:r>
      <w:bookmarkEnd w:id="175"/>
      <w:r w:rsidR="001B29E2">
        <w:t>The report shall include:</w:t>
      </w:r>
    </w:p>
    <w:p w14:paraId="3C9A2645" w14:textId="43473E06" w:rsidR="0060100F" w:rsidRDefault="00227791" w:rsidP="00372AEF">
      <w:pPr>
        <w:ind w:left="1080" w:hanging="360"/>
      </w:pPr>
      <w:bookmarkStart w:id="176" w:name="_Hlk172819040"/>
      <w:bookmarkEnd w:id="174"/>
      <w:r>
        <w:rPr>
          <w:bCs/>
        </w:rPr>
        <w:t>1.</w:t>
      </w:r>
      <w:r>
        <w:rPr>
          <w:bCs/>
        </w:rPr>
        <w:tab/>
      </w:r>
      <w:r w:rsidR="00EB32AF">
        <w:t>Description and s</w:t>
      </w:r>
      <w:r w:rsidR="001B29E2">
        <w:t xml:space="preserve">tatus of compliance with </w:t>
      </w:r>
      <w:r w:rsidR="00115625">
        <w:t>each of the</w:t>
      </w:r>
      <w:r w:rsidR="00F46EBC">
        <w:t xml:space="preserve"> </w:t>
      </w:r>
      <w:r w:rsidR="001B29E2">
        <w:t>requirement</w:t>
      </w:r>
      <w:r w:rsidR="00115625">
        <w:t>s</w:t>
      </w:r>
      <w:r w:rsidR="001B29E2">
        <w:t xml:space="preserve"> in this Attachment</w:t>
      </w:r>
      <w:r w:rsidR="006416CF">
        <w:t>, as follows</w:t>
      </w:r>
      <w:r w:rsidR="0060100F">
        <w:t xml:space="preserve">: </w:t>
      </w:r>
    </w:p>
    <w:p w14:paraId="7CCEDF1E" w14:textId="36EC1727" w:rsidR="0060100F" w:rsidRPr="006F366C" w:rsidRDefault="00227791" w:rsidP="00372AEF">
      <w:pPr>
        <w:ind w:left="1440" w:hanging="360"/>
      </w:pPr>
      <w:bookmarkStart w:id="177" w:name="_Hlk172819041"/>
      <w:bookmarkEnd w:id="176"/>
      <w:r w:rsidRPr="006F366C">
        <w:rPr>
          <w:bCs/>
        </w:rPr>
        <w:t>a.</w:t>
      </w:r>
      <w:r w:rsidRPr="006F366C">
        <w:rPr>
          <w:bCs/>
        </w:rPr>
        <w:tab/>
      </w:r>
      <w:r w:rsidR="00B63CB4">
        <w:t xml:space="preserve">All </w:t>
      </w:r>
      <w:r w:rsidR="00AF4844">
        <w:t>Permittee</w:t>
      </w:r>
      <w:r w:rsidR="00AD2E55">
        <w:t xml:space="preserve">s shall </w:t>
      </w:r>
      <w:proofErr w:type="gramStart"/>
      <w:r w:rsidR="00AD2E55">
        <w:t>report</w:t>
      </w:r>
      <w:proofErr w:type="gramEnd"/>
      <w:r w:rsidR="005A49C5">
        <w:t xml:space="preserve"> the</w:t>
      </w:r>
      <w:r w:rsidR="00AD2E55">
        <w:t xml:space="preserve"> </w:t>
      </w:r>
      <w:r w:rsidR="00115625">
        <w:t xml:space="preserve">status of </w:t>
      </w:r>
      <w:r w:rsidR="00AD2E55">
        <w:t>compliance with</w:t>
      </w:r>
      <w:r w:rsidR="00A93262">
        <w:t xml:space="preserve"> sections </w:t>
      </w:r>
      <w:r w:rsidR="008F3AE4">
        <w:t>F</w:t>
      </w:r>
      <w:r w:rsidR="007A4C31">
        <w:t>2</w:t>
      </w:r>
      <w:r w:rsidR="00AD2E55" w:rsidRPr="006F366C">
        <w:t xml:space="preserve"> through </w:t>
      </w:r>
      <w:r w:rsidR="008F3AE4">
        <w:t>F</w:t>
      </w:r>
      <w:r w:rsidR="007A4C31">
        <w:t>4</w:t>
      </w:r>
      <w:r w:rsidR="00AD4D85">
        <w:t>, and</w:t>
      </w:r>
      <w:r w:rsidR="00AD2E55" w:rsidRPr="006F366C">
        <w:t xml:space="preserve"> </w:t>
      </w:r>
      <w:r w:rsidR="008F3AE4">
        <w:t>F</w:t>
      </w:r>
      <w:r w:rsidR="00544F96">
        <w:t>7</w:t>
      </w:r>
      <w:r w:rsidR="00955BF6">
        <w:t>.</w:t>
      </w:r>
      <w:r w:rsidR="00AD2E55" w:rsidRPr="006F366C">
        <w:t xml:space="preserve"> </w:t>
      </w:r>
    </w:p>
    <w:p w14:paraId="1E16CAA5" w14:textId="7E0974C0" w:rsidR="00B63CB4" w:rsidRDefault="00227791" w:rsidP="00372AEF">
      <w:pPr>
        <w:ind w:left="1800" w:hanging="360"/>
      </w:pPr>
      <w:bookmarkStart w:id="178" w:name="_Hlk172819042"/>
      <w:bookmarkEnd w:id="177"/>
      <w:r>
        <w:rPr>
          <w:bCs/>
        </w:rPr>
        <w:t>1)</w:t>
      </w:r>
      <w:r>
        <w:rPr>
          <w:bCs/>
        </w:rPr>
        <w:tab/>
      </w:r>
      <w:r w:rsidR="00AD2E55">
        <w:t xml:space="preserve">Waterfront </w:t>
      </w:r>
      <w:r w:rsidR="00B63CB4" w:rsidRPr="00B63CB4">
        <w:t>and marine operations</w:t>
      </w:r>
      <w:r w:rsidR="00B63CB4">
        <w:t xml:space="preserve"> </w:t>
      </w:r>
      <w:r w:rsidR="00AF4844">
        <w:t>Permittee</w:t>
      </w:r>
      <w:r w:rsidR="00B63CB4">
        <w:t xml:space="preserve">s shall additionally report compliance with section </w:t>
      </w:r>
      <w:r w:rsidR="008F3AE4">
        <w:t>F</w:t>
      </w:r>
      <w:r w:rsidR="0054074A">
        <w:t>5</w:t>
      </w:r>
      <w:r w:rsidR="00B63CB4">
        <w:t>.</w:t>
      </w:r>
    </w:p>
    <w:p w14:paraId="526FB2AE" w14:textId="2A77F2B2" w:rsidR="001B29E2" w:rsidRDefault="00227791" w:rsidP="00372AEF">
      <w:pPr>
        <w:ind w:left="1800" w:hanging="360"/>
      </w:pPr>
      <w:bookmarkStart w:id="179" w:name="_Hlk172819043"/>
      <w:bookmarkEnd w:id="178"/>
      <w:r>
        <w:rPr>
          <w:bCs/>
        </w:rPr>
        <w:t>2)</w:t>
      </w:r>
      <w:r>
        <w:rPr>
          <w:bCs/>
        </w:rPr>
        <w:tab/>
      </w:r>
      <w:r w:rsidR="00EB32AF" w:rsidRPr="00227791">
        <w:rPr>
          <w:rFonts w:eastAsia="Times New Roman" w:cs="Times New Roman"/>
        </w:rPr>
        <w:t>Parks and recreation facilities</w:t>
      </w:r>
      <w:r w:rsidR="00EB32AF">
        <w:t xml:space="preserve"> </w:t>
      </w:r>
      <w:r w:rsidR="00AF4844">
        <w:t>Permittee</w:t>
      </w:r>
      <w:r w:rsidR="00EB32AF">
        <w:t xml:space="preserve">s shall additionally </w:t>
      </w:r>
      <w:r w:rsidR="00AD2E55">
        <w:t xml:space="preserve">report compliance with section </w:t>
      </w:r>
      <w:r w:rsidR="008F3AE4">
        <w:t>F</w:t>
      </w:r>
      <w:r w:rsidR="0066706F">
        <w:t>6</w:t>
      </w:r>
      <w:r w:rsidR="00AD2E55">
        <w:t>.</w:t>
      </w:r>
    </w:p>
    <w:p w14:paraId="09C054C5" w14:textId="387C1E5C" w:rsidR="00EB32AF" w:rsidRPr="00EB32AF" w:rsidRDefault="00227791" w:rsidP="00372AEF">
      <w:pPr>
        <w:ind w:left="1080" w:hanging="360"/>
      </w:pPr>
      <w:r w:rsidRPr="00EB32AF">
        <w:rPr>
          <w:bCs/>
        </w:rPr>
        <w:t>2.</w:t>
      </w:r>
      <w:r w:rsidRPr="00EB32AF">
        <w:rPr>
          <w:bCs/>
        </w:rPr>
        <w:tab/>
      </w:r>
      <w:r w:rsidR="00EB32AF" w:rsidRPr="00EB32AF">
        <w:t xml:space="preserve">Description of </w:t>
      </w:r>
      <w:r w:rsidR="0024186D">
        <w:t>monitoring</w:t>
      </w:r>
      <w:r w:rsidR="00FC73B5">
        <w:t xml:space="preserve"> performed</w:t>
      </w:r>
      <w:r w:rsidR="0024186D">
        <w:t xml:space="preserve"> </w:t>
      </w:r>
      <w:r w:rsidR="0099443B">
        <w:t xml:space="preserve">interpretation of </w:t>
      </w:r>
      <w:r w:rsidR="00845BB4">
        <w:t>sampling results</w:t>
      </w:r>
      <w:r w:rsidR="00EB32AF" w:rsidRPr="00EB32AF">
        <w:t xml:space="preserve">, </w:t>
      </w:r>
      <w:r w:rsidR="003E6CB2">
        <w:t xml:space="preserve">and </w:t>
      </w:r>
      <w:r w:rsidR="007759F4">
        <w:t xml:space="preserve">status of </w:t>
      </w:r>
      <w:r w:rsidR="00EB32AF" w:rsidRPr="00EB32AF">
        <w:t xml:space="preserve">compliance with </w:t>
      </w:r>
      <w:r w:rsidR="00EB32AF">
        <w:t xml:space="preserve">applicable monitoring data in the </w:t>
      </w:r>
      <w:bookmarkStart w:id="180" w:name="_Hlk146110009"/>
      <w:r w:rsidR="00D9628F" w:rsidRPr="006941C6">
        <w:t xml:space="preserve">85th Percentile of </w:t>
      </w:r>
      <w:r w:rsidR="00EB32AF" w:rsidRPr="006416CF">
        <w:t xml:space="preserve">Natural Ocean Water Quality Values of </w:t>
      </w:r>
      <w:bookmarkStart w:id="181" w:name="_Hlk172818894"/>
      <w:bookmarkStart w:id="182" w:name="_Hlk172819044"/>
      <w:bookmarkEnd w:id="179"/>
      <w:r w:rsidR="00275A2A" w:rsidRPr="00D13E87">
        <w:fldChar w:fldCharType="begin"/>
      </w:r>
      <w:r w:rsidR="00275A2A">
        <w:instrText>HYPERLINK \l "Table1"</w:instrText>
      </w:r>
      <w:r w:rsidR="00275A2A" w:rsidRPr="00D13E87">
        <w:fldChar w:fldCharType="separate"/>
      </w:r>
      <w:r w:rsidR="00EB32AF" w:rsidRPr="00D13E87">
        <w:t>Reference Area Monitoring</w:t>
      </w:r>
      <w:r w:rsidR="00275A2A" w:rsidRPr="00D13E87">
        <w:fldChar w:fldCharType="end"/>
      </w:r>
      <w:bookmarkEnd w:id="181"/>
      <w:r w:rsidR="00EB32AF" w:rsidRPr="006416CF">
        <w:t xml:space="preserve"> Sites (Regional Monitoring Program)</w:t>
      </w:r>
      <w:r w:rsidR="00EB32AF">
        <w:t xml:space="preserve"> table.</w:t>
      </w:r>
      <w:bookmarkEnd w:id="180"/>
    </w:p>
    <w:p w14:paraId="14B44A49" w14:textId="1A5F4A53" w:rsidR="001B29E2" w:rsidRDefault="00227791" w:rsidP="00372AEF">
      <w:pPr>
        <w:ind w:left="1080" w:hanging="360"/>
      </w:pPr>
      <w:r w:rsidRPr="00D13E87">
        <w:lastRenderedPageBreak/>
        <w:t>3.</w:t>
      </w:r>
      <w:r w:rsidRPr="00D13E87">
        <w:tab/>
      </w:r>
      <w:r w:rsidR="00537BA2">
        <w:t>Description, location, and s</w:t>
      </w:r>
      <w:r w:rsidR="001B29E2">
        <w:t>tatus of installation of best management practices</w:t>
      </w:r>
      <w:r w:rsidR="006F366C">
        <w:t xml:space="preserve"> required </w:t>
      </w:r>
      <w:r w:rsidR="0024186D">
        <w:t>because of</w:t>
      </w:r>
      <w:r w:rsidR="006F366C">
        <w:t xml:space="preserve"> exceedance of </w:t>
      </w:r>
      <w:r w:rsidR="00EB32AF">
        <w:t xml:space="preserve">applicable </w:t>
      </w:r>
      <w:r w:rsidR="00D9628F" w:rsidRPr="006941C6">
        <w:t xml:space="preserve">85th Percentile of </w:t>
      </w:r>
      <w:r w:rsidR="00EB32AF" w:rsidRPr="006416CF">
        <w:t xml:space="preserve">Natural Ocean Water Quality Values of </w:t>
      </w:r>
      <w:bookmarkStart w:id="183" w:name="_Hlk172818895"/>
      <w:bookmarkStart w:id="184" w:name="_Hlk172819045"/>
      <w:bookmarkEnd w:id="182"/>
      <w:r w:rsidR="00275A2A" w:rsidRPr="00D13E87">
        <w:fldChar w:fldCharType="begin"/>
      </w:r>
      <w:r w:rsidR="00275A2A">
        <w:instrText>HYPERLINK \l "Table1"</w:instrText>
      </w:r>
      <w:r w:rsidR="00275A2A" w:rsidRPr="00D13E87">
        <w:fldChar w:fldCharType="separate"/>
      </w:r>
      <w:r w:rsidR="00EB32AF" w:rsidRPr="00D13E87">
        <w:t>Reference Area Monitoring</w:t>
      </w:r>
      <w:r w:rsidR="00275A2A" w:rsidRPr="00D13E87">
        <w:fldChar w:fldCharType="end"/>
      </w:r>
      <w:bookmarkEnd w:id="183"/>
      <w:r w:rsidR="00EB32AF" w:rsidRPr="006416CF">
        <w:t xml:space="preserve"> Sites (Regional Monitoring Program)</w:t>
      </w:r>
      <w:r w:rsidR="00EB32AF">
        <w:t xml:space="preserve"> table.</w:t>
      </w:r>
      <w:bookmarkEnd w:id="184"/>
    </w:p>
    <w:p w14:paraId="6E66FAD4" w14:textId="4986A388" w:rsidR="006F366C" w:rsidRDefault="00227791" w:rsidP="00372AEF">
      <w:pPr>
        <w:ind w:left="1080" w:hanging="360"/>
      </w:pPr>
      <w:bookmarkStart w:id="185" w:name="_Hlk172819046"/>
      <w:r w:rsidRPr="00D13E87">
        <w:t>4.</w:t>
      </w:r>
      <w:r w:rsidRPr="00D13E87">
        <w:tab/>
      </w:r>
      <w:r w:rsidR="001B29E2">
        <w:t>Description</w:t>
      </w:r>
      <w:r w:rsidR="00EB32AF">
        <w:t>,</w:t>
      </w:r>
      <w:r w:rsidR="001B29E2">
        <w:t xml:space="preserve"> location</w:t>
      </w:r>
      <w:r w:rsidR="00EB32AF">
        <w:t>, and purpose</w:t>
      </w:r>
      <w:r w:rsidR="001B29E2">
        <w:t xml:space="preserve"> of any low impact development structures installed </w:t>
      </w:r>
      <w:r w:rsidR="003656C1">
        <w:t xml:space="preserve">during the </w:t>
      </w:r>
      <w:r w:rsidR="00351395">
        <w:t>reporting period</w:t>
      </w:r>
      <w:r w:rsidR="001B29E2">
        <w:t>.</w:t>
      </w:r>
    </w:p>
    <w:p w14:paraId="5573E58C" w14:textId="30F2BA77" w:rsidR="006F366C" w:rsidRDefault="00227791" w:rsidP="00372AEF">
      <w:pPr>
        <w:ind w:left="1080" w:hanging="360"/>
      </w:pPr>
      <w:bookmarkStart w:id="186" w:name="_Hlk172819047"/>
      <w:bookmarkEnd w:id="185"/>
      <w:r w:rsidRPr="00D13E87">
        <w:t>5.</w:t>
      </w:r>
      <w:r w:rsidRPr="00D13E87">
        <w:tab/>
      </w:r>
      <w:r w:rsidR="001B29E2">
        <w:t>T</w:t>
      </w:r>
      <w:r w:rsidR="00007D17">
        <w:t>abulated monitoring results</w:t>
      </w:r>
      <w:r w:rsidR="001B29E2">
        <w:t xml:space="preserve"> indicating the location ID; status of </w:t>
      </w:r>
      <w:r w:rsidR="00007D17">
        <w:t>compliance with natural ocean water quality</w:t>
      </w:r>
      <w:r w:rsidR="001B29E2">
        <w:t xml:space="preserve">; </w:t>
      </w:r>
      <w:r w:rsidR="00007D17">
        <w:t>resampling results; and plans</w:t>
      </w:r>
      <w:r w:rsidR="002237AD">
        <w:t>/schedule</w:t>
      </w:r>
      <w:r w:rsidR="00007D17">
        <w:t xml:space="preserve"> for resampling when an exceedance is detected. </w:t>
      </w:r>
      <w:r w:rsidR="006F366C">
        <w:t xml:space="preserve">Tabulated monitoring results shall include </w:t>
      </w:r>
      <w:r w:rsidR="00E67034">
        <w:t>the following:</w:t>
      </w:r>
    </w:p>
    <w:p w14:paraId="1C2EFFC8" w14:textId="3E31336C" w:rsidR="00A93262" w:rsidRDefault="00227791" w:rsidP="001A4BD5">
      <w:pPr>
        <w:ind w:left="1440" w:hanging="360"/>
      </w:pPr>
      <w:r>
        <w:rPr>
          <w:bCs/>
        </w:rPr>
        <w:t>a.</w:t>
      </w:r>
      <w:r>
        <w:rPr>
          <w:bCs/>
        </w:rPr>
        <w:tab/>
      </w:r>
      <w:r w:rsidR="006F366C">
        <w:t>ASBS name and location number (e.g., Ano Nuevo (15)), monitoring location ID number</w:t>
      </w:r>
      <w:bookmarkStart w:id="187" w:name="_Hlk172819048"/>
      <w:bookmarkEnd w:id="186"/>
      <w:r w:rsidR="00E67034">
        <w:t>.</w:t>
      </w:r>
      <w:r w:rsidR="006F366C">
        <w:t xml:space="preserve"> </w:t>
      </w:r>
      <w:bookmarkEnd w:id="187"/>
    </w:p>
    <w:p w14:paraId="0F0DB872" w14:textId="6289115B" w:rsidR="00A93262" w:rsidRDefault="00227791" w:rsidP="001A4BD5">
      <w:pPr>
        <w:ind w:left="1440" w:hanging="360"/>
      </w:pPr>
      <w:bookmarkStart w:id="188" w:name="_Hlk172819049"/>
      <w:r>
        <w:rPr>
          <w:bCs/>
        </w:rPr>
        <w:t>b.</w:t>
      </w:r>
      <w:r>
        <w:rPr>
          <w:bCs/>
        </w:rPr>
        <w:tab/>
      </w:r>
      <w:r w:rsidR="006F366C">
        <w:t xml:space="preserve">Certified laboratory analysis </w:t>
      </w:r>
      <w:r w:rsidR="00A93262">
        <w:t xml:space="preserve">shall be tabulated and </w:t>
      </w:r>
      <w:r w:rsidR="006F366C">
        <w:t>reported as</w:t>
      </w:r>
      <w:r w:rsidR="00A93262">
        <w:t xml:space="preserve"> follows:</w:t>
      </w:r>
    </w:p>
    <w:p w14:paraId="5345977F" w14:textId="07CA3FC3" w:rsidR="002379DD" w:rsidRDefault="00DA7E51" w:rsidP="00BF3821">
      <w:pPr>
        <w:ind w:left="1800" w:hanging="360"/>
      </w:pPr>
      <w:bookmarkStart w:id="189" w:name="_Hlk172819050"/>
      <w:bookmarkEnd w:id="188"/>
      <w:r w:rsidRPr="00DA7E51">
        <w:t>1)</w:t>
      </w:r>
      <w:r w:rsidR="00D13E87">
        <w:tab/>
      </w:r>
      <w:r w:rsidR="00880317">
        <w:t>T</w:t>
      </w:r>
      <w:r w:rsidR="002379DD">
        <w:t>he parameter</w:t>
      </w:r>
    </w:p>
    <w:p w14:paraId="25C66614" w14:textId="134ED037" w:rsidR="002379DD" w:rsidRDefault="007E0728" w:rsidP="00BF3821">
      <w:pPr>
        <w:ind w:left="1800" w:hanging="360"/>
      </w:pPr>
      <w:r>
        <w:t>2)</w:t>
      </w:r>
      <w:r>
        <w:tab/>
      </w:r>
      <w:r w:rsidR="00880317">
        <w:t>T</w:t>
      </w:r>
      <w:r>
        <w:t>he method used to analyze the parameter</w:t>
      </w:r>
    </w:p>
    <w:p w14:paraId="4CEA6813" w14:textId="74FCC845" w:rsidR="00DA7E51" w:rsidRDefault="007E0728" w:rsidP="00BF3821">
      <w:pPr>
        <w:ind w:left="1800" w:hanging="360"/>
      </w:pPr>
      <w:r>
        <w:t>3</w:t>
      </w:r>
      <w:proofErr w:type="gramStart"/>
      <w:r>
        <w:t>)</w:t>
      </w:r>
      <w:r w:rsidR="00E2262B">
        <w:tab/>
        <w:t>The</w:t>
      </w:r>
      <w:r w:rsidR="00DA7E51" w:rsidRPr="00DA7E51">
        <w:t xml:space="preserve"> method</w:t>
      </w:r>
      <w:proofErr w:type="gramEnd"/>
      <w:r w:rsidR="00DA7E51" w:rsidRPr="00DA7E51">
        <w:t xml:space="preserve"> detection limit </w:t>
      </w:r>
    </w:p>
    <w:p w14:paraId="314FDBFC" w14:textId="5994A7D6" w:rsidR="005F44E3" w:rsidRDefault="00AD3E47" w:rsidP="00BF3821">
      <w:pPr>
        <w:ind w:left="1800" w:hanging="360"/>
      </w:pPr>
      <w:r>
        <w:t>4</w:t>
      </w:r>
      <w:r w:rsidR="00DA7E51" w:rsidRPr="00DA7E51">
        <w:t>)</w:t>
      </w:r>
      <w:r w:rsidR="00D13E87">
        <w:tab/>
      </w:r>
      <w:r w:rsidR="005F44E3">
        <w:t>The Reporting Limit</w:t>
      </w:r>
    </w:p>
    <w:p w14:paraId="692EBE3F" w14:textId="77777777" w:rsidR="00AD3E47" w:rsidRDefault="00AD3E47" w:rsidP="00BF3821">
      <w:pPr>
        <w:ind w:left="1800" w:hanging="360"/>
      </w:pPr>
      <w:r>
        <w:t>5)</w:t>
      </w:r>
      <w:r>
        <w:tab/>
        <w:t>Units</w:t>
      </w:r>
    </w:p>
    <w:p w14:paraId="57A78A1A" w14:textId="564F81A8" w:rsidR="00DA7E51" w:rsidRPr="00DA7E51" w:rsidRDefault="00E228BB" w:rsidP="00BF3821">
      <w:pPr>
        <w:ind w:left="1800" w:hanging="360"/>
      </w:pPr>
      <w:r>
        <w:t>6)</w:t>
      </w:r>
      <w:r>
        <w:tab/>
      </w:r>
      <w:r w:rsidR="00DA7E51" w:rsidRPr="00DA7E51">
        <w:t xml:space="preserve">A column </w:t>
      </w:r>
      <w:r w:rsidR="00256671">
        <w:t>containing</w:t>
      </w:r>
      <w:r w:rsidR="00267941">
        <w:t xml:space="preserve"> </w:t>
      </w:r>
      <w:r w:rsidR="00632E07">
        <w:t xml:space="preserve">comparison values. For receiving water data, this shall be </w:t>
      </w:r>
      <w:r w:rsidR="00DA7E51" w:rsidRPr="00DA7E51">
        <w:t>the applicable Natural Ocean Water Quality Reference data</w:t>
      </w:r>
      <w:r w:rsidR="00A5135A">
        <w:t>. For Core discharge monitoring, this shall be</w:t>
      </w:r>
      <w:r w:rsidR="00E27CBA">
        <w:t xml:space="preserve"> the instantaneous maximum water quality objective </w:t>
      </w:r>
      <w:r w:rsidR="00785203">
        <w:t>in Table 3 of the 2019 Ocean Plan</w:t>
      </w:r>
      <w:r w:rsidR="00DA7E51" w:rsidRPr="00DA7E51">
        <w:t>.</w:t>
      </w:r>
    </w:p>
    <w:p w14:paraId="7B248C09" w14:textId="67DE7D20" w:rsidR="00077BCD" w:rsidRDefault="009171B3" w:rsidP="00BF3821">
      <w:pPr>
        <w:ind w:left="1800" w:hanging="360"/>
      </w:pPr>
      <w:r>
        <w:t>7</w:t>
      </w:r>
      <w:r w:rsidR="00DA7E51">
        <w:t>)</w:t>
      </w:r>
      <w:r w:rsidR="00D13E87">
        <w:tab/>
      </w:r>
      <w:r w:rsidR="00F879A2">
        <w:t xml:space="preserve">Analytical results. Results above </w:t>
      </w:r>
      <w:r w:rsidR="00F21975">
        <w:t xml:space="preserve">the applicable comparison value shave </w:t>
      </w:r>
      <w:proofErr w:type="gramStart"/>
      <w:r w:rsidR="00F21975">
        <w:t>be</w:t>
      </w:r>
      <w:proofErr w:type="gramEnd"/>
      <w:r w:rsidR="00F21975">
        <w:t xml:space="preserve"> highlighted (e.g., bold font)</w:t>
      </w:r>
      <w:r w:rsidR="00A701DE">
        <w:t xml:space="preserve"> to indicate an exceedance.</w:t>
      </w:r>
    </w:p>
    <w:p w14:paraId="7D5A25F2" w14:textId="6C819D2D" w:rsidR="00A93262" w:rsidRDefault="009171B3" w:rsidP="00BF3821">
      <w:pPr>
        <w:ind w:left="1800" w:hanging="360"/>
      </w:pPr>
      <w:r>
        <w:t>8)</w:t>
      </w:r>
      <w:r>
        <w:tab/>
      </w:r>
      <w:r w:rsidR="006F366C" w:rsidRPr="00166330">
        <w:t xml:space="preserve">Results detected above the method detection limit but below the reporting limit </w:t>
      </w:r>
      <w:r w:rsidR="00A93262">
        <w:t>shall be</w:t>
      </w:r>
      <w:r w:rsidR="006F366C" w:rsidRPr="00166330">
        <w:t xml:space="preserve"> re</w:t>
      </w:r>
      <w:r w:rsidR="00A93262">
        <w:t xml:space="preserve">ported </w:t>
      </w:r>
      <w:r w:rsidR="006F366C" w:rsidRPr="00166330">
        <w:t xml:space="preserve">as "DNQ" </w:t>
      </w:r>
      <w:r w:rsidR="00A93262">
        <w:t>(detected but not quantified)</w:t>
      </w:r>
      <w:r w:rsidR="006F366C" w:rsidRPr="00166330">
        <w:t>.</w:t>
      </w:r>
    </w:p>
    <w:p w14:paraId="51FCDD6C" w14:textId="5D7316B4" w:rsidR="0029793E" w:rsidRPr="00227791" w:rsidRDefault="00BA63F1" w:rsidP="00BF3821">
      <w:pPr>
        <w:ind w:left="1800" w:hanging="360"/>
        <w:rPr>
          <w:sz w:val="22"/>
          <w:szCs w:val="22"/>
        </w:rPr>
      </w:pPr>
      <w:bookmarkStart w:id="190" w:name="_Hlk172819051"/>
      <w:bookmarkEnd w:id="189"/>
      <w:r>
        <w:rPr>
          <w:bCs/>
          <w:sz w:val="22"/>
          <w:szCs w:val="22"/>
        </w:rPr>
        <w:t>9</w:t>
      </w:r>
      <w:r w:rsidR="00227791" w:rsidRPr="00F46EBC">
        <w:rPr>
          <w:bCs/>
          <w:sz w:val="22"/>
          <w:szCs w:val="22"/>
        </w:rPr>
        <w:t>)</w:t>
      </w:r>
      <w:r w:rsidR="00227791" w:rsidRPr="00F46EBC">
        <w:rPr>
          <w:bCs/>
          <w:sz w:val="22"/>
          <w:szCs w:val="22"/>
        </w:rPr>
        <w:tab/>
      </w:r>
      <w:r w:rsidR="003B31DC">
        <w:t>DNQ</w:t>
      </w:r>
      <w:r w:rsidR="0058228D">
        <w:t xml:space="preserve">s </w:t>
      </w:r>
      <w:r w:rsidR="006F366C">
        <w:t xml:space="preserve">shall be flagged with a “J” along with the estimated value, method detection limit, and reporting limit. Copies of certified analytical results shall be included as attachments. </w:t>
      </w:r>
      <w:bookmarkEnd w:id="190"/>
    </w:p>
    <w:sectPr w:rsidR="0029793E" w:rsidRPr="00227791" w:rsidSect="00AA508B">
      <w:headerReference w:type="default" r:id="rId14"/>
      <w:footerReference w:type="default" r:id="rId15"/>
      <w:headerReference w:type="first" r:id="rId16"/>
      <w:footerReference w:type="first" r:id="rId17"/>
      <w:pgSz w:w="12240" w:h="15840"/>
      <w:pgMar w:top="1440" w:right="1440" w:bottom="1440" w:left="1440" w:header="720"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162B" w14:textId="77777777" w:rsidR="00B86D94" w:rsidRDefault="00B86D94" w:rsidP="00942073">
      <w:pPr>
        <w:spacing w:before="0" w:after="0" w:line="240" w:lineRule="auto"/>
      </w:pPr>
      <w:r>
        <w:separator/>
      </w:r>
    </w:p>
  </w:endnote>
  <w:endnote w:type="continuationSeparator" w:id="0">
    <w:p w14:paraId="20325975" w14:textId="77777777" w:rsidR="00B86D94" w:rsidRDefault="00B86D94" w:rsidP="00942073">
      <w:pPr>
        <w:spacing w:before="0" w:after="0" w:line="240" w:lineRule="auto"/>
      </w:pPr>
      <w:r>
        <w:continuationSeparator/>
      </w:r>
    </w:p>
  </w:endnote>
  <w:endnote w:type="continuationNotice" w:id="1">
    <w:p w14:paraId="4F3A9BAE" w14:textId="77777777" w:rsidR="00B86D94" w:rsidRDefault="00B86D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12BD" w14:textId="56386CBF" w:rsidR="00A40D75" w:rsidRPr="00804A92" w:rsidRDefault="00F34D9B" w:rsidP="00A40D75">
    <w:pPr>
      <w:pStyle w:val="Footer"/>
      <w:tabs>
        <w:tab w:val="clear" w:pos="4680"/>
      </w:tabs>
      <w:ind w:left="0"/>
      <w:rPr>
        <w:sz w:val="22"/>
        <w:szCs w:val="22"/>
      </w:rPr>
    </w:pPr>
    <w:r w:rsidRPr="008E530E">
      <w:rPr>
        <w:sz w:val="22"/>
        <w:szCs w:val="22"/>
      </w:rPr>
      <w:t xml:space="preserve">Attachment </w:t>
    </w:r>
    <w:r w:rsidR="001D10C5">
      <w:rPr>
        <w:sz w:val="22"/>
        <w:szCs w:val="22"/>
      </w:rPr>
      <w:t>F</w:t>
    </w:r>
    <w:r w:rsidR="00A40D75">
      <w:rPr>
        <w:sz w:val="22"/>
        <w:szCs w:val="22"/>
      </w:rPr>
      <w:t xml:space="preserve"> - </w:t>
    </w:r>
    <w:r w:rsidRPr="008E530E">
      <w:rPr>
        <w:sz w:val="22"/>
        <w:szCs w:val="22"/>
      </w:rPr>
      <w:t xml:space="preserve">Areas of Special Biological Significance Requirements </w:t>
    </w:r>
    <w:r w:rsidR="00A40D75">
      <w:rPr>
        <w:sz w:val="22"/>
        <w:szCs w:val="22"/>
      </w:rPr>
      <w:tab/>
    </w:r>
    <w:r w:rsidR="001D10C5">
      <w:rPr>
        <w:sz w:val="22"/>
        <w:szCs w:val="22"/>
      </w:rPr>
      <w:t>F</w:t>
    </w:r>
    <w:r w:rsidR="00A40D75" w:rsidRPr="00804A92">
      <w:rPr>
        <w:sz w:val="22"/>
        <w:szCs w:val="22"/>
      </w:rPr>
      <w:t>-</w:t>
    </w:r>
    <w:r w:rsidR="00A40D75" w:rsidRPr="00804A92">
      <w:rPr>
        <w:sz w:val="22"/>
        <w:szCs w:val="22"/>
      </w:rPr>
      <w:fldChar w:fldCharType="begin"/>
    </w:r>
    <w:r w:rsidR="00A40D75" w:rsidRPr="00804A92">
      <w:rPr>
        <w:sz w:val="22"/>
        <w:szCs w:val="22"/>
      </w:rPr>
      <w:instrText xml:space="preserve"> PAGE  \* Arabic  \* MERGEFORMAT </w:instrText>
    </w:r>
    <w:r w:rsidR="00A40D75" w:rsidRPr="00804A92">
      <w:rPr>
        <w:sz w:val="22"/>
        <w:szCs w:val="22"/>
      </w:rPr>
      <w:fldChar w:fldCharType="separate"/>
    </w:r>
    <w:r w:rsidR="00A40D75">
      <w:rPr>
        <w:sz w:val="22"/>
      </w:rPr>
      <w:t>1</w:t>
    </w:r>
    <w:r w:rsidR="00A40D75" w:rsidRPr="00804A9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030" w14:textId="046D2E28" w:rsidR="003F68C9" w:rsidRPr="00611658" w:rsidRDefault="00844E77" w:rsidP="00611658">
    <w:pPr>
      <w:pStyle w:val="Footer"/>
      <w:tabs>
        <w:tab w:val="clear" w:pos="4680"/>
      </w:tabs>
      <w:ind w:hanging="720"/>
      <w:rPr>
        <w:sz w:val="22"/>
        <w:szCs w:val="22"/>
      </w:rPr>
    </w:pPr>
    <w:r w:rsidRPr="00611658">
      <w:rPr>
        <w:sz w:val="22"/>
        <w:szCs w:val="22"/>
      </w:rPr>
      <w:t>Attachment F – Areas of Special Biological Significance Implementation Requirements</w:t>
    </w:r>
    <w:r w:rsidR="00611658" w:rsidRPr="00611658">
      <w:rPr>
        <w:sz w:val="22"/>
        <w:szCs w:val="22"/>
      </w:rPr>
      <w:tab/>
    </w:r>
    <w:r w:rsidR="00611658">
      <w:rPr>
        <w:sz w:val="22"/>
        <w:szCs w:val="22"/>
      </w:rPr>
      <w:t>F-</w:t>
    </w:r>
    <w:r w:rsidR="00611658">
      <w:rPr>
        <w:sz w:val="22"/>
        <w:szCs w:val="22"/>
      </w:rPr>
      <w:fldChar w:fldCharType="begin"/>
    </w:r>
    <w:r w:rsidR="00611658">
      <w:rPr>
        <w:sz w:val="22"/>
        <w:szCs w:val="22"/>
      </w:rPr>
      <w:instrText xml:space="preserve"> PAGE  \* Arabic  \* MERGEFORMAT </w:instrText>
    </w:r>
    <w:r w:rsidR="00611658">
      <w:rPr>
        <w:sz w:val="22"/>
        <w:szCs w:val="22"/>
      </w:rPr>
      <w:fldChar w:fldCharType="separate"/>
    </w:r>
    <w:r w:rsidR="00611658">
      <w:rPr>
        <w:noProof/>
        <w:sz w:val="22"/>
        <w:szCs w:val="22"/>
      </w:rPr>
      <w:t>19</w:t>
    </w:r>
    <w:r w:rsidR="0061165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7E14" w14:textId="77777777" w:rsidR="00B86D94" w:rsidRDefault="00B86D94" w:rsidP="00942073">
      <w:pPr>
        <w:spacing w:before="0" w:after="0" w:line="240" w:lineRule="auto"/>
      </w:pPr>
      <w:r>
        <w:separator/>
      </w:r>
    </w:p>
  </w:footnote>
  <w:footnote w:type="continuationSeparator" w:id="0">
    <w:p w14:paraId="2F88D963" w14:textId="77777777" w:rsidR="00B86D94" w:rsidRDefault="00B86D94" w:rsidP="00942073">
      <w:pPr>
        <w:spacing w:before="0" w:after="0" w:line="240" w:lineRule="auto"/>
      </w:pPr>
      <w:r>
        <w:continuationSeparator/>
      </w:r>
    </w:p>
  </w:footnote>
  <w:footnote w:type="continuationNotice" w:id="1">
    <w:p w14:paraId="4D9195E9" w14:textId="77777777" w:rsidR="00B86D94" w:rsidRDefault="00B86D94">
      <w:pPr>
        <w:spacing w:before="0" w:after="0" w:line="240" w:lineRule="auto"/>
      </w:pPr>
    </w:p>
  </w:footnote>
  <w:footnote w:id="2">
    <w:p w14:paraId="6A107ECA" w14:textId="58D3726B" w:rsidR="00211BFC" w:rsidRDefault="00211BFC" w:rsidP="00211BFC">
      <w:pPr>
        <w:pStyle w:val="FootnoteText"/>
      </w:pPr>
      <w:r>
        <w:rPr>
          <w:rStyle w:val="FootnoteReference"/>
        </w:rPr>
        <w:footnoteRef/>
      </w:r>
      <w:r>
        <w:t xml:space="preserve"> </w:t>
      </w:r>
      <w:hyperlink r:id="rId1" w:history="1">
        <w:r w:rsidRPr="009E754F">
          <w:rPr>
            <w:rStyle w:val="Hyperlink"/>
          </w:rPr>
          <w:t>General Exception</w:t>
        </w:r>
      </w:hyperlink>
      <w:r>
        <w:t xml:space="preserve">, Resolution 2012-0012, page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2972" w14:textId="5A819439" w:rsidR="003F68C9" w:rsidRPr="00191574" w:rsidRDefault="00014D98" w:rsidP="009D16C1">
    <w:pPr>
      <w:tabs>
        <w:tab w:val="right" w:pos="9360"/>
        <w:tab w:val="right" w:pos="17280"/>
      </w:tabs>
      <w:spacing w:after="0" w:line="240" w:lineRule="auto"/>
      <w:ind w:left="0"/>
      <w:rPr>
        <w:bCs/>
      </w:rPr>
    </w:pPr>
    <w:r w:rsidRPr="00C44463">
      <w:rPr>
        <w:bCs/>
        <w:color w:val="AA0000"/>
      </w:rPr>
      <w:t>XXX</w:t>
    </w:r>
    <w:r w:rsidR="003F68C9" w:rsidRPr="00C44463">
      <w:rPr>
        <w:bCs/>
        <w:color w:val="AA0000"/>
      </w:rPr>
      <w:t xml:space="preserve"> 202</w:t>
    </w:r>
    <w:r w:rsidR="00093767" w:rsidRPr="00C44463">
      <w:rPr>
        <w:bCs/>
        <w:color w:val="AA0000"/>
      </w:rPr>
      <w:t>6</w:t>
    </w:r>
    <w:r w:rsidR="003F68C9" w:rsidRPr="00C44463">
      <w:rPr>
        <w:bCs/>
        <w:color w:val="AA0000"/>
      </w:rPr>
      <w:tab/>
    </w:r>
    <w:r w:rsidR="003F68C9" w:rsidRPr="00191574">
      <w:rPr>
        <w:bCs/>
      </w:rPr>
      <w:t>Order WQ 20XX-XXXX-DWQ</w:t>
    </w:r>
  </w:p>
  <w:p w14:paraId="6A200049" w14:textId="2F9DF6CE" w:rsidR="003F68C9" w:rsidRPr="0069674A" w:rsidRDefault="003F68C9" w:rsidP="0069674A">
    <w:pPr>
      <w:tabs>
        <w:tab w:val="right" w:pos="9360"/>
        <w:tab w:val="right" w:pos="17280"/>
      </w:tabs>
      <w:spacing w:before="0" w:after="240" w:line="240" w:lineRule="auto"/>
      <w:ind w:left="0"/>
      <w:rPr>
        <w:bCs/>
      </w:rPr>
    </w:pPr>
    <w:r w:rsidRPr="00C44463">
      <w:rPr>
        <w:bCs/>
        <w:color w:val="AA0000"/>
      </w:rPr>
      <w:t>Draft Small MS4 Permit for Public Comment</w:t>
    </w:r>
    <w:r w:rsidRPr="00C44463">
      <w:rPr>
        <w:bCs/>
        <w:color w:val="AA0000"/>
      </w:rPr>
      <w:tab/>
    </w:r>
    <w:r w:rsidRPr="00191574">
      <w:rPr>
        <w:bCs/>
      </w:rPr>
      <w:t>NPDES No. CAS000004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B84B" w14:textId="26129FDF" w:rsidR="007439BC" w:rsidRPr="00D75E97" w:rsidRDefault="007439BC" w:rsidP="007439BC">
    <w:pPr>
      <w:pStyle w:val="Header"/>
      <w:tabs>
        <w:tab w:val="clear" w:pos="4680"/>
        <w:tab w:val="right" w:pos="17280"/>
      </w:tabs>
      <w:ind w:left="86"/>
      <w:rPr>
        <w:bCs/>
      </w:rPr>
    </w:pPr>
    <w:r w:rsidRPr="00C44463">
      <w:rPr>
        <w:bCs/>
        <w:color w:val="AA0000"/>
      </w:rPr>
      <w:t>XXXX 202</w:t>
    </w:r>
    <w:r w:rsidR="00541880" w:rsidRPr="00C44463">
      <w:rPr>
        <w:bCs/>
        <w:color w:val="AA0000"/>
      </w:rPr>
      <w:t>6</w:t>
    </w:r>
    <w:r w:rsidRPr="00C44463">
      <w:rPr>
        <w:bCs/>
        <w:color w:val="AA0000"/>
      </w:rPr>
      <w:tab/>
    </w:r>
    <w:r w:rsidRPr="00D75E97">
      <w:rPr>
        <w:bCs/>
      </w:rPr>
      <w:t>Order WQ 20XX-XXXX-DWQ</w:t>
    </w:r>
  </w:p>
  <w:p w14:paraId="4CC69CCE" w14:textId="0B489EAA" w:rsidR="007439BC" w:rsidRPr="007B6469" w:rsidRDefault="007439BC" w:rsidP="007B6469">
    <w:pPr>
      <w:pStyle w:val="Header"/>
      <w:tabs>
        <w:tab w:val="clear" w:pos="4680"/>
        <w:tab w:val="right" w:pos="17280"/>
      </w:tabs>
      <w:spacing w:after="240"/>
      <w:ind w:left="86"/>
      <w:rPr>
        <w:bCs/>
      </w:rPr>
    </w:pPr>
    <w:r w:rsidRPr="00C44463">
      <w:rPr>
        <w:bCs/>
        <w:color w:val="AA0000"/>
      </w:rPr>
      <w:t>Draft Small MS4 Permit for Public Comment</w:t>
    </w:r>
    <w:r w:rsidRPr="00C44463">
      <w:rPr>
        <w:bCs/>
        <w:color w:val="AA0000"/>
      </w:rPr>
      <w:tab/>
    </w:r>
    <w:r w:rsidRPr="00D75E97">
      <w:rPr>
        <w:bCs/>
      </w:rPr>
      <w:t>NPDES No. CAS000004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5225"/>
    <w:multiLevelType w:val="hybridMultilevel"/>
    <w:tmpl w:val="715A19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419EF"/>
    <w:multiLevelType w:val="multilevel"/>
    <w:tmpl w:val="0B0C24EE"/>
    <w:lvl w:ilvl="0">
      <w:start w:val="5"/>
      <w:numFmt w:val="decimal"/>
      <w:lvlText w:val="%1."/>
      <w:lvlJc w:val="left"/>
      <w:pPr>
        <w:ind w:left="1120" w:hanging="400"/>
      </w:pPr>
      <w:rPr>
        <w:rFonts w:hint="default"/>
      </w:rPr>
    </w:lvl>
    <w:lvl w:ilvl="1">
      <w:start w:val="1"/>
      <w:numFmt w:val="lowerLetter"/>
      <w:lvlText w:val="%2."/>
      <w:lvlJc w:val="left"/>
      <w:pPr>
        <w:ind w:left="1980" w:hanging="360"/>
      </w:pPr>
      <w:rPr>
        <w:rFonts w:hint="default"/>
      </w:rPr>
    </w:lvl>
    <w:lvl w:ilvl="2">
      <w:start w:val="1"/>
      <w:numFmt w:val="decimal"/>
      <w:lvlText w:val="%3)"/>
      <w:lvlJc w:val="left"/>
      <w:pPr>
        <w:ind w:left="2880" w:hanging="36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66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820" w:hanging="180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9F5401A"/>
    <w:multiLevelType w:val="hybridMultilevel"/>
    <w:tmpl w:val="AF32A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37B97"/>
    <w:multiLevelType w:val="hybridMultilevel"/>
    <w:tmpl w:val="032647AA"/>
    <w:lvl w:ilvl="0" w:tplc="4844BAA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480F966">
      <w:start w:val="1"/>
      <w:numFmt w:val="decimal"/>
      <w:lvlText w:val="(%3)"/>
      <w:lvlJc w:val="left"/>
      <w:pPr>
        <w:ind w:left="2604" w:hanging="444"/>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D56560"/>
    <w:multiLevelType w:val="hybridMultilevel"/>
    <w:tmpl w:val="7D0834EA"/>
    <w:lvl w:ilvl="0" w:tplc="7194B56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27053B"/>
    <w:multiLevelType w:val="hybridMultilevel"/>
    <w:tmpl w:val="477CB98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2CE16846"/>
    <w:multiLevelType w:val="hybridMultilevel"/>
    <w:tmpl w:val="9A703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D508DC"/>
    <w:multiLevelType w:val="hybridMultilevel"/>
    <w:tmpl w:val="764E2F54"/>
    <w:lvl w:ilvl="0" w:tplc="3A60EE58">
      <w:start w:val="1"/>
      <w:numFmt w:val="lowerLetter"/>
      <w:pStyle w:val="BodyText032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32046"/>
    <w:multiLevelType w:val="hybridMultilevel"/>
    <w:tmpl w:val="9C32A55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34597F7C"/>
    <w:multiLevelType w:val="hybridMultilevel"/>
    <w:tmpl w:val="1662F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34399"/>
    <w:multiLevelType w:val="hybridMultilevel"/>
    <w:tmpl w:val="CCE06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4654607E">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E7181"/>
    <w:multiLevelType w:val="multilevel"/>
    <w:tmpl w:val="64220D2E"/>
    <w:lvl w:ilvl="0">
      <w:start w:val="1"/>
      <w:numFmt w:val="decimal"/>
      <w:pStyle w:val="BulletsH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00C492F"/>
    <w:multiLevelType w:val="hybridMultilevel"/>
    <w:tmpl w:val="96DAB2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DB4DBA"/>
    <w:multiLevelType w:val="hybridMultilevel"/>
    <w:tmpl w:val="CF1E436C"/>
    <w:lvl w:ilvl="0" w:tplc="C3563B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8E1307E"/>
    <w:multiLevelType w:val="hybridMultilevel"/>
    <w:tmpl w:val="47445B60"/>
    <w:lvl w:ilvl="0" w:tplc="04090019">
      <w:start w:val="1"/>
      <w:numFmt w:val="lowerLetter"/>
      <w:pStyle w:val="ListParagraph"/>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231313"/>
    <w:multiLevelType w:val="hybridMultilevel"/>
    <w:tmpl w:val="C5C815F8"/>
    <w:lvl w:ilvl="0" w:tplc="0409000F">
      <w:start w:val="1"/>
      <w:numFmt w:val="decimal"/>
      <w:lvlText w:val="%1."/>
      <w:lvlJc w:val="left"/>
      <w:pPr>
        <w:ind w:left="1080" w:hanging="360"/>
      </w:pPr>
      <w:rPr>
        <w:rFonts w:hint="default"/>
      </w:rPr>
    </w:lvl>
    <w:lvl w:ilvl="1" w:tplc="04090019">
      <w:start w:val="1"/>
      <w:numFmt w:val="lowerLetter"/>
      <w:lvlText w:val="%2."/>
      <w:lvlJc w:val="left"/>
      <w:pPr>
        <w:ind w:left="2070" w:hanging="360"/>
      </w:pPr>
    </w:lvl>
    <w:lvl w:ilvl="2" w:tplc="04090011">
      <w:start w:val="1"/>
      <w:numFmt w:val="decimal"/>
      <w:lvlText w:val="%3)"/>
      <w:lvlJc w:val="left"/>
      <w:pPr>
        <w:ind w:left="2520" w:hanging="360"/>
      </w:p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D80D50"/>
    <w:multiLevelType w:val="hybridMultilevel"/>
    <w:tmpl w:val="0B40DDA8"/>
    <w:lvl w:ilvl="0" w:tplc="04090011">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5F4774EC"/>
    <w:multiLevelType w:val="hybridMultilevel"/>
    <w:tmpl w:val="2878DD74"/>
    <w:lvl w:ilvl="0" w:tplc="6DA25EC2">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6134C"/>
    <w:multiLevelType w:val="hybridMultilevel"/>
    <w:tmpl w:val="F36C33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391089"/>
    <w:multiLevelType w:val="multilevel"/>
    <w:tmpl w:val="4432BABA"/>
    <w:lvl w:ilvl="0">
      <w:start w:val="2"/>
      <w:numFmt w:val="decimal"/>
      <w:lvlText w:val="%1."/>
      <w:lvlJc w:val="left"/>
      <w:pPr>
        <w:ind w:left="1120" w:hanging="400"/>
      </w:pPr>
      <w:rPr>
        <w:rFonts w:hint="default"/>
      </w:rPr>
    </w:lvl>
    <w:lvl w:ilvl="1">
      <w:start w:val="1"/>
      <w:numFmt w:val="lowerLetter"/>
      <w:lvlText w:val="%2."/>
      <w:lvlJc w:val="left"/>
      <w:pPr>
        <w:ind w:left="1980" w:hanging="360"/>
      </w:pPr>
      <w:rPr>
        <w:rFonts w:hint="default"/>
      </w:rPr>
    </w:lvl>
    <w:lvl w:ilvl="2">
      <w:start w:val="1"/>
      <w:numFmt w:val="decimal"/>
      <w:lvlText w:val="%3)"/>
      <w:lvlJc w:val="left"/>
      <w:pPr>
        <w:ind w:left="2880" w:hanging="36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66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820" w:hanging="1800"/>
      </w:pPr>
      <w:rPr>
        <w:rFonts w:hint="default"/>
      </w:rPr>
    </w:lvl>
    <w:lvl w:ilvl="8">
      <w:start w:val="1"/>
      <w:numFmt w:val="decimal"/>
      <w:lvlText w:val="%1.%2.%3.%4.%5.%6.%7.%8.%9"/>
      <w:lvlJc w:val="left"/>
      <w:pPr>
        <w:ind w:left="9720" w:hanging="1800"/>
      </w:pPr>
      <w:rPr>
        <w:rFonts w:hint="default"/>
      </w:rPr>
    </w:lvl>
  </w:abstractNum>
  <w:abstractNum w:abstractNumId="20" w15:restartNumberingAfterBreak="0">
    <w:nsid w:val="61A372A8"/>
    <w:multiLevelType w:val="hybridMultilevel"/>
    <w:tmpl w:val="1662F7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A52952"/>
    <w:multiLevelType w:val="hybridMultilevel"/>
    <w:tmpl w:val="9E7EC646"/>
    <w:lvl w:ilvl="0" w:tplc="FFFFFFFF">
      <w:start w:val="1"/>
      <w:numFmt w:val="decimal"/>
      <w:lvlText w:val="%1."/>
      <w:lvlJc w:val="left"/>
      <w:pPr>
        <w:ind w:left="1350" w:hanging="360"/>
      </w:pPr>
      <w:rPr>
        <w:rFonts w:hint="default"/>
      </w:rPr>
    </w:lvl>
    <w:lvl w:ilvl="1" w:tplc="04090019">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AB1A0E"/>
    <w:multiLevelType w:val="hybridMultilevel"/>
    <w:tmpl w:val="F928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4CBA"/>
    <w:multiLevelType w:val="multilevel"/>
    <w:tmpl w:val="A18E696A"/>
    <w:lvl w:ilvl="0">
      <w:start w:val="4"/>
      <w:numFmt w:val="decimal"/>
      <w:lvlText w:val="%1."/>
      <w:lvlJc w:val="left"/>
      <w:pPr>
        <w:ind w:left="1120" w:hanging="400"/>
      </w:pPr>
      <w:rPr>
        <w:rFonts w:hint="default"/>
      </w:rPr>
    </w:lvl>
    <w:lvl w:ilvl="1">
      <w:start w:val="2"/>
      <w:numFmt w:val="lowerLetter"/>
      <w:lvlText w:val="%2."/>
      <w:lvlJc w:val="left"/>
      <w:pPr>
        <w:ind w:left="1980" w:hanging="360"/>
      </w:pPr>
      <w:rPr>
        <w:rFonts w:hint="default"/>
      </w:rPr>
    </w:lvl>
    <w:lvl w:ilvl="2">
      <w:start w:val="1"/>
      <w:numFmt w:val="decimal"/>
      <w:lvlText w:val="%3)"/>
      <w:lvlJc w:val="left"/>
      <w:pPr>
        <w:ind w:left="2880" w:hanging="36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66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820" w:hanging="1800"/>
      </w:pPr>
      <w:rPr>
        <w:rFonts w:hint="default"/>
      </w:rPr>
    </w:lvl>
    <w:lvl w:ilvl="8">
      <w:start w:val="1"/>
      <w:numFmt w:val="decimal"/>
      <w:lvlText w:val="%1.%2.%3.%4.%5.%6.%7.%8.%9"/>
      <w:lvlJc w:val="left"/>
      <w:pPr>
        <w:ind w:left="9720" w:hanging="1800"/>
      </w:pPr>
      <w:rPr>
        <w:rFonts w:hint="default"/>
      </w:rPr>
    </w:lvl>
  </w:abstractNum>
  <w:abstractNum w:abstractNumId="24" w15:restartNumberingAfterBreak="0">
    <w:nsid w:val="693726EF"/>
    <w:multiLevelType w:val="hybridMultilevel"/>
    <w:tmpl w:val="90185E5C"/>
    <w:lvl w:ilvl="0" w:tplc="04090011">
      <w:start w:val="1"/>
      <w:numFmt w:val="decimal"/>
      <w:lvlText w:val="%1)"/>
      <w:lvlJc w:val="left"/>
      <w:pPr>
        <w:ind w:left="1998" w:hanging="360"/>
      </w:pPr>
    </w:lvl>
    <w:lvl w:ilvl="1" w:tplc="04090019">
      <w:start w:val="1"/>
      <w:numFmt w:val="lowerLetter"/>
      <w:lvlText w:val="%2."/>
      <w:lvlJc w:val="left"/>
      <w:pPr>
        <w:ind w:left="2718" w:hanging="360"/>
      </w:pPr>
    </w:lvl>
    <w:lvl w:ilvl="2" w:tplc="0409001B">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25" w15:restartNumberingAfterBreak="0">
    <w:nsid w:val="74D27B87"/>
    <w:multiLevelType w:val="hybridMultilevel"/>
    <w:tmpl w:val="0AC45D3A"/>
    <w:lvl w:ilvl="0" w:tplc="FFFFFFFF">
      <w:start w:val="1"/>
      <w:numFmt w:val="decimal"/>
      <w:lvlText w:val="%1."/>
      <w:lvlJc w:val="left"/>
      <w:pPr>
        <w:ind w:left="135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E02677"/>
    <w:multiLevelType w:val="hybridMultilevel"/>
    <w:tmpl w:val="DF9A98FE"/>
    <w:lvl w:ilvl="0" w:tplc="FFFFFFFF">
      <w:start w:val="1"/>
      <w:numFmt w:val="decimal"/>
      <w:lvlText w:val="%1)"/>
      <w:lvlJc w:val="left"/>
      <w:pPr>
        <w:ind w:left="1980" w:hanging="360"/>
      </w:pPr>
    </w:lvl>
    <w:lvl w:ilvl="1" w:tplc="FFFFFFFF">
      <w:start w:val="1"/>
      <w:numFmt w:val="lowerLetter"/>
      <w:lvlText w:val="%2."/>
      <w:lvlJc w:val="left"/>
      <w:pPr>
        <w:ind w:left="2700" w:hanging="360"/>
      </w:pPr>
    </w:lvl>
    <w:lvl w:ilvl="2" w:tplc="FFFFFFFF">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7" w15:restartNumberingAfterBreak="0">
    <w:nsid w:val="7D1857C3"/>
    <w:multiLevelType w:val="hybridMultilevel"/>
    <w:tmpl w:val="AD682456"/>
    <w:lvl w:ilvl="0" w:tplc="0409000F">
      <w:start w:val="1"/>
      <w:numFmt w:val="decimal"/>
      <w:lvlText w:val="%1."/>
      <w:lvlJc w:val="left"/>
      <w:pPr>
        <w:ind w:left="117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12D14"/>
    <w:multiLevelType w:val="hybridMultilevel"/>
    <w:tmpl w:val="AD682456"/>
    <w:lvl w:ilvl="0" w:tplc="FFFFFFFF">
      <w:start w:val="1"/>
      <w:numFmt w:val="decimal"/>
      <w:lvlText w:val="%1."/>
      <w:lvlJc w:val="left"/>
      <w:pPr>
        <w:ind w:left="135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2686737">
    <w:abstractNumId w:val="17"/>
  </w:num>
  <w:num w:numId="2" w16cid:durableId="499932222">
    <w:abstractNumId w:val="11"/>
  </w:num>
  <w:num w:numId="3" w16cid:durableId="1310936112">
    <w:abstractNumId w:val="27"/>
  </w:num>
  <w:num w:numId="4" w16cid:durableId="258563617">
    <w:abstractNumId w:val="7"/>
  </w:num>
  <w:num w:numId="5" w16cid:durableId="1965767679">
    <w:abstractNumId w:val="14"/>
    <w:lvlOverride w:ilvl="0">
      <w:startOverride w:val="1"/>
    </w:lvlOverride>
  </w:num>
  <w:num w:numId="6" w16cid:durableId="1380934439">
    <w:abstractNumId w:val="2"/>
  </w:num>
  <w:num w:numId="7" w16cid:durableId="316349063">
    <w:abstractNumId w:val="20"/>
  </w:num>
  <w:num w:numId="8" w16cid:durableId="1440028817">
    <w:abstractNumId w:val="5"/>
  </w:num>
  <w:num w:numId="9" w16cid:durableId="816460353">
    <w:abstractNumId w:val="8"/>
  </w:num>
  <w:num w:numId="10" w16cid:durableId="606275688">
    <w:abstractNumId w:val="4"/>
  </w:num>
  <w:num w:numId="11" w16cid:durableId="631519318">
    <w:abstractNumId w:val="14"/>
    <w:lvlOverride w:ilvl="0">
      <w:startOverride w:val="1"/>
    </w:lvlOverride>
  </w:num>
  <w:num w:numId="12" w16cid:durableId="2082482472">
    <w:abstractNumId w:val="14"/>
    <w:lvlOverride w:ilvl="0">
      <w:startOverride w:val="1"/>
    </w:lvlOverride>
  </w:num>
  <w:num w:numId="13" w16cid:durableId="881944884">
    <w:abstractNumId w:val="14"/>
    <w:lvlOverride w:ilvl="0">
      <w:startOverride w:val="1"/>
    </w:lvlOverride>
  </w:num>
  <w:num w:numId="14" w16cid:durableId="1718163539">
    <w:abstractNumId w:val="14"/>
    <w:lvlOverride w:ilvl="0">
      <w:startOverride w:val="1"/>
    </w:lvlOverride>
  </w:num>
  <w:num w:numId="15" w16cid:durableId="910382018">
    <w:abstractNumId w:val="25"/>
  </w:num>
  <w:num w:numId="16" w16cid:durableId="567806133">
    <w:abstractNumId w:val="28"/>
  </w:num>
  <w:num w:numId="17" w16cid:durableId="1995377050">
    <w:abstractNumId w:val="14"/>
    <w:lvlOverride w:ilvl="0">
      <w:startOverride w:val="1"/>
    </w:lvlOverride>
  </w:num>
  <w:num w:numId="18" w16cid:durableId="1307011891">
    <w:abstractNumId w:val="14"/>
    <w:lvlOverride w:ilvl="0">
      <w:startOverride w:val="1"/>
    </w:lvlOverride>
  </w:num>
  <w:num w:numId="19" w16cid:durableId="909193233">
    <w:abstractNumId w:val="10"/>
  </w:num>
  <w:num w:numId="20" w16cid:durableId="34543495">
    <w:abstractNumId w:val="15"/>
  </w:num>
  <w:num w:numId="21" w16cid:durableId="75516654">
    <w:abstractNumId w:val="6"/>
  </w:num>
  <w:num w:numId="22" w16cid:durableId="631911455">
    <w:abstractNumId w:val="0"/>
  </w:num>
  <w:num w:numId="23" w16cid:durableId="1920406318">
    <w:abstractNumId w:val="18"/>
  </w:num>
  <w:num w:numId="24" w16cid:durableId="2057662285">
    <w:abstractNumId w:val="14"/>
    <w:lvlOverride w:ilvl="0">
      <w:startOverride w:val="1"/>
    </w:lvlOverride>
  </w:num>
  <w:num w:numId="25" w16cid:durableId="463692082">
    <w:abstractNumId w:val="14"/>
    <w:lvlOverride w:ilvl="0">
      <w:startOverride w:val="1"/>
    </w:lvlOverride>
  </w:num>
  <w:num w:numId="26" w16cid:durableId="367074240">
    <w:abstractNumId w:val="14"/>
    <w:lvlOverride w:ilvl="0">
      <w:startOverride w:val="1"/>
    </w:lvlOverride>
  </w:num>
  <w:num w:numId="27" w16cid:durableId="2016181731">
    <w:abstractNumId w:val="14"/>
    <w:lvlOverride w:ilvl="0">
      <w:startOverride w:val="1"/>
    </w:lvlOverride>
  </w:num>
  <w:num w:numId="28" w16cid:durableId="503983366">
    <w:abstractNumId w:val="14"/>
    <w:lvlOverride w:ilvl="0">
      <w:startOverride w:val="1"/>
    </w:lvlOverride>
  </w:num>
  <w:num w:numId="29" w16cid:durableId="692613227">
    <w:abstractNumId w:val="14"/>
    <w:lvlOverride w:ilvl="0">
      <w:startOverride w:val="1"/>
    </w:lvlOverride>
  </w:num>
  <w:num w:numId="30" w16cid:durableId="1926722498">
    <w:abstractNumId w:val="14"/>
    <w:lvlOverride w:ilvl="0">
      <w:startOverride w:val="1"/>
    </w:lvlOverride>
  </w:num>
  <w:num w:numId="31" w16cid:durableId="1683312218">
    <w:abstractNumId w:val="14"/>
    <w:lvlOverride w:ilvl="0">
      <w:startOverride w:val="1"/>
    </w:lvlOverride>
  </w:num>
  <w:num w:numId="32" w16cid:durableId="209848919">
    <w:abstractNumId w:val="9"/>
  </w:num>
  <w:num w:numId="33" w16cid:durableId="1492211409">
    <w:abstractNumId w:val="21"/>
  </w:num>
  <w:num w:numId="34" w16cid:durableId="1444111003">
    <w:abstractNumId w:val="14"/>
    <w:lvlOverride w:ilvl="0">
      <w:startOverride w:val="1"/>
    </w:lvlOverride>
  </w:num>
  <w:num w:numId="35" w16cid:durableId="525021947">
    <w:abstractNumId w:val="22"/>
  </w:num>
  <w:num w:numId="36" w16cid:durableId="1929804850">
    <w:abstractNumId w:val="13"/>
  </w:num>
  <w:num w:numId="37" w16cid:durableId="237641123">
    <w:abstractNumId w:val="3"/>
  </w:num>
  <w:num w:numId="38" w16cid:durableId="1910724077">
    <w:abstractNumId w:val="19"/>
  </w:num>
  <w:num w:numId="39" w16cid:durableId="227156799">
    <w:abstractNumId w:val="24"/>
  </w:num>
  <w:num w:numId="40" w16cid:durableId="96558248">
    <w:abstractNumId w:val="16"/>
  </w:num>
  <w:num w:numId="41" w16cid:durableId="1712606390">
    <w:abstractNumId w:val="14"/>
    <w:lvlOverride w:ilvl="0">
      <w:startOverride w:val="1"/>
    </w:lvlOverride>
  </w:num>
  <w:num w:numId="42" w16cid:durableId="1459299170">
    <w:abstractNumId w:val="14"/>
    <w:lvlOverride w:ilvl="0">
      <w:startOverride w:val="1"/>
    </w:lvlOverride>
  </w:num>
  <w:num w:numId="43" w16cid:durableId="1742026279">
    <w:abstractNumId w:val="26"/>
  </w:num>
  <w:num w:numId="44" w16cid:durableId="1596400334">
    <w:abstractNumId w:val="14"/>
    <w:lvlOverride w:ilvl="0">
      <w:startOverride w:val="1"/>
    </w:lvlOverride>
  </w:num>
  <w:num w:numId="45" w16cid:durableId="499270861">
    <w:abstractNumId w:val="14"/>
    <w:lvlOverride w:ilvl="0">
      <w:startOverride w:val="1"/>
    </w:lvlOverride>
  </w:num>
  <w:num w:numId="46" w16cid:durableId="302194150">
    <w:abstractNumId w:val="14"/>
  </w:num>
  <w:num w:numId="47" w16cid:durableId="802574507">
    <w:abstractNumId w:val="23"/>
  </w:num>
  <w:num w:numId="48" w16cid:durableId="481846578">
    <w:abstractNumId w:val="1"/>
  </w:num>
  <w:num w:numId="49" w16cid:durableId="1880632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73"/>
    <w:rsid w:val="00000393"/>
    <w:rsid w:val="00000993"/>
    <w:rsid w:val="00000FB3"/>
    <w:rsid w:val="000015F8"/>
    <w:rsid w:val="000040D1"/>
    <w:rsid w:val="00004B5A"/>
    <w:rsid w:val="00006C17"/>
    <w:rsid w:val="00007968"/>
    <w:rsid w:val="00007AB5"/>
    <w:rsid w:val="00007D17"/>
    <w:rsid w:val="00007E6B"/>
    <w:rsid w:val="000133A8"/>
    <w:rsid w:val="000137F1"/>
    <w:rsid w:val="00014D98"/>
    <w:rsid w:val="00015232"/>
    <w:rsid w:val="00015BF0"/>
    <w:rsid w:val="0002067C"/>
    <w:rsid w:val="00020937"/>
    <w:rsid w:val="00021746"/>
    <w:rsid w:val="00021F25"/>
    <w:rsid w:val="0002321F"/>
    <w:rsid w:val="00024EDB"/>
    <w:rsid w:val="00025607"/>
    <w:rsid w:val="00027A29"/>
    <w:rsid w:val="0003007E"/>
    <w:rsid w:val="00032CA6"/>
    <w:rsid w:val="00032DA5"/>
    <w:rsid w:val="0003346F"/>
    <w:rsid w:val="00033A8A"/>
    <w:rsid w:val="0003491B"/>
    <w:rsid w:val="00035247"/>
    <w:rsid w:val="00035FBD"/>
    <w:rsid w:val="00036548"/>
    <w:rsid w:val="0004045B"/>
    <w:rsid w:val="00042CA3"/>
    <w:rsid w:val="00042FEF"/>
    <w:rsid w:val="00046545"/>
    <w:rsid w:val="000518EA"/>
    <w:rsid w:val="00051D64"/>
    <w:rsid w:val="00052008"/>
    <w:rsid w:val="0005363A"/>
    <w:rsid w:val="0005376C"/>
    <w:rsid w:val="0005520D"/>
    <w:rsid w:val="000576A8"/>
    <w:rsid w:val="00057C06"/>
    <w:rsid w:val="00061F72"/>
    <w:rsid w:val="00062863"/>
    <w:rsid w:val="00062C00"/>
    <w:rsid w:val="00062DD1"/>
    <w:rsid w:val="000635DA"/>
    <w:rsid w:val="00063C8F"/>
    <w:rsid w:val="000642DA"/>
    <w:rsid w:val="00064528"/>
    <w:rsid w:val="000645BA"/>
    <w:rsid w:val="00064C3D"/>
    <w:rsid w:val="00065802"/>
    <w:rsid w:val="000659CD"/>
    <w:rsid w:val="00066B1D"/>
    <w:rsid w:val="00066F81"/>
    <w:rsid w:val="000721E6"/>
    <w:rsid w:val="000724B8"/>
    <w:rsid w:val="000731A8"/>
    <w:rsid w:val="00073306"/>
    <w:rsid w:val="000735DB"/>
    <w:rsid w:val="00073FD5"/>
    <w:rsid w:val="00074180"/>
    <w:rsid w:val="00074F45"/>
    <w:rsid w:val="00076B21"/>
    <w:rsid w:val="00077B60"/>
    <w:rsid w:val="00077BCD"/>
    <w:rsid w:val="00081CE9"/>
    <w:rsid w:val="00083F8C"/>
    <w:rsid w:val="000844F3"/>
    <w:rsid w:val="000846FE"/>
    <w:rsid w:val="00084E02"/>
    <w:rsid w:val="00085FB6"/>
    <w:rsid w:val="00087213"/>
    <w:rsid w:val="00087470"/>
    <w:rsid w:val="000900D7"/>
    <w:rsid w:val="000900F0"/>
    <w:rsid w:val="000905A3"/>
    <w:rsid w:val="000906E8"/>
    <w:rsid w:val="00091487"/>
    <w:rsid w:val="000921A3"/>
    <w:rsid w:val="000930EA"/>
    <w:rsid w:val="00093433"/>
    <w:rsid w:val="00093767"/>
    <w:rsid w:val="00093D84"/>
    <w:rsid w:val="00094A7C"/>
    <w:rsid w:val="00094B81"/>
    <w:rsid w:val="00095017"/>
    <w:rsid w:val="000954A9"/>
    <w:rsid w:val="00096C7F"/>
    <w:rsid w:val="00096DC5"/>
    <w:rsid w:val="00097B24"/>
    <w:rsid w:val="000A1C83"/>
    <w:rsid w:val="000A1D93"/>
    <w:rsid w:val="000A22D6"/>
    <w:rsid w:val="000A3225"/>
    <w:rsid w:val="000A380A"/>
    <w:rsid w:val="000A3EC9"/>
    <w:rsid w:val="000A5CD9"/>
    <w:rsid w:val="000A6A51"/>
    <w:rsid w:val="000A6BDD"/>
    <w:rsid w:val="000A6D08"/>
    <w:rsid w:val="000A7697"/>
    <w:rsid w:val="000B02FD"/>
    <w:rsid w:val="000B0D1C"/>
    <w:rsid w:val="000B2584"/>
    <w:rsid w:val="000B4504"/>
    <w:rsid w:val="000B4D7E"/>
    <w:rsid w:val="000B7C43"/>
    <w:rsid w:val="000C0643"/>
    <w:rsid w:val="000C1E99"/>
    <w:rsid w:val="000C3E7D"/>
    <w:rsid w:val="000C692D"/>
    <w:rsid w:val="000C7FD1"/>
    <w:rsid w:val="000D0052"/>
    <w:rsid w:val="000D0955"/>
    <w:rsid w:val="000D31AC"/>
    <w:rsid w:val="000D3CFD"/>
    <w:rsid w:val="000D3ED6"/>
    <w:rsid w:val="000D5E1A"/>
    <w:rsid w:val="000D636D"/>
    <w:rsid w:val="000D7C97"/>
    <w:rsid w:val="000E1318"/>
    <w:rsid w:val="000E21EB"/>
    <w:rsid w:val="000E254C"/>
    <w:rsid w:val="000E3E0D"/>
    <w:rsid w:val="000E4B25"/>
    <w:rsid w:val="000E4FC0"/>
    <w:rsid w:val="000F104F"/>
    <w:rsid w:val="000F1936"/>
    <w:rsid w:val="000F254A"/>
    <w:rsid w:val="000F2ACA"/>
    <w:rsid w:val="000F3F01"/>
    <w:rsid w:val="000F4FC0"/>
    <w:rsid w:val="000F5D6B"/>
    <w:rsid w:val="000F6F53"/>
    <w:rsid w:val="0010257F"/>
    <w:rsid w:val="00103904"/>
    <w:rsid w:val="00104424"/>
    <w:rsid w:val="00106555"/>
    <w:rsid w:val="00106B0D"/>
    <w:rsid w:val="00107F3F"/>
    <w:rsid w:val="00111148"/>
    <w:rsid w:val="0011171E"/>
    <w:rsid w:val="00113D28"/>
    <w:rsid w:val="0011487D"/>
    <w:rsid w:val="00114CE9"/>
    <w:rsid w:val="00115625"/>
    <w:rsid w:val="00115E7F"/>
    <w:rsid w:val="00117752"/>
    <w:rsid w:val="0011780B"/>
    <w:rsid w:val="00117924"/>
    <w:rsid w:val="001200A4"/>
    <w:rsid w:val="001208DE"/>
    <w:rsid w:val="00122A68"/>
    <w:rsid w:val="00123556"/>
    <w:rsid w:val="00123A39"/>
    <w:rsid w:val="00123CBC"/>
    <w:rsid w:val="001251A1"/>
    <w:rsid w:val="00125BC5"/>
    <w:rsid w:val="00126750"/>
    <w:rsid w:val="001301F7"/>
    <w:rsid w:val="0013159C"/>
    <w:rsid w:val="00132765"/>
    <w:rsid w:val="00133F4D"/>
    <w:rsid w:val="0013414B"/>
    <w:rsid w:val="00135022"/>
    <w:rsid w:val="00135D7E"/>
    <w:rsid w:val="00136561"/>
    <w:rsid w:val="00137A65"/>
    <w:rsid w:val="0014371E"/>
    <w:rsid w:val="00144171"/>
    <w:rsid w:val="001442BC"/>
    <w:rsid w:val="00146356"/>
    <w:rsid w:val="001466CD"/>
    <w:rsid w:val="00147786"/>
    <w:rsid w:val="001505E1"/>
    <w:rsid w:val="00151C1F"/>
    <w:rsid w:val="00151C6B"/>
    <w:rsid w:val="0015204C"/>
    <w:rsid w:val="00152789"/>
    <w:rsid w:val="00153029"/>
    <w:rsid w:val="001543A1"/>
    <w:rsid w:val="001549D4"/>
    <w:rsid w:val="00155236"/>
    <w:rsid w:val="001553EB"/>
    <w:rsid w:val="00155C00"/>
    <w:rsid w:val="00155D09"/>
    <w:rsid w:val="00155DD4"/>
    <w:rsid w:val="00157C08"/>
    <w:rsid w:val="00162468"/>
    <w:rsid w:val="001625E6"/>
    <w:rsid w:val="00162611"/>
    <w:rsid w:val="00162C39"/>
    <w:rsid w:val="00164CDF"/>
    <w:rsid w:val="00165331"/>
    <w:rsid w:val="0016538F"/>
    <w:rsid w:val="00165AE0"/>
    <w:rsid w:val="00166C20"/>
    <w:rsid w:val="00171951"/>
    <w:rsid w:val="00171953"/>
    <w:rsid w:val="00172927"/>
    <w:rsid w:val="0017687D"/>
    <w:rsid w:val="00176C6C"/>
    <w:rsid w:val="00176E77"/>
    <w:rsid w:val="00177730"/>
    <w:rsid w:val="00182155"/>
    <w:rsid w:val="0018339A"/>
    <w:rsid w:val="00184766"/>
    <w:rsid w:val="001856A5"/>
    <w:rsid w:val="0018724D"/>
    <w:rsid w:val="00187755"/>
    <w:rsid w:val="00190AB1"/>
    <w:rsid w:val="00191FC6"/>
    <w:rsid w:val="00191FEB"/>
    <w:rsid w:val="00192439"/>
    <w:rsid w:val="00193104"/>
    <w:rsid w:val="00194594"/>
    <w:rsid w:val="00196792"/>
    <w:rsid w:val="001968AE"/>
    <w:rsid w:val="001A10F5"/>
    <w:rsid w:val="001A1C33"/>
    <w:rsid w:val="001A3342"/>
    <w:rsid w:val="001A4BD5"/>
    <w:rsid w:val="001A6038"/>
    <w:rsid w:val="001A77B4"/>
    <w:rsid w:val="001A79F0"/>
    <w:rsid w:val="001A7C20"/>
    <w:rsid w:val="001A7D15"/>
    <w:rsid w:val="001B02E1"/>
    <w:rsid w:val="001B05AF"/>
    <w:rsid w:val="001B0FB2"/>
    <w:rsid w:val="001B1FFF"/>
    <w:rsid w:val="001B2993"/>
    <w:rsid w:val="001B29E2"/>
    <w:rsid w:val="001B3FED"/>
    <w:rsid w:val="001B5699"/>
    <w:rsid w:val="001B6339"/>
    <w:rsid w:val="001B7668"/>
    <w:rsid w:val="001C046F"/>
    <w:rsid w:val="001C1D2E"/>
    <w:rsid w:val="001C214F"/>
    <w:rsid w:val="001C40AE"/>
    <w:rsid w:val="001C645B"/>
    <w:rsid w:val="001C6508"/>
    <w:rsid w:val="001C6872"/>
    <w:rsid w:val="001C6A3C"/>
    <w:rsid w:val="001D10C5"/>
    <w:rsid w:val="001D1351"/>
    <w:rsid w:val="001D3319"/>
    <w:rsid w:val="001D341F"/>
    <w:rsid w:val="001D676E"/>
    <w:rsid w:val="001E13BB"/>
    <w:rsid w:val="001E14F3"/>
    <w:rsid w:val="001E29F6"/>
    <w:rsid w:val="001E30A3"/>
    <w:rsid w:val="001E385D"/>
    <w:rsid w:val="001E3883"/>
    <w:rsid w:val="001E4AE4"/>
    <w:rsid w:val="001E64D4"/>
    <w:rsid w:val="001E750E"/>
    <w:rsid w:val="001E7958"/>
    <w:rsid w:val="001F0161"/>
    <w:rsid w:val="001F06AA"/>
    <w:rsid w:val="001F0A01"/>
    <w:rsid w:val="001F110C"/>
    <w:rsid w:val="001F13F9"/>
    <w:rsid w:val="001F2EB7"/>
    <w:rsid w:val="001F43F6"/>
    <w:rsid w:val="001F4459"/>
    <w:rsid w:val="001F7A70"/>
    <w:rsid w:val="001F7ACB"/>
    <w:rsid w:val="001F7AEF"/>
    <w:rsid w:val="001F7D9D"/>
    <w:rsid w:val="00201338"/>
    <w:rsid w:val="00201495"/>
    <w:rsid w:val="00201F6D"/>
    <w:rsid w:val="00205AA8"/>
    <w:rsid w:val="00205ED2"/>
    <w:rsid w:val="002064EA"/>
    <w:rsid w:val="0020667D"/>
    <w:rsid w:val="00207B2C"/>
    <w:rsid w:val="00207C5A"/>
    <w:rsid w:val="00211BFC"/>
    <w:rsid w:val="00212C55"/>
    <w:rsid w:val="00212D99"/>
    <w:rsid w:val="002144D9"/>
    <w:rsid w:val="00214FCC"/>
    <w:rsid w:val="0022057E"/>
    <w:rsid w:val="00220807"/>
    <w:rsid w:val="00221B1E"/>
    <w:rsid w:val="002220EB"/>
    <w:rsid w:val="0022291A"/>
    <w:rsid w:val="002237AD"/>
    <w:rsid w:val="00225581"/>
    <w:rsid w:val="0022614B"/>
    <w:rsid w:val="00227791"/>
    <w:rsid w:val="0023071C"/>
    <w:rsid w:val="002313F6"/>
    <w:rsid w:val="00232052"/>
    <w:rsid w:val="00233301"/>
    <w:rsid w:val="0023342C"/>
    <w:rsid w:val="0023420E"/>
    <w:rsid w:val="002347B6"/>
    <w:rsid w:val="00234BEB"/>
    <w:rsid w:val="002355FA"/>
    <w:rsid w:val="0023607C"/>
    <w:rsid w:val="00236367"/>
    <w:rsid w:val="002373E4"/>
    <w:rsid w:val="002379DD"/>
    <w:rsid w:val="0024186D"/>
    <w:rsid w:val="00241DFD"/>
    <w:rsid w:val="002421E6"/>
    <w:rsid w:val="002433AA"/>
    <w:rsid w:val="002434AA"/>
    <w:rsid w:val="00245556"/>
    <w:rsid w:val="00246257"/>
    <w:rsid w:val="002465D3"/>
    <w:rsid w:val="00246DE3"/>
    <w:rsid w:val="0024751D"/>
    <w:rsid w:val="00251274"/>
    <w:rsid w:val="002527E4"/>
    <w:rsid w:val="00254B4A"/>
    <w:rsid w:val="002552E8"/>
    <w:rsid w:val="00256671"/>
    <w:rsid w:val="00257D07"/>
    <w:rsid w:val="00257D4A"/>
    <w:rsid w:val="002608CE"/>
    <w:rsid w:val="00260A6D"/>
    <w:rsid w:val="0026417E"/>
    <w:rsid w:val="0026493E"/>
    <w:rsid w:val="00264E4F"/>
    <w:rsid w:val="002650A9"/>
    <w:rsid w:val="00265F6A"/>
    <w:rsid w:val="002661F5"/>
    <w:rsid w:val="002662EB"/>
    <w:rsid w:val="00266DA3"/>
    <w:rsid w:val="00267941"/>
    <w:rsid w:val="00267F53"/>
    <w:rsid w:val="00270845"/>
    <w:rsid w:val="00270892"/>
    <w:rsid w:val="00271205"/>
    <w:rsid w:val="002723D6"/>
    <w:rsid w:val="00272797"/>
    <w:rsid w:val="002737BE"/>
    <w:rsid w:val="00274936"/>
    <w:rsid w:val="00275A2A"/>
    <w:rsid w:val="00275B5C"/>
    <w:rsid w:val="0027640B"/>
    <w:rsid w:val="002806C6"/>
    <w:rsid w:val="00281AB7"/>
    <w:rsid w:val="00281D0A"/>
    <w:rsid w:val="00282F7A"/>
    <w:rsid w:val="00283B4A"/>
    <w:rsid w:val="00284936"/>
    <w:rsid w:val="00285AEF"/>
    <w:rsid w:val="002875FD"/>
    <w:rsid w:val="002909F0"/>
    <w:rsid w:val="00291BC2"/>
    <w:rsid w:val="00293D3C"/>
    <w:rsid w:val="002954CB"/>
    <w:rsid w:val="002955C8"/>
    <w:rsid w:val="0029568C"/>
    <w:rsid w:val="00295C32"/>
    <w:rsid w:val="00297251"/>
    <w:rsid w:val="0029793E"/>
    <w:rsid w:val="00297FCE"/>
    <w:rsid w:val="002A11FA"/>
    <w:rsid w:val="002A1C2F"/>
    <w:rsid w:val="002A3AD4"/>
    <w:rsid w:val="002A3C16"/>
    <w:rsid w:val="002A3D74"/>
    <w:rsid w:val="002A3F58"/>
    <w:rsid w:val="002A4DDB"/>
    <w:rsid w:val="002A57C6"/>
    <w:rsid w:val="002A5A1F"/>
    <w:rsid w:val="002A69EC"/>
    <w:rsid w:val="002B1000"/>
    <w:rsid w:val="002B125C"/>
    <w:rsid w:val="002B143E"/>
    <w:rsid w:val="002B184D"/>
    <w:rsid w:val="002B5994"/>
    <w:rsid w:val="002C0034"/>
    <w:rsid w:val="002C23EE"/>
    <w:rsid w:val="002C4040"/>
    <w:rsid w:val="002C4132"/>
    <w:rsid w:val="002C421A"/>
    <w:rsid w:val="002C4AD3"/>
    <w:rsid w:val="002C4CA1"/>
    <w:rsid w:val="002C5439"/>
    <w:rsid w:val="002C5EB2"/>
    <w:rsid w:val="002C68A2"/>
    <w:rsid w:val="002C77D3"/>
    <w:rsid w:val="002D1FE0"/>
    <w:rsid w:val="002D30CC"/>
    <w:rsid w:val="002D368E"/>
    <w:rsid w:val="002D3B23"/>
    <w:rsid w:val="002D611B"/>
    <w:rsid w:val="002E0B6D"/>
    <w:rsid w:val="002E1A55"/>
    <w:rsid w:val="002E1DBE"/>
    <w:rsid w:val="002E46D1"/>
    <w:rsid w:val="002E4985"/>
    <w:rsid w:val="002E6D12"/>
    <w:rsid w:val="002F1155"/>
    <w:rsid w:val="002F1FFA"/>
    <w:rsid w:val="002F258E"/>
    <w:rsid w:val="002F38F8"/>
    <w:rsid w:val="002F3C47"/>
    <w:rsid w:val="002F4D0F"/>
    <w:rsid w:val="002F5DDB"/>
    <w:rsid w:val="002F6275"/>
    <w:rsid w:val="002F7F8E"/>
    <w:rsid w:val="00301D3B"/>
    <w:rsid w:val="0030282C"/>
    <w:rsid w:val="003037FA"/>
    <w:rsid w:val="0030434E"/>
    <w:rsid w:val="0030795F"/>
    <w:rsid w:val="00307E7E"/>
    <w:rsid w:val="00311A0B"/>
    <w:rsid w:val="003122BA"/>
    <w:rsid w:val="0031342C"/>
    <w:rsid w:val="00313445"/>
    <w:rsid w:val="0031473D"/>
    <w:rsid w:val="00315179"/>
    <w:rsid w:val="003154B4"/>
    <w:rsid w:val="00316A55"/>
    <w:rsid w:val="00317103"/>
    <w:rsid w:val="00317B0C"/>
    <w:rsid w:val="00317FC0"/>
    <w:rsid w:val="00320214"/>
    <w:rsid w:val="003204DB"/>
    <w:rsid w:val="003205CE"/>
    <w:rsid w:val="003212F2"/>
    <w:rsid w:val="003220B7"/>
    <w:rsid w:val="00323282"/>
    <w:rsid w:val="00325636"/>
    <w:rsid w:val="0032613A"/>
    <w:rsid w:val="00326A1F"/>
    <w:rsid w:val="00326AE7"/>
    <w:rsid w:val="00330CB6"/>
    <w:rsid w:val="003317EB"/>
    <w:rsid w:val="00332529"/>
    <w:rsid w:val="00333F4D"/>
    <w:rsid w:val="003345E1"/>
    <w:rsid w:val="0033507C"/>
    <w:rsid w:val="00336D0D"/>
    <w:rsid w:val="00337652"/>
    <w:rsid w:val="0033767C"/>
    <w:rsid w:val="00337A92"/>
    <w:rsid w:val="00341E27"/>
    <w:rsid w:val="003421F7"/>
    <w:rsid w:val="0034492A"/>
    <w:rsid w:val="003450B8"/>
    <w:rsid w:val="00345653"/>
    <w:rsid w:val="00346B85"/>
    <w:rsid w:val="00347AEC"/>
    <w:rsid w:val="0035030A"/>
    <w:rsid w:val="00351395"/>
    <w:rsid w:val="0035253C"/>
    <w:rsid w:val="003532E9"/>
    <w:rsid w:val="003534B2"/>
    <w:rsid w:val="00353B0E"/>
    <w:rsid w:val="00353D7D"/>
    <w:rsid w:val="003555F7"/>
    <w:rsid w:val="00355777"/>
    <w:rsid w:val="003567B3"/>
    <w:rsid w:val="0035715B"/>
    <w:rsid w:val="003571FC"/>
    <w:rsid w:val="00357CB5"/>
    <w:rsid w:val="003618AF"/>
    <w:rsid w:val="00362915"/>
    <w:rsid w:val="00362B60"/>
    <w:rsid w:val="00362EA1"/>
    <w:rsid w:val="003636EC"/>
    <w:rsid w:val="00364167"/>
    <w:rsid w:val="003644B5"/>
    <w:rsid w:val="003651B7"/>
    <w:rsid w:val="003656C1"/>
    <w:rsid w:val="00366718"/>
    <w:rsid w:val="00370663"/>
    <w:rsid w:val="0037096F"/>
    <w:rsid w:val="00370E1F"/>
    <w:rsid w:val="003711EA"/>
    <w:rsid w:val="003729BB"/>
    <w:rsid w:val="00372AEF"/>
    <w:rsid w:val="0037363E"/>
    <w:rsid w:val="00373726"/>
    <w:rsid w:val="00373AA2"/>
    <w:rsid w:val="0037512A"/>
    <w:rsid w:val="003768F2"/>
    <w:rsid w:val="00376D47"/>
    <w:rsid w:val="00376E64"/>
    <w:rsid w:val="00380071"/>
    <w:rsid w:val="003807C9"/>
    <w:rsid w:val="0038100B"/>
    <w:rsid w:val="003810E1"/>
    <w:rsid w:val="00382478"/>
    <w:rsid w:val="00383064"/>
    <w:rsid w:val="0038439B"/>
    <w:rsid w:val="0038480C"/>
    <w:rsid w:val="00384A04"/>
    <w:rsid w:val="00384A16"/>
    <w:rsid w:val="00384FFA"/>
    <w:rsid w:val="003867D2"/>
    <w:rsid w:val="00386B47"/>
    <w:rsid w:val="00387B8E"/>
    <w:rsid w:val="00390779"/>
    <w:rsid w:val="00391ABB"/>
    <w:rsid w:val="0039442F"/>
    <w:rsid w:val="003966E1"/>
    <w:rsid w:val="0039761E"/>
    <w:rsid w:val="003A1986"/>
    <w:rsid w:val="003A1A19"/>
    <w:rsid w:val="003A20B1"/>
    <w:rsid w:val="003A2494"/>
    <w:rsid w:val="003A2DDA"/>
    <w:rsid w:val="003A5AB2"/>
    <w:rsid w:val="003B0EA6"/>
    <w:rsid w:val="003B2A3F"/>
    <w:rsid w:val="003B2CC5"/>
    <w:rsid w:val="003B31DC"/>
    <w:rsid w:val="003B4266"/>
    <w:rsid w:val="003B4B33"/>
    <w:rsid w:val="003B5ABC"/>
    <w:rsid w:val="003B680A"/>
    <w:rsid w:val="003B6B85"/>
    <w:rsid w:val="003B6E89"/>
    <w:rsid w:val="003B7001"/>
    <w:rsid w:val="003B7417"/>
    <w:rsid w:val="003B75A4"/>
    <w:rsid w:val="003B7B1C"/>
    <w:rsid w:val="003C0960"/>
    <w:rsid w:val="003C0E8D"/>
    <w:rsid w:val="003C15E5"/>
    <w:rsid w:val="003C1B1A"/>
    <w:rsid w:val="003C244A"/>
    <w:rsid w:val="003C2DBE"/>
    <w:rsid w:val="003C4508"/>
    <w:rsid w:val="003C4FB5"/>
    <w:rsid w:val="003C5063"/>
    <w:rsid w:val="003C602B"/>
    <w:rsid w:val="003C62B2"/>
    <w:rsid w:val="003D18CA"/>
    <w:rsid w:val="003D201A"/>
    <w:rsid w:val="003D3AE5"/>
    <w:rsid w:val="003D3D25"/>
    <w:rsid w:val="003D438E"/>
    <w:rsid w:val="003D4D98"/>
    <w:rsid w:val="003D5F3E"/>
    <w:rsid w:val="003D64EF"/>
    <w:rsid w:val="003E335C"/>
    <w:rsid w:val="003E4977"/>
    <w:rsid w:val="003E53B8"/>
    <w:rsid w:val="003E56CA"/>
    <w:rsid w:val="003E6CB2"/>
    <w:rsid w:val="003E7BD4"/>
    <w:rsid w:val="003F0EBD"/>
    <w:rsid w:val="003F148F"/>
    <w:rsid w:val="003F1553"/>
    <w:rsid w:val="003F25E5"/>
    <w:rsid w:val="003F4C9D"/>
    <w:rsid w:val="003F4DAD"/>
    <w:rsid w:val="003F62B1"/>
    <w:rsid w:val="003F68C9"/>
    <w:rsid w:val="003F6C46"/>
    <w:rsid w:val="003F76EE"/>
    <w:rsid w:val="004001D9"/>
    <w:rsid w:val="004007B2"/>
    <w:rsid w:val="0040141A"/>
    <w:rsid w:val="00403157"/>
    <w:rsid w:val="00403EFF"/>
    <w:rsid w:val="0040566A"/>
    <w:rsid w:val="00406FE6"/>
    <w:rsid w:val="004125C1"/>
    <w:rsid w:val="004162DE"/>
    <w:rsid w:val="004162E3"/>
    <w:rsid w:val="00417EDD"/>
    <w:rsid w:val="00421ADE"/>
    <w:rsid w:val="00421E6F"/>
    <w:rsid w:val="004232CB"/>
    <w:rsid w:val="004233F4"/>
    <w:rsid w:val="004239FD"/>
    <w:rsid w:val="00424199"/>
    <w:rsid w:val="00425821"/>
    <w:rsid w:val="004309DA"/>
    <w:rsid w:val="00430B45"/>
    <w:rsid w:val="00430E78"/>
    <w:rsid w:val="00431D9B"/>
    <w:rsid w:val="00433FBE"/>
    <w:rsid w:val="00434759"/>
    <w:rsid w:val="00435090"/>
    <w:rsid w:val="0043510B"/>
    <w:rsid w:val="00436EEB"/>
    <w:rsid w:val="004377CE"/>
    <w:rsid w:val="00437F6A"/>
    <w:rsid w:val="0044169C"/>
    <w:rsid w:val="0044307C"/>
    <w:rsid w:val="00443A84"/>
    <w:rsid w:val="00443CBF"/>
    <w:rsid w:val="00444914"/>
    <w:rsid w:val="00444DBA"/>
    <w:rsid w:val="00445C41"/>
    <w:rsid w:val="0044704B"/>
    <w:rsid w:val="00447941"/>
    <w:rsid w:val="0045085B"/>
    <w:rsid w:val="00450A9A"/>
    <w:rsid w:val="0045103A"/>
    <w:rsid w:val="004511D5"/>
    <w:rsid w:val="00451661"/>
    <w:rsid w:val="00451688"/>
    <w:rsid w:val="00452E20"/>
    <w:rsid w:val="004535C8"/>
    <w:rsid w:val="00454253"/>
    <w:rsid w:val="0046215B"/>
    <w:rsid w:val="00462C52"/>
    <w:rsid w:val="0046328F"/>
    <w:rsid w:val="004632AD"/>
    <w:rsid w:val="00463B3B"/>
    <w:rsid w:val="0046415C"/>
    <w:rsid w:val="00467F27"/>
    <w:rsid w:val="004703B6"/>
    <w:rsid w:val="00470860"/>
    <w:rsid w:val="00471015"/>
    <w:rsid w:val="00471090"/>
    <w:rsid w:val="004747F6"/>
    <w:rsid w:val="004803E9"/>
    <w:rsid w:val="00480CC6"/>
    <w:rsid w:val="00481BDE"/>
    <w:rsid w:val="00482E47"/>
    <w:rsid w:val="004841C5"/>
    <w:rsid w:val="00485283"/>
    <w:rsid w:val="00485D1C"/>
    <w:rsid w:val="00485FFE"/>
    <w:rsid w:val="00486948"/>
    <w:rsid w:val="00487FD0"/>
    <w:rsid w:val="004901C2"/>
    <w:rsid w:val="004907F1"/>
    <w:rsid w:val="00490831"/>
    <w:rsid w:val="00490BDF"/>
    <w:rsid w:val="004943CB"/>
    <w:rsid w:val="0049486C"/>
    <w:rsid w:val="00496BFE"/>
    <w:rsid w:val="00497080"/>
    <w:rsid w:val="004A00F4"/>
    <w:rsid w:val="004A04F0"/>
    <w:rsid w:val="004A1537"/>
    <w:rsid w:val="004A1C76"/>
    <w:rsid w:val="004A27C4"/>
    <w:rsid w:val="004A283D"/>
    <w:rsid w:val="004A3307"/>
    <w:rsid w:val="004A3324"/>
    <w:rsid w:val="004A43AF"/>
    <w:rsid w:val="004A448B"/>
    <w:rsid w:val="004A461B"/>
    <w:rsid w:val="004A491C"/>
    <w:rsid w:val="004A5D05"/>
    <w:rsid w:val="004A78F6"/>
    <w:rsid w:val="004B01C8"/>
    <w:rsid w:val="004B16FB"/>
    <w:rsid w:val="004B183D"/>
    <w:rsid w:val="004B3EE9"/>
    <w:rsid w:val="004B5B3B"/>
    <w:rsid w:val="004B65AD"/>
    <w:rsid w:val="004B65CE"/>
    <w:rsid w:val="004C0100"/>
    <w:rsid w:val="004C0EC3"/>
    <w:rsid w:val="004C15AC"/>
    <w:rsid w:val="004C3521"/>
    <w:rsid w:val="004C3AED"/>
    <w:rsid w:val="004C4F11"/>
    <w:rsid w:val="004C5C72"/>
    <w:rsid w:val="004C6CCB"/>
    <w:rsid w:val="004C7B71"/>
    <w:rsid w:val="004D009A"/>
    <w:rsid w:val="004D0985"/>
    <w:rsid w:val="004D2240"/>
    <w:rsid w:val="004D30EA"/>
    <w:rsid w:val="004D3735"/>
    <w:rsid w:val="004D637F"/>
    <w:rsid w:val="004D7A59"/>
    <w:rsid w:val="004D7B58"/>
    <w:rsid w:val="004E08A1"/>
    <w:rsid w:val="004E25FB"/>
    <w:rsid w:val="004E3184"/>
    <w:rsid w:val="004E3549"/>
    <w:rsid w:val="004E3B0D"/>
    <w:rsid w:val="004E6F04"/>
    <w:rsid w:val="004E7EDA"/>
    <w:rsid w:val="004F1633"/>
    <w:rsid w:val="004F1B73"/>
    <w:rsid w:val="004F470D"/>
    <w:rsid w:val="004F5345"/>
    <w:rsid w:val="004F6260"/>
    <w:rsid w:val="004F69B2"/>
    <w:rsid w:val="004F70A7"/>
    <w:rsid w:val="00500A44"/>
    <w:rsid w:val="00500A75"/>
    <w:rsid w:val="00500F8D"/>
    <w:rsid w:val="005012CF"/>
    <w:rsid w:val="00501C59"/>
    <w:rsid w:val="005025BD"/>
    <w:rsid w:val="00502E77"/>
    <w:rsid w:val="00503004"/>
    <w:rsid w:val="0050300E"/>
    <w:rsid w:val="005031FC"/>
    <w:rsid w:val="00504BF7"/>
    <w:rsid w:val="00505678"/>
    <w:rsid w:val="00506198"/>
    <w:rsid w:val="005065D1"/>
    <w:rsid w:val="00506EEF"/>
    <w:rsid w:val="005071A1"/>
    <w:rsid w:val="005071D2"/>
    <w:rsid w:val="00510ECC"/>
    <w:rsid w:val="005142F4"/>
    <w:rsid w:val="005178D3"/>
    <w:rsid w:val="005213F6"/>
    <w:rsid w:val="00521C01"/>
    <w:rsid w:val="005222BC"/>
    <w:rsid w:val="00522D2D"/>
    <w:rsid w:val="0052398B"/>
    <w:rsid w:val="005257DE"/>
    <w:rsid w:val="0052635D"/>
    <w:rsid w:val="0053012B"/>
    <w:rsid w:val="00530BC6"/>
    <w:rsid w:val="00530FB9"/>
    <w:rsid w:val="0053188F"/>
    <w:rsid w:val="005329F5"/>
    <w:rsid w:val="00533DE7"/>
    <w:rsid w:val="0053427A"/>
    <w:rsid w:val="0053477D"/>
    <w:rsid w:val="00537BA2"/>
    <w:rsid w:val="0054052A"/>
    <w:rsid w:val="0054074A"/>
    <w:rsid w:val="00540E17"/>
    <w:rsid w:val="005414B5"/>
    <w:rsid w:val="00541880"/>
    <w:rsid w:val="00541E66"/>
    <w:rsid w:val="00542A35"/>
    <w:rsid w:val="00544F96"/>
    <w:rsid w:val="005453AA"/>
    <w:rsid w:val="00545B17"/>
    <w:rsid w:val="00545F25"/>
    <w:rsid w:val="005460CE"/>
    <w:rsid w:val="0054733B"/>
    <w:rsid w:val="0054767B"/>
    <w:rsid w:val="00551714"/>
    <w:rsid w:val="00551E82"/>
    <w:rsid w:val="005528C2"/>
    <w:rsid w:val="005534DC"/>
    <w:rsid w:val="00553696"/>
    <w:rsid w:val="005546B2"/>
    <w:rsid w:val="00554787"/>
    <w:rsid w:val="005560BE"/>
    <w:rsid w:val="005566FF"/>
    <w:rsid w:val="00556EC2"/>
    <w:rsid w:val="005576B5"/>
    <w:rsid w:val="00557EB5"/>
    <w:rsid w:val="0056392C"/>
    <w:rsid w:val="0056395C"/>
    <w:rsid w:val="0056449D"/>
    <w:rsid w:val="005657B1"/>
    <w:rsid w:val="0056679E"/>
    <w:rsid w:val="0057176E"/>
    <w:rsid w:val="005720A5"/>
    <w:rsid w:val="00572358"/>
    <w:rsid w:val="0057407A"/>
    <w:rsid w:val="005749B8"/>
    <w:rsid w:val="00574DAF"/>
    <w:rsid w:val="00576F33"/>
    <w:rsid w:val="00577298"/>
    <w:rsid w:val="005805B3"/>
    <w:rsid w:val="00580ACF"/>
    <w:rsid w:val="0058228D"/>
    <w:rsid w:val="005824A7"/>
    <w:rsid w:val="00584185"/>
    <w:rsid w:val="00585EC4"/>
    <w:rsid w:val="00586869"/>
    <w:rsid w:val="0058708D"/>
    <w:rsid w:val="00587711"/>
    <w:rsid w:val="00591C06"/>
    <w:rsid w:val="00592D95"/>
    <w:rsid w:val="00594006"/>
    <w:rsid w:val="005940E7"/>
    <w:rsid w:val="0059434B"/>
    <w:rsid w:val="0059461B"/>
    <w:rsid w:val="00594971"/>
    <w:rsid w:val="00595283"/>
    <w:rsid w:val="005952D6"/>
    <w:rsid w:val="00595898"/>
    <w:rsid w:val="005967A1"/>
    <w:rsid w:val="00597421"/>
    <w:rsid w:val="005A060D"/>
    <w:rsid w:val="005A081A"/>
    <w:rsid w:val="005A376F"/>
    <w:rsid w:val="005A3E2F"/>
    <w:rsid w:val="005A46A0"/>
    <w:rsid w:val="005A49C5"/>
    <w:rsid w:val="005A6267"/>
    <w:rsid w:val="005A6DEC"/>
    <w:rsid w:val="005B0DF5"/>
    <w:rsid w:val="005B3317"/>
    <w:rsid w:val="005B34E8"/>
    <w:rsid w:val="005B47F7"/>
    <w:rsid w:val="005B4897"/>
    <w:rsid w:val="005B5A5C"/>
    <w:rsid w:val="005B69AA"/>
    <w:rsid w:val="005C0F1C"/>
    <w:rsid w:val="005C1177"/>
    <w:rsid w:val="005C11E4"/>
    <w:rsid w:val="005C1DE9"/>
    <w:rsid w:val="005C22C4"/>
    <w:rsid w:val="005C5FC3"/>
    <w:rsid w:val="005C6295"/>
    <w:rsid w:val="005C7797"/>
    <w:rsid w:val="005D0E1C"/>
    <w:rsid w:val="005D213E"/>
    <w:rsid w:val="005D2E17"/>
    <w:rsid w:val="005D3936"/>
    <w:rsid w:val="005D416D"/>
    <w:rsid w:val="005D780C"/>
    <w:rsid w:val="005E0A5B"/>
    <w:rsid w:val="005E1ED5"/>
    <w:rsid w:val="005E5BEC"/>
    <w:rsid w:val="005E631A"/>
    <w:rsid w:val="005E7FB1"/>
    <w:rsid w:val="005F02CD"/>
    <w:rsid w:val="005F15E9"/>
    <w:rsid w:val="005F3487"/>
    <w:rsid w:val="005F44E3"/>
    <w:rsid w:val="005F5318"/>
    <w:rsid w:val="005F72C1"/>
    <w:rsid w:val="0060100F"/>
    <w:rsid w:val="0060283F"/>
    <w:rsid w:val="00603751"/>
    <w:rsid w:val="0060375D"/>
    <w:rsid w:val="00605602"/>
    <w:rsid w:val="006060D7"/>
    <w:rsid w:val="00607729"/>
    <w:rsid w:val="00610857"/>
    <w:rsid w:val="00610982"/>
    <w:rsid w:val="00611658"/>
    <w:rsid w:val="0061581F"/>
    <w:rsid w:val="00615F19"/>
    <w:rsid w:val="006167C1"/>
    <w:rsid w:val="00620C08"/>
    <w:rsid w:val="006212FA"/>
    <w:rsid w:val="0062261C"/>
    <w:rsid w:val="00622C17"/>
    <w:rsid w:val="006231E2"/>
    <w:rsid w:val="0062376F"/>
    <w:rsid w:val="00623779"/>
    <w:rsid w:val="00624D48"/>
    <w:rsid w:val="00624DB3"/>
    <w:rsid w:val="00624DC2"/>
    <w:rsid w:val="0062685E"/>
    <w:rsid w:val="0062730E"/>
    <w:rsid w:val="006300EF"/>
    <w:rsid w:val="00630A79"/>
    <w:rsid w:val="0063153F"/>
    <w:rsid w:val="00631989"/>
    <w:rsid w:val="00632E07"/>
    <w:rsid w:val="00633822"/>
    <w:rsid w:val="00634E75"/>
    <w:rsid w:val="0063517F"/>
    <w:rsid w:val="00635191"/>
    <w:rsid w:val="006357A6"/>
    <w:rsid w:val="006366B8"/>
    <w:rsid w:val="006370B8"/>
    <w:rsid w:val="00637A4A"/>
    <w:rsid w:val="006403B8"/>
    <w:rsid w:val="006416CF"/>
    <w:rsid w:val="00641CF3"/>
    <w:rsid w:val="006423FB"/>
    <w:rsid w:val="006433DC"/>
    <w:rsid w:val="006434EC"/>
    <w:rsid w:val="006437D0"/>
    <w:rsid w:val="00644B01"/>
    <w:rsid w:val="006451A1"/>
    <w:rsid w:val="00646257"/>
    <w:rsid w:val="00647053"/>
    <w:rsid w:val="00651050"/>
    <w:rsid w:val="00651DD4"/>
    <w:rsid w:val="00651E36"/>
    <w:rsid w:val="00652502"/>
    <w:rsid w:val="006525D5"/>
    <w:rsid w:val="00652FEA"/>
    <w:rsid w:val="00655046"/>
    <w:rsid w:val="006553EB"/>
    <w:rsid w:val="00656319"/>
    <w:rsid w:val="006566B6"/>
    <w:rsid w:val="00657C3C"/>
    <w:rsid w:val="00657C43"/>
    <w:rsid w:val="00657C67"/>
    <w:rsid w:val="006601A7"/>
    <w:rsid w:val="00660603"/>
    <w:rsid w:val="00660932"/>
    <w:rsid w:val="00660E95"/>
    <w:rsid w:val="00662223"/>
    <w:rsid w:val="00662788"/>
    <w:rsid w:val="0066296F"/>
    <w:rsid w:val="00665DFB"/>
    <w:rsid w:val="006664A6"/>
    <w:rsid w:val="00666A16"/>
    <w:rsid w:val="0066706F"/>
    <w:rsid w:val="00667478"/>
    <w:rsid w:val="00667E17"/>
    <w:rsid w:val="00667EA2"/>
    <w:rsid w:val="00670470"/>
    <w:rsid w:val="00670A36"/>
    <w:rsid w:val="006717CC"/>
    <w:rsid w:val="00671BDA"/>
    <w:rsid w:val="00675550"/>
    <w:rsid w:val="0067564B"/>
    <w:rsid w:val="006775B3"/>
    <w:rsid w:val="00677949"/>
    <w:rsid w:val="006802EA"/>
    <w:rsid w:val="00680E54"/>
    <w:rsid w:val="0068123B"/>
    <w:rsid w:val="00681243"/>
    <w:rsid w:val="00681D16"/>
    <w:rsid w:val="006827A7"/>
    <w:rsid w:val="006827D1"/>
    <w:rsid w:val="006828BB"/>
    <w:rsid w:val="00682B3D"/>
    <w:rsid w:val="0069055E"/>
    <w:rsid w:val="00691395"/>
    <w:rsid w:val="00692F68"/>
    <w:rsid w:val="006933AB"/>
    <w:rsid w:val="00693A31"/>
    <w:rsid w:val="006949F0"/>
    <w:rsid w:val="00694F4D"/>
    <w:rsid w:val="0069674A"/>
    <w:rsid w:val="00697F3A"/>
    <w:rsid w:val="006A0DE8"/>
    <w:rsid w:val="006A0F93"/>
    <w:rsid w:val="006A1AAE"/>
    <w:rsid w:val="006A3247"/>
    <w:rsid w:val="006A3F81"/>
    <w:rsid w:val="006A41BF"/>
    <w:rsid w:val="006A5D0D"/>
    <w:rsid w:val="006B0CA3"/>
    <w:rsid w:val="006B128C"/>
    <w:rsid w:val="006B1EC2"/>
    <w:rsid w:val="006B4617"/>
    <w:rsid w:val="006B729B"/>
    <w:rsid w:val="006B72E3"/>
    <w:rsid w:val="006C040C"/>
    <w:rsid w:val="006C0A38"/>
    <w:rsid w:val="006C1ACB"/>
    <w:rsid w:val="006C2C40"/>
    <w:rsid w:val="006C310C"/>
    <w:rsid w:val="006C4400"/>
    <w:rsid w:val="006C637F"/>
    <w:rsid w:val="006D0C4E"/>
    <w:rsid w:val="006D1491"/>
    <w:rsid w:val="006D32A3"/>
    <w:rsid w:val="006D4AB8"/>
    <w:rsid w:val="006D4C3A"/>
    <w:rsid w:val="006D4D29"/>
    <w:rsid w:val="006D5C5B"/>
    <w:rsid w:val="006D6E5C"/>
    <w:rsid w:val="006D6E77"/>
    <w:rsid w:val="006D7ED5"/>
    <w:rsid w:val="006E0A42"/>
    <w:rsid w:val="006E4100"/>
    <w:rsid w:val="006E528A"/>
    <w:rsid w:val="006E5FE9"/>
    <w:rsid w:val="006E7EF0"/>
    <w:rsid w:val="006F362E"/>
    <w:rsid w:val="006F366C"/>
    <w:rsid w:val="006F38B6"/>
    <w:rsid w:val="006F75A4"/>
    <w:rsid w:val="007015D8"/>
    <w:rsid w:val="00701C69"/>
    <w:rsid w:val="00701E11"/>
    <w:rsid w:val="00702BCA"/>
    <w:rsid w:val="007034EB"/>
    <w:rsid w:val="00703762"/>
    <w:rsid w:val="00704967"/>
    <w:rsid w:val="00705348"/>
    <w:rsid w:val="0070619B"/>
    <w:rsid w:val="007071AE"/>
    <w:rsid w:val="00710A04"/>
    <w:rsid w:val="007124B9"/>
    <w:rsid w:val="0071270C"/>
    <w:rsid w:val="007143F8"/>
    <w:rsid w:val="00714705"/>
    <w:rsid w:val="0071536C"/>
    <w:rsid w:val="00716CA2"/>
    <w:rsid w:val="007173AC"/>
    <w:rsid w:val="00721725"/>
    <w:rsid w:val="00721A26"/>
    <w:rsid w:val="00721B5E"/>
    <w:rsid w:val="0072219C"/>
    <w:rsid w:val="007228D3"/>
    <w:rsid w:val="00722FCE"/>
    <w:rsid w:val="007235AA"/>
    <w:rsid w:val="007239B8"/>
    <w:rsid w:val="00723FDD"/>
    <w:rsid w:val="00724FFA"/>
    <w:rsid w:val="0072615D"/>
    <w:rsid w:val="00726FBC"/>
    <w:rsid w:val="00730A02"/>
    <w:rsid w:val="00730ADD"/>
    <w:rsid w:val="00730EA9"/>
    <w:rsid w:val="00732A2E"/>
    <w:rsid w:val="00732D5D"/>
    <w:rsid w:val="0073443A"/>
    <w:rsid w:val="00737A70"/>
    <w:rsid w:val="00740F84"/>
    <w:rsid w:val="00741122"/>
    <w:rsid w:val="00741FE6"/>
    <w:rsid w:val="007432D8"/>
    <w:rsid w:val="007439BC"/>
    <w:rsid w:val="00744D75"/>
    <w:rsid w:val="007452BA"/>
    <w:rsid w:val="007454B9"/>
    <w:rsid w:val="00745E15"/>
    <w:rsid w:val="00746C42"/>
    <w:rsid w:val="00750FC5"/>
    <w:rsid w:val="00752CA3"/>
    <w:rsid w:val="00753FB5"/>
    <w:rsid w:val="00755829"/>
    <w:rsid w:val="007567B1"/>
    <w:rsid w:val="00757397"/>
    <w:rsid w:val="007577F7"/>
    <w:rsid w:val="00760C25"/>
    <w:rsid w:val="00762D5C"/>
    <w:rsid w:val="00764D5E"/>
    <w:rsid w:val="00765ADA"/>
    <w:rsid w:val="00766BE5"/>
    <w:rsid w:val="00767259"/>
    <w:rsid w:val="00767CCD"/>
    <w:rsid w:val="007703B1"/>
    <w:rsid w:val="00770964"/>
    <w:rsid w:val="00771179"/>
    <w:rsid w:val="00771C5A"/>
    <w:rsid w:val="00771F81"/>
    <w:rsid w:val="00772D1B"/>
    <w:rsid w:val="00773A6F"/>
    <w:rsid w:val="00773E62"/>
    <w:rsid w:val="007759F4"/>
    <w:rsid w:val="00775BDE"/>
    <w:rsid w:val="00777451"/>
    <w:rsid w:val="00780CF9"/>
    <w:rsid w:val="00780F1F"/>
    <w:rsid w:val="00781698"/>
    <w:rsid w:val="00782C60"/>
    <w:rsid w:val="0078416C"/>
    <w:rsid w:val="00785203"/>
    <w:rsid w:val="00785DCC"/>
    <w:rsid w:val="007908E3"/>
    <w:rsid w:val="00790CEB"/>
    <w:rsid w:val="00790D4F"/>
    <w:rsid w:val="00791A97"/>
    <w:rsid w:val="007926FF"/>
    <w:rsid w:val="00792FAF"/>
    <w:rsid w:val="00794520"/>
    <w:rsid w:val="00795A4D"/>
    <w:rsid w:val="0079625D"/>
    <w:rsid w:val="007A060B"/>
    <w:rsid w:val="007A1386"/>
    <w:rsid w:val="007A20A1"/>
    <w:rsid w:val="007A228C"/>
    <w:rsid w:val="007A2387"/>
    <w:rsid w:val="007A2708"/>
    <w:rsid w:val="007A2A56"/>
    <w:rsid w:val="007A4510"/>
    <w:rsid w:val="007A4C31"/>
    <w:rsid w:val="007A5BA0"/>
    <w:rsid w:val="007A6368"/>
    <w:rsid w:val="007A643B"/>
    <w:rsid w:val="007A6F3C"/>
    <w:rsid w:val="007A7141"/>
    <w:rsid w:val="007B104B"/>
    <w:rsid w:val="007B49E8"/>
    <w:rsid w:val="007B511B"/>
    <w:rsid w:val="007B6469"/>
    <w:rsid w:val="007B7251"/>
    <w:rsid w:val="007C147A"/>
    <w:rsid w:val="007C2369"/>
    <w:rsid w:val="007C33D0"/>
    <w:rsid w:val="007C5023"/>
    <w:rsid w:val="007C5945"/>
    <w:rsid w:val="007C64AA"/>
    <w:rsid w:val="007C764B"/>
    <w:rsid w:val="007D12CA"/>
    <w:rsid w:val="007D154E"/>
    <w:rsid w:val="007D1BC1"/>
    <w:rsid w:val="007D3A94"/>
    <w:rsid w:val="007E0728"/>
    <w:rsid w:val="007E0CDC"/>
    <w:rsid w:val="007E11BB"/>
    <w:rsid w:val="007E2516"/>
    <w:rsid w:val="007E3605"/>
    <w:rsid w:val="007E5AEF"/>
    <w:rsid w:val="007F0C1C"/>
    <w:rsid w:val="007F1F04"/>
    <w:rsid w:val="007F2B89"/>
    <w:rsid w:val="007F32A8"/>
    <w:rsid w:val="007F5272"/>
    <w:rsid w:val="007F5D1C"/>
    <w:rsid w:val="007F6224"/>
    <w:rsid w:val="007F7727"/>
    <w:rsid w:val="007F79B3"/>
    <w:rsid w:val="007F7D8F"/>
    <w:rsid w:val="00800ACB"/>
    <w:rsid w:val="00801B64"/>
    <w:rsid w:val="00801E87"/>
    <w:rsid w:val="008024F4"/>
    <w:rsid w:val="00802543"/>
    <w:rsid w:val="0080290C"/>
    <w:rsid w:val="0080428A"/>
    <w:rsid w:val="00804373"/>
    <w:rsid w:val="00804A92"/>
    <w:rsid w:val="00805A38"/>
    <w:rsid w:val="00807139"/>
    <w:rsid w:val="008079AE"/>
    <w:rsid w:val="00813DD9"/>
    <w:rsid w:val="00814178"/>
    <w:rsid w:val="0081453E"/>
    <w:rsid w:val="0081457D"/>
    <w:rsid w:val="008157ED"/>
    <w:rsid w:val="00815B03"/>
    <w:rsid w:val="008178AA"/>
    <w:rsid w:val="008204D3"/>
    <w:rsid w:val="00821BFC"/>
    <w:rsid w:val="00822C03"/>
    <w:rsid w:val="00822F95"/>
    <w:rsid w:val="00823D11"/>
    <w:rsid w:val="008240FB"/>
    <w:rsid w:val="0082559F"/>
    <w:rsid w:val="00825A93"/>
    <w:rsid w:val="008308EC"/>
    <w:rsid w:val="00830B1F"/>
    <w:rsid w:val="00831181"/>
    <w:rsid w:val="0083191E"/>
    <w:rsid w:val="00831CCC"/>
    <w:rsid w:val="0083533E"/>
    <w:rsid w:val="00836423"/>
    <w:rsid w:val="0083798D"/>
    <w:rsid w:val="008405E5"/>
    <w:rsid w:val="0084274B"/>
    <w:rsid w:val="008434C4"/>
    <w:rsid w:val="00843516"/>
    <w:rsid w:val="00844CFF"/>
    <w:rsid w:val="00844E77"/>
    <w:rsid w:val="00845211"/>
    <w:rsid w:val="0084529C"/>
    <w:rsid w:val="008452E8"/>
    <w:rsid w:val="00845736"/>
    <w:rsid w:val="00845BB4"/>
    <w:rsid w:val="00846C65"/>
    <w:rsid w:val="00850A61"/>
    <w:rsid w:val="00851A2C"/>
    <w:rsid w:val="00852562"/>
    <w:rsid w:val="00852821"/>
    <w:rsid w:val="0085544A"/>
    <w:rsid w:val="008575F8"/>
    <w:rsid w:val="008608EA"/>
    <w:rsid w:val="00860B72"/>
    <w:rsid w:val="00860DCB"/>
    <w:rsid w:val="008610B3"/>
    <w:rsid w:val="0086174D"/>
    <w:rsid w:val="00861849"/>
    <w:rsid w:val="00862791"/>
    <w:rsid w:val="008632F9"/>
    <w:rsid w:val="00863F32"/>
    <w:rsid w:val="00863FFB"/>
    <w:rsid w:val="008644B8"/>
    <w:rsid w:val="008645CE"/>
    <w:rsid w:val="00865CD5"/>
    <w:rsid w:val="00866C7A"/>
    <w:rsid w:val="0086732F"/>
    <w:rsid w:val="008701B1"/>
    <w:rsid w:val="00870419"/>
    <w:rsid w:val="00870690"/>
    <w:rsid w:val="008709BD"/>
    <w:rsid w:val="008717C0"/>
    <w:rsid w:val="00872001"/>
    <w:rsid w:val="008734A0"/>
    <w:rsid w:val="0087501E"/>
    <w:rsid w:val="00875408"/>
    <w:rsid w:val="00875818"/>
    <w:rsid w:val="0087677D"/>
    <w:rsid w:val="008767B3"/>
    <w:rsid w:val="00877184"/>
    <w:rsid w:val="00877211"/>
    <w:rsid w:val="00880317"/>
    <w:rsid w:val="00881F4A"/>
    <w:rsid w:val="00884552"/>
    <w:rsid w:val="0088503F"/>
    <w:rsid w:val="00885098"/>
    <w:rsid w:val="00885D83"/>
    <w:rsid w:val="00885EDF"/>
    <w:rsid w:val="00891005"/>
    <w:rsid w:val="00891650"/>
    <w:rsid w:val="00893AD7"/>
    <w:rsid w:val="00894BBC"/>
    <w:rsid w:val="00896289"/>
    <w:rsid w:val="00897258"/>
    <w:rsid w:val="008972B0"/>
    <w:rsid w:val="008A0B00"/>
    <w:rsid w:val="008A0C50"/>
    <w:rsid w:val="008A346C"/>
    <w:rsid w:val="008A642F"/>
    <w:rsid w:val="008B0650"/>
    <w:rsid w:val="008B117C"/>
    <w:rsid w:val="008B2134"/>
    <w:rsid w:val="008B21B5"/>
    <w:rsid w:val="008B25B6"/>
    <w:rsid w:val="008B281B"/>
    <w:rsid w:val="008B31B9"/>
    <w:rsid w:val="008B46DC"/>
    <w:rsid w:val="008B7BE6"/>
    <w:rsid w:val="008C0B8A"/>
    <w:rsid w:val="008C17E0"/>
    <w:rsid w:val="008C20AC"/>
    <w:rsid w:val="008C2366"/>
    <w:rsid w:val="008C300A"/>
    <w:rsid w:val="008C4AB6"/>
    <w:rsid w:val="008C4F2E"/>
    <w:rsid w:val="008C59C9"/>
    <w:rsid w:val="008C662B"/>
    <w:rsid w:val="008C7A05"/>
    <w:rsid w:val="008D03E9"/>
    <w:rsid w:val="008D0499"/>
    <w:rsid w:val="008D08DE"/>
    <w:rsid w:val="008D1013"/>
    <w:rsid w:val="008D18FF"/>
    <w:rsid w:val="008D309B"/>
    <w:rsid w:val="008D37BF"/>
    <w:rsid w:val="008D39AB"/>
    <w:rsid w:val="008D573D"/>
    <w:rsid w:val="008D5F2D"/>
    <w:rsid w:val="008D622C"/>
    <w:rsid w:val="008D7505"/>
    <w:rsid w:val="008D7A6B"/>
    <w:rsid w:val="008D7E32"/>
    <w:rsid w:val="008D7F55"/>
    <w:rsid w:val="008E0C4D"/>
    <w:rsid w:val="008E1632"/>
    <w:rsid w:val="008E1D39"/>
    <w:rsid w:val="008E21B1"/>
    <w:rsid w:val="008E30B2"/>
    <w:rsid w:val="008E3350"/>
    <w:rsid w:val="008E3CF2"/>
    <w:rsid w:val="008E3F92"/>
    <w:rsid w:val="008E530E"/>
    <w:rsid w:val="008E5C72"/>
    <w:rsid w:val="008E6136"/>
    <w:rsid w:val="008E6725"/>
    <w:rsid w:val="008E6DE9"/>
    <w:rsid w:val="008E72C6"/>
    <w:rsid w:val="008F1B98"/>
    <w:rsid w:val="008F2BFE"/>
    <w:rsid w:val="008F3A1A"/>
    <w:rsid w:val="008F3AE4"/>
    <w:rsid w:val="008F3D5A"/>
    <w:rsid w:val="008F4E66"/>
    <w:rsid w:val="008F57C2"/>
    <w:rsid w:val="008F5C1F"/>
    <w:rsid w:val="008F5D73"/>
    <w:rsid w:val="008F67D3"/>
    <w:rsid w:val="008F6F72"/>
    <w:rsid w:val="008F7F7F"/>
    <w:rsid w:val="00900692"/>
    <w:rsid w:val="00901200"/>
    <w:rsid w:val="009015CB"/>
    <w:rsid w:val="00903DEF"/>
    <w:rsid w:val="00906723"/>
    <w:rsid w:val="00907C90"/>
    <w:rsid w:val="00910054"/>
    <w:rsid w:val="00910720"/>
    <w:rsid w:val="00910965"/>
    <w:rsid w:val="00910F8F"/>
    <w:rsid w:val="009119B3"/>
    <w:rsid w:val="00911FFD"/>
    <w:rsid w:val="009125C4"/>
    <w:rsid w:val="009171B3"/>
    <w:rsid w:val="00917205"/>
    <w:rsid w:val="009173F5"/>
    <w:rsid w:val="00920233"/>
    <w:rsid w:val="00920ADF"/>
    <w:rsid w:val="00921A4E"/>
    <w:rsid w:val="00921D13"/>
    <w:rsid w:val="009229E2"/>
    <w:rsid w:val="00925338"/>
    <w:rsid w:val="0092608D"/>
    <w:rsid w:val="00927130"/>
    <w:rsid w:val="00927172"/>
    <w:rsid w:val="00930136"/>
    <w:rsid w:val="00930722"/>
    <w:rsid w:val="00932353"/>
    <w:rsid w:val="00933C9A"/>
    <w:rsid w:val="00934553"/>
    <w:rsid w:val="00936285"/>
    <w:rsid w:val="0093725E"/>
    <w:rsid w:val="0093734B"/>
    <w:rsid w:val="00937975"/>
    <w:rsid w:val="00942073"/>
    <w:rsid w:val="009449F5"/>
    <w:rsid w:val="00945E67"/>
    <w:rsid w:val="00946AA7"/>
    <w:rsid w:val="00947363"/>
    <w:rsid w:val="0095140D"/>
    <w:rsid w:val="0095370B"/>
    <w:rsid w:val="00955131"/>
    <w:rsid w:val="009551D2"/>
    <w:rsid w:val="0095586C"/>
    <w:rsid w:val="00955BF6"/>
    <w:rsid w:val="00956188"/>
    <w:rsid w:val="0095750E"/>
    <w:rsid w:val="00960690"/>
    <w:rsid w:val="00960E20"/>
    <w:rsid w:val="009612BC"/>
    <w:rsid w:val="00961786"/>
    <w:rsid w:val="009617F4"/>
    <w:rsid w:val="00962743"/>
    <w:rsid w:val="00963905"/>
    <w:rsid w:val="0096496C"/>
    <w:rsid w:val="00964E7F"/>
    <w:rsid w:val="00964F86"/>
    <w:rsid w:val="009652C0"/>
    <w:rsid w:val="00965BB7"/>
    <w:rsid w:val="00970699"/>
    <w:rsid w:val="009708CB"/>
    <w:rsid w:val="009709E8"/>
    <w:rsid w:val="009719EF"/>
    <w:rsid w:val="009724DD"/>
    <w:rsid w:val="009729DC"/>
    <w:rsid w:val="00972EB5"/>
    <w:rsid w:val="0097303B"/>
    <w:rsid w:val="00974D02"/>
    <w:rsid w:val="00976F6A"/>
    <w:rsid w:val="00977EC7"/>
    <w:rsid w:val="00980534"/>
    <w:rsid w:val="009826E3"/>
    <w:rsid w:val="00982F14"/>
    <w:rsid w:val="0098539B"/>
    <w:rsid w:val="00986DF8"/>
    <w:rsid w:val="00987503"/>
    <w:rsid w:val="00990C8D"/>
    <w:rsid w:val="0099164F"/>
    <w:rsid w:val="0099443B"/>
    <w:rsid w:val="00994C9D"/>
    <w:rsid w:val="00996C2B"/>
    <w:rsid w:val="00997846"/>
    <w:rsid w:val="00997BE0"/>
    <w:rsid w:val="00997F73"/>
    <w:rsid w:val="009A15DE"/>
    <w:rsid w:val="009A3037"/>
    <w:rsid w:val="009A3735"/>
    <w:rsid w:val="009A3C20"/>
    <w:rsid w:val="009A4565"/>
    <w:rsid w:val="009A5D7B"/>
    <w:rsid w:val="009A631A"/>
    <w:rsid w:val="009A642B"/>
    <w:rsid w:val="009A6942"/>
    <w:rsid w:val="009A6B56"/>
    <w:rsid w:val="009B3348"/>
    <w:rsid w:val="009B4BF1"/>
    <w:rsid w:val="009B55AD"/>
    <w:rsid w:val="009B7417"/>
    <w:rsid w:val="009C0B92"/>
    <w:rsid w:val="009C0C44"/>
    <w:rsid w:val="009C3963"/>
    <w:rsid w:val="009C61C5"/>
    <w:rsid w:val="009C6252"/>
    <w:rsid w:val="009C625D"/>
    <w:rsid w:val="009D017F"/>
    <w:rsid w:val="009D16C1"/>
    <w:rsid w:val="009D2234"/>
    <w:rsid w:val="009D3179"/>
    <w:rsid w:val="009D38AE"/>
    <w:rsid w:val="009D43FD"/>
    <w:rsid w:val="009D6171"/>
    <w:rsid w:val="009E02D7"/>
    <w:rsid w:val="009E0526"/>
    <w:rsid w:val="009E0CC3"/>
    <w:rsid w:val="009E1C88"/>
    <w:rsid w:val="009E2D14"/>
    <w:rsid w:val="009E35E4"/>
    <w:rsid w:val="009E3DCF"/>
    <w:rsid w:val="009E511F"/>
    <w:rsid w:val="009E5EA7"/>
    <w:rsid w:val="009E754F"/>
    <w:rsid w:val="009F22DA"/>
    <w:rsid w:val="009F375B"/>
    <w:rsid w:val="009F3C6B"/>
    <w:rsid w:val="009F3E3E"/>
    <w:rsid w:val="009F409D"/>
    <w:rsid w:val="009F54CB"/>
    <w:rsid w:val="009F5D07"/>
    <w:rsid w:val="009F74F8"/>
    <w:rsid w:val="009F7EC1"/>
    <w:rsid w:val="00A00B7A"/>
    <w:rsid w:val="00A015E5"/>
    <w:rsid w:val="00A0195D"/>
    <w:rsid w:val="00A02172"/>
    <w:rsid w:val="00A02E65"/>
    <w:rsid w:val="00A0355D"/>
    <w:rsid w:val="00A053C1"/>
    <w:rsid w:val="00A0773A"/>
    <w:rsid w:val="00A10C17"/>
    <w:rsid w:val="00A1186E"/>
    <w:rsid w:val="00A13452"/>
    <w:rsid w:val="00A13653"/>
    <w:rsid w:val="00A13EB3"/>
    <w:rsid w:val="00A14251"/>
    <w:rsid w:val="00A14C9B"/>
    <w:rsid w:val="00A14D6A"/>
    <w:rsid w:val="00A20526"/>
    <w:rsid w:val="00A20E82"/>
    <w:rsid w:val="00A21549"/>
    <w:rsid w:val="00A2237B"/>
    <w:rsid w:val="00A24099"/>
    <w:rsid w:val="00A278EB"/>
    <w:rsid w:val="00A30E77"/>
    <w:rsid w:val="00A32C7F"/>
    <w:rsid w:val="00A338C1"/>
    <w:rsid w:val="00A33A5F"/>
    <w:rsid w:val="00A359C7"/>
    <w:rsid w:val="00A36DFC"/>
    <w:rsid w:val="00A37C02"/>
    <w:rsid w:val="00A37C73"/>
    <w:rsid w:val="00A40D75"/>
    <w:rsid w:val="00A41CDE"/>
    <w:rsid w:val="00A43E87"/>
    <w:rsid w:val="00A44192"/>
    <w:rsid w:val="00A446B9"/>
    <w:rsid w:val="00A44A93"/>
    <w:rsid w:val="00A509CF"/>
    <w:rsid w:val="00A5135A"/>
    <w:rsid w:val="00A51A61"/>
    <w:rsid w:val="00A51BA1"/>
    <w:rsid w:val="00A51D62"/>
    <w:rsid w:val="00A52296"/>
    <w:rsid w:val="00A52D3F"/>
    <w:rsid w:val="00A5427C"/>
    <w:rsid w:val="00A5428C"/>
    <w:rsid w:val="00A56811"/>
    <w:rsid w:val="00A56F9F"/>
    <w:rsid w:val="00A57F19"/>
    <w:rsid w:val="00A60054"/>
    <w:rsid w:val="00A6050F"/>
    <w:rsid w:val="00A607F7"/>
    <w:rsid w:val="00A6117B"/>
    <w:rsid w:val="00A61449"/>
    <w:rsid w:val="00A6159B"/>
    <w:rsid w:val="00A61805"/>
    <w:rsid w:val="00A62371"/>
    <w:rsid w:val="00A627AB"/>
    <w:rsid w:val="00A632DA"/>
    <w:rsid w:val="00A64041"/>
    <w:rsid w:val="00A64240"/>
    <w:rsid w:val="00A64DB3"/>
    <w:rsid w:val="00A662C5"/>
    <w:rsid w:val="00A6799C"/>
    <w:rsid w:val="00A701DE"/>
    <w:rsid w:val="00A712B5"/>
    <w:rsid w:val="00A718F3"/>
    <w:rsid w:val="00A71FCF"/>
    <w:rsid w:val="00A728B7"/>
    <w:rsid w:val="00A72A43"/>
    <w:rsid w:val="00A72DFC"/>
    <w:rsid w:val="00A74A84"/>
    <w:rsid w:val="00A752B0"/>
    <w:rsid w:val="00A75FBF"/>
    <w:rsid w:val="00A76C7D"/>
    <w:rsid w:val="00A76DB8"/>
    <w:rsid w:val="00A76FFE"/>
    <w:rsid w:val="00A77B1A"/>
    <w:rsid w:val="00A800EF"/>
    <w:rsid w:val="00A8019F"/>
    <w:rsid w:val="00A80AF0"/>
    <w:rsid w:val="00A820D6"/>
    <w:rsid w:val="00A82229"/>
    <w:rsid w:val="00A822E9"/>
    <w:rsid w:val="00A82687"/>
    <w:rsid w:val="00A82AB4"/>
    <w:rsid w:val="00A835A6"/>
    <w:rsid w:val="00A836A0"/>
    <w:rsid w:val="00A84052"/>
    <w:rsid w:val="00A84F36"/>
    <w:rsid w:val="00A8798E"/>
    <w:rsid w:val="00A87A40"/>
    <w:rsid w:val="00A87BD7"/>
    <w:rsid w:val="00A91234"/>
    <w:rsid w:val="00A91722"/>
    <w:rsid w:val="00A9189B"/>
    <w:rsid w:val="00A918BA"/>
    <w:rsid w:val="00A91D63"/>
    <w:rsid w:val="00A92388"/>
    <w:rsid w:val="00A93262"/>
    <w:rsid w:val="00A93640"/>
    <w:rsid w:val="00A93814"/>
    <w:rsid w:val="00A954AC"/>
    <w:rsid w:val="00A955F4"/>
    <w:rsid w:val="00A9625B"/>
    <w:rsid w:val="00A96A42"/>
    <w:rsid w:val="00A96C19"/>
    <w:rsid w:val="00AA04FB"/>
    <w:rsid w:val="00AA0B6C"/>
    <w:rsid w:val="00AA1D16"/>
    <w:rsid w:val="00AA1E10"/>
    <w:rsid w:val="00AA1F79"/>
    <w:rsid w:val="00AA2FE4"/>
    <w:rsid w:val="00AA508B"/>
    <w:rsid w:val="00AB2CBE"/>
    <w:rsid w:val="00AB3C33"/>
    <w:rsid w:val="00AB3C74"/>
    <w:rsid w:val="00AB5E4E"/>
    <w:rsid w:val="00AB617C"/>
    <w:rsid w:val="00AB62D4"/>
    <w:rsid w:val="00AC122F"/>
    <w:rsid w:val="00AC190B"/>
    <w:rsid w:val="00AC2F05"/>
    <w:rsid w:val="00AC31B5"/>
    <w:rsid w:val="00AC3947"/>
    <w:rsid w:val="00AC53F1"/>
    <w:rsid w:val="00AC5CAC"/>
    <w:rsid w:val="00AD02CF"/>
    <w:rsid w:val="00AD0EAE"/>
    <w:rsid w:val="00AD21B9"/>
    <w:rsid w:val="00AD2371"/>
    <w:rsid w:val="00AD2E55"/>
    <w:rsid w:val="00AD3188"/>
    <w:rsid w:val="00AD343C"/>
    <w:rsid w:val="00AD3E47"/>
    <w:rsid w:val="00AD4D85"/>
    <w:rsid w:val="00AD645F"/>
    <w:rsid w:val="00AD7768"/>
    <w:rsid w:val="00AE0644"/>
    <w:rsid w:val="00AE08F5"/>
    <w:rsid w:val="00AE2934"/>
    <w:rsid w:val="00AE4BA6"/>
    <w:rsid w:val="00AE5ABE"/>
    <w:rsid w:val="00AE6476"/>
    <w:rsid w:val="00AE7567"/>
    <w:rsid w:val="00AF05CD"/>
    <w:rsid w:val="00AF4844"/>
    <w:rsid w:val="00AF5E40"/>
    <w:rsid w:val="00AF6B10"/>
    <w:rsid w:val="00AF7515"/>
    <w:rsid w:val="00AF77AA"/>
    <w:rsid w:val="00AF7F94"/>
    <w:rsid w:val="00B00E54"/>
    <w:rsid w:val="00B012F5"/>
    <w:rsid w:val="00B01477"/>
    <w:rsid w:val="00B01BB3"/>
    <w:rsid w:val="00B02155"/>
    <w:rsid w:val="00B04F52"/>
    <w:rsid w:val="00B04F6F"/>
    <w:rsid w:val="00B061D1"/>
    <w:rsid w:val="00B07182"/>
    <w:rsid w:val="00B0756C"/>
    <w:rsid w:val="00B101B2"/>
    <w:rsid w:val="00B10D44"/>
    <w:rsid w:val="00B13DB4"/>
    <w:rsid w:val="00B15744"/>
    <w:rsid w:val="00B16DC4"/>
    <w:rsid w:val="00B17A63"/>
    <w:rsid w:val="00B2019E"/>
    <w:rsid w:val="00B20305"/>
    <w:rsid w:val="00B20ED8"/>
    <w:rsid w:val="00B21436"/>
    <w:rsid w:val="00B21811"/>
    <w:rsid w:val="00B2378C"/>
    <w:rsid w:val="00B241E5"/>
    <w:rsid w:val="00B26683"/>
    <w:rsid w:val="00B27B59"/>
    <w:rsid w:val="00B3024B"/>
    <w:rsid w:val="00B321FA"/>
    <w:rsid w:val="00B331CE"/>
    <w:rsid w:val="00B34402"/>
    <w:rsid w:val="00B360E5"/>
    <w:rsid w:val="00B401C3"/>
    <w:rsid w:val="00B436E5"/>
    <w:rsid w:val="00B438A2"/>
    <w:rsid w:val="00B441E9"/>
    <w:rsid w:val="00B45AB8"/>
    <w:rsid w:val="00B50C2B"/>
    <w:rsid w:val="00B50C9C"/>
    <w:rsid w:val="00B50FAB"/>
    <w:rsid w:val="00B51979"/>
    <w:rsid w:val="00B53DB6"/>
    <w:rsid w:val="00B555BF"/>
    <w:rsid w:val="00B60FC0"/>
    <w:rsid w:val="00B61E01"/>
    <w:rsid w:val="00B63CB4"/>
    <w:rsid w:val="00B65605"/>
    <w:rsid w:val="00B65A07"/>
    <w:rsid w:val="00B6663D"/>
    <w:rsid w:val="00B66D59"/>
    <w:rsid w:val="00B670C0"/>
    <w:rsid w:val="00B71FC8"/>
    <w:rsid w:val="00B7236D"/>
    <w:rsid w:val="00B73798"/>
    <w:rsid w:val="00B73F0D"/>
    <w:rsid w:val="00B750F0"/>
    <w:rsid w:val="00B75437"/>
    <w:rsid w:val="00B7588F"/>
    <w:rsid w:val="00B7691D"/>
    <w:rsid w:val="00B80FE4"/>
    <w:rsid w:val="00B8190D"/>
    <w:rsid w:val="00B8350D"/>
    <w:rsid w:val="00B84EED"/>
    <w:rsid w:val="00B85C8D"/>
    <w:rsid w:val="00B85E88"/>
    <w:rsid w:val="00B8602E"/>
    <w:rsid w:val="00B86D94"/>
    <w:rsid w:val="00B871E8"/>
    <w:rsid w:val="00B874D2"/>
    <w:rsid w:val="00B907BF"/>
    <w:rsid w:val="00B92182"/>
    <w:rsid w:val="00B92813"/>
    <w:rsid w:val="00B93303"/>
    <w:rsid w:val="00B93489"/>
    <w:rsid w:val="00B9374F"/>
    <w:rsid w:val="00B93A5A"/>
    <w:rsid w:val="00B94174"/>
    <w:rsid w:val="00B95E0B"/>
    <w:rsid w:val="00B96909"/>
    <w:rsid w:val="00B96CED"/>
    <w:rsid w:val="00BA0AEF"/>
    <w:rsid w:val="00BA2288"/>
    <w:rsid w:val="00BA2B70"/>
    <w:rsid w:val="00BA3021"/>
    <w:rsid w:val="00BA3211"/>
    <w:rsid w:val="00BA5941"/>
    <w:rsid w:val="00BA5FEF"/>
    <w:rsid w:val="00BA63F1"/>
    <w:rsid w:val="00BA6467"/>
    <w:rsid w:val="00BA68CF"/>
    <w:rsid w:val="00BB144C"/>
    <w:rsid w:val="00BB1E83"/>
    <w:rsid w:val="00BB4103"/>
    <w:rsid w:val="00BB4C6B"/>
    <w:rsid w:val="00BB58ED"/>
    <w:rsid w:val="00BB65C6"/>
    <w:rsid w:val="00BB6A58"/>
    <w:rsid w:val="00BB6BA8"/>
    <w:rsid w:val="00BC38DC"/>
    <w:rsid w:val="00BC6B38"/>
    <w:rsid w:val="00BC6D81"/>
    <w:rsid w:val="00BC6D98"/>
    <w:rsid w:val="00BC79E8"/>
    <w:rsid w:val="00BD315E"/>
    <w:rsid w:val="00BD598E"/>
    <w:rsid w:val="00BD6708"/>
    <w:rsid w:val="00BD7ECB"/>
    <w:rsid w:val="00BE1B96"/>
    <w:rsid w:val="00BE3025"/>
    <w:rsid w:val="00BE3747"/>
    <w:rsid w:val="00BE43A1"/>
    <w:rsid w:val="00BE5066"/>
    <w:rsid w:val="00BE63D5"/>
    <w:rsid w:val="00BE68F6"/>
    <w:rsid w:val="00BE7D02"/>
    <w:rsid w:val="00BF046C"/>
    <w:rsid w:val="00BF07E1"/>
    <w:rsid w:val="00BF1186"/>
    <w:rsid w:val="00BF13D3"/>
    <w:rsid w:val="00BF3821"/>
    <w:rsid w:val="00BF4EAE"/>
    <w:rsid w:val="00BF5377"/>
    <w:rsid w:val="00BF5F07"/>
    <w:rsid w:val="00BF68C0"/>
    <w:rsid w:val="00BF7C06"/>
    <w:rsid w:val="00C0049C"/>
    <w:rsid w:val="00C016C3"/>
    <w:rsid w:val="00C01D7C"/>
    <w:rsid w:val="00C03F3A"/>
    <w:rsid w:val="00C04C62"/>
    <w:rsid w:val="00C0716B"/>
    <w:rsid w:val="00C07A4D"/>
    <w:rsid w:val="00C10106"/>
    <w:rsid w:val="00C104AF"/>
    <w:rsid w:val="00C106D8"/>
    <w:rsid w:val="00C11B63"/>
    <w:rsid w:val="00C12287"/>
    <w:rsid w:val="00C1270A"/>
    <w:rsid w:val="00C12B6D"/>
    <w:rsid w:val="00C12F49"/>
    <w:rsid w:val="00C12FC8"/>
    <w:rsid w:val="00C139CE"/>
    <w:rsid w:val="00C1522A"/>
    <w:rsid w:val="00C179E2"/>
    <w:rsid w:val="00C20395"/>
    <w:rsid w:val="00C20F7C"/>
    <w:rsid w:val="00C2172D"/>
    <w:rsid w:val="00C21EFB"/>
    <w:rsid w:val="00C24394"/>
    <w:rsid w:val="00C247DF"/>
    <w:rsid w:val="00C25D4E"/>
    <w:rsid w:val="00C25EDE"/>
    <w:rsid w:val="00C27A97"/>
    <w:rsid w:val="00C3115C"/>
    <w:rsid w:val="00C312A8"/>
    <w:rsid w:val="00C31C7A"/>
    <w:rsid w:val="00C32515"/>
    <w:rsid w:val="00C32A46"/>
    <w:rsid w:val="00C33115"/>
    <w:rsid w:val="00C3398A"/>
    <w:rsid w:val="00C33B6E"/>
    <w:rsid w:val="00C35DC8"/>
    <w:rsid w:val="00C36752"/>
    <w:rsid w:val="00C37B35"/>
    <w:rsid w:val="00C41DCA"/>
    <w:rsid w:val="00C425B2"/>
    <w:rsid w:val="00C44463"/>
    <w:rsid w:val="00C44B20"/>
    <w:rsid w:val="00C453ED"/>
    <w:rsid w:val="00C5166A"/>
    <w:rsid w:val="00C519A5"/>
    <w:rsid w:val="00C52503"/>
    <w:rsid w:val="00C53C01"/>
    <w:rsid w:val="00C547AA"/>
    <w:rsid w:val="00C54E61"/>
    <w:rsid w:val="00C575D6"/>
    <w:rsid w:val="00C60115"/>
    <w:rsid w:val="00C6043F"/>
    <w:rsid w:val="00C617BD"/>
    <w:rsid w:val="00C61AD9"/>
    <w:rsid w:val="00C627C9"/>
    <w:rsid w:val="00C6386C"/>
    <w:rsid w:val="00C64864"/>
    <w:rsid w:val="00C67B56"/>
    <w:rsid w:val="00C70798"/>
    <w:rsid w:val="00C70BD7"/>
    <w:rsid w:val="00C717D2"/>
    <w:rsid w:val="00C71D70"/>
    <w:rsid w:val="00C7237C"/>
    <w:rsid w:val="00C72D3A"/>
    <w:rsid w:val="00C73110"/>
    <w:rsid w:val="00C73B58"/>
    <w:rsid w:val="00C76207"/>
    <w:rsid w:val="00C803A7"/>
    <w:rsid w:val="00C814A2"/>
    <w:rsid w:val="00C82F22"/>
    <w:rsid w:val="00C852C7"/>
    <w:rsid w:val="00C85D79"/>
    <w:rsid w:val="00C8640F"/>
    <w:rsid w:val="00C86B74"/>
    <w:rsid w:val="00C90532"/>
    <w:rsid w:val="00C9130F"/>
    <w:rsid w:val="00C9269C"/>
    <w:rsid w:val="00C92CEF"/>
    <w:rsid w:val="00C931A4"/>
    <w:rsid w:val="00C932AB"/>
    <w:rsid w:val="00C93EC6"/>
    <w:rsid w:val="00C96E13"/>
    <w:rsid w:val="00C977E2"/>
    <w:rsid w:val="00CA2721"/>
    <w:rsid w:val="00CA30B1"/>
    <w:rsid w:val="00CA454A"/>
    <w:rsid w:val="00CA5FE1"/>
    <w:rsid w:val="00CB02D3"/>
    <w:rsid w:val="00CB059E"/>
    <w:rsid w:val="00CB3814"/>
    <w:rsid w:val="00CB3A62"/>
    <w:rsid w:val="00CB3F38"/>
    <w:rsid w:val="00CB5572"/>
    <w:rsid w:val="00CB6E42"/>
    <w:rsid w:val="00CC0B3E"/>
    <w:rsid w:val="00CC1086"/>
    <w:rsid w:val="00CC141B"/>
    <w:rsid w:val="00CC260D"/>
    <w:rsid w:val="00CC32A1"/>
    <w:rsid w:val="00CC4276"/>
    <w:rsid w:val="00CC5048"/>
    <w:rsid w:val="00CC6DBE"/>
    <w:rsid w:val="00CC78C7"/>
    <w:rsid w:val="00CC7FA3"/>
    <w:rsid w:val="00CD1EBC"/>
    <w:rsid w:val="00CD359D"/>
    <w:rsid w:val="00CD3639"/>
    <w:rsid w:val="00CD3D77"/>
    <w:rsid w:val="00CD5098"/>
    <w:rsid w:val="00CD59C8"/>
    <w:rsid w:val="00CD732B"/>
    <w:rsid w:val="00CD7698"/>
    <w:rsid w:val="00CE076D"/>
    <w:rsid w:val="00CE6723"/>
    <w:rsid w:val="00CE786B"/>
    <w:rsid w:val="00CF05ED"/>
    <w:rsid w:val="00CF12B7"/>
    <w:rsid w:val="00CF1C36"/>
    <w:rsid w:val="00CF1FA1"/>
    <w:rsid w:val="00CF2335"/>
    <w:rsid w:val="00CF270E"/>
    <w:rsid w:val="00CF67F5"/>
    <w:rsid w:val="00CF6BFA"/>
    <w:rsid w:val="00D00529"/>
    <w:rsid w:val="00D01197"/>
    <w:rsid w:val="00D01C7D"/>
    <w:rsid w:val="00D02778"/>
    <w:rsid w:val="00D03A88"/>
    <w:rsid w:val="00D04D1C"/>
    <w:rsid w:val="00D04EDE"/>
    <w:rsid w:val="00D0523D"/>
    <w:rsid w:val="00D05AC8"/>
    <w:rsid w:val="00D072FE"/>
    <w:rsid w:val="00D073D6"/>
    <w:rsid w:val="00D07B1B"/>
    <w:rsid w:val="00D07B8F"/>
    <w:rsid w:val="00D135E9"/>
    <w:rsid w:val="00D13E87"/>
    <w:rsid w:val="00D1426B"/>
    <w:rsid w:val="00D1480A"/>
    <w:rsid w:val="00D148F0"/>
    <w:rsid w:val="00D15CBA"/>
    <w:rsid w:val="00D16DFE"/>
    <w:rsid w:val="00D17855"/>
    <w:rsid w:val="00D21441"/>
    <w:rsid w:val="00D238C8"/>
    <w:rsid w:val="00D23E09"/>
    <w:rsid w:val="00D245D6"/>
    <w:rsid w:val="00D24BDD"/>
    <w:rsid w:val="00D253B7"/>
    <w:rsid w:val="00D2593D"/>
    <w:rsid w:val="00D25B62"/>
    <w:rsid w:val="00D269A9"/>
    <w:rsid w:val="00D33689"/>
    <w:rsid w:val="00D34213"/>
    <w:rsid w:val="00D34249"/>
    <w:rsid w:val="00D3621A"/>
    <w:rsid w:val="00D37062"/>
    <w:rsid w:val="00D378ED"/>
    <w:rsid w:val="00D41C0E"/>
    <w:rsid w:val="00D42E90"/>
    <w:rsid w:val="00D43AAB"/>
    <w:rsid w:val="00D43D81"/>
    <w:rsid w:val="00D4633F"/>
    <w:rsid w:val="00D46E20"/>
    <w:rsid w:val="00D4747F"/>
    <w:rsid w:val="00D47C90"/>
    <w:rsid w:val="00D50BA8"/>
    <w:rsid w:val="00D50EB5"/>
    <w:rsid w:val="00D521C1"/>
    <w:rsid w:val="00D542EE"/>
    <w:rsid w:val="00D54CCD"/>
    <w:rsid w:val="00D55B61"/>
    <w:rsid w:val="00D560E2"/>
    <w:rsid w:val="00D57999"/>
    <w:rsid w:val="00D60569"/>
    <w:rsid w:val="00D607A1"/>
    <w:rsid w:val="00D607EF"/>
    <w:rsid w:val="00D63148"/>
    <w:rsid w:val="00D64AF7"/>
    <w:rsid w:val="00D6620C"/>
    <w:rsid w:val="00D67840"/>
    <w:rsid w:val="00D71D58"/>
    <w:rsid w:val="00D728D8"/>
    <w:rsid w:val="00D73290"/>
    <w:rsid w:val="00D75F1D"/>
    <w:rsid w:val="00D77298"/>
    <w:rsid w:val="00D8010B"/>
    <w:rsid w:val="00D8032B"/>
    <w:rsid w:val="00D804B4"/>
    <w:rsid w:val="00D8208D"/>
    <w:rsid w:val="00D82189"/>
    <w:rsid w:val="00D83803"/>
    <w:rsid w:val="00D83CCB"/>
    <w:rsid w:val="00D84D18"/>
    <w:rsid w:val="00D85775"/>
    <w:rsid w:val="00D85E84"/>
    <w:rsid w:val="00D861EC"/>
    <w:rsid w:val="00D86498"/>
    <w:rsid w:val="00D865D5"/>
    <w:rsid w:val="00D91E8E"/>
    <w:rsid w:val="00D929BB"/>
    <w:rsid w:val="00D9628F"/>
    <w:rsid w:val="00D96C87"/>
    <w:rsid w:val="00D96EC5"/>
    <w:rsid w:val="00DA1986"/>
    <w:rsid w:val="00DA2A0B"/>
    <w:rsid w:val="00DA2F02"/>
    <w:rsid w:val="00DA3663"/>
    <w:rsid w:val="00DA46E7"/>
    <w:rsid w:val="00DA5003"/>
    <w:rsid w:val="00DA5C1D"/>
    <w:rsid w:val="00DA6A25"/>
    <w:rsid w:val="00DA7E51"/>
    <w:rsid w:val="00DA7FE5"/>
    <w:rsid w:val="00DB027D"/>
    <w:rsid w:val="00DB094A"/>
    <w:rsid w:val="00DB238A"/>
    <w:rsid w:val="00DB3C1A"/>
    <w:rsid w:val="00DB6608"/>
    <w:rsid w:val="00DB6B6A"/>
    <w:rsid w:val="00DB72AC"/>
    <w:rsid w:val="00DB7BD7"/>
    <w:rsid w:val="00DB7E37"/>
    <w:rsid w:val="00DC0A44"/>
    <w:rsid w:val="00DC1B4A"/>
    <w:rsid w:val="00DC2A3E"/>
    <w:rsid w:val="00DC2D32"/>
    <w:rsid w:val="00DC3139"/>
    <w:rsid w:val="00DC3D12"/>
    <w:rsid w:val="00DC44A3"/>
    <w:rsid w:val="00DC4FCB"/>
    <w:rsid w:val="00DC6F8F"/>
    <w:rsid w:val="00DC7250"/>
    <w:rsid w:val="00DD157B"/>
    <w:rsid w:val="00DD2847"/>
    <w:rsid w:val="00DD2DAC"/>
    <w:rsid w:val="00DD346F"/>
    <w:rsid w:val="00DD4A8E"/>
    <w:rsid w:val="00DD4E7A"/>
    <w:rsid w:val="00DD56AD"/>
    <w:rsid w:val="00DD6EE6"/>
    <w:rsid w:val="00DE0D28"/>
    <w:rsid w:val="00DE2972"/>
    <w:rsid w:val="00DE39E2"/>
    <w:rsid w:val="00DE3A94"/>
    <w:rsid w:val="00DE403B"/>
    <w:rsid w:val="00DE4CB5"/>
    <w:rsid w:val="00DE64A2"/>
    <w:rsid w:val="00DE6BC4"/>
    <w:rsid w:val="00DF2294"/>
    <w:rsid w:val="00DF3431"/>
    <w:rsid w:val="00DF439B"/>
    <w:rsid w:val="00DF4587"/>
    <w:rsid w:val="00DF548B"/>
    <w:rsid w:val="00DF6132"/>
    <w:rsid w:val="00DF69D0"/>
    <w:rsid w:val="00E02F33"/>
    <w:rsid w:val="00E039CC"/>
    <w:rsid w:val="00E0413C"/>
    <w:rsid w:val="00E05612"/>
    <w:rsid w:val="00E05739"/>
    <w:rsid w:val="00E05D73"/>
    <w:rsid w:val="00E07B31"/>
    <w:rsid w:val="00E12379"/>
    <w:rsid w:val="00E15BB4"/>
    <w:rsid w:val="00E15C88"/>
    <w:rsid w:val="00E15FF5"/>
    <w:rsid w:val="00E16FE2"/>
    <w:rsid w:val="00E176EF"/>
    <w:rsid w:val="00E20115"/>
    <w:rsid w:val="00E20BF8"/>
    <w:rsid w:val="00E20EC3"/>
    <w:rsid w:val="00E2141E"/>
    <w:rsid w:val="00E21F2A"/>
    <w:rsid w:val="00E2262B"/>
    <w:rsid w:val="00E228BB"/>
    <w:rsid w:val="00E23007"/>
    <w:rsid w:val="00E24003"/>
    <w:rsid w:val="00E25B66"/>
    <w:rsid w:val="00E26437"/>
    <w:rsid w:val="00E2658A"/>
    <w:rsid w:val="00E26C78"/>
    <w:rsid w:val="00E270B5"/>
    <w:rsid w:val="00E27CBA"/>
    <w:rsid w:val="00E3107A"/>
    <w:rsid w:val="00E32028"/>
    <w:rsid w:val="00E325AE"/>
    <w:rsid w:val="00E34D5B"/>
    <w:rsid w:val="00E34DC1"/>
    <w:rsid w:val="00E37556"/>
    <w:rsid w:val="00E40230"/>
    <w:rsid w:val="00E40DE2"/>
    <w:rsid w:val="00E41350"/>
    <w:rsid w:val="00E41500"/>
    <w:rsid w:val="00E43071"/>
    <w:rsid w:val="00E43F77"/>
    <w:rsid w:val="00E45937"/>
    <w:rsid w:val="00E45DE7"/>
    <w:rsid w:val="00E46029"/>
    <w:rsid w:val="00E46233"/>
    <w:rsid w:val="00E47022"/>
    <w:rsid w:val="00E47D02"/>
    <w:rsid w:val="00E50086"/>
    <w:rsid w:val="00E50210"/>
    <w:rsid w:val="00E50276"/>
    <w:rsid w:val="00E50D3D"/>
    <w:rsid w:val="00E53C13"/>
    <w:rsid w:val="00E54AE6"/>
    <w:rsid w:val="00E557B4"/>
    <w:rsid w:val="00E55E5E"/>
    <w:rsid w:val="00E5682B"/>
    <w:rsid w:val="00E5746B"/>
    <w:rsid w:val="00E62E75"/>
    <w:rsid w:val="00E63298"/>
    <w:rsid w:val="00E6357D"/>
    <w:rsid w:val="00E637CB"/>
    <w:rsid w:val="00E63A4E"/>
    <w:rsid w:val="00E64B8D"/>
    <w:rsid w:val="00E65D51"/>
    <w:rsid w:val="00E65DD0"/>
    <w:rsid w:val="00E66D12"/>
    <w:rsid w:val="00E67034"/>
    <w:rsid w:val="00E711A6"/>
    <w:rsid w:val="00E716C8"/>
    <w:rsid w:val="00E7301C"/>
    <w:rsid w:val="00E7337D"/>
    <w:rsid w:val="00E73989"/>
    <w:rsid w:val="00E75D78"/>
    <w:rsid w:val="00E80959"/>
    <w:rsid w:val="00E8113E"/>
    <w:rsid w:val="00E81702"/>
    <w:rsid w:val="00E82341"/>
    <w:rsid w:val="00E832ED"/>
    <w:rsid w:val="00E843A7"/>
    <w:rsid w:val="00E849B4"/>
    <w:rsid w:val="00E8642D"/>
    <w:rsid w:val="00E91B3E"/>
    <w:rsid w:val="00E91BCD"/>
    <w:rsid w:val="00E923FB"/>
    <w:rsid w:val="00E92933"/>
    <w:rsid w:val="00E93160"/>
    <w:rsid w:val="00E931CC"/>
    <w:rsid w:val="00E95DD7"/>
    <w:rsid w:val="00E95EE5"/>
    <w:rsid w:val="00E9661F"/>
    <w:rsid w:val="00E96B9F"/>
    <w:rsid w:val="00E96C74"/>
    <w:rsid w:val="00EA1DDC"/>
    <w:rsid w:val="00EA316C"/>
    <w:rsid w:val="00EA449E"/>
    <w:rsid w:val="00EA590F"/>
    <w:rsid w:val="00EA6304"/>
    <w:rsid w:val="00EA6A4D"/>
    <w:rsid w:val="00EA6AFE"/>
    <w:rsid w:val="00EA731A"/>
    <w:rsid w:val="00EB1CCA"/>
    <w:rsid w:val="00EB250F"/>
    <w:rsid w:val="00EB2671"/>
    <w:rsid w:val="00EB32AF"/>
    <w:rsid w:val="00EB488F"/>
    <w:rsid w:val="00EB6065"/>
    <w:rsid w:val="00EB6771"/>
    <w:rsid w:val="00EB6BC4"/>
    <w:rsid w:val="00EB7836"/>
    <w:rsid w:val="00EC0302"/>
    <w:rsid w:val="00EC0585"/>
    <w:rsid w:val="00EC1BFC"/>
    <w:rsid w:val="00EC34D1"/>
    <w:rsid w:val="00EC3D52"/>
    <w:rsid w:val="00EC4748"/>
    <w:rsid w:val="00EC4CE7"/>
    <w:rsid w:val="00EC4F30"/>
    <w:rsid w:val="00EC5516"/>
    <w:rsid w:val="00EC561B"/>
    <w:rsid w:val="00EC5A17"/>
    <w:rsid w:val="00ED05B1"/>
    <w:rsid w:val="00ED0E20"/>
    <w:rsid w:val="00ED193C"/>
    <w:rsid w:val="00ED2FFA"/>
    <w:rsid w:val="00ED39D1"/>
    <w:rsid w:val="00ED4BD3"/>
    <w:rsid w:val="00ED4CB8"/>
    <w:rsid w:val="00ED63EE"/>
    <w:rsid w:val="00ED7B46"/>
    <w:rsid w:val="00ED7CE7"/>
    <w:rsid w:val="00EE53EA"/>
    <w:rsid w:val="00EE5B1A"/>
    <w:rsid w:val="00EE71D2"/>
    <w:rsid w:val="00EE7E71"/>
    <w:rsid w:val="00EF143E"/>
    <w:rsid w:val="00EF1C4D"/>
    <w:rsid w:val="00EF2397"/>
    <w:rsid w:val="00EF3631"/>
    <w:rsid w:val="00F00463"/>
    <w:rsid w:val="00F0078A"/>
    <w:rsid w:val="00F027CF"/>
    <w:rsid w:val="00F10157"/>
    <w:rsid w:val="00F119F3"/>
    <w:rsid w:val="00F13385"/>
    <w:rsid w:val="00F15816"/>
    <w:rsid w:val="00F15B8D"/>
    <w:rsid w:val="00F16F09"/>
    <w:rsid w:val="00F2037D"/>
    <w:rsid w:val="00F2175F"/>
    <w:rsid w:val="00F21975"/>
    <w:rsid w:val="00F226FB"/>
    <w:rsid w:val="00F23236"/>
    <w:rsid w:val="00F23618"/>
    <w:rsid w:val="00F248DC"/>
    <w:rsid w:val="00F248ED"/>
    <w:rsid w:val="00F2750E"/>
    <w:rsid w:val="00F27A33"/>
    <w:rsid w:val="00F32D6D"/>
    <w:rsid w:val="00F34D9B"/>
    <w:rsid w:val="00F35D9C"/>
    <w:rsid w:val="00F36284"/>
    <w:rsid w:val="00F37393"/>
    <w:rsid w:val="00F40B6F"/>
    <w:rsid w:val="00F4212C"/>
    <w:rsid w:val="00F4227B"/>
    <w:rsid w:val="00F42DA8"/>
    <w:rsid w:val="00F43533"/>
    <w:rsid w:val="00F43A59"/>
    <w:rsid w:val="00F445F3"/>
    <w:rsid w:val="00F45A44"/>
    <w:rsid w:val="00F4627F"/>
    <w:rsid w:val="00F46432"/>
    <w:rsid w:val="00F469D7"/>
    <w:rsid w:val="00F46EBC"/>
    <w:rsid w:val="00F47C1D"/>
    <w:rsid w:val="00F47D38"/>
    <w:rsid w:val="00F507D9"/>
    <w:rsid w:val="00F51F9F"/>
    <w:rsid w:val="00F537E0"/>
    <w:rsid w:val="00F550A9"/>
    <w:rsid w:val="00F552BA"/>
    <w:rsid w:val="00F55617"/>
    <w:rsid w:val="00F559CD"/>
    <w:rsid w:val="00F56E4F"/>
    <w:rsid w:val="00F5764D"/>
    <w:rsid w:val="00F57D63"/>
    <w:rsid w:val="00F60C98"/>
    <w:rsid w:val="00F6255D"/>
    <w:rsid w:val="00F6410A"/>
    <w:rsid w:val="00F65F69"/>
    <w:rsid w:val="00F71F51"/>
    <w:rsid w:val="00F731F3"/>
    <w:rsid w:val="00F76D31"/>
    <w:rsid w:val="00F773C7"/>
    <w:rsid w:val="00F81CEE"/>
    <w:rsid w:val="00F82349"/>
    <w:rsid w:val="00F82764"/>
    <w:rsid w:val="00F82B92"/>
    <w:rsid w:val="00F85DB6"/>
    <w:rsid w:val="00F879A2"/>
    <w:rsid w:val="00F916D8"/>
    <w:rsid w:val="00F929F4"/>
    <w:rsid w:val="00F93A69"/>
    <w:rsid w:val="00F94604"/>
    <w:rsid w:val="00F95890"/>
    <w:rsid w:val="00F958D0"/>
    <w:rsid w:val="00F96061"/>
    <w:rsid w:val="00F96654"/>
    <w:rsid w:val="00F969BF"/>
    <w:rsid w:val="00F970F3"/>
    <w:rsid w:val="00FA2275"/>
    <w:rsid w:val="00FA2BA1"/>
    <w:rsid w:val="00FA43A5"/>
    <w:rsid w:val="00FA5150"/>
    <w:rsid w:val="00FA5352"/>
    <w:rsid w:val="00FA6CB4"/>
    <w:rsid w:val="00FA7A02"/>
    <w:rsid w:val="00FB0DE3"/>
    <w:rsid w:val="00FB1074"/>
    <w:rsid w:val="00FB4D02"/>
    <w:rsid w:val="00FB50A8"/>
    <w:rsid w:val="00FB51BB"/>
    <w:rsid w:val="00FB70E0"/>
    <w:rsid w:val="00FB7983"/>
    <w:rsid w:val="00FC051E"/>
    <w:rsid w:val="00FC2872"/>
    <w:rsid w:val="00FC3B64"/>
    <w:rsid w:val="00FC5C9E"/>
    <w:rsid w:val="00FC5DF9"/>
    <w:rsid w:val="00FC5FC2"/>
    <w:rsid w:val="00FC73B5"/>
    <w:rsid w:val="00FD1A20"/>
    <w:rsid w:val="00FD2370"/>
    <w:rsid w:val="00FD3894"/>
    <w:rsid w:val="00FD47D4"/>
    <w:rsid w:val="00FD59FE"/>
    <w:rsid w:val="00FD6250"/>
    <w:rsid w:val="00FD68BC"/>
    <w:rsid w:val="00FD68DA"/>
    <w:rsid w:val="00FD6AA9"/>
    <w:rsid w:val="00FE155A"/>
    <w:rsid w:val="00FE2F4F"/>
    <w:rsid w:val="00FE303B"/>
    <w:rsid w:val="00FE3524"/>
    <w:rsid w:val="00FE453E"/>
    <w:rsid w:val="00FE45CC"/>
    <w:rsid w:val="00FE603E"/>
    <w:rsid w:val="00FE6164"/>
    <w:rsid w:val="00FE64C6"/>
    <w:rsid w:val="00FE7320"/>
    <w:rsid w:val="00FE73C8"/>
    <w:rsid w:val="00FF1251"/>
    <w:rsid w:val="00FF31ED"/>
    <w:rsid w:val="00FF3B1E"/>
    <w:rsid w:val="00FF40D7"/>
    <w:rsid w:val="00FF4169"/>
    <w:rsid w:val="00FF4257"/>
    <w:rsid w:val="00FF4363"/>
    <w:rsid w:val="00FF446E"/>
    <w:rsid w:val="00FF57C0"/>
    <w:rsid w:val="03BD6D9C"/>
    <w:rsid w:val="03E0EFD9"/>
    <w:rsid w:val="03F97EF2"/>
    <w:rsid w:val="04A508F5"/>
    <w:rsid w:val="053CF8E6"/>
    <w:rsid w:val="054F5A28"/>
    <w:rsid w:val="0618AD1A"/>
    <w:rsid w:val="06B147CD"/>
    <w:rsid w:val="07AEFEC3"/>
    <w:rsid w:val="08B7E809"/>
    <w:rsid w:val="08F28E1B"/>
    <w:rsid w:val="0A0F803C"/>
    <w:rsid w:val="0AD0E306"/>
    <w:rsid w:val="0B671C79"/>
    <w:rsid w:val="0D7D853E"/>
    <w:rsid w:val="0F7F11C6"/>
    <w:rsid w:val="0FD47112"/>
    <w:rsid w:val="11417F14"/>
    <w:rsid w:val="11AE107C"/>
    <w:rsid w:val="11E6300F"/>
    <w:rsid w:val="1241A640"/>
    <w:rsid w:val="141E39E4"/>
    <w:rsid w:val="16452DFA"/>
    <w:rsid w:val="165DE5E9"/>
    <w:rsid w:val="191CFAF4"/>
    <w:rsid w:val="1941783E"/>
    <w:rsid w:val="1AA39DDA"/>
    <w:rsid w:val="1BBB190D"/>
    <w:rsid w:val="1CAD0F22"/>
    <w:rsid w:val="1DA7FDD0"/>
    <w:rsid w:val="1E54241E"/>
    <w:rsid w:val="1FF6E980"/>
    <w:rsid w:val="21C8690D"/>
    <w:rsid w:val="234E2FD2"/>
    <w:rsid w:val="23724A22"/>
    <w:rsid w:val="23E24852"/>
    <w:rsid w:val="249CE016"/>
    <w:rsid w:val="2513DD3A"/>
    <w:rsid w:val="254B250F"/>
    <w:rsid w:val="256D0A58"/>
    <w:rsid w:val="25BBB788"/>
    <w:rsid w:val="26B83D53"/>
    <w:rsid w:val="281431EE"/>
    <w:rsid w:val="299663E3"/>
    <w:rsid w:val="29D9BB6F"/>
    <w:rsid w:val="2A3E4A6A"/>
    <w:rsid w:val="2AABC52E"/>
    <w:rsid w:val="2BAFB73F"/>
    <w:rsid w:val="2BDB45F6"/>
    <w:rsid w:val="2D88E054"/>
    <w:rsid w:val="2D97ABEB"/>
    <w:rsid w:val="2DA1814F"/>
    <w:rsid w:val="2E276028"/>
    <w:rsid w:val="2E452FBF"/>
    <w:rsid w:val="2F390F03"/>
    <w:rsid w:val="2F9489C9"/>
    <w:rsid w:val="30C5AF4B"/>
    <w:rsid w:val="31FA39CD"/>
    <w:rsid w:val="32DF3215"/>
    <w:rsid w:val="32FC35E5"/>
    <w:rsid w:val="3309893C"/>
    <w:rsid w:val="35753806"/>
    <w:rsid w:val="357EB482"/>
    <w:rsid w:val="3613F347"/>
    <w:rsid w:val="368908E1"/>
    <w:rsid w:val="37B816B7"/>
    <w:rsid w:val="38E9C564"/>
    <w:rsid w:val="38EB9BDA"/>
    <w:rsid w:val="39DC8408"/>
    <w:rsid w:val="3A5C1978"/>
    <w:rsid w:val="3AA5834E"/>
    <w:rsid w:val="3AEFBD09"/>
    <w:rsid w:val="3C0E3811"/>
    <w:rsid w:val="3D33DA0F"/>
    <w:rsid w:val="3E91372E"/>
    <w:rsid w:val="3EC8D05B"/>
    <w:rsid w:val="3F740FA6"/>
    <w:rsid w:val="4000F890"/>
    <w:rsid w:val="4237E1B9"/>
    <w:rsid w:val="42766FF0"/>
    <w:rsid w:val="42C8EC07"/>
    <w:rsid w:val="434DE46A"/>
    <w:rsid w:val="447FB578"/>
    <w:rsid w:val="452961F3"/>
    <w:rsid w:val="4551AEE0"/>
    <w:rsid w:val="489B1A57"/>
    <w:rsid w:val="498D503C"/>
    <w:rsid w:val="49C39E1E"/>
    <w:rsid w:val="4AA05144"/>
    <w:rsid w:val="4B4E4FD2"/>
    <w:rsid w:val="4E7B1052"/>
    <w:rsid w:val="4EF5C69B"/>
    <w:rsid w:val="4F53CAE8"/>
    <w:rsid w:val="4F8E7EED"/>
    <w:rsid w:val="514814E8"/>
    <w:rsid w:val="51C00FFE"/>
    <w:rsid w:val="52AFB8EF"/>
    <w:rsid w:val="53BC7DB9"/>
    <w:rsid w:val="53EAC51A"/>
    <w:rsid w:val="53EE822A"/>
    <w:rsid w:val="5556B036"/>
    <w:rsid w:val="555C82AE"/>
    <w:rsid w:val="5687C942"/>
    <w:rsid w:val="56A2F07C"/>
    <w:rsid w:val="56B75167"/>
    <w:rsid w:val="573A3D74"/>
    <w:rsid w:val="5940AD5C"/>
    <w:rsid w:val="59BE2AC0"/>
    <w:rsid w:val="5A0F5D34"/>
    <w:rsid w:val="5A4EC16A"/>
    <w:rsid w:val="5A57C5E9"/>
    <w:rsid w:val="5B49E141"/>
    <w:rsid w:val="5B5A220C"/>
    <w:rsid w:val="5C02286D"/>
    <w:rsid w:val="5C53F1B3"/>
    <w:rsid w:val="5D25053D"/>
    <w:rsid w:val="5DC99612"/>
    <w:rsid w:val="5DD683A0"/>
    <w:rsid w:val="601279B4"/>
    <w:rsid w:val="607A6BE2"/>
    <w:rsid w:val="60B12252"/>
    <w:rsid w:val="625CE319"/>
    <w:rsid w:val="62BF3AF0"/>
    <w:rsid w:val="6376625A"/>
    <w:rsid w:val="64F78BDC"/>
    <w:rsid w:val="6603B3C1"/>
    <w:rsid w:val="6767CC9B"/>
    <w:rsid w:val="68DB8A7D"/>
    <w:rsid w:val="6A442EE1"/>
    <w:rsid w:val="6A91CA34"/>
    <w:rsid w:val="6A9C8AED"/>
    <w:rsid w:val="6BD2F0ED"/>
    <w:rsid w:val="6E0E5FF7"/>
    <w:rsid w:val="6E8E4FA1"/>
    <w:rsid w:val="6F09AE18"/>
    <w:rsid w:val="6F36B6B1"/>
    <w:rsid w:val="6FDDCB5F"/>
    <w:rsid w:val="71D0CB36"/>
    <w:rsid w:val="71D5D4C6"/>
    <w:rsid w:val="72DB2E48"/>
    <w:rsid w:val="73DEF3DD"/>
    <w:rsid w:val="74126813"/>
    <w:rsid w:val="7441B6C0"/>
    <w:rsid w:val="74905767"/>
    <w:rsid w:val="74CFCB63"/>
    <w:rsid w:val="7528CEF0"/>
    <w:rsid w:val="7579342E"/>
    <w:rsid w:val="763C74C5"/>
    <w:rsid w:val="7642CB41"/>
    <w:rsid w:val="77643F4C"/>
    <w:rsid w:val="77B80999"/>
    <w:rsid w:val="77C955A2"/>
    <w:rsid w:val="7846373D"/>
    <w:rsid w:val="79130CAB"/>
    <w:rsid w:val="79AC71E5"/>
    <w:rsid w:val="7AEEAAB8"/>
    <w:rsid w:val="7B9F09AC"/>
    <w:rsid w:val="7C0F4B0E"/>
    <w:rsid w:val="7C780082"/>
    <w:rsid w:val="7CC2795E"/>
    <w:rsid w:val="7E3379F2"/>
    <w:rsid w:val="7E4D8D29"/>
    <w:rsid w:val="7EB60CE3"/>
    <w:rsid w:val="7F27EFFC"/>
    <w:rsid w:val="7F4595AF"/>
    <w:rsid w:val="7F64535D"/>
    <w:rsid w:val="7FE0E396"/>
    <w:rsid w:val="7FFCE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59C50"/>
  <w15:chartTrackingRefBased/>
  <w15:docId w15:val="{D97577B8-D0B3-4825-80B4-477A8982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73"/>
    <w:pPr>
      <w:shd w:val="clear" w:color="auto" w:fill="FFFFFF" w:themeFill="background1"/>
      <w:spacing w:before="120" w:after="120"/>
      <w:ind w:left="720"/>
    </w:pPr>
    <w:rPr>
      <w:rFonts w:ascii="Arial" w:hAnsi="Arial" w:cs="Arial"/>
      <w:kern w:val="0"/>
      <w:sz w:val="24"/>
      <w:szCs w:val="24"/>
      <w14:ligatures w14:val="none"/>
    </w:rPr>
  </w:style>
  <w:style w:type="paragraph" w:styleId="Heading1">
    <w:name w:val="heading 1"/>
    <w:basedOn w:val="Heading2"/>
    <w:next w:val="Normal"/>
    <w:link w:val="Heading1Char"/>
    <w:uiPriority w:val="9"/>
    <w:qFormat/>
    <w:rsid w:val="004A00F4"/>
    <w:pPr>
      <w:ind w:hanging="446"/>
      <w:jc w:val="center"/>
      <w:outlineLvl w:val="0"/>
    </w:pPr>
  </w:style>
  <w:style w:type="paragraph" w:styleId="Heading2">
    <w:name w:val="heading 2"/>
    <w:basedOn w:val="Normal"/>
    <w:next w:val="Normal"/>
    <w:link w:val="Heading2Char"/>
    <w:uiPriority w:val="9"/>
    <w:unhideWhenUsed/>
    <w:qFormat/>
    <w:rsid w:val="00C12FC8"/>
    <w:pPr>
      <w:keepNext/>
      <w:keepLines/>
      <w:spacing w:before="240" w:after="240"/>
      <w:ind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4103"/>
    <w:pPr>
      <w:keepNext/>
      <w:keepLines/>
      <w:ind w:left="547" w:hanging="547"/>
      <w:outlineLvl w:val="2"/>
    </w:pPr>
    <w:rPr>
      <w:rFonts w:eastAsiaTheme="majorEastAsia" w:cstheme="majorBidi"/>
      <w:b/>
      <w:bCs/>
    </w:rPr>
  </w:style>
  <w:style w:type="paragraph" w:styleId="Heading4">
    <w:name w:val="heading 4"/>
    <w:basedOn w:val="Normal"/>
    <w:next w:val="Normal"/>
    <w:link w:val="Heading4Char"/>
    <w:uiPriority w:val="9"/>
    <w:unhideWhenUsed/>
    <w:qFormat/>
    <w:rsid w:val="0094207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6F362E"/>
    <w:pPr>
      <w:widowControl w:val="0"/>
      <w:spacing w:before="0" w:after="0" w:line="240" w:lineRule="auto"/>
      <w:ind w:left="1382" w:hanging="662"/>
    </w:pPr>
  </w:style>
  <w:style w:type="character" w:customStyle="1" w:styleId="FootnoteTextChar">
    <w:name w:val="Footnote Text Char"/>
    <w:basedOn w:val="DefaultParagraphFont"/>
    <w:link w:val="FootnoteText"/>
    <w:uiPriority w:val="99"/>
    <w:rsid w:val="006F362E"/>
    <w:rPr>
      <w:rFonts w:ascii="Arial" w:hAnsi="Arial" w:cs="Arial"/>
      <w:kern w:val="0"/>
      <w:sz w:val="24"/>
      <w:szCs w:val="24"/>
      <w:shd w:val="clear" w:color="auto" w:fill="FFFFFF" w:themeFill="background1"/>
      <w14:ligatures w14:val="none"/>
    </w:rPr>
  </w:style>
  <w:style w:type="paragraph" w:styleId="TOC2">
    <w:name w:val="toc 2"/>
    <w:basedOn w:val="Normal"/>
    <w:next w:val="Normal"/>
    <w:autoRedefine/>
    <w:uiPriority w:val="39"/>
    <w:unhideWhenUsed/>
    <w:qFormat/>
    <w:rsid w:val="00F00463"/>
    <w:pPr>
      <w:tabs>
        <w:tab w:val="right" w:pos="1260"/>
        <w:tab w:val="right" w:leader="dot" w:pos="10070"/>
      </w:tabs>
      <w:spacing w:after="0"/>
      <w:ind w:hanging="720"/>
    </w:pPr>
  </w:style>
  <w:style w:type="paragraph" w:customStyle="1" w:styleId="BulletsH3">
    <w:name w:val="BulletsH3"/>
    <w:basedOn w:val="Normal"/>
    <w:link w:val="BulletsH3Char"/>
    <w:qFormat/>
    <w:rsid w:val="00D07B8F"/>
    <w:pPr>
      <w:numPr>
        <w:numId w:val="2"/>
      </w:numPr>
      <w:spacing w:before="0" w:after="0"/>
      <w:ind w:left="1800" w:hanging="540"/>
    </w:pPr>
  </w:style>
  <w:style w:type="character" w:customStyle="1" w:styleId="BulletsH3Char">
    <w:name w:val="BulletsH3 Char"/>
    <w:basedOn w:val="DefaultParagraphFont"/>
    <w:link w:val="BulletsH3"/>
    <w:rsid w:val="00D07B8F"/>
    <w:rPr>
      <w:rFonts w:ascii="Arial" w:eastAsia="Times New Roman" w:hAnsi="Arial" w:cs="Arial"/>
      <w:sz w:val="24"/>
      <w:szCs w:val="24"/>
    </w:rPr>
  </w:style>
  <w:style w:type="character" w:customStyle="1" w:styleId="Heading1Char">
    <w:name w:val="Heading 1 Char"/>
    <w:basedOn w:val="DefaultParagraphFont"/>
    <w:link w:val="Heading1"/>
    <w:uiPriority w:val="9"/>
    <w:rsid w:val="004A00F4"/>
    <w:rPr>
      <w:rFonts w:ascii="Arial" w:eastAsiaTheme="majorEastAsia" w:hAnsi="Arial" w:cstheme="majorBidi"/>
      <w:b/>
      <w:kern w:val="0"/>
      <w:sz w:val="24"/>
      <w:szCs w:val="26"/>
      <w:shd w:val="clear" w:color="auto" w:fill="FFFFFF" w:themeFill="background1"/>
      <w14:ligatures w14:val="none"/>
    </w:rPr>
  </w:style>
  <w:style w:type="character" w:customStyle="1" w:styleId="Heading3Char">
    <w:name w:val="Heading 3 Char"/>
    <w:basedOn w:val="DefaultParagraphFont"/>
    <w:link w:val="Heading3"/>
    <w:uiPriority w:val="9"/>
    <w:rsid w:val="00BB4103"/>
    <w:rPr>
      <w:rFonts w:ascii="Arial" w:eastAsiaTheme="majorEastAsia" w:hAnsi="Arial" w:cstheme="majorBidi"/>
      <w:b/>
      <w:bCs/>
      <w:kern w:val="0"/>
      <w:sz w:val="24"/>
      <w:szCs w:val="24"/>
      <w:shd w:val="clear" w:color="auto" w:fill="FFFFFF" w:themeFill="background1"/>
      <w14:ligatures w14:val="none"/>
    </w:rPr>
  </w:style>
  <w:style w:type="character" w:customStyle="1" w:styleId="Heading2Char">
    <w:name w:val="Heading 2 Char"/>
    <w:basedOn w:val="DefaultParagraphFont"/>
    <w:link w:val="Heading2"/>
    <w:uiPriority w:val="9"/>
    <w:rsid w:val="00C12FC8"/>
    <w:rPr>
      <w:rFonts w:ascii="Arial" w:eastAsiaTheme="majorEastAsia" w:hAnsi="Arial" w:cstheme="majorBidi"/>
      <w:b/>
      <w:kern w:val="0"/>
      <w:sz w:val="24"/>
      <w:szCs w:val="26"/>
      <w:shd w:val="clear" w:color="auto" w:fill="FFFFFF" w:themeFill="background1"/>
      <w14:ligatures w14:val="none"/>
    </w:rPr>
  </w:style>
  <w:style w:type="character" w:customStyle="1" w:styleId="Heading4Char">
    <w:name w:val="Heading 4 Char"/>
    <w:basedOn w:val="DefaultParagraphFont"/>
    <w:link w:val="Heading4"/>
    <w:uiPriority w:val="9"/>
    <w:rsid w:val="00942073"/>
    <w:rPr>
      <w:rFonts w:ascii="Arial" w:eastAsiaTheme="majorEastAsia" w:hAnsi="Arial" w:cstheme="majorBidi"/>
      <w:i/>
      <w:iCs/>
      <w:kern w:val="0"/>
      <w:sz w:val="24"/>
      <w14:ligatures w14:val="none"/>
    </w:rPr>
  </w:style>
  <w:style w:type="paragraph" w:customStyle="1" w:styleId="BodyText0325">
    <w:name w:val="Body Text 0.325&quot;"/>
    <w:basedOn w:val="BodyText"/>
    <w:autoRedefine/>
    <w:rsid w:val="00C312A8"/>
    <w:pPr>
      <w:numPr>
        <w:numId w:val="4"/>
      </w:numPr>
      <w:tabs>
        <w:tab w:val="left" w:pos="1620"/>
      </w:tabs>
      <w:spacing w:after="0"/>
      <w:ind w:left="1454" w:hanging="547"/>
    </w:pPr>
  </w:style>
  <w:style w:type="character" w:styleId="Hyperlink">
    <w:name w:val="Hyperlink"/>
    <w:uiPriority w:val="99"/>
    <w:rsid w:val="00942073"/>
    <w:rPr>
      <w:color w:val="0000FF"/>
      <w:u w:val="single"/>
    </w:rPr>
  </w:style>
  <w:style w:type="paragraph" w:styleId="ListParagraph">
    <w:name w:val="List Paragraph"/>
    <w:basedOn w:val="NoSpacing"/>
    <w:link w:val="ListParagraphChar"/>
    <w:uiPriority w:val="1"/>
    <w:qFormat/>
    <w:rsid w:val="00942073"/>
    <w:pPr>
      <w:widowControl w:val="0"/>
      <w:numPr>
        <w:numId w:val="46"/>
      </w:numPr>
      <w:tabs>
        <w:tab w:val="left" w:pos="360"/>
      </w:tabs>
      <w:spacing w:after="100" w:line="259" w:lineRule="auto"/>
    </w:pPr>
    <w:rPr>
      <w:bCs/>
    </w:rPr>
  </w:style>
  <w:style w:type="character" w:customStyle="1" w:styleId="ListParagraphChar">
    <w:name w:val="List Paragraph Char"/>
    <w:basedOn w:val="DefaultParagraphFont"/>
    <w:link w:val="ListParagraph"/>
    <w:uiPriority w:val="1"/>
    <w:rsid w:val="00942073"/>
    <w:rPr>
      <w:rFonts w:ascii="Arial" w:hAnsi="Arial" w:cs="Arial"/>
      <w:bCs/>
      <w:kern w:val="0"/>
      <w:sz w:val="24"/>
      <w:szCs w:val="24"/>
      <w:shd w:val="clear" w:color="auto" w:fill="FFFFFF" w:themeFill="background1"/>
      <w14:ligatures w14:val="none"/>
    </w:rPr>
  </w:style>
  <w:style w:type="character" w:customStyle="1" w:styleId="normaltextrun">
    <w:name w:val="normaltextrun"/>
    <w:basedOn w:val="DefaultParagraphFont"/>
    <w:rsid w:val="00942073"/>
  </w:style>
  <w:style w:type="table" w:customStyle="1" w:styleId="TableGrid1">
    <w:name w:val="Table Grid1"/>
    <w:basedOn w:val="TableNormal"/>
    <w:next w:val="TableGrid"/>
    <w:rsid w:val="00942073"/>
    <w:pPr>
      <w:spacing w:after="0" w:line="240" w:lineRule="auto"/>
    </w:pPr>
    <w:rPr>
      <w:rFonts w:ascii="Arial" w:eastAsia="Times New Roman" w:hAnsi="Arial" w:cs="Times New Roman"/>
      <w:kern w:val="0"/>
      <w14:ligatures w14:val="none"/>
    </w:rPr>
    <w:tblPr/>
  </w:style>
  <w:style w:type="paragraph" w:styleId="BodyText">
    <w:name w:val="Body Text"/>
    <w:basedOn w:val="Normal"/>
    <w:link w:val="BodyTextChar"/>
    <w:uiPriority w:val="99"/>
    <w:semiHidden/>
    <w:unhideWhenUsed/>
    <w:rsid w:val="00942073"/>
  </w:style>
  <w:style w:type="character" w:customStyle="1" w:styleId="BodyTextChar">
    <w:name w:val="Body Text Char"/>
    <w:basedOn w:val="DefaultParagraphFont"/>
    <w:link w:val="BodyText"/>
    <w:uiPriority w:val="99"/>
    <w:semiHidden/>
    <w:rsid w:val="00942073"/>
    <w:rPr>
      <w:rFonts w:ascii="Arial" w:hAnsi="Arial" w:cs="Arial"/>
      <w:kern w:val="0"/>
      <w:sz w:val="24"/>
      <w:szCs w:val="24"/>
      <w:shd w:val="clear" w:color="auto" w:fill="FFFFFF" w:themeFill="background1"/>
      <w14:ligatures w14:val="none"/>
    </w:rPr>
  </w:style>
  <w:style w:type="paragraph" w:styleId="NoSpacing">
    <w:name w:val="No Spacing"/>
    <w:uiPriority w:val="1"/>
    <w:qFormat/>
    <w:rsid w:val="00942073"/>
    <w:pPr>
      <w:shd w:val="clear" w:color="auto" w:fill="FFFFFF" w:themeFill="background1"/>
      <w:spacing w:after="0" w:line="240" w:lineRule="auto"/>
      <w:ind w:left="720"/>
    </w:pPr>
    <w:rPr>
      <w:rFonts w:ascii="Arial" w:hAnsi="Arial" w:cs="Arial"/>
      <w:kern w:val="0"/>
      <w:sz w:val="24"/>
      <w:szCs w:val="24"/>
      <w14:ligatures w14:val="none"/>
    </w:rPr>
  </w:style>
  <w:style w:type="table" w:styleId="TableGrid">
    <w:name w:val="Table Grid"/>
    <w:basedOn w:val="TableNormal"/>
    <w:uiPriority w:val="39"/>
    <w:rsid w:val="00942073"/>
    <w:pPr>
      <w:spacing w:after="0" w:line="240" w:lineRule="auto"/>
    </w:pPr>
    <w:tblPr/>
  </w:style>
  <w:style w:type="paragraph" w:styleId="Header">
    <w:name w:val="header"/>
    <w:basedOn w:val="Normal"/>
    <w:link w:val="HeaderChar"/>
    <w:uiPriority w:val="99"/>
    <w:unhideWhenUsed/>
    <w:qFormat/>
    <w:rsid w:val="009420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42073"/>
    <w:rPr>
      <w:rFonts w:ascii="Arial" w:hAnsi="Arial" w:cs="Arial"/>
      <w:kern w:val="0"/>
      <w:sz w:val="24"/>
      <w:szCs w:val="24"/>
      <w:shd w:val="clear" w:color="auto" w:fill="FFFFFF" w:themeFill="background1"/>
      <w14:ligatures w14:val="none"/>
    </w:rPr>
  </w:style>
  <w:style w:type="paragraph" w:styleId="Footer">
    <w:name w:val="footer"/>
    <w:basedOn w:val="Normal"/>
    <w:link w:val="FooterChar"/>
    <w:uiPriority w:val="99"/>
    <w:unhideWhenUsed/>
    <w:rsid w:val="009420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42073"/>
    <w:rPr>
      <w:rFonts w:ascii="Arial" w:hAnsi="Arial" w:cs="Arial"/>
      <w:kern w:val="0"/>
      <w:sz w:val="24"/>
      <w:szCs w:val="24"/>
      <w:shd w:val="clear" w:color="auto" w:fill="FFFFFF" w:themeFill="background1"/>
      <w14:ligatures w14:val="none"/>
    </w:rPr>
  </w:style>
  <w:style w:type="character" w:styleId="UnresolvedMention">
    <w:name w:val="Unresolved Mention"/>
    <w:basedOn w:val="DefaultParagraphFont"/>
    <w:uiPriority w:val="99"/>
    <w:semiHidden/>
    <w:unhideWhenUsed/>
    <w:rsid w:val="00A43E87"/>
    <w:rPr>
      <w:color w:val="605E5C"/>
      <w:shd w:val="clear" w:color="auto" w:fill="E1DFDD"/>
    </w:rPr>
  </w:style>
  <w:style w:type="paragraph" w:customStyle="1" w:styleId="TableText">
    <w:name w:val="Table Text"/>
    <w:basedOn w:val="BodyText"/>
    <w:qFormat/>
    <w:rsid w:val="00C12287"/>
    <w:pPr>
      <w:shd w:val="clear" w:color="auto" w:fill="auto"/>
      <w:spacing w:before="0" w:after="0" w:line="240" w:lineRule="auto"/>
      <w:ind w:left="0"/>
      <w:contextualSpacing/>
    </w:pPr>
    <w:rPr>
      <w:rFonts w:eastAsia="Times New Roman"/>
      <w:spacing w:val="-1"/>
    </w:rPr>
  </w:style>
  <w:style w:type="character" w:styleId="FootnoteReference">
    <w:name w:val="footnote reference"/>
    <w:basedOn w:val="DefaultParagraphFont"/>
    <w:uiPriority w:val="99"/>
    <w:unhideWhenUsed/>
    <w:rsid w:val="002C0034"/>
    <w:rPr>
      <w:vertAlign w:val="superscript"/>
    </w:rPr>
  </w:style>
  <w:style w:type="character" w:customStyle="1" w:styleId="ui-provider">
    <w:name w:val="ui-provider"/>
    <w:basedOn w:val="DefaultParagraphFont"/>
    <w:rsid w:val="00C6043F"/>
  </w:style>
  <w:style w:type="character" w:styleId="CommentReference">
    <w:name w:val="annotation reference"/>
    <w:basedOn w:val="DefaultParagraphFont"/>
    <w:uiPriority w:val="99"/>
    <w:unhideWhenUsed/>
    <w:rsid w:val="0093734B"/>
    <w:rPr>
      <w:sz w:val="16"/>
      <w:szCs w:val="16"/>
    </w:rPr>
  </w:style>
  <w:style w:type="paragraph" w:styleId="CommentText">
    <w:name w:val="annotation text"/>
    <w:basedOn w:val="Normal"/>
    <w:link w:val="CommentTextChar"/>
    <w:uiPriority w:val="99"/>
    <w:unhideWhenUsed/>
    <w:rsid w:val="0093734B"/>
    <w:pPr>
      <w:shd w:val="clear" w:color="auto" w:fill="auto"/>
      <w:ind w:left="0"/>
    </w:pPr>
    <w:rPr>
      <w:rFonts w:eastAsia="Times New Roman" w:cs="Times New Roman"/>
      <w:sz w:val="20"/>
      <w:szCs w:val="20"/>
    </w:rPr>
  </w:style>
  <w:style w:type="character" w:customStyle="1" w:styleId="CommentTextChar">
    <w:name w:val="Comment Text Char"/>
    <w:basedOn w:val="DefaultParagraphFont"/>
    <w:link w:val="CommentText"/>
    <w:uiPriority w:val="99"/>
    <w:rsid w:val="0093734B"/>
    <w:rPr>
      <w:rFonts w:ascii="Arial" w:eastAsia="Times New Roman" w:hAnsi="Arial" w:cs="Times New Roman"/>
      <w:kern w:val="0"/>
      <w:sz w:val="20"/>
      <w:szCs w:val="20"/>
      <w14:ligatures w14:val="none"/>
    </w:rPr>
  </w:style>
  <w:style w:type="table" w:customStyle="1" w:styleId="TableGrid2">
    <w:name w:val="Table Grid2"/>
    <w:basedOn w:val="TableNormal"/>
    <w:next w:val="TableGrid"/>
    <w:uiPriority w:val="39"/>
    <w:rsid w:val="0093734B"/>
    <w:pPr>
      <w:spacing w:after="0" w:line="240" w:lineRule="auto"/>
    </w:pPr>
    <w:rPr>
      <w:rFonts w:ascii="Arial" w:hAnsi="Arial"/>
      <w:kern w:val="0"/>
      <w:sz w:val="24"/>
      <w14:ligatures w14:val="none"/>
    </w:rPr>
    <w:tblPr/>
  </w:style>
  <w:style w:type="character" w:styleId="FollowedHyperlink">
    <w:name w:val="FollowedHyperlink"/>
    <w:basedOn w:val="DefaultParagraphFont"/>
    <w:uiPriority w:val="99"/>
    <w:semiHidden/>
    <w:unhideWhenUsed/>
    <w:rsid w:val="006416CF"/>
    <w:rPr>
      <w:color w:val="954F72" w:themeColor="followedHyperlink"/>
      <w:u w:val="single"/>
    </w:rPr>
  </w:style>
  <w:style w:type="paragraph" w:styleId="Revision">
    <w:name w:val="Revision"/>
    <w:hidden/>
    <w:uiPriority w:val="99"/>
    <w:semiHidden/>
    <w:rsid w:val="007B104B"/>
    <w:pPr>
      <w:spacing w:after="0" w:line="240" w:lineRule="auto"/>
    </w:pPr>
    <w:rPr>
      <w:rFonts w:ascii="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7B104B"/>
    <w:pPr>
      <w:shd w:val="clear" w:color="auto" w:fill="FFFFFF" w:themeFill="background1"/>
      <w:spacing w:line="240" w:lineRule="auto"/>
      <w:ind w:left="720"/>
    </w:pPr>
    <w:rPr>
      <w:rFonts w:eastAsiaTheme="minorHAnsi" w:cs="Arial"/>
      <w:b/>
      <w:bCs/>
    </w:rPr>
  </w:style>
  <w:style w:type="character" w:customStyle="1" w:styleId="CommentSubjectChar">
    <w:name w:val="Comment Subject Char"/>
    <w:basedOn w:val="CommentTextChar"/>
    <w:link w:val="CommentSubject"/>
    <w:uiPriority w:val="99"/>
    <w:semiHidden/>
    <w:rsid w:val="007B104B"/>
    <w:rPr>
      <w:rFonts w:ascii="Arial" w:eastAsia="Times New Roman" w:hAnsi="Arial" w:cs="Arial"/>
      <w:b/>
      <w:bCs/>
      <w:kern w:val="0"/>
      <w:sz w:val="20"/>
      <w:szCs w:val="20"/>
      <w:shd w:val="clear" w:color="auto" w:fill="FFFFFF" w:themeFill="background1"/>
      <w14:ligatures w14:val="none"/>
    </w:rPr>
  </w:style>
  <w:style w:type="paragraph" w:customStyle="1" w:styleId="HiddenTableText">
    <w:name w:val="Hidden Table Text"/>
    <w:basedOn w:val="BodyText"/>
    <w:qFormat/>
    <w:rsid w:val="00657C43"/>
    <w:pPr>
      <w:shd w:val="clear" w:color="auto" w:fill="auto"/>
      <w:spacing w:before="0" w:after="0" w:line="240" w:lineRule="auto"/>
      <w:ind w:left="0"/>
      <w:jc w:val="center"/>
    </w:pPr>
    <w:rPr>
      <w:rFonts w:eastAsia="Times New Roman" w:cs="Times New Roman"/>
      <w:color w:val="FFFFFF" w:themeColor="background1"/>
      <w:szCs w:val="20"/>
    </w:rPr>
  </w:style>
  <w:style w:type="paragraph" w:styleId="Caption">
    <w:name w:val="caption"/>
    <w:basedOn w:val="Normal"/>
    <w:next w:val="Normal"/>
    <w:unhideWhenUsed/>
    <w:qFormat/>
    <w:rsid w:val="00DD157B"/>
    <w:pPr>
      <w:keepNext/>
      <w:shd w:val="clear" w:color="auto" w:fill="auto"/>
      <w:spacing w:before="360" w:after="0" w:line="240" w:lineRule="auto"/>
      <w:ind w:left="0"/>
      <w:contextualSpacing/>
    </w:pPr>
    <w:rPr>
      <w:rFonts w:eastAsia="Times New Roman" w:cs="Times New Roman"/>
      <w:b/>
      <w:iCs/>
      <w:sz w:val="26"/>
      <w:szCs w:val="18"/>
    </w:rPr>
  </w:style>
  <w:style w:type="paragraph" w:styleId="NormalWeb">
    <w:name w:val="Normal (Web)"/>
    <w:basedOn w:val="Normal"/>
    <w:uiPriority w:val="99"/>
    <w:semiHidden/>
    <w:unhideWhenUsed/>
    <w:rsid w:val="00DA7E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628131">
      <w:bodyDiv w:val="1"/>
      <w:marLeft w:val="0"/>
      <w:marRight w:val="0"/>
      <w:marTop w:val="0"/>
      <w:marBottom w:val="0"/>
      <w:divBdr>
        <w:top w:val="none" w:sz="0" w:space="0" w:color="auto"/>
        <w:left w:val="none" w:sz="0" w:space="0" w:color="auto"/>
        <w:bottom w:val="none" w:sz="0" w:space="0" w:color="auto"/>
        <w:right w:val="none" w:sz="0" w:space="0" w:color="auto"/>
      </w:divBdr>
    </w:div>
    <w:div w:id="1225481519">
      <w:bodyDiv w:val="1"/>
      <w:marLeft w:val="0"/>
      <w:marRight w:val="0"/>
      <w:marTop w:val="0"/>
      <w:marBottom w:val="0"/>
      <w:divBdr>
        <w:top w:val="none" w:sz="0" w:space="0" w:color="auto"/>
        <w:left w:val="none" w:sz="0" w:space="0" w:color="auto"/>
        <w:bottom w:val="none" w:sz="0" w:space="0" w:color="auto"/>
        <w:right w:val="none" w:sz="0" w:space="0" w:color="auto"/>
      </w:divBdr>
    </w:div>
    <w:div w:id="21401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terboards.ca.gov/board_decisions/adopted_orders/resolutions/2012/rs2012_003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boards.ca.gov/water_issues/programs/nps/plans_polici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aterboards.ca.gov/board_decisions/adopted_orders/resolutions/2012/rs2012_0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99BC98-8A81-4E8C-8067-4FB38E21D3EB}">
  <ds:schemaRefs>
    <ds:schemaRef ds:uri="http://schemas.microsoft.com/sharepoint/v3/contenttype/forms"/>
  </ds:schemaRefs>
</ds:datastoreItem>
</file>

<file path=customXml/itemProps2.xml><?xml version="1.0" encoding="utf-8"?>
<ds:datastoreItem xmlns:ds="http://schemas.openxmlformats.org/officeDocument/2006/customXml" ds:itemID="{273F6C65-439F-45E7-A856-1CB7A913C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27624-0428-40FB-86A6-67F5D3A92E9D}">
  <ds:schemaRefs>
    <ds:schemaRef ds:uri="http://schemas.openxmlformats.org/officeDocument/2006/bibliography"/>
  </ds:schemaRefs>
</ds:datastoreItem>
</file>

<file path=customXml/itemProps4.xml><?xml version="1.0" encoding="utf-8"?>
<ds:datastoreItem xmlns:ds="http://schemas.openxmlformats.org/officeDocument/2006/customXml" ds:itemID="{D28DC0F5-B2A0-4C24-91CD-BE0AD630D1AE}">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1224</TotalTime>
  <Pages>20</Pages>
  <Words>5751</Words>
  <Characters>34336</Characters>
  <Application>Microsoft Office Word</Application>
  <DocSecurity>0</DocSecurity>
  <Lines>700</Lines>
  <Paragraphs>315</Paragraphs>
  <ScaleCrop>false</ScaleCrop>
  <Company>SWRCB</Company>
  <LinksUpToDate>false</LinksUpToDate>
  <CharactersWithSpaces>39772</CharactersWithSpaces>
  <SharedDoc>false</SharedDoc>
  <HLinks>
    <vt:vector size="72" baseType="variant">
      <vt:variant>
        <vt:i4>3932275</vt:i4>
      </vt:variant>
      <vt:variant>
        <vt:i4>30</vt:i4>
      </vt:variant>
      <vt:variant>
        <vt:i4>0</vt:i4>
      </vt:variant>
      <vt:variant>
        <vt:i4>5</vt:i4>
      </vt:variant>
      <vt:variant>
        <vt:lpwstr/>
      </vt:variant>
      <vt:variant>
        <vt:lpwstr>Table1</vt:lpwstr>
      </vt:variant>
      <vt:variant>
        <vt:i4>3932275</vt:i4>
      </vt:variant>
      <vt:variant>
        <vt:i4>27</vt:i4>
      </vt:variant>
      <vt:variant>
        <vt:i4>0</vt:i4>
      </vt:variant>
      <vt:variant>
        <vt:i4>5</vt:i4>
      </vt:variant>
      <vt:variant>
        <vt:lpwstr/>
      </vt:variant>
      <vt:variant>
        <vt:lpwstr>Table1</vt:lpwstr>
      </vt:variant>
      <vt:variant>
        <vt:i4>8257651</vt:i4>
      </vt:variant>
      <vt:variant>
        <vt:i4>24</vt:i4>
      </vt:variant>
      <vt:variant>
        <vt:i4>0</vt:i4>
      </vt:variant>
      <vt:variant>
        <vt:i4>5</vt:i4>
      </vt:variant>
      <vt:variant>
        <vt:lpwstr/>
      </vt:variant>
      <vt:variant>
        <vt:lpwstr>Tables</vt:lpwstr>
      </vt:variant>
      <vt:variant>
        <vt:i4>8257651</vt:i4>
      </vt:variant>
      <vt:variant>
        <vt:i4>21</vt:i4>
      </vt:variant>
      <vt:variant>
        <vt:i4>0</vt:i4>
      </vt:variant>
      <vt:variant>
        <vt:i4>5</vt:i4>
      </vt:variant>
      <vt:variant>
        <vt:lpwstr/>
      </vt:variant>
      <vt:variant>
        <vt:lpwstr>Tables</vt:lpwstr>
      </vt:variant>
      <vt:variant>
        <vt:i4>6160495</vt:i4>
      </vt:variant>
      <vt:variant>
        <vt:i4>18</vt:i4>
      </vt:variant>
      <vt:variant>
        <vt:i4>0</vt:i4>
      </vt:variant>
      <vt:variant>
        <vt:i4>5</vt:i4>
      </vt:variant>
      <vt:variant>
        <vt:lpwstr>https://www.waterboards.ca.gov/board_decisions/adopted_orders/resolutions/2012/rs2012_0031.pdf</vt:lpwstr>
      </vt:variant>
      <vt:variant>
        <vt:lpwstr/>
      </vt:variant>
      <vt:variant>
        <vt:i4>4718694</vt:i4>
      </vt:variant>
      <vt:variant>
        <vt:i4>15</vt:i4>
      </vt:variant>
      <vt:variant>
        <vt:i4>0</vt:i4>
      </vt:variant>
      <vt:variant>
        <vt:i4>5</vt:i4>
      </vt:variant>
      <vt:variant>
        <vt:lpwstr/>
      </vt:variant>
      <vt:variant>
        <vt:lpwstr>_Table_F9._Table</vt:lpwstr>
      </vt:variant>
      <vt:variant>
        <vt:i4>4522109</vt:i4>
      </vt:variant>
      <vt:variant>
        <vt:i4>12</vt:i4>
      </vt:variant>
      <vt:variant>
        <vt:i4>0</vt:i4>
      </vt:variant>
      <vt:variant>
        <vt:i4>5</vt:i4>
      </vt:variant>
      <vt:variant>
        <vt:lpwstr>https://www.waterboards.ca.gov/water_issues/programs/ocean/docs/oceanplan2019.pdf</vt:lpwstr>
      </vt:variant>
      <vt:variant>
        <vt:lpwstr/>
      </vt:variant>
      <vt:variant>
        <vt:i4>72</vt:i4>
      </vt:variant>
      <vt:variant>
        <vt:i4>9</vt:i4>
      </vt:variant>
      <vt:variant>
        <vt:i4>0</vt:i4>
      </vt:variant>
      <vt:variant>
        <vt:i4>5</vt:i4>
      </vt:variant>
      <vt:variant>
        <vt:lpwstr>https://www.waterboards.ca.gov/water_issues/programs/nps/plans_policies.html</vt:lpwstr>
      </vt:variant>
      <vt:variant>
        <vt:lpwstr/>
      </vt:variant>
      <vt:variant>
        <vt:i4>8257651</vt:i4>
      </vt:variant>
      <vt:variant>
        <vt:i4>6</vt:i4>
      </vt:variant>
      <vt:variant>
        <vt:i4>0</vt:i4>
      </vt:variant>
      <vt:variant>
        <vt:i4>5</vt:i4>
      </vt:variant>
      <vt:variant>
        <vt:lpwstr/>
      </vt:variant>
      <vt:variant>
        <vt:lpwstr>Tables</vt:lpwstr>
      </vt:variant>
      <vt:variant>
        <vt:i4>65547</vt:i4>
      </vt:variant>
      <vt:variant>
        <vt:i4>3</vt:i4>
      </vt:variant>
      <vt:variant>
        <vt:i4>0</vt:i4>
      </vt:variant>
      <vt:variant>
        <vt:i4>5</vt:i4>
      </vt:variant>
      <vt:variant>
        <vt:lpwstr/>
      </vt:variant>
      <vt:variant>
        <vt:lpwstr>FlowChart</vt:lpwstr>
      </vt:variant>
      <vt:variant>
        <vt:i4>6160495</vt:i4>
      </vt:variant>
      <vt:variant>
        <vt:i4>0</vt:i4>
      </vt:variant>
      <vt:variant>
        <vt:i4>0</vt:i4>
      </vt:variant>
      <vt:variant>
        <vt:i4>5</vt:i4>
      </vt:variant>
      <vt:variant>
        <vt:lpwstr>https://www.waterboards.ca.gov/board_decisions/adopted_orders/resolutions/2012/rs2012_0031.pdf</vt:lpwstr>
      </vt:variant>
      <vt:variant>
        <vt:lpwstr/>
      </vt:variant>
      <vt:variant>
        <vt:i4>6094957</vt:i4>
      </vt:variant>
      <vt:variant>
        <vt:i4>0</vt:i4>
      </vt:variant>
      <vt:variant>
        <vt:i4>0</vt:i4>
      </vt:variant>
      <vt:variant>
        <vt:i4>5</vt:i4>
      </vt:variant>
      <vt:variant>
        <vt:lpwstr>https://www.waterboards.ca.gov/board_decisions/adopted_orders/resolutions/2012/rs2012_0012.pdf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 Areas of Special Biological Significance Implementation Requirements</dc:title>
  <dc:subject>Small MS4 Permit</dc:subject>
  <dc:creator>California State Water Resources Control Board</dc:creator>
  <cp:keywords/>
  <dc:description/>
  <cp:lastModifiedBy>Seggay, Dustin@Waterboards</cp:lastModifiedBy>
  <cp:revision>1114</cp:revision>
  <cp:lastPrinted>2025-10-27T20:49:00Z</cp:lastPrinted>
  <dcterms:created xsi:type="dcterms:W3CDTF">2026-03-19T20:50:00Z</dcterms:created>
  <dcterms:modified xsi:type="dcterms:W3CDTF">2026-06-26T16:15:00Z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
  </property>
  <property fmtid="{D5CDD505-2E9C-101B-9397-08002B2CF9AE}" pid="4" name="MediaServiceImageTags">
    <vt:lpwstr/>
  </property>
  <property fmtid="{D5CDD505-2E9C-101B-9397-08002B2CF9AE}" pid="5" name="DWQ_Projects">
    <vt:lpwstr/>
  </property>
  <property fmtid="{D5CDD505-2E9C-101B-9397-08002B2CF9AE}" pid="6" name="DWQ_Unit">
    <vt:lpwstr/>
  </property>
  <property fmtid="{D5CDD505-2E9C-101B-9397-08002B2CF9AE}" pid="7" name="DWQ_DocType">
    <vt:lpwstr/>
  </property>
  <property fmtid="{D5CDD505-2E9C-101B-9397-08002B2CF9AE}" pid="8" name="DWQ_Section">
    <vt:lpwstr/>
  </property>
  <property fmtid="{D5CDD505-2E9C-101B-9397-08002B2CF9AE}" pid="9" name="_ExtendedDescription">
    <vt:lpwstr/>
  </property>
  <property fmtid="{D5CDD505-2E9C-101B-9397-08002B2CF9AE}" pid="10" name="docLang">
    <vt:lpwstr>en</vt:lpwstr>
  </property>
</Properties>
</file>