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22CFE" w14:textId="77777777" w:rsidR="00672DCD" w:rsidRPr="00FC6D21" w:rsidRDefault="00672DCD" w:rsidP="00672DCD">
      <w:pPr>
        <w:spacing w:after="0" w:line="240" w:lineRule="auto"/>
        <w:jc w:val="center"/>
        <w:rPr>
          <w:rFonts w:ascii="Arial" w:hAnsi="Arial" w:cs="Arial"/>
          <w:b/>
        </w:rPr>
      </w:pPr>
      <w:r w:rsidRPr="00FC6D21">
        <w:rPr>
          <w:rFonts w:ascii="Arial" w:hAnsi="Arial" w:cs="Arial"/>
          <w:b/>
        </w:rPr>
        <w:t xml:space="preserve">Response to </w:t>
      </w:r>
      <w:r>
        <w:rPr>
          <w:rFonts w:ascii="Arial" w:hAnsi="Arial" w:cs="Arial"/>
          <w:b/>
        </w:rPr>
        <w:t>Public Comments</w:t>
      </w:r>
      <w:r w:rsidRPr="00FC6D21">
        <w:rPr>
          <w:rFonts w:ascii="Arial" w:hAnsi="Arial" w:cs="Arial"/>
          <w:b/>
        </w:rPr>
        <w:t xml:space="preserve"> received from </w:t>
      </w:r>
      <w:r w:rsidR="00807184">
        <w:rPr>
          <w:rFonts w:ascii="Arial" w:hAnsi="Arial" w:cs="Arial"/>
          <w:b/>
        </w:rPr>
        <w:t>Union Pacific Railroad</w:t>
      </w:r>
      <w:r w:rsidR="00646974">
        <w:rPr>
          <w:rFonts w:ascii="Arial" w:hAnsi="Arial" w:cs="Arial"/>
          <w:b/>
        </w:rPr>
        <w:t xml:space="preserve"> </w:t>
      </w:r>
      <w:r w:rsidR="00807184">
        <w:rPr>
          <w:rFonts w:ascii="Arial" w:hAnsi="Arial" w:cs="Arial"/>
          <w:b/>
        </w:rPr>
        <w:t>dated July 3, 2018</w:t>
      </w:r>
    </w:p>
    <w:p w14:paraId="6514EE34" w14:textId="77777777" w:rsidR="00672DCD" w:rsidRPr="00FC6D21" w:rsidRDefault="00672DCD" w:rsidP="00672DCD">
      <w:pPr>
        <w:spacing w:after="0" w:line="240" w:lineRule="auto"/>
        <w:jc w:val="center"/>
        <w:rPr>
          <w:rFonts w:ascii="Arial" w:hAnsi="Arial" w:cs="Arial"/>
          <w:b/>
        </w:rPr>
      </w:pPr>
      <w:r w:rsidRPr="00FC6D21">
        <w:rPr>
          <w:rFonts w:ascii="Arial" w:hAnsi="Arial" w:cs="Arial"/>
          <w:b/>
        </w:rPr>
        <w:t xml:space="preserve">Regarding the Closure Recommendation for </w:t>
      </w:r>
      <w:r w:rsidR="00807184">
        <w:rPr>
          <w:rFonts w:ascii="Arial" w:hAnsi="Arial" w:cs="Arial"/>
          <w:b/>
        </w:rPr>
        <w:t>Mell’s Cargo Supply</w:t>
      </w:r>
      <w:r w:rsidRPr="00FC6D21">
        <w:rPr>
          <w:rFonts w:ascii="Arial" w:hAnsi="Arial" w:cs="Arial"/>
          <w:b/>
        </w:rPr>
        <w:t>,</w:t>
      </w:r>
    </w:p>
    <w:p w14:paraId="6F032A3D" w14:textId="77777777" w:rsidR="00672DCD" w:rsidRPr="00FC6D21" w:rsidRDefault="00672DCD" w:rsidP="00672DCD">
      <w:pPr>
        <w:spacing w:after="0" w:line="240" w:lineRule="auto"/>
        <w:jc w:val="center"/>
        <w:rPr>
          <w:rFonts w:ascii="Arial" w:hAnsi="Arial" w:cs="Arial"/>
          <w:b/>
        </w:rPr>
      </w:pPr>
      <w:r w:rsidRPr="00FC6D21">
        <w:rPr>
          <w:rFonts w:ascii="Arial" w:hAnsi="Arial" w:cs="Arial"/>
          <w:b/>
        </w:rPr>
        <w:t xml:space="preserve">Located at </w:t>
      </w:r>
      <w:r w:rsidR="00807184">
        <w:rPr>
          <w:rFonts w:ascii="Arial" w:hAnsi="Arial" w:cs="Arial"/>
          <w:b/>
        </w:rPr>
        <w:t>1940 Railroad Drive, Sacramento</w:t>
      </w:r>
    </w:p>
    <w:p w14:paraId="67784ED5" w14:textId="77777777" w:rsidR="00672DCD" w:rsidRPr="00FC6D21" w:rsidRDefault="00672DCD" w:rsidP="00672DCD">
      <w:pPr>
        <w:spacing w:after="0" w:line="240" w:lineRule="auto"/>
        <w:jc w:val="center"/>
        <w:rPr>
          <w:rFonts w:ascii="Arial" w:hAnsi="Arial" w:cs="Arial"/>
          <w:b/>
        </w:rPr>
      </w:pPr>
      <w:r w:rsidRPr="00FC6D21">
        <w:rPr>
          <w:rFonts w:ascii="Arial" w:hAnsi="Arial" w:cs="Arial"/>
          <w:b/>
        </w:rPr>
        <w:t>Claim 1</w:t>
      </w:r>
      <w:r w:rsidR="00807184">
        <w:rPr>
          <w:rFonts w:ascii="Arial" w:hAnsi="Arial" w:cs="Arial"/>
          <w:b/>
        </w:rPr>
        <w:t>2528</w:t>
      </w:r>
    </w:p>
    <w:p w14:paraId="0D753825" w14:textId="77777777" w:rsidR="00672DCD" w:rsidRDefault="00672DCD" w:rsidP="00672DCD">
      <w:pPr>
        <w:spacing w:after="0"/>
        <w:jc w:val="center"/>
        <w:rPr>
          <w:b/>
        </w:rPr>
      </w:pPr>
    </w:p>
    <w:p w14:paraId="64F79318" w14:textId="723D6D59" w:rsidR="00A03FBE" w:rsidRPr="007A23FE" w:rsidRDefault="00672DCD" w:rsidP="00A27403">
      <w:pPr>
        <w:autoSpaceDE w:val="0"/>
        <w:autoSpaceDN w:val="0"/>
        <w:adjustRightInd w:val="0"/>
        <w:spacing w:after="0" w:line="240" w:lineRule="auto"/>
        <w:rPr>
          <w:rFonts w:ascii="Arial" w:hAnsi="Arial" w:cs="Arial"/>
        </w:rPr>
      </w:pPr>
      <w:r w:rsidRPr="007A23FE">
        <w:rPr>
          <w:rFonts w:ascii="Arial" w:hAnsi="Arial" w:cs="Arial"/>
        </w:rPr>
        <w:t xml:space="preserve">A comment letter dated </w:t>
      </w:r>
      <w:r w:rsidR="00807184">
        <w:rPr>
          <w:rFonts w:ascii="Arial" w:hAnsi="Arial" w:cs="Arial"/>
        </w:rPr>
        <w:t>July 3, 2018</w:t>
      </w:r>
      <w:r w:rsidRPr="007A23FE">
        <w:rPr>
          <w:rFonts w:ascii="Arial" w:hAnsi="Arial" w:cs="Arial"/>
        </w:rPr>
        <w:t xml:space="preserve">, prepared by </w:t>
      </w:r>
      <w:r w:rsidR="00807184">
        <w:rPr>
          <w:rFonts w:ascii="Arial" w:hAnsi="Arial" w:cs="Arial"/>
        </w:rPr>
        <w:t>Laura C. Pollack, Union Pacific Railroad (UPRR)</w:t>
      </w:r>
      <w:r w:rsidR="00646974" w:rsidRPr="007A23FE">
        <w:rPr>
          <w:rFonts w:ascii="Arial" w:hAnsi="Arial" w:cs="Arial"/>
        </w:rPr>
        <w:t>,</w:t>
      </w:r>
      <w:r w:rsidRPr="007A23FE">
        <w:rPr>
          <w:rFonts w:ascii="Arial" w:hAnsi="Arial" w:cs="Arial"/>
        </w:rPr>
        <w:t xml:space="preserve"> was submitted to the State Water </w:t>
      </w:r>
      <w:r w:rsidR="000F04F2">
        <w:rPr>
          <w:rFonts w:ascii="Arial" w:hAnsi="Arial" w:cs="Arial"/>
        </w:rPr>
        <w:t xml:space="preserve">Resources Control </w:t>
      </w:r>
      <w:r w:rsidRPr="007A23FE">
        <w:rPr>
          <w:rFonts w:ascii="Arial" w:hAnsi="Arial" w:cs="Arial"/>
        </w:rPr>
        <w:t>Board</w:t>
      </w:r>
      <w:r w:rsidR="000F04F2">
        <w:rPr>
          <w:rFonts w:ascii="Arial" w:hAnsi="Arial" w:cs="Arial"/>
        </w:rPr>
        <w:t xml:space="preserve"> (</w:t>
      </w:r>
      <w:r w:rsidR="00DF270A">
        <w:rPr>
          <w:rFonts w:ascii="Arial" w:hAnsi="Arial" w:cs="Arial"/>
        </w:rPr>
        <w:t>State Board</w:t>
      </w:r>
      <w:r w:rsidR="000F04F2">
        <w:rPr>
          <w:rFonts w:ascii="Arial" w:hAnsi="Arial" w:cs="Arial"/>
        </w:rPr>
        <w:t>)</w:t>
      </w:r>
      <w:r w:rsidR="00450110">
        <w:rPr>
          <w:rFonts w:ascii="Arial" w:hAnsi="Arial" w:cs="Arial"/>
        </w:rPr>
        <w:t xml:space="preserve"> Underground Storage Tank Cleanup Fund (Fund)</w:t>
      </w:r>
      <w:r w:rsidRPr="007A23FE">
        <w:rPr>
          <w:rFonts w:ascii="Arial" w:hAnsi="Arial" w:cs="Arial"/>
        </w:rPr>
        <w:t>.</w:t>
      </w:r>
      <w:r w:rsidR="00BE3D9B" w:rsidRPr="007A23FE">
        <w:rPr>
          <w:rFonts w:ascii="Arial" w:hAnsi="Arial" w:cs="Arial"/>
        </w:rPr>
        <w:t xml:space="preserve"> </w:t>
      </w:r>
      <w:r w:rsidR="00C7593E" w:rsidRPr="007A23FE">
        <w:rPr>
          <w:rFonts w:ascii="Arial" w:hAnsi="Arial" w:cs="Arial"/>
        </w:rPr>
        <w:t xml:space="preserve"> </w:t>
      </w:r>
      <w:r w:rsidR="00C7593E" w:rsidRPr="00241CCD">
        <w:rPr>
          <w:rFonts w:ascii="Arial" w:hAnsi="Arial" w:cs="Arial"/>
        </w:rPr>
        <w:t>A</w:t>
      </w:r>
      <w:r w:rsidR="00A27403" w:rsidRPr="00241CCD">
        <w:rPr>
          <w:rFonts w:ascii="Arial" w:hAnsi="Arial" w:cs="Arial"/>
        </w:rPr>
        <w:t xml:space="preserve"> summary of </w:t>
      </w:r>
      <w:r w:rsidR="00C7593E" w:rsidRPr="00241CCD">
        <w:rPr>
          <w:rFonts w:ascii="Arial" w:hAnsi="Arial" w:cs="Arial"/>
        </w:rPr>
        <w:t xml:space="preserve">the case is presented first, followed by the </w:t>
      </w:r>
      <w:r w:rsidR="00E2018C" w:rsidRPr="00241CCD">
        <w:rPr>
          <w:rFonts w:ascii="Arial" w:hAnsi="Arial" w:cs="Arial"/>
        </w:rPr>
        <w:t>UPRR</w:t>
      </w:r>
      <w:r w:rsidR="00C7593E" w:rsidRPr="00241CCD">
        <w:rPr>
          <w:rFonts w:ascii="Arial" w:hAnsi="Arial" w:cs="Arial"/>
        </w:rPr>
        <w:t xml:space="preserve"> comments and the response of </w:t>
      </w:r>
      <w:r w:rsidR="00450110">
        <w:rPr>
          <w:rFonts w:ascii="Arial" w:hAnsi="Arial" w:cs="Arial"/>
        </w:rPr>
        <w:t>Fund</w:t>
      </w:r>
      <w:r w:rsidR="00A27403" w:rsidRPr="00241CCD">
        <w:rPr>
          <w:rFonts w:ascii="Arial" w:hAnsi="Arial" w:cs="Arial"/>
        </w:rPr>
        <w:t xml:space="preserve"> staff</w:t>
      </w:r>
      <w:r w:rsidR="00C7593E" w:rsidRPr="00241CCD">
        <w:rPr>
          <w:rFonts w:ascii="Arial" w:hAnsi="Arial" w:cs="Arial"/>
        </w:rPr>
        <w:t>.</w:t>
      </w:r>
      <w:r w:rsidR="00A03FBE" w:rsidRPr="007A23FE">
        <w:rPr>
          <w:rFonts w:ascii="Arial" w:hAnsi="Arial" w:cs="Arial"/>
        </w:rPr>
        <w:t xml:space="preserve"> </w:t>
      </w:r>
    </w:p>
    <w:p w14:paraId="08D2EDA4" w14:textId="77777777" w:rsidR="00C7593E" w:rsidRDefault="00C7593E" w:rsidP="00A27403">
      <w:pPr>
        <w:autoSpaceDE w:val="0"/>
        <w:autoSpaceDN w:val="0"/>
        <w:adjustRightInd w:val="0"/>
        <w:spacing w:after="0" w:line="240" w:lineRule="auto"/>
        <w:rPr>
          <w:rFonts w:ascii="Arial" w:hAnsi="Arial" w:cs="Arial"/>
          <w:color w:val="1F497D" w:themeColor="text2"/>
        </w:rPr>
      </w:pPr>
    </w:p>
    <w:p w14:paraId="1EF371F7" w14:textId="77777777" w:rsidR="00C7593E" w:rsidRPr="00A27403" w:rsidRDefault="00772293" w:rsidP="00A27403">
      <w:pPr>
        <w:widowControl w:val="0"/>
        <w:autoSpaceDE w:val="0"/>
        <w:autoSpaceDN w:val="0"/>
        <w:adjustRightInd w:val="0"/>
        <w:spacing w:after="0" w:line="240" w:lineRule="auto"/>
        <w:ind w:right="106"/>
        <w:rPr>
          <w:rFonts w:ascii="Arial" w:hAnsi="Arial" w:cs="Arial"/>
          <w:b/>
          <w:u w:val="single"/>
        </w:rPr>
      </w:pPr>
      <w:r w:rsidRPr="00A27403">
        <w:rPr>
          <w:rFonts w:ascii="Arial" w:hAnsi="Arial" w:cs="Arial"/>
          <w:b/>
          <w:u w:val="single"/>
        </w:rPr>
        <w:t>Summary</w:t>
      </w:r>
    </w:p>
    <w:p w14:paraId="7C67CBD8" w14:textId="77777777" w:rsidR="00E2018C" w:rsidRDefault="00E2018C" w:rsidP="00F75D5C">
      <w:pPr>
        <w:spacing w:after="0" w:line="240" w:lineRule="auto"/>
        <w:rPr>
          <w:rFonts w:ascii="Arial" w:hAnsi="Arial" w:cs="Arial"/>
        </w:rPr>
      </w:pPr>
      <w:r w:rsidRPr="00E2018C">
        <w:rPr>
          <w:rFonts w:ascii="Arial" w:hAnsi="Arial" w:cs="Arial"/>
        </w:rPr>
        <w:t>Th</w:t>
      </w:r>
      <w:r>
        <w:rPr>
          <w:rFonts w:ascii="Arial" w:hAnsi="Arial" w:cs="Arial"/>
        </w:rPr>
        <w:t>e</w:t>
      </w:r>
      <w:r w:rsidRPr="00E2018C">
        <w:rPr>
          <w:rFonts w:ascii="Arial" w:hAnsi="Arial" w:cs="Arial"/>
        </w:rPr>
        <w:t xml:space="preserve"> Site is an active commercial business that formerly utilized a gasoline underground storage tank (UST) and dispenser.  An unauthorized release was reported in June 1992 following the removal of the gasoline UST in May 1992</w:t>
      </w:r>
      <w:bookmarkStart w:id="0" w:name="_Hlk522090945"/>
      <w:r w:rsidRPr="00E2018C">
        <w:rPr>
          <w:rFonts w:ascii="Arial" w:hAnsi="Arial" w:cs="Arial"/>
        </w:rPr>
        <w:t xml:space="preserve">.  </w:t>
      </w:r>
      <w:bookmarkEnd w:id="0"/>
      <w:r w:rsidRPr="00E2018C">
        <w:rPr>
          <w:rFonts w:ascii="Arial" w:hAnsi="Arial" w:cs="Arial"/>
        </w:rPr>
        <w:t>An unknown amount of impacted soil was excavated to a depth of 12 feet below ground surface (bgs) and disposed offsite</w:t>
      </w:r>
      <w:r w:rsidR="00450110">
        <w:rPr>
          <w:rFonts w:ascii="Arial" w:hAnsi="Arial" w:cs="Arial"/>
        </w:rPr>
        <w:t xml:space="preserve"> during tank removal activities</w:t>
      </w:r>
      <w:r w:rsidRPr="00E2018C">
        <w:rPr>
          <w:rFonts w:ascii="Arial" w:hAnsi="Arial" w:cs="Arial"/>
        </w:rPr>
        <w:t xml:space="preserve">.  </w:t>
      </w:r>
      <w:r w:rsidR="00450110">
        <w:rPr>
          <w:rFonts w:ascii="Arial" w:hAnsi="Arial" w:cs="Arial"/>
        </w:rPr>
        <w:t>Sacramento County Environmental Management Department (SCEMD) opened a case for the Site in 1992.</w:t>
      </w:r>
      <w:r w:rsidR="00450110" w:rsidRPr="00E2018C">
        <w:rPr>
          <w:rFonts w:ascii="Arial" w:hAnsi="Arial" w:cs="Arial"/>
        </w:rPr>
        <w:t xml:space="preserve">  </w:t>
      </w:r>
      <w:r w:rsidRPr="00E2018C">
        <w:rPr>
          <w:rFonts w:ascii="Arial" w:hAnsi="Arial" w:cs="Arial"/>
        </w:rPr>
        <w:t>Soil vapor extraction and air sparging were conducted between April 2006 and March 2008 for a total of 11,762 hours, which reportedly removed 2,140</w:t>
      </w:r>
      <w:r>
        <w:rPr>
          <w:rFonts w:ascii="Arial" w:hAnsi="Arial" w:cs="Arial"/>
        </w:rPr>
        <w:t xml:space="preserve"> </w:t>
      </w:r>
      <w:r w:rsidRPr="00E2018C">
        <w:rPr>
          <w:rFonts w:ascii="Arial" w:hAnsi="Arial" w:cs="Arial"/>
        </w:rPr>
        <w:t xml:space="preserve">pounds of total petroleum hydrocarbons </w:t>
      </w:r>
      <w:r w:rsidR="00450110">
        <w:rPr>
          <w:rFonts w:ascii="Arial" w:hAnsi="Arial" w:cs="Arial"/>
        </w:rPr>
        <w:t xml:space="preserve">as gasoline </w:t>
      </w:r>
      <w:r w:rsidRPr="00E2018C">
        <w:rPr>
          <w:rFonts w:ascii="Arial" w:hAnsi="Arial" w:cs="Arial"/>
        </w:rPr>
        <w:t>(TPH</w:t>
      </w:r>
      <w:r w:rsidR="00450110">
        <w:rPr>
          <w:rFonts w:ascii="Arial" w:hAnsi="Arial" w:cs="Arial"/>
        </w:rPr>
        <w:t>g</w:t>
      </w:r>
      <w:r w:rsidRPr="00E2018C">
        <w:rPr>
          <w:rFonts w:ascii="Arial" w:hAnsi="Arial" w:cs="Arial"/>
        </w:rPr>
        <w:t>).  The rate of TPH</w:t>
      </w:r>
      <w:r w:rsidR="00450110">
        <w:rPr>
          <w:rFonts w:ascii="Arial" w:hAnsi="Arial" w:cs="Arial"/>
        </w:rPr>
        <w:t>g</w:t>
      </w:r>
      <w:r w:rsidRPr="00E2018C">
        <w:rPr>
          <w:rFonts w:ascii="Arial" w:hAnsi="Arial" w:cs="Arial"/>
        </w:rPr>
        <w:t xml:space="preserve"> removal was 0.27 pounds per day prior to system shut down.  </w:t>
      </w:r>
    </w:p>
    <w:p w14:paraId="350429BC" w14:textId="77777777" w:rsidR="00E2018C" w:rsidRDefault="00E2018C" w:rsidP="00F75D5C">
      <w:pPr>
        <w:spacing w:after="0" w:line="240" w:lineRule="auto"/>
        <w:rPr>
          <w:rFonts w:ascii="Arial" w:hAnsi="Arial" w:cs="Arial"/>
        </w:rPr>
      </w:pPr>
    </w:p>
    <w:p w14:paraId="7BC1EC55" w14:textId="28CF3D7B" w:rsidR="007607EE" w:rsidRDefault="00E2018C" w:rsidP="007607EE">
      <w:pPr>
        <w:spacing w:after="0" w:line="240" w:lineRule="auto"/>
        <w:rPr>
          <w:rFonts w:ascii="Arial" w:hAnsi="Arial" w:cs="Arial"/>
        </w:rPr>
      </w:pPr>
      <w:bookmarkStart w:id="1" w:name="_Hlk522092403"/>
      <w:r>
        <w:rPr>
          <w:rFonts w:ascii="Arial" w:hAnsi="Arial" w:cs="Arial"/>
        </w:rPr>
        <w:t xml:space="preserve">In a teleconference </w:t>
      </w:r>
      <w:r w:rsidR="00C8181D">
        <w:rPr>
          <w:rFonts w:ascii="Arial" w:hAnsi="Arial" w:cs="Arial"/>
        </w:rPr>
        <w:t>held</w:t>
      </w:r>
      <w:r>
        <w:rPr>
          <w:rFonts w:ascii="Arial" w:hAnsi="Arial" w:cs="Arial"/>
        </w:rPr>
        <w:t xml:space="preserve"> on </w:t>
      </w:r>
      <w:r w:rsidR="007D036F">
        <w:rPr>
          <w:rFonts w:ascii="Arial" w:hAnsi="Arial" w:cs="Arial"/>
        </w:rPr>
        <w:t>January 25, 2018</w:t>
      </w:r>
      <w:r>
        <w:rPr>
          <w:rFonts w:ascii="Arial" w:hAnsi="Arial" w:cs="Arial"/>
        </w:rPr>
        <w:t xml:space="preserve"> S</w:t>
      </w:r>
      <w:r w:rsidR="00D90766">
        <w:rPr>
          <w:rFonts w:ascii="Arial" w:hAnsi="Arial" w:cs="Arial"/>
        </w:rPr>
        <w:t>CEMD</w:t>
      </w:r>
      <w:r>
        <w:rPr>
          <w:rFonts w:ascii="Arial" w:hAnsi="Arial" w:cs="Arial"/>
        </w:rPr>
        <w:t xml:space="preserve"> and </w:t>
      </w:r>
      <w:r w:rsidR="00450110">
        <w:rPr>
          <w:rFonts w:ascii="Arial" w:hAnsi="Arial" w:cs="Arial"/>
        </w:rPr>
        <w:t>Fund</w:t>
      </w:r>
      <w:r>
        <w:rPr>
          <w:rFonts w:ascii="Arial" w:hAnsi="Arial" w:cs="Arial"/>
        </w:rPr>
        <w:t xml:space="preserve"> staff determined that the case met the </w:t>
      </w:r>
      <w:r w:rsidR="00C8181D">
        <w:rPr>
          <w:rFonts w:ascii="Arial" w:hAnsi="Arial" w:cs="Arial"/>
        </w:rPr>
        <w:t xml:space="preserve">case closure </w:t>
      </w:r>
      <w:r>
        <w:rPr>
          <w:rFonts w:ascii="Arial" w:hAnsi="Arial" w:cs="Arial"/>
        </w:rPr>
        <w:t>criteria</w:t>
      </w:r>
      <w:r w:rsidR="000F04F2">
        <w:rPr>
          <w:rFonts w:ascii="Arial" w:hAnsi="Arial" w:cs="Arial"/>
        </w:rPr>
        <w:t xml:space="preserve"> under the Low Threat Underground Storage Tank Case Closure Policy</w:t>
      </w:r>
      <w:r w:rsidR="007E0768">
        <w:rPr>
          <w:rFonts w:ascii="Arial" w:hAnsi="Arial" w:cs="Arial"/>
        </w:rPr>
        <w:t xml:space="preserve"> (Policy)</w:t>
      </w:r>
      <w:r w:rsidR="00191661">
        <w:rPr>
          <w:rFonts w:ascii="Arial" w:hAnsi="Arial" w:cs="Arial"/>
        </w:rPr>
        <w:t xml:space="preserve">.  Fund staff determined that </w:t>
      </w:r>
      <w:r w:rsidR="005567F1">
        <w:rPr>
          <w:rFonts w:ascii="Arial" w:hAnsi="Arial" w:cs="Arial"/>
        </w:rPr>
        <w:t xml:space="preserve">further </w:t>
      </w:r>
      <w:r w:rsidR="008D3AFD">
        <w:rPr>
          <w:rFonts w:ascii="Arial" w:hAnsi="Arial" w:cs="Arial"/>
        </w:rPr>
        <w:t xml:space="preserve">delineation </w:t>
      </w:r>
      <w:r w:rsidR="00B51EA2">
        <w:rPr>
          <w:rFonts w:ascii="Arial" w:hAnsi="Arial" w:cs="Arial"/>
        </w:rPr>
        <w:t xml:space="preserve">of the plume </w:t>
      </w:r>
      <w:r w:rsidR="008219A6">
        <w:rPr>
          <w:rFonts w:ascii="Arial" w:hAnsi="Arial" w:cs="Arial"/>
        </w:rPr>
        <w:t xml:space="preserve">downgradient (east of monitoring wells MW-3 and MW-11) </w:t>
      </w:r>
      <w:r w:rsidR="005567F1">
        <w:rPr>
          <w:rFonts w:ascii="Arial" w:hAnsi="Arial" w:cs="Arial"/>
        </w:rPr>
        <w:t>is unnecessary</w:t>
      </w:r>
      <w:r w:rsidR="00284D2C">
        <w:rPr>
          <w:rFonts w:ascii="Arial" w:hAnsi="Arial" w:cs="Arial"/>
        </w:rPr>
        <w:t xml:space="preserve"> because there is </w:t>
      </w:r>
      <w:proofErr w:type="gramStart"/>
      <w:r w:rsidR="00284D2C">
        <w:rPr>
          <w:rFonts w:ascii="Arial" w:hAnsi="Arial" w:cs="Arial"/>
        </w:rPr>
        <w:t>sufficient</w:t>
      </w:r>
      <w:proofErr w:type="gramEnd"/>
      <w:r w:rsidR="00284D2C">
        <w:rPr>
          <w:rFonts w:ascii="Arial" w:hAnsi="Arial" w:cs="Arial"/>
        </w:rPr>
        <w:t xml:space="preserve"> data to make a reasonable projection o</w:t>
      </w:r>
      <w:r w:rsidR="005A11D6">
        <w:rPr>
          <w:rFonts w:ascii="Arial" w:hAnsi="Arial" w:cs="Arial"/>
        </w:rPr>
        <w:t>f the length of the plume</w:t>
      </w:r>
      <w:r w:rsidR="008C2B37">
        <w:rPr>
          <w:rFonts w:ascii="Arial" w:hAnsi="Arial" w:cs="Arial"/>
        </w:rPr>
        <w:t>. Based on the available data the projected plume length is less than 1,000 feet in length</w:t>
      </w:r>
      <w:r w:rsidR="005A11D6">
        <w:rPr>
          <w:rFonts w:ascii="Arial" w:hAnsi="Arial" w:cs="Arial"/>
        </w:rPr>
        <w:t>.</w:t>
      </w:r>
      <w:r w:rsidR="00B51EA2">
        <w:rPr>
          <w:rFonts w:ascii="Arial" w:hAnsi="Arial" w:cs="Arial"/>
        </w:rPr>
        <w:t xml:space="preserve">  </w:t>
      </w:r>
      <w:r w:rsidR="00A847EA">
        <w:rPr>
          <w:rFonts w:ascii="Arial" w:hAnsi="Arial" w:cs="Arial"/>
        </w:rPr>
        <w:t xml:space="preserve">The most recent analytical data (July 2017) indicated dissolved concentrations of TPHg and xylenes in well MW-11 exceeded their respective water quality objectives (WQOs).  </w:t>
      </w:r>
      <w:r w:rsidR="007607EE">
        <w:rPr>
          <w:rFonts w:ascii="Arial" w:hAnsi="Arial" w:cs="Arial"/>
        </w:rPr>
        <w:t xml:space="preserve">Under the Policy and in accordance with Resolution 92-49, a case may be closed if compliance with cleanup goals and objectives will be met within a reasonable time frame.  </w:t>
      </w:r>
      <w:r w:rsidR="00D90766">
        <w:rPr>
          <w:rFonts w:ascii="Arial" w:hAnsi="Arial" w:cs="Arial"/>
        </w:rPr>
        <w:t>D</w:t>
      </w:r>
      <w:r w:rsidR="00A847EA">
        <w:rPr>
          <w:rFonts w:ascii="Arial" w:hAnsi="Arial" w:cs="Arial"/>
        </w:rPr>
        <w:t xml:space="preserve">issolved petroleum hydrocarbon </w:t>
      </w:r>
      <w:r w:rsidRPr="00E2018C">
        <w:rPr>
          <w:rFonts w:ascii="Arial" w:hAnsi="Arial" w:cs="Arial"/>
        </w:rPr>
        <w:t xml:space="preserve">concentration trends </w:t>
      </w:r>
      <w:r w:rsidR="00D90766">
        <w:rPr>
          <w:rFonts w:ascii="Arial" w:hAnsi="Arial" w:cs="Arial"/>
        </w:rPr>
        <w:t>for the wells with detectable concentrations demonstrate that</w:t>
      </w:r>
      <w:r w:rsidRPr="00E2018C">
        <w:rPr>
          <w:rFonts w:ascii="Arial" w:hAnsi="Arial" w:cs="Arial"/>
        </w:rPr>
        <w:t xml:space="preserve"> the </w:t>
      </w:r>
      <w:r w:rsidR="00C8181D">
        <w:rPr>
          <w:rFonts w:ascii="Arial" w:hAnsi="Arial" w:cs="Arial"/>
        </w:rPr>
        <w:t xml:space="preserve">contaminant concentrations are decreasing, the </w:t>
      </w:r>
      <w:r w:rsidRPr="00E2018C">
        <w:rPr>
          <w:rFonts w:ascii="Arial" w:hAnsi="Arial" w:cs="Arial"/>
        </w:rPr>
        <w:t xml:space="preserve">groundwater contaminant plume is stable </w:t>
      </w:r>
      <w:r w:rsidR="00F75D5C">
        <w:rPr>
          <w:rFonts w:ascii="Arial" w:hAnsi="Arial" w:cs="Arial"/>
        </w:rPr>
        <w:t>and</w:t>
      </w:r>
      <w:r w:rsidRPr="00E2018C">
        <w:rPr>
          <w:rFonts w:ascii="Arial" w:hAnsi="Arial" w:cs="Arial"/>
        </w:rPr>
        <w:t xml:space="preserve"> decreasing in areal extent and can be projected to be less than 1,000 feet in length.  </w:t>
      </w:r>
    </w:p>
    <w:p w14:paraId="59946D51" w14:textId="77777777" w:rsidR="007607EE" w:rsidRDefault="007607EE" w:rsidP="007607EE">
      <w:pPr>
        <w:spacing w:after="0" w:line="240" w:lineRule="auto"/>
        <w:rPr>
          <w:rFonts w:ascii="Arial" w:hAnsi="Arial" w:cs="Arial"/>
        </w:rPr>
      </w:pPr>
    </w:p>
    <w:p w14:paraId="2E32A0C2" w14:textId="644906BB" w:rsidR="00E2018C" w:rsidRPr="00E2018C" w:rsidRDefault="00D90766" w:rsidP="00F75D5C">
      <w:pPr>
        <w:spacing w:after="0" w:line="240" w:lineRule="auto"/>
        <w:rPr>
          <w:rFonts w:ascii="Arial" w:hAnsi="Arial" w:cs="Arial"/>
        </w:rPr>
      </w:pPr>
      <w:r>
        <w:rPr>
          <w:rFonts w:ascii="Arial" w:hAnsi="Arial" w:cs="Arial"/>
        </w:rPr>
        <w:t>SCEMD</w:t>
      </w:r>
      <w:r w:rsidR="000F1904">
        <w:rPr>
          <w:rFonts w:ascii="Arial" w:hAnsi="Arial" w:cs="Arial"/>
        </w:rPr>
        <w:t xml:space="preserve"> requirements to close the case </w:t>
      </w:r>
      <w:r>
        <w:rPr>
          <w:rFonts w:ascii="Arial" w:hAnsi="Arial" w:cs="Arial"/>
        </w:rPr>
        <w:t xml:space="preserve">would </w:t>
      </w:r>
      <w:r w:rsidR="00C8181D">
        <w:rPr>
          <w:rFonts w:ascii="Arial" w:hAnsi="Arial" w:cs="Arial"/>
        </w:rPr>
        <w:t xml:space="preserve">normally </w:t>
      </w:r>
      <w:r w:rsidR="000F1904">
        <w:rPr>
          <w:rFonts w:ascii="Arial" w:hAnsi="Arial" w:cs="Arial"/>
        </w:rPr>
        <w:t>include delineat</w:t>
      </w:r>
      <w:r w:rsidR="004B3D3A">
        <w:rPr>
          <w:rFonts w:ascii="Arial" w:hAnsi="Arial" w:cs="Arial"/>
        </w:rPr>
        <w:t>ion of</w:t>
      </w:r>
      <w:r w:rsidR="000F1904">
        <w:rPr>
          <w:rFonts w:ascii="Arial" w:hAnsi="Arial" w:cs="Arial"/>
        </w:rPr>
        <w:t xml:space="preserve"> the extent of the </w:t>
      </w:r>
      <w:r w:rsidR="0016708F">
        <w:rPr>
          <w:rFonts w:ascii="Arial" w:hAnsi="Arial" w:cs="Arial"/>
        </w:rPr>
        <w:t xml:space="preserve">contaminant </w:t>
      </w:r>
      <w:r w:rsidR="000F1904">
        <w:rPr>
          <w:rFonts w:ascii="Arial" w:hAnsi="Arial" w:cs="Arial"/>
        </w:rPr>
        <w:t>plume to the east.</w:t>
      </w:r>
      <w:r>
        <w:rPr>
          <w:rFonts w:ascii="Arial" w:hAnsi="Arial" w:cs="Arial"/>
        </w:rPr>
        <w:t xml:space="preserve"> </w:t>
      </w:r>
      <w:r w:rsidR="007607EE">
        <w:rPr>
          <w:rFonts w:ascii="Arial" w:hAnsi="Arial" w:cs="Arial"/>
        </w:rPr>
        <w:t xml:space="preserve"> East of monitoring wells MW-3 and MW-11 are the Union Pacific Railroad (UPRR) right of way (ROW) and train tracks, and beyond the ROW are commercial properties.  Both County staff and Fund staff agree</w:t>
      </w:r>
      <w:r w:rsidR="00DF270A">
        <w:rPr>
          <w:rFonts w:ascii="Arial" w:hAnsi="Arial" w:cs="Arial"/>
        </w:rPr>
        <w:t>d</w:t>
      </w:r>
      <w:r w:rsidR="007607EE">
        <w:rPr>
          <w:rFonts w:ascii="Arial" w:hAnsi="Arial" w:cs="Arial"/>
        </w:rPr>
        <w:t xml:space="preserve"> that a</w:t>
      </w:r>
      <w:r w:rsidR="007607EE" w:rsidRPr="00E2018C">
        <w:rPr>
          <w:rFonts w:ascii="Arial" w:hAnsi="Arial" w:cs="Arial"/>
        </w:rPr>
        <w:t xml:space="preserve">dditional delineation </w:t>
      </w:r>
      <w:r w:rsidR="00DF270A">
        <w:rPr>
          <w:rFonts w:ascii="Arial" w:hAnsi="Arial" w:cs="Arial"/>
        </w:rPr>
        <w:t>was</w:t>
      </w:r>
      <w:r w:rsidR="007607EE" w:rsidRPr="00E2018C">
        <w:rPr>
          <w:rFonts w:ascii="Arial" w:hAnsi="Arial" w:cs="Arial"/>
        </w:rPr>
        <w:t xml:space="preserve"> not</w:t>
      </w:r>
      <w:r w:rsidR="00F231F6">
        <w:rPr>
          <w:rFonts w:ascii="Arial" w:hAnsi="Arial" w:cs="Arial"/>
        </w:rPr>
        <w:t xml:space="preserve"> required to </w:t>
      </w:r>
      <w:r w:rsidR="00C47106">
        <w:rPr>
          <w:rFonts w:ascii="Arial" w:hAnsi="Arial" w:cs="Arial"/>
        </w:rPr>
        <w:t xml:space="preserve">close the case </w:t>
      </w:r>
      <w:r w:rsidR="004967EA">
        <w:rPr>
          <w:rFonts w:ascii="Arial" w:hAnsi="Arial" w:cs="Arial"/>
        </w:rPr>
        <w:t>because the plume length can be projected</w:t>
      </w:r>
      <w:r w:rsidR="00C634AA">
        <w:rPr>
          <w:rFonts w:ascii="Arial" w:hAnsi="Arial" w:cs="Arial"/>
        </w:rPr>
        <w:t>.  Additionally, both County staff and Fund staff agree</w:t>
      </w:r>
      <w:r w:rsidR="00DF270A">
        <w:rPr>
          <w:rFonts w:ascii="Arial" w:hAnsi="Arial" w:cs="Arial"/>
        </w:rPr>
        <w:t>d</w:t>
      </w:r>
      <w:r w:rsidR="00C634AA">
        <w:rPr>
          <w:rFonts w:ascii="Arial" w:hAnsi="Arial" w:cs="Arial"/>
        </w:rPr>
        <w:t xml:space="preserve"> that additional delineation</w:t>
      </w:r>
      <w:r w:rsidR="00C47106">
        <w:rPr>
          <w:rFonts w:ascii="Arial" w:hAnsi="Arial" w:cs="Arial"/>
        </w:rPr>
        <w:t xml:space="preserve"> </w:t>
      </w:r>
      <w:r w:rsidR="00DF270A">
        <w:rPr>
          <w:rFonts w:ascii="Arial" w:hAnsi="Arial" w:cs="Arial"/>
        </w:rPr>
        <w:t>was</w:t>
      </w:r>
      <w:r w:rsidR="00C47106">
        <w:rPr>
          <w:rFonts w:ascii="Arial" w:hAnsi="Arial" w:cs="Arial"/>
        </w:rPr>
        <w:t xml:space="preserve"> not </w:t>
      </w:r>
      <w:r w:rsidR="007607EE" w:rsidRPr="00E2018C">
        <w:rPr>
          <w:rFonts w:ascii="Arial" w:hAnsi="Arial" w:cs="Arial"/>
        </w:rPr>
        <w:t>feasible due to physical constraints</w:t>
      </w:r>
      <w:r w:rsidR="004967EA">
        <w:rPr>
          <w:rFonts w:ascii="Arial" w:hAnsi="Arial" w:cs="Arial"/>
        </w:rPr>
        <w:t xml:space="preserve"> on the downgradient commercial property beyond the UPRR ROW</w:t>
      </w:r>
      <w:r w:rsidR="00DF270A">
        <w:rPr>
          <w:rFonts w:ascii="Arial" w:hAnsi="Arial" w:cs="Arial"/>
        </w:rPr>
        <w:t xml:space="preserve">.  </w:t>
      </w:r>
      <w:r w:rsidR="00E2018C">
        <w:rPr>
          <w:rFonts w:ascii="Arial" w:hAnsi="Arial" w:cs="Arial"/>
        </w:rPr>
        <w:t>Due to the</w:t>
      </w:r>
      <w:r w:rsidR="00C8181D">
        <w:rPr>
          <w:rFonts w:ascii="Arial" w:hAnsi="Arial" w:cs="Arial"/>
        </w:rPr>
        <w:t>se</w:t>
      </w:r>
      <w:r>
        <w:rPr>
          <w:rFonts w:ascii="Arial" w:hAnsi="Arial" w:cs="Arial"/>
        </w:rPr>
        <w:t xml:space="preserve"> issues, </w:t>
      </w:r>
      <w:r w:rsidR="00E2018C">
        <w:rPr>
          <w:rFonts w:ascii="Arial" w:hAnsi="Arial" w:cs="Arial"/>
        </w:rPr>
        <w:t>S</w:t>
      </w:r>
      <w:r>
        <w:rPr>
          <w:rFonts w:ascii="Arial" w:hAnsi="Arial" w:cs="Arial"/>
        </w:rPr>
        <w:t>CEMD</w:t>
      </w:r>
      <w:r w:rsidR="00E2018C">
        <w:rPr>
          <w:rFonts w:ascii="Arial" w:hAnsi="Arial" w:cs="Arial"/>
        </w:rPr>
        <w:t xml:space="preserve"> staff requested that </w:t>
      </w:r>
      <w:r w:rsidR="00DF270A">
        <w:rPr>
          <w:rFonts w:ascii="Arial" w:hAnsi="Arial" w:cs="Arial"/>
        </w:rPr>
        <w:t>State Board</w:t>
      </w:r>
      <w:r w:rsidR="004967EA">
        <w:rPr>
          <w:rFonts w:ascii="Arial" w:hAnsi="Arial" w:cs="Arial"/>
        </w:rPr>
        <w:t xml:space="preserve"> staff recommend the case for closure</w:t>
      </w:r>
      <w:r w:rsidR="00E2018C">
        <w:rPr>
          <w:rFonts w:ascii="Arial" w:hAnsi="Arial" w:cs="Arial"/>
        </w:rPr>
        <w:t>.</w:t>
      </w:r>
      <w:r w:rsidR="00BD3BF7">
        <w:rPr>
          <w:rFonts w:ascii="Arial" w:hAnsi="Arial" w:cs="Arial"/>
        </w:rPr>
        <w:t xml:space="preserve">  </w:t>
      </w:r>
    </w:p>
    <w:bookmarkEnd w:id="1"/>
    <w:p w14:paraId="674DEE44" w14:textId="77777777" w:rsidR="00C7593E" w:rsidRDefault="00C7593E" w:rsidP="00A27403">
      <w:pPr>
        <w:widowControl w:val="0"/>
        <w:autoSpaceDE w:val="0"/>
        <w:autoSpaceDN w:val="0"/>
        <w:adjustRightInd w:val="0"/>
        <w:spacing w:after="0" w:line="240" w:lineRule="auto"/>
        <w:ind w:right="101"/>
        <w:rPr>
          <w:rFonts w:ascii="Arial" w:hAnsi="Arial" w:cs="Arial"/>
        </w:rPr>
      </w:pPr>
    </w:p>
    <w:p w14:paraId="33BAA4F5" w14:textId="77777777" w:rsidR="00C7593E" w:rsidRPr="00DD4BC6" w:rsidRDefault="00C7593E" w:rsidP="00A27403">
      <w:pPr>
        <w:autoSpaceDE w:val="0"/>
        <w:autoSpaceDN w:val="0"/>
        <w:adjustRightInd w:val="0"/>
        <w:spacing w:after="0" w:line="240" w:lineRule="auto"/>
        <w:rPr>
          <w:rFonts w:ascii="Arial" w:hAnsi="Arial" w:cs="Arial"/>
          <w:b/>
          <w:u w:val="single"/>
        </w:rPr>
      </w:pPr>
      <w:r w:rsidRPr="00DD4BC6">
        <w:rPr>
          <w:rFonts w:ascii="Arial" w:hAnsi="Arial" w:cs="Arial"/>
          <w:b/>
          <w:u w:val="single"/>
        </w:rPr>
        <w:t xml:space="preserve">Key </w:t>
      </w:r>
      <w:r w:rsidR="00DD4BC6">
        <w:rPr>
          <w:rFonts w:ascii="Arial" w:hAnsi="Arial" w:cs="Arial"/>
          <w:b/>
          <w:u w:val="single"/>
        </w:rPr>
        <w:t>excerpts</w:t>
      </w:r>
      <w:r w:rsidRPr="00DD4BC6">
        <w:rPr>
          <w:rFonts w:ascii="Arial" w:hAnsi="Arial" w:cs="Arial"/>
          <w:b/>
          <w:u w:val="single"/>
        </w:rPr>
        <w:t xml:space="preserve"> from the </w:t>
      </w:r>
      <w:r w:rsidR="00345DFB">
        <w:rPr>
          <w:rFonts w:ascii="Arial" w:hAnsi="Arial" w:cs="Arial"/>
          <w:b/>
          <w:u w:val="single"/>
        </w:rPr>
        <w:t>UPRR</w:t>
      </w:r>
      <w:r w:rsidRPr="00DD4BC6">
        <w:rPr>
          <w:rFonts w:ascii="Arial" w:hAnsi="Arial" w:cs="Arial"/>
          <w:b/>
          <w:u w:val="single"/>
        </w:rPr>
        <w:t xml:space="preserve"> letter are presented below</w:t>
      </w:r>
      <w:r w:rsidR="00176A2F" w:rsidRPr="00DD4BC6">
        <w:rPr>
          <w:rFonts w:ascii="Arial" w:hAnsi="Arial" w:cs="Arial"/>
          <w:b/>
          <w:u w:val="single"/>
        </w:rPr>
        <w:t xml:space="preserve"> in italics</w:t>
      </w:r>
      <w:r w:rsidR="00345DFB">
        <w:rPr>
          <w:rFonts w:ascii="Arial" w:hAnsi="Arial" w:cs="Arial"/>
          <w:b/>
          <w:u w:val="single"/>
        </w:rPr>
        <w:t xml:space="preserve">, followed by </w:t>
      </w:r>
      <w:r w:rsidR="00BD3BF7">
        <w:rPr>
          <w:rFonts w:ascii="Arial" w:hAnsi="Arial" w:cs="Arial"/>
          <w:b/>
          <w:u w:val="single"/>
        </w:rPr>
        <w:t>Fund</w:t>
      </w:r>
      <w:r w:rsidR="00345DFB">
        <w:rPr>
          <w:rFonts w:ascii="Arial" w:hAnsi="Arial" w:cs="Arial"/>
          <w:b/>
          <w:u w:val="single"/>
        </w:rPr>
        <w:t xml:space="preserve"> staff response</w:t>
      </w:r>
      <w:r w:rsidR="00BD3BF7">
        <w:rPr>
          <w:rFonts w:ascii="Arial" w:hAnsi="Arial" w:cs="Arial"/>
          <w:b/>
          <w:u w:val="single"/>
        </w:rPr>
        <w:t>s</w:t>
      </w:r>
      <w:r w:rsidR="00345DFB">
        <w:rPr>
          <w:rFonts w:ascii="Arial" w:hAnsi="Arial" w:cs="Arial"/>
          <w:b/>
          <w:u w:val="single"/>
        </w:rPr>
        <w:t>.</w:t>
      </w:r>
    </w:p>
    <w:p w14:paraId="1A572751" w14:textId="77777777" w:rsidR="00BE3D9B" w:rsidRDefault="00BE3D9B" w:rsidP="00A27403">
      <w:pPr>
        <w:autoSpaceDE w:val="0"/>
        <w:autoSpaceDN w:val="0"/>
        <w:adjustRightInd w:val="0"/>
        <w:spacing w:after="0" w:line="240" w:lineRule="auto"/>
        <w:rPr>
          <w:rFonts w:ascii="Arial" w:hAnsi="Arial" w:cs="Arial"/>
        </w:rPr>
      </w:pPr>
    </w:p>
    <w:p w14:paraId="1C8C1FE0" w14:textId="22F941CB" w:rsidR="00797B61" w:rsidRDefault="00797B61" w:rsidP="00F75D5C">
      <w:pPr>
        <w:widowControl w:val="0"/>
        <w:tabs>
          <w:tab w:val="left" w:pos="1966"/>
        </w:tabs>
        <w:autoSpaceDE w:val="0"/>
        <w:autoSpaceDN w:val="0"/>
        <w:spacing w:before="94" w:after="24" w:line="240" w:lineRule="auto"/>
        <w:rPr>
          <w:rFonts w:ascii="Arial" w:hAnsi="Arial" w:cs="Arial"/>
          <w:i/>
          <w:color w:val="363638"/>
        </w:rPr>
      </w:pPr>
      <w:r w:rsidRPr="00E45A52">
        <w:rPr>
          <w:rFonts w:ascii="Arial" w:hAnsi="Arial" w:cs="Arial"/>
          <w:i/>
          <w:color w:val="363838"/>
        </w:rPr>
        <w:t>Several</w:t>
      </w:r>
      <w:r w:rsidRPr="00E45A52">
        <w:rPr>
          <w:rFonts w:ascii="Arial" w:hAnsi="Arial" w:cs="Arial"/>
          <w:i/>
          <w:color w:val="363838"/>
          <w:spacing w:val="-24"/>
        </w:rPr>
        <w:t xml:space="preserve"> </w:t>
      </w:r>
      <w:r w:rsidR="00335F67" w:rsidRPr="00E45A52">
        <w:rPr>
          <w:rFonts w:ascii="Arial" w:hAnsi="Arial" w:cs="Arial"/>
          <w:i/>
          <w:color w:val="363838"/>
        </w:rPr>
        <w:t>reports</w:t>
      </w:r>
      <w:r w:rsidR="00335F67" w:rsidRPr="00E45A52">
        <w:rPr>
          <w:rFonts w:ascii="Arial" w:hAnsi="Arial" w:cs="Arial"/>
          <w:i/>
          <w:color w:val="363838"/>
          <w:spacing w:val="-26"/>
        </w:rPr>
        <w:t xml:space="preserve"> </w:t>
      </w:r>
      <w:r w:rsidR="00335F67" w:rsidRPr="002D6592">
        <w:rPr>
          <w:rFonts w:ascii="Arial" w:hAnsi="Arial" w:cs="Arial"/>
          <w:i/>
          <w:color w:val="363838"/>
        </w:rPr>
        <w:t>prepared</w:t>
      </w:r>
      <w:r w:rsidRPr="002D6592">
        <w:rPr>
          <w:rFonts w:ascii="Arial" w:hAnsi="Arial" w:cs="Arial"/>
          <w:i/>
          <w:color w:val="363838"/>
        </w:rPr>
        <w:t xml:space="preserve"> </w:t>
      </w:r>
      <w:r w:rsidRPr="00E45A52">
        <w:rPr>
          <w:rFonts w:ascii="Arial" w:hAnsi="Arial" w:cs="Arial"/>
          <w:i/>
          <w:color w:val="363838"/>
        </w:rPr>
        <w:t>on</w:t>
      </w:r>
      <w:r w:rsidRPr="00E45A52">
        <w:rPr>
          <w:rFonts w:ascii="Arial" w:hAnsi="Arial" w:cs="Arial"/>
          <w:i/>
          <w:color w:val="363838"/>
          <w:spacing w:val="-28"/>
        </w:rPr>
        <w:t xml:space="preserve"> </w:t>
      </w:r>
      <w:r w:rsidRPr="00E45A52">
        <w:rPr>
          <w:rFonts w:ascii="Arial" w:hAnsi="Arial" w:cs="Arial"/>
          <w:i/>
          <w:color w:val="363838"/>
        </w:rPr>
        <w:t>behalf</w:t>
      </w:r>
      <w:r w:rsidRPr="00E45A52">
        <w:rPr>
          <w:rFonts w:ascii="Arial" w:hAnsi="Arial" w:cs="Arial"/>
          <w:i/>
          <w:color w:val="363838"/>
          <w:spacing w:val="-26"/>
        </w:rPr>
        <w:t xml:space="preserve"> </w:t>
      </w:r>
      <w:r w:rsidRPr="00E45A52">
        <w:rPr>
          <w:rFonts w:ascii="Arial" w:hAnsi="Arial" w:cs="Arial"/>
          <w:i/>
          <w:color w:val="363838"/>
        </w:rPr>
        <w:t>of</w:t>
      </w:r>
      <w:r w:rsidRPr="00E45A52">
        <w:rPr>
          <w:rFonts w:ascii="Arial" w:hAnsi="Arial" w:cs="Arial"/>
          <w:i/>
          <w:color w:val="363838"/>
          <w:spacing w:val="-30"/>
        </w:rPr>
        <w:t xml:space="preserve"> </w:t>
      </w:r>
      <w:proofErr w:type="spellStart"/>
      <w:r w:rsidRPr="00E45A52">
        <w:rPr>
          <w:rFonts w:ascii="Arial" w:hAnsi="Arial" w:cs="Arial"/>
          <w:i/>
          <w:color w:val="363838"/>
        </w:rPr>
        <w:t>Lovotti</w:t>
      </w:r>
      <w:proofErr w:type="spellEnd"/>
      <w:r w:rsidR="00F75D5C">
        <w:rPr>
          <w:rFonts w:ascii="Arial" w:hAnsi="Arial" w:cs="Arial"/>
          <w:i/>
          <w:color w:val="363838"/>
        </w:rPr>
        <w:t xml:space="preserve"> </w:t>
      </w:r>
      <w:r w:rsidR="00F75D5C" w:rsidRPr="00F75D5C">
        <w:rPr>
          <w:rFonts w:ascii="Arial" w:hAnsi="Arial" w:cs="Arial"/>
          <w:color w:val="363838"/>
        </w:rPr>
        <w:t>[responsible party]</w:t>
      </w:r>
      <w:r w:rsidRPr="00F75D5C">
        <w:rPr>
          <w:rFonts w:ascii="Arial" w:hAnsi="Arial" w:cs="Arial"/>
          <w:color w:val="363838"/>
          <w:spacing w:val="-28"/>
        </w:rPr>
        <w:t xml:space="preserve"> </w:t>
      </w:r>
      <w:r w:rsidRPr="00E45A52">
        <w:rPr>
          <w:rFonts w:ascii="Arial" w:hAnsi="Arial" w:cs="Arial"/>
          <w:i/>
          <w:color w:val="363838"/>
        </w:rPr>
        <w:t>indicate</w:t>
      </w:r>
      <w:r w:rsidRPr="00E45A52">
        <w:rPr>
          <w:rFonts w:ascii="Arial" w:hAnsi="Arial" w:cs="Arial"/>
          <w:i/>
          <w:color w:val="363838"/>
          <w:spacing w:val="-22"/>
        </w:rPr>
        <w:t xml:space="preserve"> </w:t>
      </w:r>
      <w:r w:rsidRPr="00E45A52">
        <w:rPr>
          <w:rFonts w:ascii="Arial" w:hAnsi="Arial" w:cs="Arial"/>
          <w:i/>
          <w:color w:val="363838"/>
        </w:rPr>
        <w:t>that</w:t>
      </w:r>
      <w:r w:rsidRPr="00E45A52">
        <w:rPr>
          <w:rFonts w:ascii="Arial" w:hAnsi="Arial" w:cs="Arial"/>
          <w:i/>
          <w:color w:val="363838"/>
          <w:spacing w:val="-27"/>
        </w:rPr>
        <w:t xml:space="preserve"> </w:t>
      </w:r>
      <w:r w:rsidRPr="00E45A52">
        <w:rPr>
          <w:rFonts w:ascii="Arial" w:hAnsi="Arial" w:cs="Arial"/>
          <w:i/>
          <w:color w:val="363838"/>
        </w:rPr>
        <w:t>the</w:t>
      </w:r>
      <w:r w:rsidRPr="00E45A52">
        <w:rPr>
          <w:rFonts w:ascii="Arial" w:hAnsi="Arial" w:cs="Arial"/>
          <w:i/>
          <w:color w:val="363838"/>
          <w:spacing w:val="-29"/>
        </w:rPr>
        <w:t xml:space="preserve"> </w:t>
      </w:r>
      <w:r w:rsidRPr="00E45A52">
        <w:rPr>
          <w:rFonts w:ascii="Arial" w:hAnsi="Arial" w:cs="Arial"/>
          <w:i/>
          <w:color w:val="363838"/>
        </w:rPr>
        <w:t>contaminant groundwater</w:t>
      </w:r>
      <w:r w:rsidRPr="00E45A52">
        <w:rPr>
          <w:rFonts w:ascii="Arial" w:hAnsi="Arial" w:cs="Arial"/>
          <w:i/>
          <w:color w:val="363838"/>
          <w:spacing w:val="-16"/>
        </w:rPr>
        <w:t xml:space="preserve"> </w:t>
      </w:r>
      <w:r w:rsidRPr="00E45A52">
        <w:rPr>
          <w:rFonts w:ascii="Arial" w:hAnsi="Arial" w:cs="Arial"/>
          <w:i/>
          <w:color w:val="363838"/>
        </w:rPr>
        <w:t>plume</w:t>
      </w:r>
      <w:r w:rsidRPr="00E45A52">
        <w:rPr>
          <w:rFonts w:ascii="Arial" w:hAnsi="Arial" w:cs="Arial"/>
          <w:i/>
          <w:color w:val="363838"/>
          <w:spacing w:val="-29"/>
        </w:rPr>
        <w:t xml:space="preserve"> </w:t>
      </w:r>
      <w:r w:rsidRPr="00E45A52">
        <w:rPr>
          <w:rFonts w:ascii="Arial" w:hAnsi="Arial" w:cs="Arial"/>
          <w:i/>
          <w:color w:val="363838"/>
        </w:rPr>
        <w:t>beneath</w:t>
      </w:r>
      <w:r w:rsidRPr="00E45A52">
        <w:rPr>
          <w:rFonts w:ascii="Arial" w:hAnsi="Arial" w:cs="Arial"/>
          <w:i/>
          <w:color w:val="363838"/>
          <w:spacing w:val="-23"/>
        </w:rPr>
        <w:t xml:space="preserve"> </w:t>
      </w:r>
      <w:r w:rsidRPr="00E45A52">
        <w:rPr>
          <w:rFonts w:ascii="Arial" w:hAnsi="Arial" w:cs="Arial"/>
          <w:i/>
          <w:color w:val="363838"/>
        </w:rPr>
        <w:t>the</w:t>
      </w:r>
      <w:r w:rsidRPr="00E45A52">
        <w:rPr>
          <w:rFonts w:ascii="Arial" w:hAnsi="Arial" w:cs="Arial"/>
          <w:i/>
          <w:color w:val="363838"/>
          <w:spacing w:val="-32"/>
        </w:rPr>
        <w:t xml:space="preserve"> </w:t>
      </w:r>
      <w:r w:rsidRPr="00E45A52">
        <w:rPr>
          <w:rFonts w:ascii="Arial" w:hAnsi="Arial" w:cs="Arial"/>
          <w:i/>
          <w:color w:val="363838"/>
        </w:rPr>
        <w:t>Site</w:t>
      </w:r>
      <w:r w:rsidRPr="00E45A52">
        <w:rPr>
          <w:rFonts w:ascii="Arial" w:hAnsi="Arial" w:cs="Arial"/>
          <w:i/>
          <w:color w:val="363838"/>
          <w:spacing w:val="-28"/>
        </w:rPr>
        <w:t xml:space="preserve"> </w:t>
      </w:r>
      <w:r w:rsidRPr="00E45A52">
        <w:rPr>
          <w:rFonts w:ascii="Arial" w:hAnsi="Arial" w:cs="Arial"/>
          <w:i/>
          <w:color w:val="363838"/>
        </w:rPr>
        <w:t>has</w:t>
      </w:r>
      <w:r w:rsidRPr="00E45A52">
        <w:rPr>
          <w:rFonts w:ascii="Arial" w:hAnsi="Arial" w:cs="Arial"/>
          <w:i/>
          <w:color w:val="363838"/>
          <w:spacing w:val="-25"/>
        </w:rPr>
        <w:t xml:space="preserve"> </w:t>
      </w:r>
      <w:r w:rsidRPr="00E45A52">
        <w:rPr>
          <w:rFonts w:ascii="Arial" w:hAnsi="Arial" w:cs="Arial"/>
          <w:i/>
          <w:color w:val="363838"/>
        </w:rPr>
        <w:t>migrated</w:t>
      </w:r>
      <w:r w:rsidRPr="00E45A52">
        <w:rPr>
          <w:rFonts w:ascii="Arial" w:hAnsi="Arial" w:cs="Arial"/>
          <w:i/>
          <w:color w:val="363838"/>
          <w:spacing w:val="-25"/>
        </w:rPr>
        <w:t xml:space="preserve"> </w:t>
      </w:r>
      <w:r w:rsidRPr="00E45A52">
        <w:rPr>
          <w:rFonts w:ascii="Arial" w:hAnsi="Arial" w:cs="Arial"/>
          <w:i/>
          <w:color w:val="363838"/>
        </w:rPr>
        <w:t>to</w:t>
      </w:r>
      <w:r w:rsidRPr="00E45A52">
        <w:rPr>
          <w:rFonts w:ascii="Arial" w:hAnsi="Arial" w:cs="Arial"/>
          <w:i/>
          <w:color w:val="363838"/>
          <w:spacing w:val="-28"/>
        </w:rPr>
        <w:t xml:space="preserve"> </w:t>
      </w:r>
      <w:r w:rsidRPr="00E45A52">
        <w:rPr>
          <w:rFonts w:ascii="Arial" w:hAnsi="Arial" w:cs="Arial"/>
          <w:i/>
          <w:color w:val="363838"/>
        </w:rPr>
        <w:t>the</w:t>
      </w:r>
      <w:r w:rsidRPr="00E45A52">
        <w:rPr>
          <w:rFonts w:ascii="Arial" w:hAnsi="Arial" w:cs="Arial"/>
          <w:i/>
          <w:color w:val="363838"/>
          <w:spacing w:val="-27"/>
        </w:rPr>
        <w:t xml:space="preserve"> </w:t>
      </w:r>
      <w:r w:rsidRPr="00E45A52">
        <w:rPr>
          <w:rFonts w:ascii="Arial" w:hAnsi="Arial" w:cs="Arial"/>
          <w:i/>
          <w:color w:val="363838"/>
        </w:rPr>
        <w:t>United</w:t>
      </w:r>
      <w:r w:rsidRPr="00E45A52">
        <w:rPr>
          <w:rFonts w:ascii="Arial" w:hAnsi="Arial" w:cs="Arial"/>
          <w:i/>
          <w:color w:val="363838"/>
          <w:spacing w:val="-25"/>
        </w:rPr>
        <w:t xml:space="preserve"> </w:t>
      </w:r>
      <w:r w:rsidRPr="00E45A52">
        <w:rPr>
          <w:rFonts w:ascii="Arial" w:hAnsi="Arial" w:cs="Arial"/>
          <w:i/>
          <w:color w:val="363838"/>
        </w:rPr>
        <w:t>Pacific</w:t>
      </w:r>
      <w:r w:rsidRPr="00E45A52">
        <w:rPr>
          <w:rFonts w:ascii="Arial" w:hAnsi="Arial" w:cs="Arial"/>
          <w:i/>
          <w:color w:val="363838"/>
          <w:spacing w:val="-28"/>
        </w:rPr>
        <w:t xml:space="preserve"> </w:t>
      </w:r>
      <w:r w:rsidRPr="00E45A52">
        <w:rPr>
          <w:rFonts w:ascii="Arial" w:hAnsi="Arial" w:cs="Arial"/>
          <w:i/>
          <w:color w:val="363838"/>
        </w:rPr>
        <w:t>Railroad</w:t>
      </w:r>
      <w:r w:rsidRPr="00E45A52">
        <w:rPr>
          <w:rFonts w:ascii="Arial" w:hAnsi="Arial" w:cs="Arial"/>
          <w:i/>
          <w:color w:val="363838"/>
          <w:spacing w:val="-27"/>
        </w:rPr>
        <w:t xml:space="preserve"> </w:t>
      </w:r>
      <w:r w:rsidRPr="00E45A52">
        <w:rPr>
          <w:rFonts w:ascii="Arial" w:hAnsi="Arial" w:cs="Arial"/>
          <w:i/>
          <w:color w:val="363838"/>
        </w:rPr>
        <w:t>ROW east of the Site, but the extent of the plume is not yet defined. Dissolved petroleum constituent</w:t>
      </w:r>
      <w:r w:rsidRPr="00E45A52">
        <w:rPr>
          <w:rFonts w:ascii="Arial" w:hAnsi="Arial" w:cs="Arial"/>
          <w:i/>
          <w:color w:val="363838"/>
          <w:spacing w:val="-23"/>
        </w:rPr>
        <w:t xml:space="preserve"> </w:t>
      </w:r>
      <w:r w:rsidRPr="00E45A52">
        <w:rPr>
          <w:rFonts w:ascii="Arial" w:hAnsi="Arial" w:cs="Arial"/>
          <w:i/>
          <w:color w:val="363838"/>
        </w:rPr>
        <w:lastRenderedPageBreak/>
        <w:t>concentrations</w:t>
      </w:r>
      <w:r w:rsidRPr="00E45A52">
        <w:rPr>
          <w:rFonts w:ascii="Arial" w:hAnsi="Arial" w:cs="Arial"/>
          <w:i/>
          <w:color w:val="363838"/>
          <w:spacing w:val="-35"/>
        </w:rPr>
        <w:t xml:space="preserve"> </w:t>
      </w:r>
      <w:r w:rsidRPr="00E45A52">
        <w:rPr>
          <w:rFonts w:ascii="Arial" w:hAnsi="Arial" w:cs="Arial"/>
          <w:i/>
          <w:color w:val="363838"/>
        </w:rPr>
        <w:t>in</w:t>
      </w:r>
      <w:r w:rsidRPr="00E45A52">
        <w:rPr>
          <w:rFonts w:ascii="Arial" w:hAnsi="Arial" w:cs="Arial"/>
          <w:i/>
          <w:color w:val="363838"/>
          <w:spacing w:val="-28"/>
        </w:rPr>
        <w:t xml:space="preserve"> </w:t>
      </w:r>
      <w:r w:rsidRPr="00E45A52">
        <w:rPr>
          <w:rFonts w:ascii="Arial" w:hAnsi="Arial" w:cs="Arial"/>
          <w:i/>
          <w:color w:val="363838"/>
        </w:rPr>
        <w:t>well</w:t>
      </w:r>
      <w:r w:rsidRPr="00E45A52">
        <w:rPr>
          <w:rFonts w:ascii="Arial" w:hAnsi="Arial" w:cs="Arial"/>
          <w:i/>
          <w:color w:val="363838"/>
          <w:spacing w:val="-31"/>
        </w:rPr>
        <w:t xml:space="preserve"> </w:t>
      </w:r>
      <w:r w:rsidRPr="00E45A52">
        <w:rPr>
          <w:rFonts w:ascii="Arial" w:hAnsi="Arial" w:cs="Arial"/>
          <w:i/>
          <w:color w:val="363838"/>
        </w:rPr>
        <w:t>MW-11,</w:t>
      </w:r>
      <w:r w:rsidRPr="00E45A52">
        <w:rPr>
          <w:rFonts w:ascii="Arial" w:hAnsi="Arial" w:cs="Arial"/>
          <w:i/>
          <w:color w:val="363838"/>
          <w:spacing w:val="-26"/>
        </w:rPr>
        <w:t xml:space="preserve"> </w:t>
      </w:r>
      <w:r w:rsidRPr="00E45A52">
        <w:rPr>
          <w:rFonts w:ascii="Arial" w:hAnsi="Arial" w:cs="Arial"/>
          <w:i/>
          <w:color w:val="363838"/>
        </w:rPr>
        <w:t>located</w:t>
      </w:r>
      <w:r w:rsidRPr="00E45A52">
        <w:rPr>
          <w:rFonts w:ascii="Arial" w:hAnsi="Arial" w:cs="Arial"/>
          <w:i/>
          <w:color w:val="363838"/>
          <w:spacing w:val="-31"/>
        </w:rPr>
        <w:t xml:space="preserve"> </w:t>
      </w:r>
      <w:r w:rsidRPr="00E45A52">
        <w:rPr>
          <w:rFonts w:ascii="Arial" w:hAnsi="Arial" w:cs="Arial"/>
          <w:i/>
          <w:color w:val="363838"/>
        </w:rPr>
        <w:t>on</w:t>
      </w:r>
      <w:r w:rsidRPr="00E45A52">
        <w:rPr>
          <w:rFonts w:ascii="Arial" w:hAnsi="Arial" w:cs="Arial"/>
          <w:i/>
          <w:color w:val="363838"/>
          <w:spacing w:val="-32"/>
        </w:rPr>
        <w:t xml:space="preserve"> </w:t>
      </w:r>
      <w:r w:rsidRPr="00E45A52">
        <w:rPr>
          <w:rFonts w:ascii="Arial" w:hAnsi="Arial" w:cs="Arial"/>
          <w:i/>
          <w:color w:val="363838"/>
        </w:rPr>
        <w:t>the</w:t>
      </w:r>
      <w:r w:rsidRPr="00E45A52">
        <w:rPr>
          <w:rFonts w:ascii="Arial" w:hAnsi="Arial" w:cs="Arial"/>
          <w:i/>
          <w:color w:val="363838"/>
          <w:spacing w:val="-33"/>
        </w:rPr>
        <w:t xml:space="preserve"> </w:t>
      </w:r>
      <w:r w:rsidRPr="00E45A52">
        <w:rPr>
          <w:rFonts w:ascii="Arial" w:hAnsi="Arial" w:cs="Arial"/>
          <w:i/>
          <w:color w:val="363838"/>
        </w:rPr>
        <w:t>ROW</w:t>
      </w:r>
      <w:r w:rsidRPr="00E45A52">
        <w:rPr>
          <w:rFonts w:ascii="Arial" w:hAnsi="Arial" w:cs="Arial"/>
          <w:i/>
          <w:color w:val="363838"/>
          <w:spacing w:val="-31"/>
        </w:rPr>
        <w:t xml:space="preserve"> </w:t>
      </w:r>
      <w:r w:rsidRPr="00E45A52">
        <w:rPr>
          <w:rFonts w:ascii="Arial" w:hAnsi="Arial" w:cs="Arial"/>
          <w:i/>
          <w:color w:val="363838"/>
        </w:rPr>
        <w:t>down-gradient</w:t>
      </w:r>
      <w:r w:rsidRPr="00E45A52">
        <w:rPr>
          <w:rFonts w:ascii="Arial" w:hAnsi="Arial" w:cs="Arial"/>
          <w:i/>
          <w:color w:val="363838"/>
          <w:spacing w:val="-22"/>
        </w:rPr>
        <w:t xml:space="preserve"> </w:t>
      </w:r>
      <w:r w:rsidRPr="00E45A52">
        <w:rPr>
          <w:rFonts w:ascii="Arial" w:hAnsi="Arial" w:cs="Arial"/>
          <w:i/>
          <w:color w:val="363838"/>
        </w:rPr>
        <w:t>from</w:t>
      </w:r>
      <w:r w:rsidRPr="00E45A52">
        <w:rPr>
          <w:rFonts w:ascii="Arial" w:hAnsi="Arial" w:cs="Arial"/>
          <w:i/>
          <w:color w:val="363838"/>
          <w:spacing w:val="-30"/>
        </w:rPr>
        <w:t xml:space="preserve"> </w:t>
      </w:r>
      <w:r w:rsidRPr="00E45A52">
        <w:rPr>
          <w:rFonts w:ascii="Arial" w:hAnsi="Arial" w:cs="Arial"/>
          <w:i/>
          <w:color w:val="363838"/>
        </w:rPr>
        <w:t>the</w:t>
      </w:r>
      <w:r w:rsidRPr="00E45A52">
        <w:rPr>
          <w:rFonts w:ascii="Arial" w:hAnsi="Arial" w:cs="Arial"/>
          <w:i/>
          <w:color w:val="363838"/>
          <w:spacing w:val="-31"/>
        </w:rPr>
        <w:t xml:space="preserve"> </w:t>
      </w:r>
      <w:r w:rsidRPr="00E45A52">
        <w:rPr>
          <w:rFonts w:ascii="Arial" w:hAnsi="Arial" w:cs="Arial"/>
          <w:i/>
          <w:color w:val="363838"/>
        </w:rPr>
        <w:t>source area</w:t>
      </w:r>
      <w:r w:rsidRPr="00E45A52">
        <w:rPr>
          <w:rFonts w:ascii="Arial" w:hAnsi="Arial" w:cs="Arial"/>
          <w:i/>
          <w:color w:val="363838"/>
          <w:spacing w:val="-27"/>
        </w:rPr>
        <w:t xml:space="preserve"> </w:t>
      </w:r>
      <w:r w:rsidRPr="00E45A52">
        <w:rPr>
          <w:rFonts w:ascii="Arial" w:hAnsi="Arial" w:cs="Arial"/>
          <w:i/>
          <w:color w:val="363838"/>
        </w:rPr>
        <w:t>at</w:t>
      </w:r>
      <w:r w:rsidRPr="00E45A52">
        <w:rPr>
          <w:rFonts w:ascii="Arial" w:hAnsi="Arial" w:cs="Arial"/>
          <w:i/>
          <w:color w:val="363838"/>
          <w:spacing w:val="-29"/>
        </w:rPr>
        <w:t xml:space="preserve"> </w:t>
      </w:r>
      <w:r w:rsidRPr="00E45A52">
        <w:rPr>
          <w:rFonts w:ascii="Arial" w:hAnsi="Arial" w:cs="Arial"/>
          <w:i/>
          <w:color w:val="363838"/>
        </w:rPr>
        <w:t>the</w:t>
      </w:r>
      <w:r w:rsidRPr="00E45A52">
        <w:rPr>
          <w:rFonts w:ascii="Arial" w:hAnsi="Arial" w:cs="Arial"/>
          <w:i/>
          <w:color w:val="363838"/>
          <w:spacing w:val="-31"/>
        </w:rPr>
        <w:t xml:space="preserve"> </w:t>
      </w:r>
      <w:r w:rsidRPr="00E45A52">
        <w:rPr>
          <w:rFonts w:ascii="Arial" w:hAnsi="Arial" w:cs="Arial"/>
          <w:i/>
          <w:color w:val="363838"/>
        </w:rPr>
        <w:t>Site,</w:t>
      </w:r>
      <w:r w:rsidRPr="00E45A52">
        <w:rPr>
          <w:rFonts w:ascii="Arial" w:hAnsi="Arial" w:cs="Arial"/>
          <w:i/>
          <w:color w:val="363838"/>
          <w:spacing w:val="-24"/>
        </w:rPr>
        <w:t xml:space="preserve"> </w:t>
      </w:r>
      <w:r w:rsidRPr="00E45A52">
        <w:rPr>
          <w:rFonts w:ascii="Arial" w:hAnsi="Arial" w:cs="Arial"/>
          <w:i/>
          <w:color w:val="363838"/>
        </w:rPr>
        <w:t>can</w:t>
      </w:r>
      <w:r w:rsidRPr="00E45A52">
        <w:rPr>
          <w:rFonts w:ascii="Arial" w:hAnsi="Arial" w:cs="Arial"/>
          <w:i/>
          <w:color w:val="363838"/>
          <w:spacing w:val="-27"/>
        </w:rPr>
        <w:t xml:space="preserve"> </w:t>
      </w:r>
      <w:r w:rsidRPr="00E45A52">
        <w:rPr>
          <w:rFonts w:ascii="Arial" w:hAnsi="Arial" w:cs="Arial"/>
          <w:i/>
          <w:color w:val="363838"/>
        </w:rPr>
        <w:t>provide</w:t>
      </w:r>
      <w:r w:rsidRPr="00E45A52">
        <w:rPr>
          <w:rFonts w:ascii="Arial" w:hAnsi="Arial" w:cs="Arial"/>
          <w:i/>
          <w:color w:val="363838"/>
          <w:spacing w:val="-24"/>
        </w:rPr>
        <w:t xml:space="preserve"> </w:t>
      </w:r>
      <w:r w:rsidRPr="00E45A52">
        <w:rPr>
          <w:rFonts w:ascii="Arial" w:hAnsi="Arial" w:cs="Arial"/>
          <w:i/>
          <w:color w:val="363838"/>
        </w:rPr>
        <w:t>an</w:t>
      </w:r>
      <w:r w:rsidRPr="00E45A52">
        <w:rPr>
          <w:rFonts w:ascii="Arial" w:hAnsi="Arial" w:cs="Arial"/>
          <w:i/>
          <w:color w:val="363838"/>
          <w:spacing w:val="-28"/>
        </w:rPr>
        <w:t xml:space="preserve"> </w:t>
      </w:r>
      <w:r w:rsidRPr="00E45A52">
        <w:rPr>
          <w:rFonts w:ascii="Arial" w:hAnsi="Arial" w:cs="Arial"/>
          <w:i/>
          <w:color w:val="363838"/>
        </w:rPr>
        <w:t>indication</w:t>
      </w:r>
      <w:r w:rsidRPr="00E45A52">
        <w:rPr>
          <w:rFonts w:ascii="Arial" w:hAnsi="Arial" w:cs="Arial"/>
          <w:i/>
          <w:color w:val="363838"/>
          <w:spacing w:val="-22"/>
        </w:rPr>
        <w:t xml:space="preserve"> </w:t>
      </w:r>
      <w:r w:rsidRPr="00E45A52">
        <w:rPr>
          <w:rFonts w:ascii="Arial" w:hAnsi="Arial" w:cs="Arial"/>
          <w:i/>
          <w:color w:val="363838"/>
        </w:rPr>
        <w:t>of</w:t>
      </w:r>
      <w:r w:rsidRPr="00E45A52">
        <w:rPr>
          <w:rFonts w:ascii="Arial" w:hAnsi="Arial" w:cs="Arial"/>
          <w:i/>
          <w:color w:val="363838"/>
          <w:spacing w:val="-28"/>
        </w:rPr>
        <w:t xml:space="preserve"> </w:t>
      </w:r>
      <w:r w:rsidRPr="00E45A52">
        <w:rPr>
          <w:rFonts w:ascii="Arial" w:hAnsi="Arial" w:cs="Arial"/>
          <w:i/>
          <w:color w:val="363838"/>
        </w:rPr>
        <w:t>the</w:t>
      </w:r>
      <w:r w:rsidRPr="00E45A52">
        <w:rPr>
          <w:rFonts w:ascii="Arial" w:hAnsi="Arial" w:cs="Arial"/>
          <w:i/>
          <w:color w:val="363838"/>
          <w:spacing w:val="-31"/>
        </w:rPr>
        <w:t xml:space="preserve"> </w:t>
      </w:r>
      <w:r w:rsidRPr="00E45A52">
        <w:rPr>
          <w:rFonts w:ascii="Arial" w:hAnsi="Arial" w:cs="Arial"/>
          <w:i/>
          <w:color w:val="363838"/>
        </w:rPr>
        <w:t>magnitude</w:t>
      </w:r>
      <w:r w:rsidRPr="00E45A52">
        <w:rPr>
          <w:rFonts w:ascii="Arial" w:hAnsi="Arial" w:cs="Arial"/>
          <w:i/>
          <w:color w:val="363838"/>
          <w:spacing w:val="-20"/>
        </w:rPr>
        <w:t xml:space="preserve"> </w:t>
      </w:r>
      <w:r w:rsidRPr="00E45A52">
        <w:rPr>
          <w:rFonts w:ascii="Arial" w:hAnsi="Arial" w:cs="Arial"/>
          <w:i/>
          <w:color w:val="363838"/>
        </w:rPr>
        <w:t>of</w:t>
      </w:r>
      <w:r w:rsidRPr="00E45A52">
        <w:rPr>
          <w:rFonts w:ascii="Arial" w:hAnsi="Arial" w:cs="Arial"/>
          <w:i/>
          <w:color w:val="363838"/>
          <w:spacing w:val="-31"/>
        </w:rPr>
        <w:t xml:space="preserve"> </w:t>
      </w:r>
      <w:r w:rsidRPr="00E45A52">
        <w:rPr>
          <w:rFonts w:ascii="Arial" w:hAnsi="Arial" w:cs="Arial"/>
          <w:i/>
          <w:color w:val="363838"/>
        </w:rPr>
        <w:t>the</w:t>
      </w:r>
      <w:r w:rsidRPr="00E45A52">
        <w:rPr>
          <w:rFonts w:ascii="Arial" w:hAnsi="Arial" w:cs="Arial"/>
          <w:i/>
          <w:color w:val="363838"/>
          <w:spacing w:val="-31"/>
        </w:rPr>
        <w:t xml:space="preserve"> </w:t>
      </w:r>
      <w:r w:rsidRPr="00E45A52">
        <w:rPr>
          <w:rFonts w:ascii="Arial" w:hAnsi="Arial" w:cs="Arial"/>
          <w:i/>
          <w:color w:val="363838"/>
        </w:rPr>
        <w:t>plume</w:t>
      </w:r>
      <w:r w:rsidRPr="00E45A52">
        <w:rPr>
          <w:rFonts w:ascii="Arial" w:hAnsi="Arial" w:cs="Arial"/>
          <w:i/>
          <w:color w:val="363838"/>
          <w:spacing w:val="-26"/>
        </w:rPr>
        <w:t xml:space="preserve"> </w:t>
      </w:r>
      <w:r w:rsidRPr="00E45A52">
        <w:rPr>
          <w:rFonts w:ascii="Arial" w:hAnsi="Arial" w:cs="Arial"/>
          <w:i/>
          <w:color w:val="363838"/>
        </w:rPr>
        <w:t>beneath</w:t>
      </w:r>
      <w:r w:rsidRPr="00E45A52">
        <w:rPr>
          <w:rFonts w:ascii="Arial" w:hAnsi="Arial" w:cs="Arial"/>
          <w:i/>
          <w:color w:val="363838"/>
          <w:spacing w:val="-27"/>
        </w:rPr>
        <w:t xml:space="preserve"> </w:t>
      </w:r>
      <w:r w:rsidRPr="00E45A52">
        <w:rPr>
          <w:rFonts w:ascii="Arial" w:hAnsi="Arial" w:cs="Arial"/>
          <w:i/>
          <w:color w:val="363838"/>
        </w:rPr>
        <w:t>the</w:t>
      </w:r>
      <w:r w:rsidRPr="00E45A52">
        <w:rPr>
          <w:rFonts w:ascii="Arial" w:hAnsi="Arial" w:cs="Arial"/>
          <w:i/>
          <w:color w:val="363838"/>
          <w:spacing w:val="-28"/>
        </w:rPr>
        <w:t xml:space="preserve"> </w:t>
      </w:r>
      <w:r w:rsidRPr="00E45A52">
        <w:rPr>
          <w:rFonts w:ascii="Arial" w:hAnsi="Arial" w:cs="Arial"/>
          <w:i/>
          <w:color w:val="363838"/>
        </w:rPr>
        <w:t>ROW.</w:t>
      </w:r>
      <w:r w:rsidRPr="00E45A52">
        <w:rPr>
          <w:rFonts w:ascii="Arial" w:hAnsi="Arial" w:cs="Arial"/>
          <w:i/>
          <w:color w:val="363838"/>
          <w:spacing w:val="-25"/>
        </w:rPr>
        <w:t xml:space="preserve"> </w:t>
      </w:r>
      <w:r w:rsidRPr="00E45A52">
        <w:rPr>
          <w:rFonts w:ascii="Arial" w:hAnsi="Arial" w:cs="Arial"/>
          <w:i/>
          <w:color w:val="363838"/>
        </w:rPr>
        <w:t>The</w:t>
      </w:r>
      <w:r w:rsidR="00245833" w:rsidRPr="00E45A52">
        <w:rPr>
          <w:rFonts w:ascii="Arial" w:hAnsi="Arial" w:cs="Arial"/>
          <w:i/>
          <w:color w:val="363838"/>
        </w:rPr>
        <w:t xml:space="preserve"> </w:t>
      </w:r>
      <w:r w:rsidRPr="00E45A52">
        <w:rPr>
          <w:rFonts w:ascii="Arial" w:hAnsi="Arial" w:cs="Arial"/>
          <w:i/>
          <w:color w:val="363638"/>
        </w:rPr>
        <w:t xml:space="preserve">highest historical and the most recent dissolved constituent concentrations </w:t>
      </w:r>
      <w:r w:rsidRPr="00E45A52">
        <w:rPr>
          <w:rFonts w:ascii="Arial" w:hAnsi="Arial" w:cs="Arial"/>
          <w:i/>
          <w:color w:val="18181A"/>
        </w:rPr>
        <w:t xml:space="preserve">in </w:t>
      </w:r>
      <w:r w:rsidRPr="00E45A52">
        <w:rPr>
          <w:rFonts w:ascii="Arial" w:hAnsi="Arial" w:cs="Arial"/>
          <w:i/>
          <w:color w:val="363638"/>
        </w:rPr>
        <w:t>well MW-11 are summarized below:</w:t>
      </w:r>
    </w:p>
    <w:p w14:paraId="4F5DD300" w14:textId="77777777" w:rsidR="00630B38" w:rsidRDefault="00630B38" w:rsidP="00F75D5C">
      <w:pPr>
        <w:widowControl w:val="0"/>
        <w:tabs>
          <w:tab w:val="left" w:pos="1966"/>
        </w:tabs>
        <w:autoSpaceDE w:val="0"/>
        <w:autoSpaceDN w:val="0"/>
        <w:spacing w:before="94" w:after="24" w:line="240" w:lineRule="auto"/>
        <w:rPr>
          <w:rFonts w:ascii="Arial" w:hAnsi="Arial" w:cs="Arial"/>
          <w:i/>
          <w:color w:val="363638"/>
        </w:rPr>
      </w:pPr>
    </w:p>
    <w:tbl>
      <w:tblPr>
        <w:tblW w:w="0" w:type="auto"/>
        <w:tblInd w:w="553"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CellMar>
          <w:left w:w="0" w:type="dxa"/>
          <w:right w:w="0" w:type="dxa"/>
        </w:tblCellMar>
        <w:tblLook w:val="01E0" w:firstRow="1" w:lastRow="1" w:firstColumn="1" w:lastColumn="1" w:noHBand="0" w:noVBand="0"/>
      </w:tblPr>
      <w:tblGrid>
        <w:gridCol w:w="1486"/>
        <w:gridCol w:w="1271"/>
        <w:gridCol w:w="948"/>
        <w:gridCol w:w="1021"/>
        <w:gridCol w:w="1346"/>
        <w:gridCol w:w="1029"/>
        <w:gridCol w:w="936"/>
        <w:gridCol w:w="13"/>
      </w:tblGrid>
      <w:tr w:rsidR="00797B61" w:rsidRPr="00245833" w14:paraId="13B5C19E" w14:textId="77777777" w:rsidTr="007607EE">
        <w:trPr>
          <w:gridAfter w:val="1"/>
          <w:wAfter w:w="13" w:type="dxa"/>
          <w:trHeight w:hRule="exact" w:val="420"/>
        </w:trPr>
        <w:tc>
          <w:tcPr>
            <w:tcW w:w="1486" w:type="dxa"/>
            <w:tcBorders>
              <w:left w:val="single" w:sz="7" w:space="0" w:color="3F3F3F"/>
              <w:right w:val="single" w:sz="7" w:space="0" w:color="3F3F3F"/>
            </w:tcBorders>
          </w:tcPr>
          <w:p w14:paraId="46AF98DC" w14:textId="77777777" w:rsidR="00797B61" w:rsidRPr="00245833" w:rsidRDefault="00797B61" w:rsidP="00F75D5C">
            <w:pPr>
              <w:spacing w:line="240" w:lineRule="auto"/>
              <w:rPr>
                <w:i/>
              </w:rPr>
            </w:pPr>
          </w:p>
        </w:tc>
        <w:tc>
          <w:tcPr>
            <w:tcW w:w="1271" w:type="dxa"/>
            <w:tcBorders>
              <w:left w:val="single" w:sz="7" w:space="0" w:color="3F3F3F"/>
              <w:right w:val="single" w:sz="7" w:space="0" w:color="3F3F44"/>
            </w:tcBorders>
          </w:tcPr>
          <w:p w14:paraId="59880A82" w14:textId="77777777" w:rsidR="00797B61" w:rsidRPr="00245833" w:rsidRDefault="00797B61" w:rsidP="00F75D5C">
            <w:pPr>
              <w:pStyle w:val="TableParagraph"/>
              <w:spacing w:before="129"/>
              <w:ind w:left="94"/>
              <w:rPr>
                <w:b/>
                <w:i/>
                <w:sz w:val="18"/>
              </w:rPr>
            </w:pPr>
            <w:r w:rsidRPr="00245833">
              <w:rPr>
                <w:b/>
                <w:i/>
                <w:color w:val="363638"/>
                <w:w w:val="105"/>
                <w:sz w:val="18"/>
              </w:rPr>
              <w:t>GRO</w:t>
            </w:r>
          </w:p>
        </w:tc>
        <w:tc>
          <w:tcPr>
            <w:tcW w:w="948" w:type="dxa"/>
            <w:tcBorders>
              <w:left w:val="single" w:sz="7" w:space="0" w:color="3F3F44"/>
              <w:right w:val="single" w:sz="7" w:space="0" w:color="3F3F3F"/>
            </w:tcBorders>
          </w:tcPr>
          <w:p w14:paraId="53080E38" w14:textId="77777777" w:rsidR="00797B61" w:rsidRPr="00245048" w:rsidRDefault="00797B61" w:rsidP="00F75D5C">
            <w:pPr>
              <w:pStyle w:val="TableParagraph"/>
              <w:spacing w:before="129"/>
              <w:ind w:left="94"/>
              <w:rPr>
                <w:b/>
                <w:i/>
                <w:color w:val="363638"/>
                <w:w w:val="105"/>
                <w:sz w:val="18"/>
              </w:rPr>
            </w:pPr>
            <w:r w:rsidRPr="00245048">
              <w:rPr>
                <w:b/>
                <w:i/>
                <w:color w:val="363638"/>
                <w:w w:val="105"/>
                <w:sz w:val="18"/>
              </w:rPr>
              <w:t>Benzene</w:t>
            </w:r>
          </w:p>
        </w:tc>
        <w:tc>
          <w:tcPr>
            <w:tcW w:w="1021" w:type="dxa"/>
            <w:tcBorders>
              <w:left w:val="single" w:sz="7" w:space="0" w:color="3F3F3F"/>
            </w:tcBorders>
          </w:tcPr>
          <w:p w14:paraId="771650E2" w14:textId="77777777" w:rsidR="00797B61" w:rsidRPr="00245048" w:rsidRDefault="00797B61" w:rsidP="00F75D5C">
            <w:pPr>
              <w:pStyle w:val="TableParagraph"/>
              <w:spacing w:before="129"/>
              <w:ind w:left="94"/>
              <w:rPr>
                <w:b/>
                <w:i/>
                <w:color w:val="363638"/>
                <w:w w:val="105"/>
                <w:sz w:val="18"/>
              </w:rPr>
            </w:pPr>
            <w:r w:rsidRPr="00245048">
              <w:rPr>
                <w:b/>
                <w:i/>
                <w:color w:val="363638"/>
                <w:w w:val="105"/>
                <w:sz w:val="18"/>
              </w:rPr>
              <w:t>Toluene</w:t>
            </w:r>
          </w:p>
        </w:tc>
        <w:tc>
          <w:tcPr>
            <w:tcW w:w="1346" w:type="dxa"/>
            <w:tcBorders>
              <w:right w:val="single" w:sz="6" w:space="0" w:color="3F3F3F"/>
            </w:tcBorders>
          </w:tcPr>
          <w:p w14:paraId="2E29E670" w14:textId="77777777" w:rsidR="00797B61" w:rsidRPr="00245048" w:rsidRDefault="00797B61" w:rsidP="00F75D5C">
            <w:pPr>
              <w:pStyle w:val="TableParagraph"/>
              <w:spacing w:before="129"/>
              <w:ind w:left="94"/>
              <w:rPr>
                <w:b/>
                <w:i/>
                <w:color w:val="363638"/>
                <w:w w:val="105"/>
                <w:sz w:val="18"/>
              </w:rPr>
            </w:pPr>
            <w:r w:rsidRPr="00245048">
              <w:rPr>
                <w:b/>
                <w:i/>
                <w:color w:val="363638"/>
                <w:w w:val="105"/>
                <w:sz w:val="18"/>
              </w:rPr>
              <w:t>Ethylbenzene</w:t>
            </w:r>
          </w:p>
        </w:tc>
        <w:tc>
          <w:tcPr>
            <w:tcW w:w="1029" w:type="dxa"/>
            <w:tcBorders>
              <w:left w:val="single" w:sz="6" w:space="0" w:color="3F3F3F"/>
              <w:right w:val="single" w:sz="6" w:space="0" w:color="3F3F44"/>
            </w:tcBorders>
          </w:tcPr>
          <w:p w14:paraId="187A25BD" w14:textId="77777777" w:rsidR="00797B61" w:rsidRPr="00245048" w:rsidRDefault="00797B61" w:rsidP="00F75D5C">
            <w:pPr>
              <w:pStyle w:val="TableParagraph"/>
              <w:spacing w:before="129"/>
              <w:ind w:left="94"/>
              <w:rPr>
                <w:b/>
                <w:i/>
                <w:color w:val="363638"/>
                <w:w w:val="105"/>
                <w:sz w:val="18"/>
              </w:rPr>
            </w:pPr>
            <w:r w:rsidRPr="00245048">
              <w:rPr>
                <w:b/>
                <w:i/>
                <w:color w:val="363638"/>
                <w:w w:val="105"/>
                <w:sz w:val="18"/>
              </w:rPr>
              <w:t>Xylenes</w:t>
            </w:r>
          </w:p>
        </w:tc>
        <w:tc>
          <w:tcPr>
            <w:tcW w:w="936" w:type="dxa"/>
            <w:tcBorders>
              <w:left w:val="single" w:sz="6" w:space="0" w:color="3F3F44"/>
              <w:right w:val="single" w:sz="6" w:space="0" w:color="3F3F3F"/>
            </w:tcBorders>
          </w:tcPr>
          <w:p w14:paraId="21068F57" w14:textId="77777777" w:rsidR="00797B61" w:rsidRPr="00245048" w:rsidRDefault="00797B61" w:rsidP="00F75D5C">
            <w:pPr>
              <w:pStyle w:val="TableParagraph"/>
              <w:spacing w:before="129"/>
              <w:ind w:left="94"/>
              <w:rPr>
                <w:b/>
                <w:i/>
                <w:color w:val="363638"/>
                <w:w w:val="105"/>
                <w:sz w:val="18"/>
              </w:rPr>
            </w:pPr>
            <w:r w:rsidRPr="00245048">
              <w:rPr>
                <w:b/>
                <w:i/>
                <w:color w:val="363638"/>
                <w:w w:val="105"/>
                <w:sz w:val="18"/>
              </w:rPr>
              <w:t>MTBE</w:t>
            </w:r>
          </w:p>
        </w:tc>
      </w:tr>
      <w:tr w:rsidR="00797B61" w:rsidRPr="00245833" w14:paraId="2717467A" w14:textId="77777777" w:rsidTr="007607EE">
        <w:trPr>
          <w:gridAfter w:val="1"/>
          <w:wAfter w:w="13" w:type="dxa"/>
          <w:trHeight w:hRule="exact" w:val="641"/>
        </w:trPr>
        <w:tc>
          <w:tcPr>
            <w:tcW w:w="1486" w:type="dxa"/>
            <w:tcBorders>
              <w:left w:val="single" w:sz="7" w:space="0" w:color="3F3F3F"/>
              <w:right w:val="single" w:sz="7" w:space="0" w:color="3F3F3F"/>
            </w:tcBorders>
          </w:tcPr>
          <w:p w14:paraId="3ED1890A" w14:textId="77777777" w:rsidR="00797B61" w:rsidRPr="00245048" w:rsidRDefault="00797B61" w:rsidP="00F75D5C">
            <w:pPr>
              <w:pStyle w:val="TableParagraph"/>
              <w:spacing w:before="118"/>
              <w:ind w:left="101" w:right="566" w:hanging="4"/>
              <w:rPr>
                <w:b/>
                <w:i/>
                <w:sz w:val="19"/>
              </w:rPr>
            </w:pPr>
            <w:r w:rsidRPr="00245048">
              <w:rPr>
                <w:b/>
                <w:i/>
                <w:color w:val="363638"/>
                <w:sz w:val="19"/>
              </w:rPr>
              <w:t>Highest Historical</w:t>
            </w:r>
          </w:p>
        </w:tc>
        <w:tc>
          <w:tcPr>
            <w:tcW w:w="1271" w:type="dxa"/>
            <w:tcBorders>
              <w:left w:val="single" w:sz="7" w:space="0" w:color="3F3F3F"/>
              <w:right w:val="single" w:sz="7" w:space="0" w:color="3F3F44"/>
            </w:tcBorders>
          </w:tcPr>
          <w:p w14:paraId="078318C8" w14:textId="77777777" w:rsidR="00797B61" w:rsidRPr="00245048" w:rsidRDefault="00797B61" w:rsidP="00F75D5C">
            <w:pPr>
              <w:pStyle w:val="TableParagraph"/>
              <w:spacing w:before="94"/>
              <w:ind w:left="95"/>
              <w:rPr>
                <w:rFonts w:ascii="Times New Roman"/>
                <w:i/>
                <w:sz w:val="12"/>
              </w:rPr>
            </w:pPr>
            <w:r w:rsidRPr="00245048">
              <w:rPr>
                <w:i/>
                <w:color w:val="363638"/>
                <w:w w:val="105"/>
                <w:sz w:val="18"/>
              </w:rPr>
              <w:t>75,000</w:t>
            </w:r>
            <w:r w:rsidRPr="00245048">
              <w:rPr>
                <w:rFonts w:ascii="Times New Roman"/>
                <w:i/>
                <w:color w:val="363638"/>
                <w:w w:val="105"/>
                <w:position w:val="9"/>
                <w:sz w:val="12"/>
              </w:rPr>
              <w:t>8</w:t>
            </w:r>
          </w:p>
        </w:tc>
        <w:tc>
          <w:tcPr>
            <w:tcW w:w="948" w:type="dxa"/>
            <w:tcBorders>
              <w:left w:val="single" w:sz="7" w:space="0" w:color="3F3F44"/>
              <w:right w:val="single" w:sz="6" w:space="0" w:color="3F3F3F"/>
            </w:tcBorders>
          </w:tcPr>
          <w:p w14:paraId="4B5A6375" w14:textId="77777777" w:rsidR="00797B61" w:rsidRPr="00F1265A" w:rsidRDefault="00797B61" w:rsidP="00F75D5C">
            <w:pPr>
              <w:pStyle w:val="TableParagraph"/>
              <w:spacing w:before="104"/>
              <w:ind w:left="93"/>
              <w:rPr>
                <w:i/>
                <w:sz w:val="18"/>
                <w:szCs w:val="18"/>
              </w:rPr>
            </w:pPr>
            <w:r w:rsidRPr="00F1265A">
              <w:rPr>
                <w:i/>
                <w:color w:val="363638"/>
                <w:sz w:val="18"/>
                <w:szCs w:val="18"/>
              </w:rPr>
              <w:t>5,000b</w:t>
            </w:r>
          </w:p>
        </w:tc>
        <w:tc>
          <w:tcPr>
            <w:tcW w:w="1021" w:type="dxa"/>
            <w:tcBorders>
              <w:left w:val="single" w:sz="6" w:space="0" w:color="3F3F3F"/>
            </w:tcBorders>
          </w:tcPr>
          <w:p w14:paraId="65A65F2F" w14:textId="77777777" w:rsidR="00797B61" w:rsidRPr="00F1265A" w:rsidRDefault="00797B61" w:rsidP="00F75D5C">
            <w:pPr>
              <w:pStyle w:val="TableParagraph"/>
              <w:spacing w:before="91"/>
              <w:ind w:left="101"/>
              <w:rPr>
                <w:rFonts w:ascii="Times New Roman"/>
                <w:i/>
                <w:sz w:val="18"/>
                <w:szCs w:val="18"/>
              </w:rPr>
            </w:pPr>
            <w:r w:rsidRPr="00F1265A">
              <w:rPr>
                <w:i/>
                <w:color w:val="363638"/>
                <w:w w:val="105"/>
                <w:sz w:val="18"/>
                <w:szCs w:val="18"/>
              </w:rPr>
              <w:t>14,000</w:t>
            </w:r>
            <w:r w:rsidRPr="00F1265A">
              <w:rPr>
                <w:rFonts w:ascii="Times New Roman"/>
                <w:i/>
                <w:color w:val="363638"/>
                <w:w w:val="105"/>
                <w:position w:val="9"/>
                <w:sz w:val="18"/>
                <w:szCs w:val="18"/>
              </w:rPr>
              <w:t>8</w:t>
            </w:r>
          </w:p>
        </w:tc>
        <w:tc>
          <w:tcPr>
            <w:tcW w:w="1346" w:type="dxa"/>
            <w:tcBorders>
              <w:right w:val="single" w:sz="6" w:space="0" w:color="3F3F3F"/>
            </w:tcBorders>
          </w:tcPr>
          <w:p w14:paraId="3A9E8C8E" w14:textId="77777777" w:rsidR="00797B61" w:rsidRPr="00F1265A" w:rsidRDefault="00797B61" w:rsidP="00F75D5C">
            <w:pPr>
              <w:pStyle w:val="TableParagraph"/>
              <w:spacing w:before="94"/>
              <w:ind w:left="90"/>
              <w:rPr>
                <w:rFonts w:ascii="Times New Roman"/>
                <w:i/>
                <w:sz w:val="18"/>
                <w:szCs w:val="18"/>
              </w:rPr>
            </w:pPr>
            <w:r w:rsidRPr="00F1265A">
              <w:rPr>
                <w:i/>
                <w:color w:val="363638"/>
                <w:w w:val="105"/>
                <w:sz w:val="18"/>
                <w:szCs w:val="18"/>
              </w:rPr>
              <w:t>1</w:t>
            </w:r>
            <w:r w:rsidRPr="00F1265A">
              <w:rPr>
                <w:i/>
                <w:color w:val="505252"/>
                <w:w w:val="105"/>
                <w:sz w:val="18"/>
                <w:szCs w:val="18"/>
              </w:rPr>
              <w:t>,</w:t>
            </w:r>
            <w:r w:rsidRPr="00F1265A">
              <w:rPr>
                <w:i/>
                <w:color w:val="363638"/>
                <w:w w:val="105"/>
                <w:sz w:val="18"/>
                <w:szCs w:val="18"/>
              </w:rPr>
              <w:t>500</w:t>
            </w:r>
            <w:r w:rsidRPr="00F1265A">
              <w:rPr>
                <w:rFonts w:ascii="Times New Roman"/>
                <w:i/>
                <w:color w:val="363638"/>
                <w:w w:val="105"/>
                <w:position w:val="10"/>
                <w:sz w:val="18"/>
                <w:szCs w:val="18"/>
              </w:rPr>
              <w:t>8</w:t>
            </w:r>
          </w:p>
        </w:tc>
        <w:tc>
          <w:tcPr>
            <w:tcW w:w="1029" w:type="dxa"/>
            <w:tcBorders>
              <w:left w:val="single" w:sz="6" w:space="0" w:color="3F3F3F"/>
              <w:right w:val="single" w:sz="6" w:space="0" w:color="3F3F44"/>
            </w:tcBorders>
          </w:tcPr>
          <w:p w14:paraId="6F82EE70" w14:textId="77777777" w:rsidR="00797B61" w:rsidRPr="00F1265A" w:rsidRDefault="00797B61" w:rsidP="00F75D5C">
            <w:pPr>
              <w:pStyle w:val="TableParagraph"/>
              <w:spacing w:before="94"/>
              <w:ind w:left="103"/>
              <w:rPr>
                <w:rFonts w:ascii="Times New Roman"/>
                <w:i/>
                <w:sz w:val="18"/>
                <w:szCs w:val="18"/>
              </w:rPr>
            </w:pPr>
            <w:r w:rsidRPr="00F1265A">
              <w:rPr>
                <w:i/>
                <w:color w:val="363638"/>
                <w:w w:val="105"/>
                <w:sz w:val="18"/>
                <w:szCs w:val="18"/>
              </w:rPr>
              <w:t>15,000</w:t>
            </w:r>
            <w:r w:rsidRPr="00F1265A">
              <w:rPr>
                <w:rFonts w:ascii="Times New Roman"/>
                <w:i/>
                <w:color w:val="363638"/>
                <w:w w:val="105"/>
                <w:position w:val="10"/>
                <w:sz w:val="18"/>
                <w:szCs w:val="18"/>
              </w:rPr>
              <w:t>8</w:t>
            </w:r>
          </w:p>
        </w:tc>
        <w:tc>
          <w:tcPr>
            <w:tcW w:w="936" w:type="dxa"/>
            <w:tcBorders>
              <w:left w:val="single" w:sz="6" w:space="0" w:color="3F3F44"/>
              <w:bottom w:val="single" w:sz="3" w:space="0" w:color="4B4B4F"/>
              <w:right w:val="single" w:sz="6" w:space="0" w:color="3F3F3F"/>
            </w:tcBorders>
          </w:tcPr>
          <w:p w14:paraId="0D022A23" w14:textId="77777777" w:rsidR="00797B61" w:rsidRPr="00F1265A" w:rsidRDefault="00797B61" w:rsidP="00F75D5C">
            <w:pPr>
              <w:pStyle w:val="TableParagraph"/>
              <w:spacing w:before="95"/>
              <w:ind w:left="98"/>
              <w:rPr>
                <w:i/>
                <w:sz w:val="18"/>
                <w:szCs w:val="18"/>
              </w:rPr>
            </w:pPr>
            <w:r w:rsidRPr="00F1265A">
              <w:rPr>
                <w:i/>
                <w:color w:val="363638"/>
                <w:sz w:val="18"/>
                <w:szCs w:val="18"/>
              </w:rPr>
              <w:t>300c</w:t>
            </w:r>
          </w:p>
        </w:tc>
      </w:tr>
      <w:tr w:rsidR="00797B61" w:rsidRPr="00245833" w14:paraId="643FF5E9" w14:textId="77777777" w:rsidTr="007607EE">
        <w:trPr>
          <w:gridAfter w:val="1"/>
          <w:wAfter w:w="13" w:type="dxa"/>
          <w:trHeight w:hRule="exact" w:val="418"/>
        </w:trPr>
        <w:tc>
          <w:tcPr>
            <w:tcW w:w="1486" w:type="dxa"/>
            <w:tcBorders>
              <w:left w:val="single" w:sz="7" w:space="0" w:color="3F3F3F"/>
              <w:right w:val="single" w:sz="7" w:space="0" w:color="3F3F3F"/>
            </w:tcBorders>
          </w:tcPr>
          <w:p w14:paraId="42F76DEB" w14:textId="77777777" w:rsidR="00797B61" w:rsidRPr="00245048" w:rsidRDefault="00797B61" w:rsidP="00F75D5C">
            <w:pPr>
              <w:pStyle w:val="TableParagraph"/>
              <w:spacing w:before="120"/>
              <w:ind w:left="101"/>
              <w:rPr>
                <w:b/>
                <w:i/>
                <w:sz w:val="19"/>
              </w:rPr>
            </w:pPr>
            <w:r w:rsidRPr="00245048">
              <w:rPr>
                <w:b/>
                <w:i/>
                <w:color w:val="363638"/>
                <w:sz w:val="19"/>
              </w:rPr>
              <w:t>January 2017</w:t>
            </w:r>
          </w:p>
        </w:tc>
        <w:tc>
          <w:tcPr>
            <w:tcW w:w="1271" w:type="dxa"/>
            <w:tcBorders>
              <w:left w:val="single" w:sz="7" w:space="0" w:color="3F3F3F"/>
              <w:right w:val="single" w:sz="7" w:space="0" w:color="3F3F44"/>
            </w:tcBorders>
          </w:tcPr>
          <w:p w14:paraId="2940A1AC" w14:textId="77777777" w:rsidR="00797B61" w:rsidRPr="00F1265A" w:rsidRDefault="00797B61" w:rsidP="00F75D5C">
            <w:pPr>
              <w:pStyle w:val="TableParagraph"/>
              <w:spacing w:before="108"/>
              <w:ind w:left="88"/>
              <w:rPr>
                <w:i/>
                <w:sz w:val="18"/>
                <w:szCs w:val="18"/>
              </w:rPr>
            </w:pPr>
            <w:r w:rsidRPr="00F1265A">
              <w:rPr>
                <w:i/>
                <w:color w:val="363638"/>
                <w:w w:val="105"/>
                <w:sz w:val="18"/>
                <w:szCs w:val="18"/>
              </w:rPr>
              <w:t>24,000</w:t>
            </w:r>
          </w:p>
        </w:tc>
        <w:tc>
          <w:tcPr>
            <w:tcW w:w="948" w:type="dxa"/>
            <w:tcBorders>
              <w:left w:val="single" w:sz="7" w:space="0" w:color="3F3F44"/>
              <w:right w:val="single" w:sz="6" w:space="0" w:color="3F3F3F"/>
            </w:tcBorders>
          </w:tcPr>
          <w:p w14:paraId="2F86FA09" w14:textId="77777777" w:rsidR="00797B61" w:rsidRPr="00F1265A" w:rsidRDefault="00797B61" w:rsidP="00F75D5C">
            <w:pPr>
              <w:pStyle w:val="TableParagraph"/>
              <w:spacing w:before="111"/>
              <w:ind w:left="72"/>
              <w:rPr>
                <w:i/>
                <w:sz w:val="18"/>
                <w:szCs w:val="18"/>
              </w:rPr>
            </w:pPr>
            <w:r w:rsidRPr="00F1265A">
              <w:rPr>
                <w:i/>
                <w:color w:val="363638"/>
                <w:sz w:val="18"/>
                <w:szCs w:val="18"/>
              </w:rPr>
              <w:t>23</w:t>
            </w:r>
          </w:p>
        </w:tc>
        <w:tc>
          <w:tcPr>
            <w:tcW w:w="1021" w:type="dxa"/>
            <w:tcBorders>
              <w:left w:val="single" w:sz="6" w:space="0" w:color="3F3F3F"/>
            </w:tcBorders>
          </w:tcPr>
          <w:p w14:paraId="6832E7BC" w14:textId="77777777" w:rsidR="00797B61" w:rsidRPr="00F1265A" w:rsidRDefault="00797B61" w:rsidP="00F75D5C">
            <w:pPr>
              <w:pStyle w:val="TableParagraph"/>
              <w:spacing w:before="126"/>
              <w:rPr>
                <w:i/>
                <w:sz w:val="18"/>
                <w:szCs w:val="18"/>
              </w:rPr>
            </w:pPr>
            <w:r w:rsidRPr="00F1265A">
              <w:rPr>
                <w:i/>
                <w:color w:val="363638"/>
                <w:w w:val="105"/>
                <w:sz w:val="18"/>
                <w:szCs w:val="18"/>
              </w:rPr>
              <w:t>17</w:t>
            </w:r>
          </w:p>
        </w:tc>
        <w:tc>
          <w:tcPr>
            <w:tcW w:w="1346" w:type="dxa"/>
            <w:tcBorders>
              <w:right w:val="single" w:sz="6" w:space="0" w:color="3F3F3F"/>
            </w:tcBorders>
          </w:tcPr>
          <w:p w14:paraId="03F1078B" w14:textId="77777777" w:rsidR="00797B61" w:rsidRPr="00F1265A" w:rsidRDefault="00797B61" w:rsidP="00F75D5C">
            <w:pPr>
              <w:pStyle w:val="TableParagraph"/>
              <w:spacing w:before="122"/>
              <w:rPr>
                <w:i/>
                <w:sz w:val="18"/>
                <w:szCs w:val="18"/>
              </w:rPr>
            </w:pPr>
            <w:r w:rsidRPr="00F1265A">
              <w:rPr>
                <w:i/>
                <w:color w:val="363638"/>
                <w:w w:val="105"/>
                <w:sz w:val="18"/>
                <w:szCs w:val="18"/>
              </w:rPr>
              <w:t>230</w:t>
            </w:r>
          </w:p>
        </w:tc>
        <w:tc>
          <w:tcPr>
            <w:tcW w:w="1029" w:type="dxa"/>
            <w:tcBorders>
              <w:left w:val="single" w:sz="6" w:space="0" w:color="3F3F3F"/>
              <w:right w:val="single" w:sz="6" w:space="0" w:color="3F3F44"/>
            </w:tcBorders>
          </w:tcPr>
          <w:p w14:paraId="50BB16B8" w14:textId="77777777" w:rsidR="00797B61" w:rsidRPr="00F1265A" w:rsidRDefault="00797B61" w:rsidP="00F75D5C">
            <w:pPr>
              <w:pStyle w:val="TableParagraph"/>
              <w:spacing w:before="122"/>
              <w:ind w:left="92"/>
              <w:rPr>
                <w:i/>
                <w:sz w:val="18"/>
                <w:szCs w:val="18"/>
              </w:rPr>
            </w:pPr>
            <w:r w:rsidRPr="00F1265A">
              <w:rPr>
                <w:i/>
                <w:color w:val="363638"/>
                <w:w w:val="105"/>
                <w:sz w:val="18"/>
                <w:szCs w:val="18"/>
              </w:rPr>
              <w:t>5,000</w:t>
            </w:r>
          </w:p>
        </w:tc>
        <w:tc>
          <w:tcPr>
            <w:tcW w:w="936" w:type="dxa"/>
            <w:tcBorders>
              <w:top w:val="single" w:sz="3" w:space="0" w:color="4B4B4F"/>
              <w:left w:val="single" w:sz="6" w:space="0" w:color="3F3F44"/>
              <w:right w:val="single" w:sz="6" w:space="0" w:color="3F3F3F"/>
            </w:tcBorders>
          </w:tcPr>
          <w:p w14:paraId="346365AA" w14:textId="77777777" w:rsidR="00797B61" w:rsidRPr="00F1265A" w:rsidRDefault="00797B61" w:rsidP="00F75D5C">
            <w:pPr>
              <w:pStyle w:val="TableParagraph"/>
              <w:spacing w:before="126"/>
              <w:ind w:left="80"/>
              <w:rPr>
                <w:i/>
                <w:sz w:val="18"/>
                <w:szCs w:val="18"/>
              </w:rPr>
            </w:pPr>
            <w:r w:rsidRPr="00F1265A">
              <w:rPr>
                <w:i/>
                <w:color w:val="363638"/>
                <w:w w:val="105"/>
                <w:sz w:val="18"/>
                <w:szCs w:val="18"/>
              </w:rPr>
              <w:t>&lt;10</w:t>
            </w:r>
          </w:p>
        </w:tc>
      </w:tr>
      <w:tr w:rsidR="000527F0" w:rsidRPr="00245833" w14:paraId="28BE9959" w14:textId="77777777" w:rsidTr="00F1265A">
        <w:trPr>
          <w:gridAfter w:val="1"/>
          <w:wAfter w:w="13" w:type="dxa"/>
          <w:trHeight w:hRule="exact" w:val="418"/>
        </w:trPr>
        <w:tc>
          <w:tcPr>
            <w:tcW w:w="1486" w:type="dxa"/>
            <w:tcBorders>
              <w:left w:val="single" w:sz="7" w:space="0" w:color="3F3F3F"/>
              <w:right w:val="single" w:sz="7" w:space="0" w:color="3F3F3F"/>
            </w:tcBorders>
            <w:shd w:val="clear" w:color="auto" w:fill="D9D9D9" w:themeFill="background1" w:themeFillShade="D9"/>
          </w:tcPr>
          <w:p w14:paraId="70E330AE" w14:textId="08A5F6B8" w:rsidR="000527F0" w:rsidRPr="00F1265A" w:rsidRDefault="000527F0" w:rsidP="00F75D5C">
            <w:pPr>
              <w:pStyle w:val="TableParagraph"/>
              <w:spacing w:before="120"/>
              <w:ind w:left="101"/>
              <w:rPr>
                <w:b/>
                <w:color w:val="363638"/>
                <w:sz w:val="19"/>
              </w:rPr>
            </w:pPr>
            <w:r w:rsidRPr="00F1265A">
              <w:rPr>
                <w:b/>
                <w:color w:val="363638"/>
                <w:sz w:val="19"/>
              </w:rPr>
              <w:t>July 2018</w:t>
            </w:r>
          </w:p>
        </w:tc>
        <w:tc>
          <w:tcPr>
            <w:tcW w:w="1271" w:type="dxa"/>
            <w:tcBorders>
              <w:left w:val="single" w:sz="7" w:space="0" w:color="3F3F3F"/>
              <w:right w:val="single" w:sz="7" w:space="0" w:color="3F3F44"/>
            </w:tcBorders>
            <w:shd w:val="clear" w:color="auto" w:fill="D9D9D9" w:themeFill="background1" w:themeFillShade="D9"/>
          </w:tcPr>
          <w:p w14:paraId="56CF7061" w14:textId="763AC352" w:rsidR="000527F0" w:rsidRPr="00F1265A" w:rsidRDefault="00F1265A" w:rsidP="00F75D5C">
            <w:pPr>
              <w:pStyle w:val="TableParagraph"/>
              <w:spacing w:before="108"/>
              <w:ind w:left="88"/>
              <w:rPr>
                <w:color w:val="363638"/>
                <w:w w:val="105"/>
                <w:sz w:val="18"/>
                <w:szCs w:val="18"/>
              </w:rPr>
            </w:pPr>
            <w:r w:rsidRPr="00F1265A">
              <w:rPr>
                <w:color w:val="363638"/>
                <w:w w:val="105"/>
                <w:sz w:val="18"/>
                <w:szCs w:val="18"/>
              </w:rPr>
              <w:t>2,300</w:t>
            </w:r>
          </w:p>
        </w:tc>
        <w:tc>
          <w:tcPr>
            <w:tcW w:w="948" w:type="dxa"/>
            <w:tcBorders>
              <w:left w:val="single" w:sz="7" w:space="0" w:color="3F3F44"/>
              <w:right w:val="single" w:sz="6" w:space="0" w:color="3F3F3F"/>
            </w:tcBorders>
            <w:shd w:val="clear" w:color="auto" w:fill="D9D9D9" w:themeFill="background1" w:themeFillShade="D9"/>
          </w:tcPr>
          <w:p w14:paraId="6F172C1A" w14:textId="5EBFC28F" w:rsidR="000527F0" w:rsidRPr="00F1265A" w:rsidRDefault="00F1265A" w:rsidP="00F75D5C">
            <w:pPr>
              <w:pStyle w:val="TableParagraph"/>
              <w:spacing w:before="111"/>
              <w:ind w:left="72"/>
              <w:rPr>
                <w:color w:val="363638"/>
                <w:sz w:val="18"/>
                <w:szCs w:val="18"/>
              </w:rPr>
            </w:pPr>
            <w:r w:rsidRPr="00F1265A">
              <w:rPr>
                <w:color w:val="363638"/>
                <w:sz w:val="18"/>
                <w:szCs w:val="18"/>
              </w:rPr>
              <w:t>&lt;0.5</w:t>
            </w:r>
          </w:p>
        </w:tc>
        <w:tc>
          <w:tcPr>
            <w:tcW w:w="1021" w:type="dxa"/>
            <w:tcBorders>
              <w:left w:val="single" w:sz="6" w:space="0" w:color="3F3F3F"/>
            </w:tcBorders>
            <w:shd w:val="clear" w:color="auto" w:fill="D9D9D9" w:themeFill="background1" w:themeFillShade="D9"/>
          </w:tcPr>
          <w:p w14:paraId="6703CCBE" w14:textId="18AFA14A" w:rsidR="000527F0" w:rsidRPr="00F1265A" w:rsidRDefault="00F1265A" w:rsidP="00F75D5C">
            <w:pPr>
              <w:pStyle w:val="TableParagraph"/>
              <w:spacing w:before="126"/>
              <w:rPr>
                <w:color w:val="363638"/>
                <w:w w:val="105"/>
                <w:sz w:val="18"/>
                <w:szCs w:val="18"/>
              </w:rPr>
            </w:pPr>
            <w:r w:rsidRPr="00F1265A">
              <w:rPr>
                <w:color w:val="363638"/>
                <w:w w:val="105"/>
                <w:sz w:val="18"/>
                <w:szCs w:val="18"/>
              </w:rPr>
              <w:t>&lt;0.5</w:t>
            </w:r>
          </w:p>
        </w:tc>
        <w:tc>
          <w:tcPr>
            <w:tcW w:w="1346" w:type="dxa"/>
            <w:tcBorders>
              <w:right w:val="single" w:sz="6" w:space="0" w:color="3F3F3F"/>
            </w:tcBorders>
            <w:shd w:val="clear" w:color="auto" w:fill="D9D9D9" w:themeFill="background1" w:themeFillShade="D9"/>
          </w:tcPr>
          <w:p w14:paraId="17D27310" w14:textId="7A568DD7" w:rsidR="000527F0" w:rsidRPr="00F1265A" w:rsidRDefault="00F1265A" w:rsidP="00F75D5C">
            <w:pPr>
              <w:pStyle w:val="TableParagraph"/>
              <w:spacing w:before="122"/>
              <w:rPr>
                <w:color w:val="363638"/>
                <w:w w:val="105"/>
                <w:sz w:val="18"/>
                <w:szCs w:val="18"/>
              </w:rPr>
            </w:pPr>
            <w:r w:rsidRPr="00F1265A">
              <w:rPr>
                <w:color w:val="363638"/>
                <w:w w:val="105"/>
                <w:sz w:val="18"/>
                <w:szCs w:val="18"/>
              </w:rPr>
              <w:t>2.7</w:t>
            </w:r>
          </w:p>
        </w:tc>
        <w:tc>
          <w:tcPr>
            <w:tcW w:w="1029" w:type="dxa"/>
            <w:tcBorders>
              <w:left w:val="single" w:sz="6" w:space="0" w:color="3F3F3F"/>
              <w:right w:val="single" w:sz="6" w:space="0" w:color="3F3F44"/>
            </w:tcBorders>
            <w:shd w:val="clear" w:color="auto" w:fill="D9D9D9" w:themeFill="background1" w:themeFillShade="D9"/>
          </w:tcPr>
          <w:p w14:paraId="7F94DEB6" w14:textId="276A81A4" w:rsidR="000527F0" w:rsidRPr="00F1265A" w:rsidRDefault="00F1265A" w:rsidP="00F75D5C">
            <w:pPr>
              <w:pStyle w:val="TableParagraph"/>
              <w:spacing w:before="122"/>
              <w:ind w:left="92"/>
              <w:rPr>
                <w:color w:val="363638"/>
                <w:w w:val="105"/>
                <w:sz w:val="18"/>
                <w:szCs w:val="18"/>
              </w:rPr>
            </w:pPr>
            <w:r w:rsidRPr="00F1265A">
              <w:rPr>
                <w:color w:val="363638"/>
                <w:w w:val="105"/>
                <w:sz w:val="18"/>
                <w:szCs w:val="18"/>
              </w:rPr>
              <w:t>117</w:t>
            </w:r>
          </w:p>
        </w:tc>
        <w:tc>
          <w:tcPr>
            <w:tcW w:w="936" w:type="dxa"/>
            <w:tcBorders>
              <w:top w:val="single" w:sz="3" w:space="0" w:color="4B4B4F"/>
              <w:left w:val="single" w:sz="6" w:space="0" w:color="3F3F44"/>
              <w:right w:val="single" w:sz="6" w:space="0" w:color="3F3F3F"/>
            </w:tcBorders>
            <w:shd w:val="clear" w:color="auto" w:fill="D9D9D9" w:themeFill="background1" w:themeFillShade="D9"/>
          </w:tcPr>
          <w:p w14:paraId="0D30EB46" w14:textId="0DE04401" w:rsidR="000527F0" w:rsidRPr="00F1265A" w:rsidRDefault="00F1265A" w:rsidP="00F75D5C">
            <w:pPr>
              <w:pStyle w:val="TableParagraph"/>
              <w:spacing w:before="126"/>
              <w:ind w:left="80"/>
              <w:rPr>
                <w:color w:val="363638"/>
                <w:w w:val="105"/>
                <w:sz w:val="18"/>
                <w:szCs w:val="18"/>
              </w:rPr>
            </w:pPr>
            <w:r w:rsidRPr="00F1265A">
              <w:rPr>
                <w:color w:val="363638"/>
                <w:w w:val="105"/>
                <w:sz w:val="18"/>
                <w:szCs w:val="18"/>
              </w:rPr>
              <w:t>&lt;0.5</w:t>
            </w:r>
          </w:p>
        </w:tc>
      </w:tr>
      <w:tr w:rsidR="00797B61" w:rsidRPr="00245833" w14:paraId="0D69ACEB" w14:textId="77777777" w:rsidTr="00C8181D">
        <w:trPr>
          <w:trHeight w:hRule="exact" w:val="1653"/>
        </w:trPr>
        <w:tc>
          <w:tcPr>
            <w:tcW w:w="8037" w:type="dxa"/>
            <w:gridSpan w:val="8"/>
            <w:tcBorders>
              <w:left w:val="single" w:sz="6" w:space="0" w:color="3F3F3F"/>
              <w:right w:val="single" w:sz="6" w:space="0" w:color="3F3F3F"/>
            </w:tcBorders>
          </w:tcPr>
          <w:p w14:paraId="04C9CC9B" w14:textId="77777777" w:rsidR="00797B61" w:rsidRPr="00245833" w:rsidRDefault="00797B61" w:rsidP="00F75D5C">
            <w:pPr>
              <w:pStyle w:val="TableParagraph"/>
              <w:spacing w:before="10"/>
              <w:ind w:left="99"/>
              <w:rPr>
                <w:i/>
                <w:sz w:val="17"/>
              </w:rPr>
            </w:pPr>
            <w:r w:rsidRPr="00245833">
              <w:rPr>
                <w:i/>
                <w:color w:val="363638"/>
                <w:sz w:val="17"/>
              </w:rPr>
              <w:t>Notes:</w:t>
            </w:r>
          </w:p>
          <w:p w14:paraId="4CBB0B6F" w14:textId="77777777" w:rsidR="00797B61" w:rsidRPr="00245833" w:rsidRDefault="00797B61" w:rsidP="00F75D5C">
            <w:pPr>
              <w:pStyle w:val="TableParagraph"/>
              <w:spacing w:before="1"/>
              <w:ind w:left="95" w:right="4890" w:firstLine="2"/>
              <w:rPr>
                <w:i/>
                <w:sz w:val="17"/>
              </w:rPr>
            </w:pPr>
            <w:r w:rsidRPr="00245833">
              <w:rPr>
                <w:i/>
                <w:color w:val="363638"/>
                <w:sz w:val="17"/>
              </w:rPr>
              <w:t xml:space="preserve">All results in micrograms per liter (µg/L) a </w:t>
            </w:r>
            <w:r w:rsidRPr="00245833">
              <w:rPr>
                <w:i/>
                <w:color w:val="363638"/>
                <w:sz w:val="19"/>
              </w:rPr>
              <w:t xml:space="preserve">= </w:t>
            </w:r>
            <w:r w:rsidRPr="00245833">
              <w:rPr>
                <w:i/>
                <w:color w:val="363638"/>
                <w:sz w:val="17"/>
              </w:rPr>
              <w:t>February 2002</w:t>
            </w:r>
          </w:p>
          <w:p w14:paraId="3EB272D9" w14:textId="77777777" w:rsidR="00797B61" w:rsidRPr="00245833" w:rsidRDefault="00797B61" w:rsidP="00F75D5C">
            <w:pPr>
              <w:pStyle w:val="TableParagraph"/>
              <w:ind w:left="90"/>
              <w:rPr>
                <w:i/>
                <w:sz w:val="17"/>
              </w:rPr>
            </w:pPr>
            <w:r w:rsidRPr="00245833">
              <w:rPr>
                <w:i/>
                <w:color w:val="363638"/>
                <w:sz w:val="17"/>
              </w:rPr>
              <w:t xml:space="preserve">b </w:t>
            </w:r>
            <w:r w:rsidRPr="00245833">
              <w:rPr>
                <w:i/>
                <w:color w:val="363638"/>
              </w:rPr>
              <w:t xml:space="preserve">= </w:t>
            </w:r>
            <w:r w:rsidRPr="00245833">
              <w:rPr>
                <w:i/>
                <w:color w:val="363638"/>
                <w:sz w:val="17"/>
              </w:rPr>
              <w:t>August 2003</w:t>
            </w:r>
          </w:p>
          <w:p w14:paraId="5EECBA49" w14:textId="77777777" w:rsidR="00797B61" w:rsidRPr="00245833" w:rsidRDefault="00797B61" w:rsidP="00F75D5C">
            <w:pPr>
              <w:pStyle w:val="TableParagraph"/>
              <w:ind w:left="94"/>
              <w:rPr>
                <w:i/>
                <w:sz w:val="17"/>
              </w:rPr>
            </w:pPr>
            <w:r w:rsidRPr="00245833">
              <w:rPr>
                <w:i/>
                <w:color w:val="363638"/>
                <w:sz w:val="18"/>
              </w:rPr>
              <w:t xml:space="preserve">c </w:t>
            </w:r>
            <w:r w:rsidRPr="00245833">
              <w:rPr>
                <w:i/>
                <w:color w:val="363638"/>
                <w:sz w:val="20"/>
              </w:rPr>
              <w:t xml:space="preserve">= </w:t>
            </w:r>
            <w:r w:rsidRPr="00245833">
              <w:rPr>
                <w:i/>
                <w:color w:val="363638"/>
                <w:sz w:val="18"/>
              </w:rPr>
              <w:t xml:space="preserve">June </w:t>
            </w:r>
            <w:r w:rsidRPr="00245833">
              <w:rPr>
                <w:i/>
                <w:color w:val="363638"/>
                <w:sz w:val="17"/>
              </w:rPr>
              <w:t>2003</w:t>
            </w:r>
          </w:p>
          <w:p w14:paraId="727E1D9A" w14:textId="77777777" w:rsidR="00797B61" w:rsidRDefault="00797B61" w:rsidP="00F75D5C">
            <w:pPr>
              <w:pStyle w:val="TableParagraph"/>
              <w:rPr>
                <w:i/>
                <w:color w:val="363638"/>
                <w:sz w:val="17"/>
              </w:rPr>
            </w:pPr>
            <w:r w:rsidRPr="00245833">
              <w:rPr>
                <w:i/>
                <w:color w:val="363638"/>
                <w:sz w:val="17"/>
              </w:rPr>
              <w:t>Com</w:t>
            </w:r>
            <w:r w:rsidR="00245833" w:rsidRPr="00245833">
              <w:rPr>
                <w:i/>
                <w:color w:val="363638"/>
                <w:sz w:val="17"/>
              </w:rPr>
              <w:t>piled</w:t>
            </w:r>
            <w:r w:rsidRPr="00245833">
              <w:rPr>
                <w:i/>
                <w:color w:val="363638"/>
                <w:sz w:val="17"/>
              </w:rPr>
              <w:t xml:space="preserve"> from Stratus, 2017</w:t>
            </w:r>
          </w:p>
          <w:p w14:paraId="3AB358FD" w14:textId="29EB054A" w:rsidR="000527F0" w:rsidRPr="000527F0" w:rsidRDefault="00F1265A" w:rsidP="00F75D5C">
            <w:pPr>
              <w:pStyle w:val="TableParagraph"/>
              <w:rPr>
                <w:sz w:val="17"/>
              </w:rPr>
            </w:pPr>
            <w:r w:rsidRPr="00F1265A">
              <w:rPr>
                <w:color w:val="363638"/>
                <w:sz w:val="17"/>
                <w:shd w:val="clear" w:color="auto" w:fill="D9D9D9" w:themeFill="background1" w:themeFillShade="D9"/>
              </w:rPr>
              <w:t>Shaded data a</w:t>
            </w:r>
            <w:r w:rsidR="000527F0" w:rsidRPr="00F1265A">
              <w:rPr>
                <w:color w:val="363638"/>
                <w:sz w:val="17"/>
                <w:shd w:val="clear" w:color="auto" w:fill="D9D9D9" w:themeFill="background1" w:themeFillShade="D9"/>
              </w:rPr>
              <w:t>dded by Fund staff</w:t>
            </w:r>
          </w:p>
        </w:tc>
      </w:tr>
    </w:tbl>
    <w:p w14:paraId="2A1B6008" w14:textId="77777777" w:rsidR="003158B2" w:rsidRDefault="003158B2" w:rsidP="00F75D5C">
      <w:pPr>
        <w:tabs>
          <w:tab w:val="left" w:pos="7740"/>
        </w:tabs>
        <w:spacing w:after="0" w:line="240" w:lineRule="auto"/>
        <w:ind w:right="90"/>
        <w:rPr>
          <w:rFonts w:ascii="Arial" w:hAnsi="Arial" w:cs="Arial"/>
          <w:color w:val="363838"/>
        </w:rPr>
      </w:pPr>
    </w:p>
    <w:p w14:paraId="773FD045" w14:textId="0F17A1B5" w:rsidR="00ED6582" w:rsidRPr="00245048" w:rsidRDefault="00F85141" w:rsidP="00F75D5C">
      <w:pPr>
        <w:tabs>
          <w:tab w:val="left" w:pos="7740"/>
        </w:tabs>
        <w:spacing w:after="0" w:line="240" w:lineRule="auto"/>
        <w:ind w:right="86"/>
        <w:rPr>
          <w:rFonts w:ascii="Arial" w:hAnsi="Arial" w:cs="Arial"/>
          <w:color w:val="363838"/>
        </w:rPr>
      </w:pPr>
      <w:r w:rsidRPr="00F85141">
        <w:rPr>
          <w:rFonts w:ascii="Arial" w:hAnsi="Arial" w:cs="Arial"/>
          <w:color w:val="363838"/>
          <w:u w:val="single"/>
        </w:rPr>
        <w:t>Response:</w:t>
      </w:r>
      <w:r>
        <w:rPr>
          <w:rFonts w:ascii="Arial" w:hAnsi="Arial" w:cs="Arial"/>
          <w:color w:val="363838"/>
        </w:rPr>
        <w:t xml:space="preserve"> </w:t>
      </w:r>
      <w:r w:rsidR="00E45A52">
        <w:rPr>
          <w:rFonts w:ascii="Arial" w:hAnsi="Arial" w:cs="Arial"/>
          <w:color w:val="363838"/>
        </w:rPr>
        <w:t xml:space="preserve">SCEMD </w:t>
      </w:r>
      <w:r w:rsidR="00BD3BF7">
        <w:rPr>
          <w:rFonts w:ascii="Arial" w:hAnsi="Arial" w:cs="Arial"/>
          <w:color w:val="363838"/>
        </w:rPr>
        <w:t xml:space="preserve">and Fund </w:t>
      </w:r>
      <w:r w:rsidR="00E45A52">
        <w:rPr>
          <w:rFonts w:ascii="Arial" w:hAnsi="Arial" w:cs="Arial"/>
          <w:color w:val="363838"/>
        </w:rPr>
        <w:t>staff agree that the extent of the groundwater contaminant plume has not been</w:t>
      </w:r>
      <w:r w:rsidR="00AB5447">
        <w:rPr>
          <w:rFonts w:ascii="Arial" w:hAnsi="Arial" w:cs="Arial"/>
          <w:color w:val="363838"/>
        </w:rPr>
        <w:t xml:space="preserve"> fully </w:t>
      </w:r>
      <w:r w:rsidR="00E45A52">
        <w:rPr>
          <w:rFonts w:ascii="Arial" w:hAnsi="Arial" w:cs="Arial"/>
          <w:color w:val="363838"/>
        </w:rPr>
        <w:t xml:space="preserve">defined to </w:t>
      </w:r>
      <w:r w:rsidR="003158B2">
        <w:rPr>
          <w:rFonts w:ascii="Arial" w:hAnsi="Arial" w:cs="Arial"/>
          <w:color w:val="363838"/>
        </w:rPr>
        <w:t>WQOs to the east</w:t>
      </w:r>
      <w:r w:rsidR="00F75D5C">
        <w:rPr>
          <w:rFonts w:ascii="Arial" w:hAnsi="Arial" w:cs="Arial"/>
          <w:color w:val="363838"/>
        </w:rPr>
        <w:t>.  H</w:t>
      </w:r>
      <w:r w:rsidR="00E45A52">
        <w:rPr>
          <w:rFonts w:ascii="Arial" w:hAnsi="Arial" w:cs="Arial"/>
          <w:color w:val="363838"/>
        </w:rPr>
        <w:t>owever, based on the available data the extent of the plume can be projected</w:t>
      </w:r>
      <w:r w:rsidR="00AB5447">
        <w:rPr>
          <w:rFonts w:ascii="Arial" w:hAnsi="Arial" w:cs="Arial"/>
          <w:color w:val="363838"/>
        </w:rPr>
        <w:t xml:space="preserve"> to be less than 1,000 feet in length</w:t>
      </w:r>
      <w:r w:rsidR="00E45A52">
        <w:rPr>
          <w:rFonts w:ascii="Arial" w:hAnsi="Arial" w:cs="Arial"/>
          <w:color w:val="363838"/>
        </w:rPr>
        <w:t xml:space="preserve">; in addition, the data </w:t>
      </w:r>
      <w:r w:rsidR="00F75D5C">
        <w:rPr>
          <w:rFonts w:ascii="Arial" w:hAnsi="Arial" w:cs="Arial"/>
          <w:color w:val="363838"/>
        </w:rPr>
        <w:t>show</w:t>
      </w:r>
      <w:r w:rsidR="00E45A52">
        <w:rPr>
          <w:rFonts w:ascii="Arial" w:hAnsi="Arial" w:cs="Arial"/>
          <w:color w:val="363838"/>
        </w:rPr>
        <w:t xml:space="preserve"> that the </w:t>
      </w:r>
      <w:r w:rsidR="003158B2">
        <w:rPr>
          <w:rFonts w:ascii="Arial" w:hAnsi="Arial" w:cs="Arial"/>
          <w:color w:val="363838"/>
        </w:rPr>
        <w:t xml:space="preserve">groundwater contaminant plume is stable and decreasing in areal extent.  </w:t>
      </w:r>
      <w:r w:rsidR="00245048" w:rsidRPr="00245048">
        <w:rPr>
          <w:rFonts w:ascii="Arial" w:hAnsi="Arial" w:cs="Arial"/>
          <w:color w:val="363838"/>
        </w:rPr>
        <w:t>T</w:t>
      </w:r>
      <w:r w:rsidR="00ED6582" w:rsidRPr="00245048">
        <w:rPr>
          <w:rFonts w:ascii="Arial" w:hAnsi="Arial" w:cs="Arial"/>
          <w:color w:val="363838"/>
        </w:rPr>
        <w:t>he historical highest concentrations</w:t>
      </w:r>
      <w:r w:rsidR="00245048" w:rsidRPr="00245048">
        <w:rPr>
          <w:rFonts w:ascii="Arial" w:hAnsi="Arial" w:cs="Arial"/>
          <w:color w:val="363838"/>
        </w:rPr>
        <w:t xml:space="preserve"> </w:t>
      </w:r>
      <w:r w:rsidR="00F75D5C">
        <w:rPr>
          <w:rFonts w:ascii="Arial" w:hAnsi="Arial" w:cs="Arial"/>
          <w:color w:val="363838"/>
        </w:rPr>
        <w:t>listed</w:t>
      </w:r>
      <w:r w:rsidR="00245048" w:rsidRPr="00245048">
        <w:rPr>
          <w:rFonts w:ascii="Arial" w:hAnsi="Arial" w:cs="Arial"/>
          <w:color w:val="363838"/>
        </w:rPr>
        <w:t xml:space="preserve"> in the table</w:t>
      </w:r>
      <w:r w:rsidR="003158B2">
        <w:rPr>
          <w:rFonts w:ascii="Arial" w:hAnsi="Arial" w:cs="Arial"/>
          <w:color w:val="363838"/>
        </w:rPr>
        <w:t xml:space="preserve"> in the UPRR letter</w:t>
      </w:r>
      <w:r w:rsidR="00245048" w:rsidRPr="00245048">
        <w:rPr>
          <w:rFonts w:ascii="Arial" w:hAnsi="Arial" w:cs="Arial"/>
          <w:color w:val="363838"/>
        </w:rPr>
        <w:t xml:space="preserve">, were reported in 2002 and 2003, </w:t>
      </w:r>
      <w:r w:rsidR="003158B2">
        <w:rPr>
          <w:rFonts w:ascii="Arial" w:hAnsi="Arial" w:cs="Arial"/>
          <w:color w:val="363838"/>
        </w:rPr>
        <w:t xml:space="preserve">over 15 years ago and </w:t>
      </w:r>
      <w:r w:rsidR="00245048">
        <w:rPr>
          <w:rFonts w:ascii="Arial" w:hAnsi="Arial" w:cs="Arial"/>
          <w:color w:val="363838"/>
        </w:rPr>
        <w:t>before remediation was conducted</w:t>
      </w:r>
      <w:r w:rsidR="003158B2">
        <w:rPr>
          <w:rFonts w:ascii="Arial" w:hAnsi="Arial" w:cs="Arial"/>
          <w:color w:val="363838"/>
        </w:rPr>
        <w:t xml:space="preserve">.  They are </w:t>
      </w:r>
      <w:r w:rsidR="00245048" w:rsidRPr="00245048">
        <w:rPr>
          <w:rFonts w:ascii="Arial" w:hAnsi="Arial" w:cs="Arial"/>
          <w:color w:val="363838"/>
        </w:rPr>
        <w:t>no longer representative of current conditions</w:t>
      </w:r>
      <w:r w:rsidR="00E45A52">
        <w:rPr>
          <w:rFonts w:ascii="Arial" w:hAnsi="Arial" w:cs="Arial"/>
          <w:color w:val="363838"/>
        </w:rPr>
        <w:t xml:space="preserve">.  </w:t>
      </w:r>
      <w:r w:rsidR="00F75D5C">
        <w:rPr>
          <w:rFonts w:ascii="Arial" w:hAnsi="Arial" w:cs="Arial"/>
          <w:color w:val="363838"/>
        </w:rPr>
        <w:t>R</w:t>
      </w:r>
      <w:r w:rsidR="007060D5">
        <w:rPr>
          <w:rFonts w:ascii="Arial" w:hAnsi="Arial" w:cs="Arial"/>
          <w:color w:val="363838"/>
        </w:rPr>
        <w:t xml:space="preserve">esults of a </w:t>
      </w:r>
      <w:r w:rsidR="002D6592">
        <w:rPr>
          <w:rFonts w:ascii="Arial" w:hAnsi="Arial" w:cs="Arial"/>
          <w:color w:val="363838"/>
        </w:rPr>
        <w:t xml:space="preserve">groundwater </w:t>
      </w:r>
      <w:r w:rsidR="007060D5">
        <w:rPr>
          <w:rFonts w:ascii="Arial" w:hAnsi="Arial" w:cs="Arial"/>
          <w:color w:val="363838"/>
        </w:rPr>
        <w:t xml:space="preserve">sampling event performed in July 2018, shortly after the UPRR July 3, 2018 letter was written, indicate that the current dissolved concentrations in well MW-11 are </w:t>
      </w:r>
      <w:r w:rsidR="00F1265A">
        <w:rPr>
          <w:rFonts w:ascii="Arial" w:hAnsi="Arial" w:cs="Arial"/>
          <w:color w:val="363838"/>
        </w:rPr>
        <w:t xml:space="preserve">much </w:t>
      </w:r>
      <w:r w:rsidR="007060D5">
        <w:rPr>
          <w:rFonts w:ascii="Arial" w:hAnsi="Arial" w:cs="Arial"/>
          <w:color w:val="363838"/>
        </w:rPr>
        <w:t xml:space="preserve">lower than reported in </w:t>
      </w:r>
      <w:r w:rsidR="00F1265A">
        <w:rPr>
          <w:rFonts w:ascii="Arial" w:hAnsi="Arial" w:cs="Arial"/>
          <w:color w:val="363838"/>
        </w:rPr>
        <w:t>2017</w:t>
      </w:r>
      <w:r w:rsidR="00AB5447">
        <w:rPr>
          <w:rFonts w:ascii="Arial" w:hAnsi="Arial" w:cs="Arial"/>
          <w:color w:val="363838"/>
        </w:rPr>
        <w:t xml:space="preserve">, as </w:t>
      </w:r>
      <w:r w:rsidR="002D6592">
        <w:rPr>
          <w:rFonts w:ascii="Arial" w:hAnsi="Arial" w:cs="Arial"/>
          <w:color w:val="363838"/>
        </w:rPr>
        <w:t>shown</w:t>
      </w:r>
      <w:r w:rsidR="00AB5447">
        <w:rPr>
          <w:rFonts w:ascii="Arial" w:hAnsi="Arial" w:cs="Arial"/>
          <w:color w:val="363838"/>
        </w:rPr>
        <w:t xml:space="preserve"> by comparing the January 2017 and July 2018 groundwater sampling results presented in the table above</w:t>
      </w:r>
      <w:r w:rsidR="00F1265A">
        <w:rPr>
          <w:rFonts w:ascii="Arial" w:hAnsi="Arial" w:cs="Arial"/>
          <w:color w:val="363838"/>
        </w:rPr>
        <w:t>.</w:t>
      </w:r>
      <w:r w:rsidR="00E45A52">
        <w:rPr>
          <w:rFonts w:ascii="Arial" w:hAnsi="Arial" w:cs="Arial"/>
          <w:color w:val="363838"/>
        </w:rPr>
        <w:t xml:space="preserve"> </w:t>
      </w:r>
    </w:p>
    <w:p w14:paraId="6625DE33" w14:textId="77777777" w:rsidR="00F75D5C" w:rsidRDefault="00F75D5C" w:rsidP="00F75D5C">
      <w:pPr>
        <w:pStyle w:val="BodyText"/>
        <w:rPr>
          <w:rFonts w:eastAsiaTheme="minorHAnsi"/>
          <w:i/>
          <w:color w:val="363838"/>
          <w:sz w:val="22"/>
          <w:szCs w:val="22"/>
        </w:rPr>
      </w:pPr>
    </w:p>
    <w:p w14:paraId="55CA4389" w14:textId="217C92EF" w:rsidR="00E45A52" w:rsidRDefault="00E45A52" w:rsidP="00F75D5C">
      <w:pPr>
        <w:pStyle w:val="BodyText"/>
        <w:rPr>
          <w:rFonts w:eastAsiaTheme="minorHAnsi"/>
          <w:i/>
          <w:color w:val="363838"/>
          <w:sz w:val="22"/>
          <w:szCs w:val="22"/>
        </w:rPr>
      </w:pPr>
      <w:r>
        <w:rPr>
          <w:rFonts w:eastAsiaTheme="minorHAnsi"/>
          <w:i/>
          <w:color w:val="363838"/>
          <w:sz w:val="22"/>
          <w:szCs w:val="22"/>
        </w:rPr>
        <w:t xml:space="preserve">We do not object to closure of the Site without further delineation </w:t>
      </w:r>
      <w:proofErr w:type="gramStart"/>
      <w:r>
        <w:rPr>
          <w:rFonts w:eastAsiaTheme="minorHAnsi"/>
          <w:i/>
          <w:color w:val="363838"/>
          <w:sz w:val="22"/>
          <w:szCs w:val="22"/>
        </w:rPr>
        <w:t>as long as</w:t>
      </w:r>
      <w:proofErr w:type="gramEnd"/>
      <w:r>
        <w:rPr>
          <w:rFonts w:eastAsiaTheme="minorHAnsi"/>
          <w:i/>
          <w:color w:val="363838"/>
          <w:sz w:val="22"/>
          <w:szCs w:val="22"/>
        </w:rPr>
        <w:t xml:space="preserve"> the </w:t>
      </w:r>
      <w:r w:rsidR="00DF270A">
        <w:rPr>
          <w:rFonts w:eastAsiaTheme="minorHAnsi"/>
          <w:i/>
          <w:color w:val="363838"/>
          <w:sz w:val="22"/>
          <w:szCs w:val="22"/>
        </w:rPr>
        <w:t>State Board</w:t>
      </w:r>
      <w:r>
        <w:rPr>
          <w:rFonts w:eastAsiaTheme="minorHAnsi"/>
          <w:i/>
          <w:color w:val="363838"/>
          <w:sz w:val="22"/>
          <w:szCs w:val="22"/>
        </w:rPr>
        <w:t xml:space="preserve"> will not require any deed restriction be applied to Union Pacific Railroad property.  We request confirmation that land use will be unrestricted.</w:t>
      </w:r>
    </w:p>
    <w:p w14:paraId="4B8DC605" w14:textId="77777777" w:rsidR="00245833" w:rsidRPr="00245833" w:rsidRDefault="00245833" w:rsidP="00F75D5C">
      <w:pPr>
        <w:pStyle w:val="BodyText"/>
        <w:rPr>
          <w:rFonts w:eastAsiaTheme="minorHAnsi"/>
          <w:i/>
          <w:color w:val="363838"/>
          <w:sz w:val="22"/>
          <w:szCs w:val="22"/>
        </w:rPr>
      </w:pPr>
    </w:p>
    <w:p w14:paraId="18F29332" w14:textId="02530792" w:rsidR="00EA1C44" w:rsidRDefault="00E45A52" w:rsidP="00F75D5C">
      <w:pPr>
        <w:autoSpaceDE w:val="0"/>
        <w:autoSpaceDN w:val="0"/>
        <w:adjustRightInd w:val="0"/>
        <w:spacing w:after="0" w:line="240" w:lineRule="auto"/>
        <w:rPr>
          <w:rFonts w:ascii="Arial" w:hAnsi="Arial" w:cs="Arial"/>
        </w:rPr>
      </w:pPr>
      <w:r w:rsidRPr="00E45A52">
        <w:rPr>
          <w:rFonts w:ascii="Arial" w:hAnsi="Arial" w:cs="Arial"/>
          <w:u w:val="single"/>
        </w:rPr>
        <w:t>Response:</w:t>
      </w:r>
      <w:r>
        <w:rPr>
          <w:rFonts w:ascii="Arial" w:hAnsi="Arial" w:cs="Arial"/>
        </w:rPr>
        <w:t xml:space="preserve"> </w:t>
      </w:r>
      <w:r w:rsidR="00450110">
        <w:rPr>
          <w:rFonts w:ascii="Arial" w:hAnsi="Arial" w:cs="Arial"/>
        </w:rPr>
        <w:t>Fund</w:t>
      </w:r>
      <w:r w:rsidR="005E1773" w:rsidRPr="00345DFB">
        <w:rPr>
          <w:rFonts w:ascii="Arial" w:hAnsi="Arial" w:cs="Arial"/>
        </w:rPr>
        <w:t xml:space="preserve"> staff have determined that the Site meets all the General </w:t>
      </w:r>
      <w:r w:rsidR="00EA1C44">
        <w:rPr>
          <w:rFonts w:ascii="Arial" w:hAnsi="Arial" w:cs="Arial"/>
        </w:rPr>
        <w:t xml:space="preserve">and media-Specific </w:t>
      </w:r>
      <w:r w:rsidR="005E1773" w:rsidRPr="00345DFB">
        <w:rPr>
          <w:rFonts w:ascii="Arial" w:hAnsi="Arial" w:cs="Arial"/>
        </w:rPr>
        <w:t>Criteria for closure under the Policy</w:t>
      </w:r>
      <w:r w:rsidR="00EA1C44">
        <w:rPr>
          <w:rFonts w:ascii="Arial" w:hAnsi="Arial" w:cs="Arial"/>
        </w:rPr>
        <w:t xml:space="preserve"> and have recommended the case be closed.  </w:t>
      </w:r>
      <w:r w:rsidR="006C1A88">
        <w:rPr>
          <w:rFonts w:ascii="Arial" w:hAnsi="Arial" w:cs="Arial"/>
        </w:rPr>
        <w:t>Under t</w:t>
      </w:r>
      <w:r w:rsidR="00EA1C44">
        <w:rPr>
          <w:rFonts w:ascii="Arial" w:hAnsi="Arial" w:cs="Arial"/>
        </w:rPr>
        <w:t>he Policy</w:t>
      </w:r>
      <w:r w:rsidR="006C1A88">
        <w:rPr>
          <w:rFonts w:ascii="Arial" w:hAnsi="Arial" w:cs="Arial"/>
        </w:rPr>
        <w:t xml:space="preserve">, </w:t>
      </w:r>
      <w:r w:rsidR="00EA1C44">
        <w:rPr>
          <w:rFonts w:ascii="Arial" w:hAnsi="Arial" w:cs="Arial"/>
        </w:rPr>
        <w:t>land use restriction</w:t>
      </w:r>
      <w:r w:rsidR="006C1A88">
        <w:rPr>
          <w:rFonts w:ascii="Arial" w:hAnsi="Arial" w:cs="Arial"/>
        </w:rPr>
        <w:t xml:space="preserve">s are used </w:t>
      </w:r>
      <w:r w:rsidR="007E0768">
        <w:rPr>
          <w:rFonts w:ascii="Arial" w:hAnsi="Arial" w:cs="Arial"/>
        </w:rPr>
        <w:t xml:space="preserve">only under limited conditions and </w:t>
      </w:r>
      <w:r w:rsidR="006C1A88">
        <w:rPr>
          <w:rFonts w:ascii="Arial" w:hAnsi="Arial" w:cs="Arial"/>
        </w:rPr>
        <w:t xml:space="preserve">if </w:t>
      </w:r>
      <w:r w:rsidR="00EA1C44">
        <w:rPr>
          <w:rFonts w:ascii="Arial" w:hAnsi="Arial" w:cs="Arial"/>
        </w:rPr>
        <w:t xml:space="preserve">required by the regulatory agency as a condition of closure.  </w:t>
      </w:r>
      <w:r w:rsidR="006C1A88">
        <w:rPr>
          <w:rFonts w:ascii="Arial" w:hAnsi="Arial" w:cs="Arial"/>
        </w:rPr>
        <w:t>S</w:t>
      </w:r>
      <w:r w:rsidR="007E0768">
        <w:rPr>
          <w:rFonts w:ascii="Arial" w:hAnsi="Arial" w:cs="Arial"/>
        </w:rPr>
        <w:t>CEMD</w:t>
      </w:r>
      <w:r w:rsidR="006C1A88">
        <w:rPr>
          <w:rFonts w:ascii="Arial" w:hAnsi="Arial" w:cs="Arial"/>
        </w:rPr>
        <w:t xml:space="preserve"> has requested that the </w:t>
      </w:r>
      <w:r w:rsidR="00DF270A">
        <w:rPr>
          <w:rFonts w:ascii="Arial" w:hAnsi="Arial" w:cs="Arial"/>
        </w:rPr>
        <w:t>State Board</w:t>
      </w:r>
      <w:r w:rsidR="006C1A88">
        <w:rPr>
          <w:rFonts w:ascii="Arial" w:hAnsi="Arial" w:cs="Arial"/>
        </w:rPr>
        <w:t xml:space="preserve"> act as the regulatory agency in the decision to close the case.  The </w:t>
      </w:r>
      <w:r w:rsidR="00DF270A">
        <w:rPr>
          <w:rFonts w:ascii="Arial" w:hAnsi="Arial" w:cs="Arial"/>
        </w:rPr>
        <w:t>State Board</w:t>
      </w:r>
      <w:r w:rsidR="006C1A88">
        <w:rPr>
          <w:rFonts w:ascii="Arial" w:hAnsi="Arial" w:cs="Arial"/>
        </w:rPr>
        <w:t xml:space="preserve"> does not require a land use restriction for this case.  Land use of the Site and the UPRR ROW will </w:t>
      </w:r>
      <w:r w:rsidR="000325C6">
        <w:rPr>
          <w:rFonts w:ascii="Arial" w:hAnsi="Arial" w:cs="Arial"/>
        </w:rPr>
        <w:t xml:space="preserve">not be restricted as a </w:t>
      </w:r>
      <w:r w:rsidR="002D6606">
        <w:rPr>
          <w:rFonts w:ascii="Arial" w:hAnsi="Arial" w:cs="Arial"/>
        </w:rPr>
        <w:t xml:space="preserve">condition or </w:t>
      </w:r>
      <w:r w:rsidR="000325C6">
        <w:rPr>
          <w:rFonts w:ascii="Arial" w:hAnsi="Arial" w:cs="Arial"/>
        </w:rPr>
        <w:t>result of the closure of the case.</w:t>
      </w:r>
    </w:p>
    <w:p w14:paraId="2D05B5CA" w14:textId="77777777" w:rsidR="00E45A52" w:rsidRDefault="00E45A52" w:rsidP="00F75D5C">
      <w:pPr>
        <w:autoSpaceDE w:val="0"/>
        <w:autoSpaceDN w:val="0"/>
        <w:adjustRightInd w:val="0"/>
        <w:spacing w:after="0" w:line="240" w:lineRule="auto"/>
        <w:rPr>
          <w:rFonts w:ascii="Arial" w:hAnsi="Arial" w:cs="Arial"/>
        </w:rPr>
      </w:pPr>
    </w:p>
    <w:p w14:paraId="4F1BCAF1" w14:textId="7ECFC9A3" w:rsidR="00345DFB" w:rsidRPr="00245833" w:rsidRDefault="00E45A52" w:rsidP="00F75D5C">
      <w:pPr>
        <w:autoSpaceDE w:val="0"/>
        <w:autoSpaceDN w:val="0"/>
        <w:adjustRightInd w:val="0"/>
        <w:spacing w:after="0" w:line="240" w:lineRule="auto"/>
        <w:rPr>
          <w:rFonts w:ascii="Arial" w:hAnsi="Arial" w:cs="Arial"/>
          <w:i/>
        </w:rPr>
      </w:pPr>
      <w:proofErr w:type="spellStart"/>
      <w:r w:rsidRPr="00E45A52">
        <w:rPr>
          <w:rFonts w:ascii="Arial" w:hAnsi="Arial" w:cs="Arial"/>
          <w:i/>
        </w:rPr>
        <w:t>Lovotti</w:t>
      </w:r>
      <w:proofErr w:type="spellEnd"/>
      <w:r w:rsidRPr="00E45A52">
        <w:rPr>
          <w:rFonts w:ascii="Arial" w:hAnsi="Arial" w:cs="Arial"/>
          <w:i/>
        </w:rPr>
        <w:t xml:space="preserve"> will need to apply for an </w:t>
      </w:r>
      <w:r w:rsidR="007E0768" w:rsidRPr="007E0768">
        <w:rPr>
          <w:rFonts w:ascii="Arial" w:hAnsi="Arial" w:cs="Arial"/>
        </w:rPr>
        <w:t>[Environmental Right of Entry]</w:t>
      </w:r>
      <w:r w:rsidR="007E0768">
        <w:rPr>
          <w:rFonts w:ascii="Arial" w:hAnsi="Arial" w:cs="Arial"/>
          <w:i/>
        </w:rPr>
        <w:t xml:space="preserve"> (E</w:t>
      </w:r>
      <w:r w:rsidRPr="00E45A52">
        <w:rPr>
          <w:rFonts w:ascii="Arial" w:hAnsi="Arial" w:cs="Arial"/>
          <w:i/>
        </w:rPr>
        <w:t>ROE</w:t>
      </w:r>
      <w:r w:rsidR="007E0768">
        <w:rPr>
          <w:rFonts w:ascii="Arial" w:hAnsi="Arial" w:cs="Arial"/>
          <w:i/>
        </w:rPr>
        <w:t>)</w:t>
      </w:r>
      <w:r w:rsidRPr="00E45A52">
        <w:rPr>
          <w:rFonts w:ascii="Arial" w:hAnsi="Arial" w:cs="Arial"/>
          <w:i/>
        </w:rPr>
        <w:t xml:space="preserve"> access agreement to return to UPRR’s property to properly abandon wells MW-11, MW-12, AS-5 and AS-6</w:t>
      </w:r>
      <w:r w:rsidR="000F04F2">
        <w:rPr>
          <w:rFonts w:ascii="Arial" w:hAnsi="Arial" w:cs="Arial"/>
          <w:i/>
        </w:rPr>
        <w:t>.</w:t>
      </w:r>
      <w:r w:rsidR="00797B61" w:rsidRPr="00245833">
        <w:rPr>
          <w:rFonts w:ascii="Arial" w:hAnsi="Arial" w:cs="Arial"/>
          <w:i/>
          <w:noProof/>
        </w:rPr>
        <mc:AlternateContent>
          <mc:Choice Requires="wps">
            <w:drawing>
              <wp:anchor distT="0" distB="0" distL="114300" distR="114300" simplePos="0" relativeHeight="251687936" behindDoc="0" locked="0" layoutInCell="1" allowOverlap="1" wp14:anchorId="7C97D76F" wp14:editId="6830B176">
                <wp:simplePos x="0" y="0"/>
                <wp:positionH relativeFrom="page">
                  <wp:posOffset>7672070</wp:posOffset>
                </wp:positionH>
                <wp:positionV relativeFrom="paragraph">
                  <wp:posOffset>2618740</wp:posOffset>
                </wp:positionV>
                <wp:extent cx="0" cy="0"/>
                <wp:effectExtent l="13970" t="2517140" r="14605" b="25209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065">
                          <a:solidFill>
                            <a:srgbClr val="CFCFC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CC586" id="Straight Connector 23"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4.1pt,206.2pt" to="604.1pt,2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" strokecolor="#cfcfcf" strokeweight=".50181mm">
                <w10:wrap anchorx="page"/>
              </v:line>
            </w:pict>
          </mc:Fallback>
        </mc:AlternateContent>
      </w:r>
      <w:r w:rsidR="002D6592">
        <w:rPr>
          <w:rFonts w:ascii="Arial" w:hAnsi="Arial" w:cs="Arial"/>
          <w:i/>
        </w:rPr>
        <w:t xml:space="preserve"> </w:t>
      </w:r>
      <w:r w:rsidR="00797B61" w:rsidRPr="00245833">
        <w:rPr>
          <w:rFonts w:ascii="Arial" w:hAnsi="Arial" w:cs="Arial"/>
          <w:i/>
          <w:color w:val="363638"/>
        </w:rPr>
        <w:t>Note that while the history of communications documented in Geo</w:t>
      </w:r>
      <w:r w:rsidR="000B63E3">
        <w:rPr>
          <w:rFonts w:ascii="Arial" w:hAnsi="Arial" w:cs="Arial"/>
          <w:i/>
          <w:color w:val="363638"/>
        </w:rPr>
        <w:t>T</w:t>
      </w:r>
      <w:r w:rsidR="00797B61" w:rsidRPr="00245833">
        <w:rPr>
          <w:rFonts w:ascii="Arial" w:hAnsi="Arial" w:cs="Arial"/>
          <w:i/>
          <w:color w:val="363638"/>
        </w:rPr>
        <w:t xml:space="preserve">racker for the Site suggest that UPRR's access requirements are onerous this determination seems to have been made in absence of any communications or negotiations with UPRR directly. While UPRR cannot compromise the safety requirements to ensure no injuries to ROW entrants, UPRR may be </w:t>
      </w:r>
      <w:r w:rsidR="00797B61" w:rsidRPr="00245833">
        <w:rPr>
          <w:rFonts w:ascii="Arial" w:hAnsi="Arial" w:cs="Arial"/>
          <w:i/>
          <w:color w:val="363638"/>
        </w:rPr>
        <w:lastRenderedPageBreak/>
        <w:t>willing to waive certain access fees to facilitate proper destruction of the monitoring wells that were installed on UPRR ROW</w:t>
      </w:r>
      <w:r w:rsidR="00797B61" w:rsidRPr="00245833">
        <w:rPr>
          <w:rFonts w:ascii="Arial" w:hAnsi="Arial" w:cs="Arial"/>
          <w:i/>
          <w:color w:val="18181A"/>
        </w:rPr>
        <w:t>.</w:t>
      </w:r>
    </w:p>
    <w:p w14:paraId="7845611B" w14:textId="77777777" w:rsidR="00345DFB" w:rsidRDefault="00345DFB" w:rsidP="00F75D5C">
      <w:pPr>
        <w:autoSpaceDE w:val="0"/>
        <w:autoSpaceDN w:val="0"/>
        <w:adjustRightInd w:val="0"/>
        <w:spacing w:after="0" w:line="240" w:lineRule="auto"/>
        <w:rPr>
          <w:rFonts w:ascii="Arial" w:hAnsi="Arial" w:cs="Arial"/>
          <w:i/>
        </w:rPr>
      </w:pPr>
    </w:p>
    <w:p w14:paraId="18AB35AF" w14:textId="7FEF7B05" w:rsidR="00F53219" w:rsidRDefault="003A5213" w:rsidP="00F75D5C">
      <w:pPr>
        <w:widowControl w:val="0"/>
        <w:tabs>
          <w:tab w:val="left" w:pos="360"/>
        </w:tabs>
        <w:autoSpaceDE w:val="0"/>
        <w:autoSpaceDN w:val="0"/>
        <w:adjustRightInd w:val="0"/>
        <w:spacing w:after="0" w:line="240" w:lineRule="auto"/>
        <w:ind w:right="106"/>
        <w:rPr>
          <w:rFonts w:ascii="Arial" w:hAnsi="Arial" w:cs="Arial"/>
        </w:rPr>
      </w:pPr>
      <w:r w:rsidRPr="003A5213">
        <w:rPr>
          <w:rFonts w:ascii="Arial" w:hAnsi="Arial" w:cs="Arial"/>
          <w:u w:val="single"/>
        </w:rPr>
        <w:t>Response:</w:t>
      </w:r>
      <w:r>
        <w:rPr>
          <w:rFonts w:ascii="Arial" w:hAnsi="Arial" w:cs="Arial"/>
        </w:rPr>
        <w:t xml:space="preserve">  </w:t>
      </w:r>
      <w:r w:rsidR="00AB5447">
        <w:rPr>
          <w:rFonts w:ascii="Arial" w:hAnsi="Arial" w:cs="Arial"/>
        </w:rPr>
        <w:t>Subsequent to receipt of the July 3, 201</w:t>
      </w:r>
      <w:r w:rsidR="004967EA">
        <w:rPr>
          <w:rFonts w:ascii="Arial" w:hAnsi="Arial" w:cs="Arial"/>
        </w:rPr>
        <w:t>8</w:t>
      </w:r>
      <w:r w:rsidR="00AB5447">
        <w:rPr>
          <w:rFonts w:ascii="Arial" w:hAnsi="Arial" w:cs="Arial"/>
        </w:rPr>
        <w:t xml:space="preserve"> comment letter from UPRR, the locations of </w:t>
      </w:r>
      <w:r>
        <w:rPr>
          <w:rFonts w:ascii="Arial" w:hAnsi="Arial" w:cs="Arial"/>
        </w:rPr>
        <w:t xml:space="preserve">monitoring </w:t>
      </w:r>
      <w:r w:rsidR="00855B26" w:rsidRPr="00CC1C65">
        <w:rPr>
          <w:rFonts w:ascii="Arial" w:hAnsi="Arial" w:cs="Arial"/>
        </w:rPr>
        <w:t>wells MW-11, MW-12</w:t>
      </w:r>
      <w:r w:rsidR="006A11A2" w:rsidRPr="00CC1C65">
        <w:rPr>
          <w:rFonts w:ascii="Arial" w:hAnsi="Arial" w:cs="Arial"/>
        </w:rPr>
        <w:t xml:space="preserve">, </w:t>
      </w:r>
      <w:r>
        <w:rPr>
          <w:rFonts w:ascii="Arial" w:hAnsi="Arial" w:cs="Arial"/>
        </w:rPr>
        <w:t xml:space="preserve">air sparge </w:t>
      </w:r>
      <w:r w:rsidR="006A11A2" w:rsidRPr="00CC1C65">
        <w:rPr>
          <w:rFonts w:ascii="Arial" w:hAnsi="Arial" w:cs="Arial"/>
        </w:rPr>
        <w:t>wells</w:t>
      </w:r>
      <w:r w:rsidR="00855B26" w:rsidRPr="00CC1C65">
        <w:rPr>
          <w:rFonts w:ascii="Arial" w:hAnsi="Arial" w:cs="Arial"/>
        </w:rPr>
        <w:t xml:space="preserve"> AS-5 and AS-6</w:t>
      </w:r>
      <w:r w:rsidR="00AB5447">
        <w:rPr>
          <w:rFonts w:ascii="Arial" w:hAnsi="Arial" w:cs="Arial"/>
        </w:rPr>
        <w:t xml:space="preserve"> and the Mell’s Cargo property line were resurveyed</w:t>
      </w:r>
      <w:r w:rsidR="00C173E9">
        <w:rPr>
          <w:rFonts w:ascii="Arial" w:hAnsi="Arial" w:cs="Arial"/>
        </w:rPr>
        <w:t xml:space="preserve">.  The results of the survey showed that the wells </w:t>
      </w:r>
      <w:r w:rsidR="00D855ED">
        <w:rPr>
          <w:rFonts w:ascii="Arial" w:hAnsi="Arial" w:cs="Arial"/>
        </w:rPr>
        <w:t>are</w:t>
      </w:r>
      <w:bookmarkStart w:id="2" w:name="_GoBack"/>
      <w:bookmarkEnd w:id="2"/>
      <w:r w:rsidR="00C173E9">
        <w:rPr>
          <w:rFonts w:ascii="Arial" w:hAnsi="Arial" w:cs="Arial"/>
        </w:rPr>
        <w:t xml:space="preserve"> </w:t>
      </w:r>
      <w:r w:rsidR="002D6592">
        <w:rPr>
          <w:rFonts w:ascii="Arial" w:hAnsi="Arial" w:cs="Arial"/>
        </w:rPr>
        <w:t xml:space="preserve">on Mell’s Cargo property and </w:t>
      </w:r>
      <w:r w:rsidR="00C173E9">
        <w:rPr>
          <w:rFonts w:ascii="Arial" w:hAnsi="Arial" w:cs="Arial"/>
        </w:rPr>
        <w:t>not on the UPRR ROW</w:t>
      </w:r>
      <w:r w:rsidR="002D6592">
        <w:rPr>
          <w:rFonts w:ascii="Arial" w:hAnsi="Arial" w:cs="Arial"/>
        </w:rPr>
        <w:t>.  The results of the survey</w:t>
      </w:r>
      <w:r w:rsidR="00C173E9">
        <w:rPr>
          <w:rFonts w:ascii="Arial" w:hAnsi="Arial" w:cs="Arial"/>
        </w:rPr>
        <w:t xml:space="preserve"> were shared with UPRR by email on September 25, 2018.  In </w:t>
      </w:r>
      <w:r w:rsidR="002D6592">
        <w:rPr>
          <w:rFonts w:ascii="Arial" w:hAnsi="Arial" w:cs="Arial"/>
        </w:rPr>
        <w:t xml:space="preserve">an email </w:t>
      </w:r>
      <w:r w:rsidR="00C173E9">
        <w:rPr>
          <w:rFonts w:ascii="Arial" w:hAnsi="Arial" w:cs="Arial"/>
        </w:rPr>
        <w:t xml:space="preserve">response </w:t>
      </w:r>
      <w:r w:rsidR="002D6592">
        <w:rPr>
          <w:rFonts w:ascii="Arial" w:hAnsi="Arial" w:cs="Arial"/>
        </w:rPr>
        <w:t xml:space="preserve">on September 25, 2018, </w:t>
      </w:r>
      <w:r w:rsidR="00C173E9">
        <w:rPr>
          <w:rFonts w:ascii="Arial" w:hAnsi="Arial" w:cs="Arial"/>
        </w:rPr>
        <w:t xml:space="preserve">UPRR stated they no longer had any concern about wells MW-11, MW-12, AS-5 and AS-6, and had no objections to the </w:t>
      </w:r>
      <w:r w:rsidR="002D6592">
        <w:rPr>
          <w:rFonts w:ascii="Arial" w:hAnsi="Arial" w:cs="Arial"/>
        </w:rPr>
        <w:t xml:space="preserve">case </w:t>
      </w:r>
      <w:r w:rsidR="00C173E9">
        <w:rPr>
          <w:rFonts w:ascii="Arial" w:hAnsi="Arial" w:cs="Arial"/>
        </w:rPr>
        <w:t>closure</w:t>
      </w:r>
      <w:r w:rsidR="002D6592">
        <w:rPr>
          <w:rFonts w:ascii="Arial" w:hAnsi="Arial" w:cs="Arial"/>
        </w:rPr>
        <w:t>.</w:t>
      </w:r>
      <w:r w:rsidR="000F04F2">
        <w:rPr>
          <w:rFonts w:ascii="Arial" w:hAnsi="Arial" w:cs="Arial"/>
        </w:rPr>
        <w:t xml:space="preserve"> </w:t>
      </w:r>
    </w:p>
    <w:sectPr w:rsidR="00F53219" w:rsidSect="00F75D5C">
      <w:headerReference w:type="default" r:id="rId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3E04C" w14:textId="77777777" w:rsidR="00EA22B9" w:rsidRDefault="00EA22B9" w:rsidP="00B6198B">
      <w:pPr>
        <w:spacing w:after="0" w:line="240" w:lineRule="auto"/>
      </w:pPr>
      <w:r>
        <w:separator/>
      </w:r>
    </w:p>
  </w:endnote>
  <w:endnote w:type="continuationSeparator" w:id="0">
    <w:p w14:paraId="2B691030" w14:textId="77777777" w:rsidR="00EA22B9" w:rsidRDefault="00EA22B9" w:rsidP="00B61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572700"/>
      <w:docPartObj>
        <w:docPartGallery w:val="Page Numbers (Bottom of Page)"/>
        <w:docPartUnique/>
      </w:docPartObj>
    </w:sdtPr>
    <w:sdtEndPr/>
    <w:sdtContent>
      <w:sdt>
        <w:sdtPr>
          <w:id w:val="-1705238520"/>
          <w:docPartObj>
            <w:docPartGallery w:val="Page Numbers (Top of Page)"/>
            <w:docPartUnique/>
          </w:docPartObj>
        </w:sdtPr>
        <w:sdtEndPr/>
        <w:sdtContent>
          <w:p w14:paraId="2DEF1041" w14:textId="0D75FCE5" w:rsidR="00D227AF" w:rsidRDefault="00D67CFB" w:rsidP="00D67CFB">
            <w:pPr>
              <w:pStyle w:val="Footer"/>
              <w:jc w:val="center"/>
              <w:rPr>
                <w:bCs/>
                <w:sz w:val="24"/>
                <w:szCs w:val="24"/>
              </w:rPr>
            </w:pPr>
            <w:r w:rsidRPr="00D67CFB">
              <w:t xml:space="preserve">Page </w:t>
            </w:r>
            <w:r w:rsidRPr="00D67CFB">
              <w:rPr>
                <w:bCs/>
                <w:sz w:val="24"/>
                <w:szCs w:val="24"/>
              </w:rPr>
              <w:fldChar w:fldCharType="begin"/>
            </w:r>
            <w:r w:rsidRPr="00D67CFB">
              <w:rPr>
                <w:bCs/>
              </w:rPr>
              <w:instrText xml:space="preserve"> PAGE </w:instrText>
            </w:r>
            <w:r w:rsidRPr="00D67CFB">
              <w:rPr>
                <w:bCs/>
                <w:sz w:val="24"/>
                <w:szCs w:val="24"/>
              </w:rPr>
              <w:fldChar w:fldCharType="separate"/>
            </w:r>
            <w:r w:rsidR="00F1265A">
              <w:rPr>
                <w:bCs/>
                <w:noProof/>
              </w:rPr>
              <w:t>2</w:t>
            </w:r>
            <w:r w:rsidRPr="00D67CFB">
              <w:rPr>
                <w:bCs/>
                <w:sz w:val="24"/>
                <w:szCs w:val="24"/>
              </w:rPr>
              <w:fldChar w:fldCharType="end"/>
            </w:r>
            <w:r w:rsidRPr="00D67CFB">
              <w:t xml:space="preserve"> of </w:t>
            </w:r>
            <w:r w:rsidRPr="00D67CFB">
              <w:rPr>
                <w:bCs/>
                <w:sz w:val="24"/>
                <w:szCs w:val="24"/>
              </w:rPr>
              <w:fldChar w:fldCharType="begin"/>
            </w:r>
            <w:r w:rsidRPr="00D67CFB">
              <w:rPr>
                <w:bCs/>
              </w:rPr>
              <w:instrText xml:space="preserve"> NUMPAGES  </w:instrText>
            </w:r>
            <w:r w:rsidRPr="00D67CFB">
              <w:rPr>
                <w:bCs/>
                <w:sz w:val="24"/>
                <w:szCs w:val="24"/>
              </w:rPr>
              <w:fldChar w:fldCharType="separate"/>
            </w:r>
            <w:r w:rsidR="00F1265A">
              <w:rPr>
                <w:bCs/>
                <w:noProof/>
              </w:rPr>
              <w:t>3</w:t>
            </w:r>
            <w:r w:rsidRPr="00D67CFB">
              <w:rPr>
                <w:bCs/>
                <w:sz w:val="24"/>
                <w:szCs w:val="24"/>
              </w:rPr>
              <w:fldChar w:fldCharType="end"/>
            </w:r>
          </w:p>
          <w:p w14:paraId="474F577E" w14:textId="77777777" w:rsidR="00D67CFB" w:rsidRPr="00D67CFB" w:rsidRDefault="00D855ED" w:rsidP="00D67CFB">
            <w:pPr>
              <w:pStyle w:val="Footer"/>
              <w:jc w:val="center"/>
            </w:pPr>
          </w:p>
        </w:sdtContent>
      </w:sdt>
    </w:sdtContent>
  </w:sdt>
  <w:p w14:paraId="49DC5A5C" w14:textId="77777777" w:rsidR="00F75D5C" w:rsidRDefault="00F75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20F2E" w14:textId="77777777" w:rsidR="00EA22B9" w:rsidRDefault="00EA22B9" w:rsidP="00B6198B">
      <w:pPr>
        <w:spacing w:after="0" w:line="240" w:lineRule="auto"/>
      </w:pPr>
      <w:r>
        <w:separator/>
      </w:r>
    </w:p>
  </w:footnote>
  <w:footnote w:type="continuationSeparator" w:id="0">
    <w:p w14:paraId="7837BCCA" w14:textId="77777777" w:rsidR="00EA22B9" w:rsidRDefault="00EA22B9" w:rsidP="00B61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66837" w14:textId="77777777" w:rsidR="00F75D5C" w:rsidRPr="00B6198B" w:rsidRDefault="00F75D5C" w:rsidP="00F75D5C">
    <w:pPr>
      <w:pStyle w:val="Header"/>
      <w:rPr>
        <w:rFonts w:ascii="Arial" w:hAnsi="Arial" w:cs="Arial"/>
      </w:rPr>
    </w:pPr>
    <w:r w:rsidRPr="00B6198B">
      <w:rPr>
        <w:rFonts w:ascii="Arial" w:hAnsi="Arial" w:cs="Arial"/>
      </w:rPr>
      <w:t xml:space="preserve">Response to Public Comments – </w:t>
    </w:r>
    <w:r>
      <w:rPr>
        <w:rFonts w:ascii="Arial" w:hAnsi="Arial" w:cs="Arial"/>
      </w:rPr>
      <w:t>UPRR</w:t>
    </w:r>
  </w:p>
  <w:p w14:paraId="0678CBBE" w14:textId="77777777" w:rsidR="00F75D5C" w:rsidRDefault="00F75D5C" w:rsidP="00F75D5C">
    <w:pPr>
      <w:pStyle w:val="Header"/>
      <w:rPr>
        <w:rFonts w:ascii="Arial" w:hAnsi="Arial" w:cs="Arial"/>
      </w:rPr>
    </w:pPr>
    <w:r>
      <w:rPr>
        <w:rFonts w:ascii="Arial" w:hAnsi="Arial" w:cs="Arial"/>
      </w:rPr>
      <w:t>Mell’s Cargo Supply</w:t>
    </w:r>
    <w:r w:rsidRPr="00B6198B">
      <w:rPr>
        <w:rFonts w:ascii="Arial" w:hAnsi="Arial" w:cs="Arial"/>
      </w:rPr>
      <w:t xml:space="preserve">, </w:t>
    </w:r>
    <w:r>
      <w:rPr>
        <w:rFonts w:ascii="Arial" w:hAnsi="Arial" w:cs="Arial"/>
      </w:rPr>
      <w:t>Sacramento</w:t>
    </w:r>
    <w:r w:rsidRPr="00B6198B">
      <w:rPr>
        <w:rFonts w:ascii="Arial" w:hAnsi="Arial" w:cs="Arial"/>
      </w:rPr>
      <w:t>, CA</w:t>
    </w:r>
  </w:p>
  <w:p w14:paraId="632CEF9E" w14:textId="77777777" w:rsidR="00F75D5C" w:rsidRDefault="00F75D5C" w:rsidP="00F75D5C">
    <w:pPr>
      <w:pStyle w:val="Header"/>
    </w:pPr>
    <w:r>
      <w:rPr>
        <w:rFonts w:ascii="Arial" w:hAnsi="Arial" w:cs="Arial"/>
      </w:rPr>
      <w:t>USTCF Claim 12528</w:t>
    </w:r>
  </w:p>
  <w:p w14:paraId="4DF1780F" w14:textId="77777777" w:rsidR="00F75D5C" w:rsidRDefault="00F75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95"/>
    <w:multiLevelType w:val="hybridMultilevel"/>
    <w:tmpl w:val="BFE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FD3"/>
    <w:multiLevelType w:val="hybridMultilevel"/>
    <w:tmpl w:val="1C3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38D"/>
    <w:multiLevelType w:val="hybridMultilevel"/>
    <w:tmpl w:val="480A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94CF4"/>
    <w:multiLevelType w:val="hybridMultilevel"/>
    <w:tmpl w:val="D7D6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F4C99"/>
    <w:multiLevelType w:val="hybridMultilevel"/>
    <w:tmpl w:val="930E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E4264"/>
    <w:multiLevelType w:val="hybridMultilevel"/>
    <w:tmpl w:val="8572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6476B"/>
    <w:multiLevelType w:val="hybridMultilevel"/>
    <w:tmpl w:val="4B94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76D3A"/>
    <w:multiLevelType w:val="hybridMultilevel"/>
    <w:tmpl w:val="582C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55C6B"/>
    <w:multiLevelType w:val="hybridMultilevel"/>
    <w:tmpl w:val="78C0CBE8"/>
    <w:lvl w:ilvl="0" w:tplc="419086B6">
      <w:start w:val="1"/>
      <w:numFmt w:val="decimal"/>
      <w:lvlText w:val="%1."/>
      <w:lvlJc w:val="left"/>
      <w:pPr>
        <w:ind w:left="1991" w:hanging="684"/>
        <w:jc w:val="left"/>
      </w:pPr>
      <w:rPr>
        <w:rFonts w:hint="default"/>
        <w:b/>
        <w:bCs/>
        <w:w w:val="104"/>
      </w:rPr>
    </w:lvl>
    <w:lvl w:ilvl="1" w:tplc="7D6883D6">
      <w:start w:val="1"/>
      <w:numFmt w:val="decimal"/>
      <w:lvlText w:val="%2."/>
      <w:lvlJc w:val="left"/>
      <w:pPr>
        <w:ind w:left="348" w:hanging="348"/>
        <w:jc w:val="right"/>
      </w:pPr>
      <w:rPr>
        <w:rFonts w:hint="default"/>
        <w:w w:val="95"/>
      </w:rPr>
    </w:lvl>
    <w:lvl w:ilvl="2" w:tplc="3A067D24">
      <w:start w:val="1"/>
      <w:numFmt w:val="decimal"/>
      <w:lvlText w:val="%3."/>
      <w:lvlJc w:val="left"/>
      <w:pPr>
        <w:ind w:left="841" w:hanging="353"/>
        <w:jc w:val="left"/>
      </w:pPr>
      <w:rPr>
        <w:rFonts w:hint="default"/>
        <w:w w:val="102"/>
      </w:rPr>
    </w:lvl>
    <w:lvl w:ilvl="3" w:tplc="63E028FC">
      <w:numFmt w:val="bullet"/>
      <w:lvlText w:val="·"/>
      <w:lvlJc w:val="left"/>
      <w:pPr>
        <w:ind w:left="945" w:hanging="169"/>
      </w:pPr>
      <w:rPr>
        <w:rFonts w:ascii="Arial" w:eastAsia="Arial" w:hAnsi="Arial" w:cs="Arial" w:hint="default"/>
        <w:color w:val="909090"/>
        <w:spacing w:val="-18"/>
        <w:w w:val="94"/>
        <w:sz w:val="21"/>
        <w:szCs w:val="21"/>
      </w:rPr>
    </w:lvl>
    <w:lvl w:ilvl="4" w:tplc="BB32259C">
      <w:numFmt w:val="bullet"/>
      <w:lvlText w:val="•"/>
      <w:lvlJc w:val="left"/>
      <w:pPr>
        <w:ind w:left="3231" w:hanging="169"/>
      </w:pPr>
      <w:rPr>
        <w:rFonts w:hint="default"/>
      </w:rPr>
    </w:lvl>
    <w:lvl w:ilvl="5" w:tplc="546C36A4">
      <w:numFmt w:val="bullet"/>
      <w:lvlText w:val="•"/>
      <w:lvlJc w:val="left"/>
      <w:pPr>
        <w:ind w:left="4462" w:hanging="169"/>
      </w:pPr>
      <w:rPr>
        <w:rFonts w:hint="default"/>
      </w:rPr>
    </w:lvl>
    <w:lvl w:ilvl="6" w:tplc="AB7AD61C">
      <w:numFmt w:val="bullet"/>
      <w:lvlText w:val="•"/>
      <w:lvlJc w:val="left"/>
      <w:pPr>
        <w:ind w:left="5694" w:hanging="169"/>
      </w:pPr>
      <w:rPr>
        <w:rFonts w:hint="default"/>
      </w:rPr>
    </w:lvl>
    <w:lvl w:ilvl="7" w:tplc="A4DE60AE">
      <w:numFmt w:val="bullet"/>
      <w:lvlText w:val="•"/>
      <w:lvlJc w:val="left"/>
      <w:pPr>
        <w:ind w:left="6925" w:hanging="169"/>
      </w:pPr>
      <w:rPr>
        <w:rFonts w:hint="default"/>
      </w:rPr>
    </w:lvl>
    <w:lvl w:ilvl="8" w:tplc="7568A432">
      <w:numFmt w:val="bullet"/>
      <w:lvlText w:val="•"/>
      <w:lvlJc w:val="left"/>
      <w:pPr>
        <w:ind w:left="8157" w:hanging="169"/>
      </w:pPr>
      <w:rPr>
        <w:rFonts w:hint="default"/>
      </w:rPr>
    </w:lvl>
  </w:abstractNum>
  <w:abstractNum w:abstractNumId="9" w15:restartNumberingAfterBreak="0">
    <w:nsid w:val="66AA4C63"/>
    <w:multiLevelType w:val="hybridMultilevel"/>
    <w:tmpl w:val="5798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7A2CD6"/>
    <w:multiLevelType w:val="hybridMultilevel"/>
    <w:tmpl w:val="8E86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2"/>
  </w:num>
  <w:num w:numId="5">
    <w:abstractNumId w:val="3"/>
  </w:num>
  <w:num w:numId="6">
    <w:abstractNumId w:val="0"/>
  </w:num>
  <w:num w:numId="7">
    <w:abstractNumId w:val="5"/>
  </w:num>
  <w:num w:numId="8">
    <w:abstractNumId w:val="4"/>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CD"/>
    <w:rsid w:val="00000715"/>
    <w:rsid w:val="00010663"/>
    <w:rsid w:val="00015D92"/>
    <w:rsid w:val="00020048"/>
    <w:rsid w:val="00026C99"/>
    <w:rsid w:val="000325C6"/>
    <w:rsid w:val="000330AD"/>
    <w:rsid w:val="00047534"/>
    <w:rsid w:val="00051FA9"/>
    <w:rsid w:val="000527F0"/>
    <w:rsid w:val="00077420"/>
    <w:rsid w:val="00091E84"/>
    <w:rsid w:val="0009205A"/>
    <w:rsid w:val="000A700C"/>
    <w:rsid w:val="000B107E"/>
    <w:rsid w:val="000B63E3"/>
    <w:rsid w:val="000C5A3F"/>
    <w:rsid w:val="000F04F2"/>
    <w:rsid w:val="000F1904"/>
    <w:rsid w:val="000F391D"/>
    <w:rsid w:val="000F6F53"/>
    <w:rsid w:val="001049CC"/>
    <w:rsid w:val="001269CE"/>
    <w:rsid w:val="001309A9"/>
    <w:rsid w:val="00143F4C"/>
    <w:rsid w:val="00152541"/>
    <w:rsid w:val="00157C2B"/>
    <w:rsid w:val="0016495E"/>
    <w:rsid w:val="0016708F"/>
    <w:rsid w:val="00176A2F"/>
    <w:rsid w:val="00191480"/>
    <w:rsid w:val="00191661"/>
    <w:rsid w:val="001A3588"/>
    <w:rsid w:val="001A623D"/>
    <w:rsid w:val="001B3289"/>
    <w:rsid w:val="001E486E"/>
    <w:rsid w:val="001F033A"/>
    <w:rsid w:val="001F28B0"/>
    <w:rsid w:val="001F75E1"/>
    <w:rsid w:val="0020105A"/>
    <w:rsid w:val="00230CAE"/>
    <w:rsid w:val="00241CCD"/>
    <w:rsid w:val="00245048"/>
    <w:rsid w:val="00245833"/>
    <w:rsid w:val="00250B13"/>
    <w:rsid w:val="00262CA1"/>
    <w:rsid w:val="00271F1C"/>
    <w:rsid w:val="00272190"/>
    <w:rsid w:val="00277B7A"/>
    <w:rsid w:val="00284D2C"/>
    <w:rsid w:val="002B322A"/>
    <w:rsid w:val="002D30BC"/>
    <w:rsid w:val="002D3611"/>
    <w:rsid w:val="002D5538"/>
    <w:rsid w:val="002D6592"/>
    <w:rsid w:val="002D6606"/>
    <w:rsid w:val="00313E3A"/>
    <w:rsid w:val="003158B2"/>
    <w:rsid w:val="003268EC"/>
    <w:rsid w:val="00335F67"/>
    <w:rsid w:val="00345536"/>
    <w:rsid w:val="00345DFB"/>
    <w:rsid w:val="00353A46"/>
    <w:rsid w:val="00367A62"/>
    <w:rsid w:val="00367E8B"/>
    <w:rsid w:val="0037686E"/>
    <w:rsid w:val="003A3152"/>
    <w:rsid w:val="003A5213"/>
    <w:rsid w:val="003D0731"/>
    <w:rsid w:val="003F6CA3"/>
    <w:rsid w:val="00401346"/>
    <w:rsid w:val="004348FE"/>
    <w:rsid w:val="0044552A"/>
    <w:rsid w:val="00450110"/>
    <w:rsid w:val="0045157E"/>
    <w:rsid w:val="00456F95"/>
    <w:rsid w:val="004577A8"/>
    <w:rsid w:val="00464369"/>
    <w:rsid w:val="00492667"/>
    <w:rsid w:val="004967EA"/>
    <w:rsid w:val="00497D43"/>
    <w:rsid w:val="004A179A"/>
    <w:rsid w:val="004A3C2E"/>
    <w:rsid w:val="004B3D3A"/>
    <w:rsid w:val="004D22D0"/>
    <w:rsid w:val="004E263B"/>
    <w:rsid w:val="004E2A72"/>
    <w:rsid w:val="004F225F"/>
    <w:rsid w:val="004F3BF5"/>
    <w:rsid w:val="005070DE"/>
    <w:rsid w:val="00511A25"/>
    <w:rsid w:val="00515896"/>
    <w:rsid w:val="00525AEC"/>
    <w:rsid w:val="00527425"/>
    <w:rsid w:val="0054476B"/>
    <w:rsid w:val="00545C9C"/>
    <w:rsid w:val="00551702"/>
    <w:rsid w:val="0055572F"/>
    <w:rsid w:val="005563FF"/>
    <w:rsid w:val="005567F1"/>
    <w:rsid w:val="005829EE"/>
    <w:rsid w:val="00584438"/>
    <w:rsid w:val="00584647"/>
    <w:rsid w:val="00596623"/>
    <w:rsid w:val="005A11D6"/>
    <w:rsid w:val="005E1773"/>
    <w:rsid w:val="005F3323"/>
    <w:rsid w:val="006154F5"/>
    <w:rsid w:val="00620B2C"/>
    <w:rsid w:val="00630B38"/>
    <w:rsid w:val="00634183"/>
    <w:rsid w:val="00635174"/>
    <w:rsid w:val="00646974"/>
    <w:rsid w:val="006548E4"/>
    <w:rsid w:val="00671072"/>
    <w:rsid w:val="00672DCD"/>
    <w:rsid w:val="00686AF3"/>
    <w:rsid w:val="006A11A2"/>
    <w:rsid w:val="006A7069"/>
    <w:rsid w:val="006B56A8"/>
    <w:rsid w:val="006C1A88"/>
    <w:rsid w:val="006D2B45"/>
    <w:rsid w:val="006E7D19"/>
    <w:rsid w:val="007045AB"/>
    <w:rsid w:val="007060D5"/>
    <w:rsid w:val="00717E48"/>
    <w:rsid w:val="00735215"/>
    <w:rsid w:val="0075574D"/>
    <w:rsid w:val="007607EE"/>
    <w:rsid w:val="007638A3"/>
    <w:rsid w:val="00772293"/>
    <w:rsid w:val="00776707"/>
    <w:rsid w:val="007876FF"/>
    <w:rsid w:val="00797B61"/>
    <w:rsid w:val="007A23FE"/>
    <w:rsid w:val="007B1224"/>
    <w:rsid w:val="007B40EB"/>
    <w:rsid w:val="007D036F"/>
    <w:rsid w:val="007E0768"/>
    <w:rsid w:val="007E18FF"/>
    <w:rsid w:val="007E28B0"/>
    <w:rsid w:val="007E5A96"/>
    <w:rsid w:val="007E767C"/>
    <w:rsid w:val="0080527A"/>
    <w:rsid w:val="00807184"/>
    <w:rsid w:val="008131AE"/>
    <w:rsid w:val="008219A6"/>
    <w:rsid w:val="00840B11"/>
    <w:rsid w:val="00855B26"/>
    <w:rsid w:val="008621E2"/>
    <w:rsid w:val="0086739B"/>
    <w:rsid w:val="008722CF"/>
    <w:rsid w:val="00887D1E"/>
    <w:rsid w:val="008A559D"/>
    <w:rsid w:val="008B2CC8"/>
    <w:rsid w:val="008B2CE4"/>
    <w:rsid w:val="008B4EAB"/>
    <w:rsid w:val="008C2B37"/>
    <w:rsid w:val="008D3AFD"/>
    <w:rsid w:val="008F613A"/>
    <w:rsid w:val="008F76E0"/>
    <w:rsid w:val="0090529F"/>
    <w:rsid w:val="00911A51"/>
    <w:rsid w:val="0091413F"/>
    <w:rsid w:val="009513F5"/>
    <w:rsid w:val="0095414F"/>
    <w:rsid w:val="0096136A"/>
    <w:rsid w:val="0099735B"/>
    <w:rsid w:val="009A66E4"/>
    <w:rsid w:val="009B071A"/>
    <w:rsid w:val="009E171B"/>
    <w:rsid w:val="009F1D33"/>
    <w:rsid w:val="009F2D19"/>
    <w:rsid w:val="00A03FBE"/>
    <w:rsid w:val="00A20BD2"/>
    <w:rsid w:val="00A21DB7"/>
    <w:rsid w:val="00A27403"/>
    <w:rsid w:val="00A71FCD"/>
    <w:rsid w:val="00A80464"/>
    <w:rsid w:val="00A83B1E"/>
    <w:rsid w:val="00A847EA"/>
    <w:rsid w:val="00A84A48"/>
    <w:rsid w:val="00A86E1B"/>
    <w:rsid w:val="00AA5149"/>
    <w:rsid w:val="00AB5447"/>
    <w:rsid w:val="00AB70F1"/>
    <w:rsid w:val="00AC6FF8"/>
    <w:rsid w:val="00AC7162"/>
    <w:rsid w:val="00B0711E"/>
    <w:rsid w:val="00B12011"/>
    <w:rsid w:val="00B21E31"/>
    <w:rsid w:val="00B46546"/>
    <w:rsid w:val="00B51EA2"/>
    <w:rsid w:val="00B542FF"/>
    <w:rsid w:val="00B5597D"/>
    <w:rsid w:val="00B6198B"/>
    <w:rsid w:val="00B64FF0"/>
    <w:rsid w:val="00B65F02"/>
    <w:rsid w:val="00B80E39"/>
    <w:rsid w:val="00B90681"/>
    <w:rsid w:val="00BC178F"/>
    <w:rsid w:val="00BD3BF7"/>
    <w:rsid w:val="00BE3D9B"/>
    <w:rsid w:val="00C01563"/>
    <w:rsid w:val="00C073DF"/>
    <w:rsid w:val="00C173E9"/>
    <w:rsid w:val="00C20A32"/>
    <w:rsid w:val="00C229A4"/>
    <w:rsid w:val="00C25C3A"/>
    <w:rsid w:val="00C32487"/>
    <w:rsid w:val="00C41EF3"/>
    <w:rsid w:val="00C47106"/>
    <w:rsid w:val="00C506F0"/>
    <w:rsid w:val="00C55257"/>
    <w:rsid w:val="00C634AA"/>
    <w:rsid w:val="00C7593E"/>
    <w:rsid w:val="00C8181D"/>
    <w:rsid w:val="00CA29D9"/>
    <w:rsid w:val="00CC1C65"/>
    <w:rsid w:val="00CC1DB3"/>
    <w:rsid w:val="00CF2C62"/>
    <w:rsid w:val="00D07717"/>
    <w:rsid w:val="00D227AF"/>
    <w:rsid w:val="00D36B1E"/>
    <w:rsid w:val="00D4501A"/>
    <w:rsid w:val="00D53B9D"/>
    <w:rsid w:val="00D55CEC"/>
    <w:rsid w:val="00D6626B"/>
    <w:rsid w:val="00D67CFB"/>
    <w:rsid w:val="00D70B3F"/>
    <w:rsid w:val="00D82A3C"/>
    <w:rsid w:val="00D855ED"/>
    <w:rsid w:val="00D90766"/>
    <w:rsid w:val="00DD4BC6"/>
    <w:rsid w:val="00DE4F92"/>
    <w:rsid w:val="00DF270A"/>
    <w:rsid w:val="00DF4486"/>
    <w:rsid w:val="00E03465"/>
    <w:rsid w:val="00E2018C"/>
    <w:rsid w:val="00E231EC"/>
    <w:rsid w:val="00E319A3"/>
    <w:rsid w:val="00E343B1"/>
    <w:rsid w:val="00E413B7"/>
    <w:rsid w:val="00E45A52"/>
    <w:rsid w:val="00E5283B"/>
    <w:rsid w:val="00E56ECB"/>
    <w:rsid w:val="00E6229E"/>
    <w:rsid w:val="00E720AD"/>
    <w:rsid w:val="00E74286"/>
    <w:rsid w:val="00E75EB7"/>
    <w:rsid w:val="00E86544"/>
    <w:rsid w:val="00E92DD8"/>
    <w:rsid w:val="00E96104"/>
    <w:rsid w:val="00EA05A1"/>
    <w:rsid w:val="00EA1C44"/>
    <w:rsid w:val="00EA22B9"/>
    <w:rsid w:val="00EC36F3"/>
    <w:rsid w:val="00ED33D3"/>
    <w:rsid w:val="00ED6582"/>
    <w:rsid w:val="00ED78F8"/>
    <w:rsid w:val="00EF4E64"/>
    <w:rsid w:val="00F1153E"/>
    <w:rsid w:val="00F116B4"/>
    <w:rsid w:val="00F1265A"/>
    <w:rsid w:val="00F231F6"/>
    <w:rsid w:val="00F53219"/>
    <w:rsid w:val="00F75D5C"/>
    <w:rsid w:val="00F85141"/>
    <w:rsid w:val="00F92365"/>
    <w:rsid w:val="00FC1F12"/>
    <w:rsid w:val="00FC55EE"/>
    <w:rsid w:val="00FD6115"/>
    <w:rsid w:val="00FD7ADB"/>
    <w:rsid w:val="00FE18B0"/>
    <w:rsid w:val="00FE4E37"/>
    <w:rsid w:val="00FF55F7"/>
    <w:rsid w:val="00F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9A5DE0"/>
  <w15:docId w15:val="{2BCB8F0F-B6D6-4DD6-B42A-93FB5659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D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152"/>
    <w:rPr>
      <w:rFonts w:ascii="Tahoma" w:hAnsi="Tahoma" w:cs="Tahoma"/>
      <w:sz w:val="16"/>
      <w:szCs w:val="16"/>
    </w:rPr>
  </w:style>
  <w:style w:type="paragraph" w:styleId="ListParagraph">
    <w:name w:val="List Paragraph"/>
    <w:basedOn w:val="Normal"/>
    <w:uiPriority w:val="1"/>
    <w:qFormat/>
    <w:rsid w:val="004E263B"/>
    <w:pPr>
      <w:ind w:left="720"/>
      <w:contextualSpacing/>
    </w:pPr>
  </w:style>
  <w:style w:type="paragraph" w:styleId="FootnoteText">
    <w:name w:val="footnote text"/>
    <w:basedOn w:val="Normal"/>
    <w:link w:val="FootnoteTextChar"/>
    <w:uiPriority w:val="99"/>
    <w:semiHidden/>
    <w:unhideWhenUsed/>
    <w:rsid w:val="00B619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98B"/>
    <w:rPr>
      <w:sz w:val="20"/>
      <w:szCs w:val="20"/>
    </w:rPr>
  </w:style>
  <w:style w:type="character" w:styleId="FootnoteReference">
    <w:name w:val="footnote reference"/>
    <w:basedOn w:val="DefaultParagraphFont"/>
    <w:uiPriority w:val="99"/>
    <w:semiHidden/>
    <w:unhideWhenUsed/>
    <w:rsid w:val="00B6198B"/>
    <w:rPr>
      <w:vertAlign w:val="superscript"/>
    </w:rPr>
  </w:style>
  <w:style w:type="paragraph" w:styleId="Header">
    <w:name w:val="header"/>
    <w:basedOn w:val="Normal"/>
    <w:link w:val="HeaderChar"/>
    <w:uiPriority w:val="99"/>
    <w:unhideWhenUsed/>
    <w:rsid w:val="00B61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98B"/>
  </w:style>
  <w:style w:type="paragraph" w:styleId="Footer">
    <w:name w:val="footer"/>
    <w:basedOn w:val="Normal"/>
    <w:link w:val="FooterChar"/>
    <w:uiPriority w:val="99"/>
    <w:unhideWhenUsed/>
    <w:rsid w:val="00B61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98B"/>
  </w:style>
  <w:style w:type="paragraph" w:styleId="BodyText">
    <w:name w:val="Body Text"/>
    <w:basedOn w:val="Normal"/>
    <w:link w:val="BodyTextChar"/>
    <w:uiPriority w:val="1"/>
    <w:qFormat/>
    <w:rsid w:val="00797B61"/>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797B61"/>
    <w:rPr>
      <w:rFonts w:ascii="Arial" w:eastAsia="Arial" w:hAnsi="Arial" w:cs="Arial"/>
      <w:sz w:val="21"/>
      <w:szCs w:val="21"/>
    </w:rPr>
  </w:style>
  <w:style w:type="paragraph" w:customStyle="1" w:styleId="TableParagraph">
    <w:name w:val="Table Paragraph"/>
    <w:basedOn w:val="Normal"/>
    <w:uiPriority w:val="1"/>
    <w:qFormat/>
    <w:rsid w:val="00797B61"/>
    <w:pPr>
      <w:widowControl w:val="0"/>
      <w:autoSpaceDE w:val="0"/>
      <w:autoSpaceDN w:val="0"/>
      <w:spacing w:after="0" w:line="240" w:lineRule="auto"/>
      <w:ind w:left="89"/>
    </w:pPr>
    <w:rPr>
      <w:rFonts w:ascii="Arial" w:eastAsia="Arial" w:hAnsi="Arial" w:cs="Arial"/>
    </w:rPr>
  </w:style>
  <w:style w:type="character" w:styleId="CommentReference">
    <w:name w:val="annotation reference"/>
    <w:basedOn w:val="DefaultParagraphFont"/>
    <w:uiPriority w:val="99"/>
    <w:semiHidden/>
    <w:unhideWhenUsed/>
    <w:rsid w:val="00077420"/>
    <w:rPr>
      <w:sz w:val="16"/>
      <w:szCs w:val="16"/>
    </w:rPr>
  </w:style>
  <w:style w:type="paragraph" w:styleId="CommentText">
    <w:name w:val="annotation text"/>
    <w:basedOn w:val="Normal"/>
    <w:link w:val="CommentTextChar"/>
    <w:uiPriority w:val="99"/>
    <w:semiHidden/>
    <w:unhideWhenUsed/>
    <w:rsid w:val="00077420"/>
    <w:pPr>
      <w:spacing w:line="240" w:lineRule="auto"/>
    </w:pPr>
    <w:rPr>
      <w:sz w:val="20"/>
      <w:szCs w:val="20"/>
    </w:rPr>
  </w:style>
  <w:style w:type="character" w:customStyle="1" w:styleId="CommentTextChar">
    <w:name w:val="Comment Text Char"/>
    <w:basedOn w:val="DefaultParagraphFont"/>
    <w:link w:val="CommentText"/>
    <w:uiPriority w:val="99"/>
    <w:semiHidden/>
    <w:rsid w:val="00077420"/>
    <w:rPr>
      <w:sz w:val="20"/>
      <w:szCs w:val="20"/>
    </w:rPr>
  </w:style>
  <w:style w:type="paragraph" w:styleId="CommentSubject">
    <w:name w:val="annotation subject"/>
    <w:basedOn w:val="CommentText"/>
    <w:next w:val="CommentText"/>
    <w:link w:val="CommentSubjectChar"/>
    <w:uiPriority w:val="99"/>
    <w:semiHidden/>
    <w:unhideWhenUsed/>
    <w:rsid w:val="00077420"/>
    <w:rPr>
      <w:b/>
      <w:bCs/>
    </w:rPr>
  </w:style>
  <w:style w:type="character" w:customStyle="1" w:styleId="CommentSubjectChar">
    <w:name w:val="Comment Subject Char"/>
    <w:basedOn w:val="CommentTextChar"/>
    <w:link w:val="CommentSubject"/>
    <w:uiPriority w:val="99"/>
    <w:semiHidden/>
    <w:rsid w:val="000774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419C4-11A5-4E43-A0EE-F0251570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Sheehan, Caryl@Waterboards</dc:creator>
  <cp:lastModifiedBy>Sheehan, Caryl@Waterboards</cp:lastModifiedBy>
  <cp:revision>5</cp:revision>
  <cp:lastPrinted>2015-09-24T18:55:00Z</cp:lastPrinted>
  <dcterms:created xsi:type="dcterms:W3CDTF">2018-10-25T20:40:00Z</dcterms:created>
  <dcterms:modified xsi:type="dcterms:W3CDTF">2018-10-26T17:53:00Z</dcterms:modified>
</cp:coreProperties>
</file>